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Default Extension="png" ContentType="image/png"/>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1.xml" ContentType="application/vnd.openxmlformats-officedocument.drawingml.chartshapes+xml"/>
  <Override PartName="/word/drawings/drawing2.xml" ContentType="application/vnd.openxmlformats-officedocument.drawingml.chartshapes+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5DA3" w:rsidRDefault="00312D82" w:rsidP="00D83D8E">
      <w:pPr>
        <w:contextualSpacing/>
        <w:jc w:val="both"/>
        <w:rPr>
          <w:rFonts w:ascii="Arial" w:hAnsi="Arial" w:cs="Arial"/>
          <w:b/>
          <w:spacing w:val="20"/>
          <w:kern w:val="2"/>
        </w:rPr>
      </w:pPr>
      <w:r>
        <w:rPr>
          <w:rFonts w:ascii="Arial" w:hAnsi="Arial" w:cs="Arial"/>
          <w:b/>
          <w:spacing w:val="20"/>
          <w:kern w:val="2"/>
        </w:rPr>
        <w:t>1.- PRESENTACION</w:t>
      </w:r>
    </w:p>
    <w:p w:rsidR="00312D82" w:rsidRDefault="00312D82" w:rsidP="00D83D8E">
      <w:pPr>
        <w:contextualSpacing/>
        <w:jc w:val="both"/>
        <w:rPr>
          <w:rFonts w:ascii="Arial" w:hAnsi="Arial" w:cs="Arial"/>
          <w:b/>
          <w:spacing w:val="20"/>
          <w:kern w:val="2"/>
        </w:rPr>
      </w:pPr>
    </w:p>
    <w:p w:rsidR="00312D82" w:rsidRPr="00312D82" w:rsidRDefault="00312D82" w:rsidP="00312D82">
      <w:pPr>
        <w:spacing w:after="240"/>
        <w:contextualSpacing/>
        <w:jc w:val="both"/>
        <w:rPr>
          <w:rFonts w:ascii="Arial" w:hAnsi="Arial" w:cs="Arial"/>
          <w:kern w:val="2"/>
          <w:lang w:eastAsia="en-US"/>
        </w:rPr>
      </w:pPr>
      <w:r w:rsidRPr="00312D82">
        <w:rPr>
          <w:rFonts w:ascii="Arial" w:hAnsi="Arial" w:cs="Arial"/>
          <w:kern w:val="2"/>
          <w:lang w:eastAsia="en-US"/>
        </w:rPr>
        <w:t>Vengo a dar cuenta a ese Honorable Congreso del Estado, como gobernante de un pueblo libre bajo el sistema republicano y representativo de los progresos alcanzados por la administración pública, así como de los resultados obtenidos por el Poder Judicial y Órganos Autónomos que tuvieron a bien, integrar y enviar la información que se señala en la Ley General de Contabilidad Gubernamental para formar parte de la Cuenta Pública del Estado del Ejercicio Fiscal 2015.</w:t>
      </w:r>
    </w:p>
    <w:p w:rsidR="00312D82" w:rsidRPr="00312D82" w:rsidRDefault="00312D82" w:rsidP="00312D82">
      <w:pPr>
        <w:spacing w:after="240"/>
        <w:contextualSpacing/>
        <w:jc w:val="both"/>
        <w:rPr>
          <w:rFonts w:ascii="Arial" w:hAnsi="Arial" w:cs="Arial"/>
          <w:kern w:val="2"/>
          <w:lang w:eastAsia="en-US"/>
        </w:rPr>
      </w:pPr>
    </w:p>
    <w:p w:rsidR="00312D82" w:rsidRPr="00312D82" w:rsidRDefault="00312D82" w:rsidP="00312D82">
      <w:pPr>
        <w:spacing w:after="240"/>
        <w:contextualSpacing/>
        <w:jc w:val="both"/>
        <w:rPr>
          <w:rFonts w:ascii="Arial" w:hAnsi="Arial" w:cs="Arial"/>
          <w:kern w:val="2"/>
          <w:lang w:eastAsia="en-US"/>
        </w:rPr>
      </w:pPr>
      <w:r w:rsidRPr="00312D82">
        <w:rPr>
          <w:rFonts w:ascii="Arial" w:hAnsi="Arial" w:cs="Arial"/>
          <w:kern w:val="2"/>
          <w:lang w:eastAsia="en-US"/>
        </w:rPr>
        <w:t>Así, en cumplimiento a lo establecido en los artículos 80 fracción V de la Constitución Política del Estado Libre y Soberano de Oaxaca; 46, 47 y 53 de la Ley General de Contabilidad Gubernamental, 12 y 15 de la Ley de Fiscalización Superior para el Estado de Oaxaca, presento a esta Sexagésima Segunda Legislatura, la Cuenta Pública del Estado correspondiente al ejercicio fiscal 2015.</w:t>
      </w:r>
    </w:p>
    <w:p w:rsidR="00312D82" w:rsidRPr="00312D82" w:rsidRDefault="00312D82" w:rsidP="00312D82">
      <w:pPr>
        <w:spacing w:after="240"/>
        <w:contextualSpacing/>
        <w:jc w:val="both"/>
        <w:rPr>
          <w:rFonts w:ascii="Arial" w:hAnsi="Arial" w:cs="Arial"/>
          <w:kern w:val="2"/>
          <w:lang w:eastAsia="en-US"/>
        </w:rPr>
      </w:pPr>
    </w:p>
    <w:p w:rsidR="00312D82" w:rsidRPr="00312D82" w:rsidRDefault="00312D82" w:rsidP="00312D82">
      <w:pPr>
        <w:spacing w:after="240"/>
        <w:contextualSpacing/>
        <w:jc w:val="both"/>
        <w:rPr>
          <w:rFonts w:ascii="Arial" w:hAnsi="Arial" w:cs="Arial"/>
          <w:kern w:val="2"/>
          <w:lang w:eastAsia="en-US"/>
        </w:rPr>
      </w:pPr>
      <w:r w:rsidRPr="00312D82">
        <w:rPr>
          <w:rFonts w:ascii="Arial" w:hAnsi="Arial" w:cs="Arial"/>
          <w:kern w:val="2"/>
          <w:lang w:eastAsia="en-US"/>
        </w:rPr>
        <w:t>Los resultados obtenidos durante el periodo que se informa, dan cuenta de las responsabilidades que el gobierno ha venido enfrentando en el quinto año de gestión, enfatizando la competencia hacendaria y el ejercicio de los recursos públicos a cargo de los Ejecutores de gasto.</w:t>
      </w:r>
    </w:p>
    <w:p w:rsidR="00312D82" w:rsidRPr="00312D82" w:rsidRDefault="00312D82" w:rsidP="00312D82">
      <w:pPr>
        <w:spacing w:after="240"/>
        <w:contextualSpacing/>
        <w:jc w:val="both"/>
        <w:rPr>
          <w:rFonts w:ascii="Arial" w:hAnsi="Arial" w:cs="Arial"/>
          <w:kern w:val="2"/>
          <w:lang w:eastAsia="en-US"/>
        </w:rPr>
      </w:pPr>
    </w:p>
    <w:p w:rsidR="00312D82" w:rsidRPr="00312D82" w:rsidRDefault="00312D82" w:rsidP="00312D82">
      <w:pPr>
        <w:spacing w:after="240"/>
        <w:contextualSpacing/>
        <w:jc w:val="both"/>
        <w:rPr>
          <w:rFonts w:ascii="Arial" w:hAnsi="Arial" w:cs="Arial"/>
          <w:kern w:val="2"/>
          <w:lang w:eastAsia="en-US"/>
        </w:rPr>
      </w:pPr>
      <w:r w:rsidRPr="00312D82">
        <w:rPr>
          <w:rFonts w:ascii="Arial" w:hAnsi="Arial" w:cs="Arial"/>
          <w:kern w:val="2"/>
          <w:lang w:eastAsia="en-US"/>
        </w:rPr>
        <w:t>Los servidores públicos estamos obligados a contribuir a que el balance presupuestario sea sostenible sea positivo, dado que esto permitirá contar con finanzas públicas sanas, ello requiere conjugar una diversidad de procesos operativos estructurales, que permita estimar y alcanzar buenos resultados en el desarrollo de la función de gobernar.</w:t>
      </w:r>
    </w:p>
    <w:p w:rsidR="00312D82" w:rsidRPr="00312D82" w:rsidRDefault="00312D82" w:rsidP="00312D82">
      <w:pPr>
        <w:spacing w:after="240"/>
        <w:contextualSpacing/>
        <w:jc w:val="both"/>
        <w:rPr>
          <w:rFonts w:ascii="Arial" w:hAnsi="Arial" w:cs="Arial"/>
          <w:kern w:val="2"/>
          <w:lang w:eastAsia="en-US"/>
        </w:rPr>
      </w:pPr>
    </w:p>
    <w:p w:rsidR="00312D82" w:rsidRPr="00312D82" w:rsidRDefault="00312D82" w:rsidP="00312D82">
      <w:pPr>
        <w:spacing w:after="240"/>
        <w:contextualSpacing/>
        <w:jc w:val="both"/>
        <w:rPr>
          <w:rFonts w:ascii="Arial" w:hAnsi="Arial" w:cs="Arial"/>
          <w:kern w:val="2"/>
          <w:lang w:eastAsia="en-US"/>
        </w:rPr>
      </w:pPr>
      <w:r w:rsidRPr="00312D82">
        <w:rPr>
          <w:rFonts w:ascii="Arial" w:hAnsi="Arial" w:cs="Arial"/>
          <w:kern w:val="2"/>
          <w:lang w:eastAsia="en-US"/>
        </w:rPr>
        <w:t>En el contexto de la disciplina financiera, la función contable es primordial, considerando que sus principios representan la instrumentación sistemática del control financiero y su ejercicio, misma que es considerada como un área prioritaria, fuente de información financiera, resultado de la consolidación de la información contable, presupuestaria, financiera y funcional de los rubros de ingresos, egresos, deuda pública y patrimonio que reportan los Poderes Legislativo y Judicial, Órganos Autónomos, Administración Pública Central y Paraestatal, en su calidad de Ejecutores del gasto público, a través de los sistemas electrónicos, y cuyo documento constituye un testimonio integral, completo y veraz respecto de la situación que guardan las finanzas del Estado transcurrido en el ejercicio fiscal.</w:t>
      </w:r>
    </w:p>
    <w:p w:rsidR="00312D82" w:rsidRPr="00312D82" w:rsidRDefault="00312D82" w:rsidP="00312D82">
      <w:pPr>
        <w:spacing w:after="240"/>
        <w:contextualSpacing/>
        <w:jc w:val="both"/>
        <w:rPr>
          <w:rFonts w:ascii="Arial" w:hAnsi="Arial" w:cs="Arial"/>
          <w:kern w:val="2"/>
          <w:lang w:eastAsia="en-US"/>
        </w:rPr>
      </w:pPr>
    </w:p>
    <w:p w:rsidR="00312D82" w:rsidRPr="00312D82" w:rsidRDefault="00312D82" w:rsidP="00312D82">
      <w:pPr>
        <w:spacing w:after="240"/>
        <w:contextualSpacing/>
        <w:jc w:val="both"/>
        <w:rPr>
          <w:rFonts w:ascii="Arial" w:hAnsi="Arial" w:cs="Arial"/>
          <w:kern w:val="2"/>
          <w:lang w:eastAsia="en-US"/>
        </w:rPr>
      </w:pPr>
      <w:r w:rsidRPr="00312D82">
        <w:rPr>
          <w:rFonts w:ascii="Arial" w:hAnsi="Arial" w:cs="Arial"/>
          <w:kern w:val="2"/>
          <w:lang w:eastAsia="en-US"/>
        </w:rPr>
        <w:t xml:space="preserve">La Cuenta Pública registra la fuente de los ingresos, así como las acciones realizadas para la obtención de los mismos y la aplicación de estos en servicios e infraestructura pública, de tal manera que los estados financieros del Estado cumplen con los Postulados Básicos de Contabilidad Gubernamental y las Normas Internacionales de Información Financiera (NIIF) aplicables al sector público, evaluándose los avances en </w:t>
      </w:r>
      <w:r w:rsidRPr="00312D82">
        <w:rPr>
          <w:rFonts w:ascii="Arial" w:hAnsi="Arial" w:cs="Arial"/>
          <w:kern w:val="2"/>
          <w:lang w:eastAsia="en-US"/>
        </w:rPr>
        <w:lastRenderedPageBreak/>
        <w:t xml:space="preserve">relación con los objetivos establecidos en el Plan Estatal de Desarrollo de Oaxaca 2011-2016. </w:t>
      </w:r>
    </w:p>
    <w:p w:rsidR="00312D82" w:rsidRPr="00312D82" w:rsidRDefault="00312D82" w:rsidP="00312D82">
      <w:pPr>
        <w:spacing w:after="240"/>
        <w:contextualSpacing/>
        <w:jc w:val="both"/>
        <w:rPr>
          <w:rFonts w:ascii="Arial" w:hAnsi="Arial" w:cs="Arial"/>
          <w:kern w:val="2"/>
          <w:lang w:eastAsia="en-US"/>
        </w:rPr>
      </w:pPr>
    </w:p>
    <w:p w:rsidR="00312D82" w:rsidRPr="00312D82" w:rsidRDefault="00312D82" w:rsidP="00312D82">
      <w:pPr>
        <w:spacing w:after="240"/>
        <w:contextualSpacing/>
        <w:jc w:val="both"/>
        <w:rPr>
          <w:rFonts w:ascii="Arial" w:hAnsi="Arial" w:cs="Arial"/>
          <w:kern w:val="2"/>
          <w:lang w:eastAsia="en-US"/>
        </w:rPr>
      </w:pPr>
      <w:r w:rsidRPr="00312D82">
        <w:rPr>
          <w:rFonts w:ascii="Arial" w:hAnsi="Arial" w:cs="Arial"/>
          <w:kern w:val="2"/>
          <w:lang w:eastAsia="en-US"/>
        </w:rPr>
        <w:t>En apego a la Ley General de Contabilidad Gubernamental y a los acuerdos aprobados y publicados por el Consejo Nacional de Armonización Contable, la armonización contable creada como obligación constitucional, consolida la implementación del modelo de contabilidad gubernamental en la integración de los estados financieros.</w:t>
      </w:r>
    </w:p>
    <w:p w:rsidR="00312D82" w:rsidRPr="00312D82" w:rsidRDefault="00312D82" w:rsidP="00312D82">
      <w:pPr>
        <w:spacing w:after="240"/>
        <w:contextualSpacing/>
        <w:jc w:val="both"/>
        <w:rPr>
          <w:rFonts w:ascii="Arial" w:hAnsi="Arial" w:cs="Arial"/>
          <w:kern w:val="2"/>
          <w:lang w:eastAsia="en-US"/>
        </w:rPr>
      </w:pPr>
    </w:p>
    <w:p w:rsidR="00312D82" w:rsidRPr="00312D82" w:rsidRDefault="00312D82" w:rsidP="00312D82">
      <w:pPr>
        <w:spacing w:after="240"/>
        <w:contextualSpacing/>
        <w:jc w:val="both"/>
        <w:rPr>
          <w:rFonts w:ascii="Arial" w:hAnsi="Arial" w:cs="Arial"/>
          <w:kern w:val="2"/>
          <w:lang w:eastAsia="en-US"/>
        </w:rPr>
      </w:pPr>
      <w:r w:rsidRPr="00312D82">
        <w:rPr>
          <w:rFonts w:ascii="Arial" w:hAnsi="Arial" w:cs="Arial"/>
          <w:kern w:val="2"/>
          <w:lang w:eastAsia="en-US"/>
        </w:rPr>
        <w:t xml:space="preserve">Se reitera el compromiso de continuar trabajando en el contenido y estructura de la información financiera privilegiando la transparencia y la rendición de cuentas, dando cabal cumplimiento a los objetivos y metas trazadas por esta administración, razón por la cual he instruido a los servidores públicos titulares de las Dependencias y Entidades que integran el Poder Ejecutivo que represento, para que integren los resultados de los indicadores de los programas y demás información que esa Soberanía tenga a bien solicitar para la comprensión de la política fiscal, presupuestaria, financiera y hacendaria adoptada por esta Administración en el ejercicio fiscal que se informa. </w:t>
      </w:r>
    </w:p>
    <w:p w:rsidR="00312D82" w:rsidRPr="002C59A5" w:rsidRDefault="00312D82" w:rsidP="00312D82">
      <w:pPr>
        <w:rPr>
          <w:rFonts w:ascii="Arial" w:hAnsi="Arial" w:cs="Arial"/>
          <w:sz w:val="22"/>
          <w:szCs w:val="22"/>
        </w:rPr>
      </w:pPr>
    </w:p>
    <w:p w:rsidR="00312D82" w:rsidRDefault="00312D82" w:rsidP="00D83D8E">
      <w:pPr>
        <w:contextualSpacing/>
        <w:jc w:val="both"/>
        <w:rPr>
          <w:rFonts w:ascii="Arial" w:hAnsi="Arial" w:cs="Arial"/>
          <w:b/>
          <w:spacing w:val="20"/>
          <w:kern w:val="2"/>
        </w:rPr>
      </w:pPr>
    </w:p>
    <w:p w:rsidR="00312D82" w:rsidRPr="00D83D8E" w:rsidRDefault="00312D82" w:rsidP="00D83D8E">
      <w:pPr>
        <w:contextualSpacing/>
        <w:jc w:val="both"/>
        <w:rPr>
          <w:rFonts w:ascii="Arial" w:hAnsi="Arial" w:cs="Arial"/>
          <w:b/>
          <w:spacing w:val="20"/>
          <w:kern w:val="2"/>
        </w:rPr>
      </w:pPr>
    </w:p>
    <w:p w:rsidR="00312D82" w:rsidRDefault="00312D82">
      <w:pPr>
        <w:rPr>
          <w:rFonts w:ascii="Arial" w:hAnsi="Arial" w:cs="Arial"/>
          <w:b/>
          <w:spacing w:val="20"/>
          <w:kern w:val="2"/>
        </w:rPr>
      </w:pPr>
      <w:r>
        <w:rPr>
          <w:rFonts w:ascii="Arial" w:hAnsi="Arial" w:cs="Arial"/>
          <w:b/>
          <w:spacing w:val="20"/>
          <w:kern w:val="2"/>
        </w:rPr>
        <w:br w:type="page"/>
      </w:r>
    </w:p>
    <w:p w:rsidR="00144F95" w:rsidRPr="00D83D8E" w:rsidRDefault="00144F95" w:rsidP="00D83D8E">
      <w:pPr>
        <w:contextualSpacing/>
        <w:jc w:val="both"/>
        <w:rPr>
          <w:rFonts w:ascii="Arial" w:hAnsi="Arial" w:cs="Arial"/>
          <w:b/>
          <w:spacing w:val="20"/>
          <w:kern w:val="2"/>
        </w:rPr>
      </w:pPr>
      <w:r w:rsidRPr="00D83D8E">
        <w:rPr>
          <w:rFonts w:ascii="Arial" w:hAnsi="Arial" w:cs="Arial"/>
          <w:b/>
          <w:spacing w:val="20"/>
          <w:kern w:val="2"/>
        </w:rPr>
        <w:lastRenderedPageBreak/>
        <w:t>2.- PANORAMA ECONÓMICO</w:t>
      </w:r>
    </w:p>
    <w:p w:rsidR="00144F95" w:rsidRPr="00D83D8E" w:rsidRDefault="00144F95" w:rsidP="00D83D8E">
      <w:pPr>
        <w:contextualSpacing/>
        <w:jc w:val="both"/>
        <w:rPr>
          <w:rFonts w:ascii="Arial" w:hAnsi="Arial" w:cs="Arial"/>
          <w:b/>
          <w:spacing w:val="20"/>
          <w:kern w:val="2"/>
        </w:rPr>
      </w:pPr>
    </w:p>
    <w:p w:rsidR="00144F95" w:rsidRDefault="00D83D8E" w:rsidP="00D83D8E">
      <w:pPr>
        <w:spacing w:after="240"/>
        <w:contextualSpacing/>
        <w:jc w:val="both"/>
        <w:rPr>
          <w:rFonts w:ascii="Arial" w:hAnsi="Arial" w:cs="Arial"/>
          <w:b/>
          <w:kern w:val="2"/>
          <w:szCs w:val="20"/>
        </w:rPr>
      </w:pPr>
      <w:r w:rsidRPr="00D83D8E">
        <w:rPr>
          <w:rFonts w:ascii="Arial" w:hAnsi="Arial" w:cs="Arial"/>
          <w:b/>
          <w:kern w:val="2"/>
          <w:szCs w:val="20"/>
        </w:rPr>
        <w:t xml:space="preserve">2.1.- </w:t>
      </w:r>
      <w:r>
        <w:rPr>
          <w:rFonts w:ascii="Arial" w:hAnsi="Arial" w:cs="Arial"/>
          <w:b/>
          <w:kern w:val="2"/>
          <w:szCs w:val="20"/>
        </w:rPr>
        <w:t>ECONOMÍA NACIONAL</w:t>
      </w:r>
    </w:p>
    <w:p w:rsidR="00D83D8E" w:rsidRPr="00D83D8E" w:rsidRDefault="00D83D8E" w:rsidP="00D83D8E">
      <w:pPr>
        <w:spacing w:after="240"/>
        <w:contextualSpacing/>
        <w:jc w:val="both"/>
        <w:rPr>
          <w:rFonts w:ascii="Arial" w:hAnsi="Arial" w:cs="Arial"/>
          <w:b/>
          <w:kern w:val="2"/>
          <w:szCs w:val="20"/>
        </w:rPr>
      </w:pPr>
    </w:p>
    <w:p w:rsidR="00144F95"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Al cierre de 2015, la economía mexicana registró un crecimiento de 2.5 por ciento, según cifras reportadas por el Instituto Nacional de Estadística y Geografía (INEGI)</w:t>
      </w:r>
      <w:r w:rsidRPr="00D83D8E">
        <w:rPr>
          <w:rStyle w:val="Refdenotaalpie"/>
          <w:rFonts w:ascii="Arial" w:hAnsi="Arial" w:cs="Arial"/>
          <w:kern w:val="2"/>
          <w:lang w:eastAsia="en-US"/>
        </w:rPr>
        <w:footnoteReference w:id="1"/>
      </w:r>
      <w:r w:rsidRPr="00D83D8E">
        <w:rPr>
          <w:rFonts w:ascii="Arial" w:hAnsi="Arial" w:cs="Arial"/>
          <w:kern w:val="2"/>
          <w:lang w:eastAsia="en-US"/>
        </w:rPr>
        <w:t>. Este dato quedó dentro del último rango estimado por la Secretaría de Hacienda de entre 2.0 y 2.8 por ciento, y por encima del rango del Banco de México (Banxico) de entre 1.9 y 2.4 por ciento. Este avance fue superior al que se registró en 2014 y 2013.</w:t>
      </w:r>
    </w:p>
    <w:p w:rsidR="00D83D8E" w:rsidRPr="00D83D8E" w:rsidRDefault="00D83D8E" w:rsidP="00D83D8E">
      <w:pPr>
        <w:spacing w:after="240"/>
        <w:contextualSpacing/>
        <w:jc w:val="both"/>
        <w:rPr>
          <w:rFonts w:ascii="Arial" w:hAnsi="Arial" w:cs="Arial"/>
          <w:kern w:val="2"/>
          <w:lang w:eastAsia="en-US"/>
        </w:rPr>
      </w:pPr>
    </w:p>
    <w:p w:rsidR="00144F95"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Al analizar la producción nacional por tipo de actividad económica se observan resultados mixtos. Las actividades primarias, aunque registraron un retroceso en su ritmo de crecimiento durante el último trimestre del 2015, crecieron 3.1 por ciento en todo el año, pues aún se benefician del dinamismo considerable de los últimos cuatro años. Las actividades industriales, que incluyen la industria minera, manufacturera y de la construcción, registraron un incremento de 1%, después de también registrar un retroceso en el último trimestre del  2015. En cuanto a las actividades terciarias, que abarcan al comercio, transporte y otros servicios, terminaron el año con 3.3% de crecimiento.</w:t>
      </w:r>
    </w:p>
    <w:p w:rsidR="00D83D8E" w:rsidRPr="00D83D8E" w:rsidRDefault="00D83D8E" w:rsidP="00D83D8E">
      <w:pPr>
        <w:spacing w:after="240"/>
        <w:contextualSpacing/>
        <w:jc w:val="both"/>
        <w:rPr>
          <w:rFonts w:ascii="Arial" w:hAnsi="Arial" w:cs="Arial"/>
          <w:kern w:val="2"/>
          <w:lang w:eastAsia="en-US"/>
        </w:rPr>
      </w:pPr>
    </w:p>
    <w:p w:rsidR="00144F95"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En relación con el empleo, el número de afiliados al Instituto Mexicano del Seguro Social (IMSS) al cierre del 2015 se ubicó en 17 millones 884 mil 33 trabajadores, haciendo que el empleo formal alcanzara una tasa de crecimiento de 3.7 por ciento en el año.</w:t>
      </w:r>
    </w:p>
    <w:p w:rsidR="00D83D8E" w:rsidRPr="00D83D8E" w:rsidRDefault="00D83D8E" w:rsidP="00D83D8E">
      <w:pPr>
        <w:spacing w:after="240"/>
        <w:contextualSpacing/>
        <w:jc w:val="both"/>
        <w:rPr>
          <w:rFonts w:ascii="Arial" w:hAnsi="Arial" w:cs="Arial"/>
          <w:kern w:val="2"/>
          <w:lang w:eastAsia="en-US"/>
        </w:rPr>
      </w:pPr>
    </w:p>
    <w:p w:rsidR="00144F95"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De acuerdo a las actividades económicas registradas, la de mayor crecimiento en el número de personal contratado es la agricultura, ganadería, silvicultura, pesca y caza, que reflejó un incremento de 6.6 por ciento anual. En segundo lugar se ubica el sector transportes y comunicaciones con un crecimiento de 5.6 por ciento anual, seguido de las industrias de la transformación, que tuvieron un crecimiento en el número de contratados de 5.1 por ciento.</w:t>
      </w:r>
    </w:p>
    <w:p w:rsidR="00D83D8E" w:rsidRPr="00D83D8E" w:rsidRDefault="00D83D8E" w:rsidP="00D83D8E">
      <w:pPr>
        <w:spacing w:after="240"/>
        <w:contextualSpacing/>
        <w:jc w:val="both"/>
        <w:rPr>
          <w:rFonts w:ascii="Arial" w:hAnsi="Arial" w:cs="Arial"/>
          <w:kern w:val="2"/>
          <w:lang w:eastAsia="en-US"/>
        </w:rPr>
      </w:pPr>
    </w:p>
    <w:p w:rsidR="00144F95" w:rsidRPr="00D83D8E" w:rsidRDefault="00144F95" w:rsidP="00D83D8E">
      <w:pPr>
        <w:contextualSpacing/>
        <w:rPr>
          <w:rFonts w:ascii="Arial" w:hAnsi="Arial" w:cs="Arial"/>
          <w:b/>
          <w:kern w:val="2"/>
          <w:sz w:val="20"/>
          <w:szCs w:val="20"/>
        </w:rPr>
      </w:pPr>
      <w:r w:rsidRPr="00D83D8E">
        <w:rPr>
          <w:rFonts w:ascii="Arial" w:hAnsi="Arial" w:cs="Arial"/>
          <w:kern w:val="2"/>
          <w:lang w:eastAsia="en-US"/>
        </w:rPr>
        <w:t xml:space="preserve">La tasa de desocupación nacional a diciembre de 2015 registró un ligero incremento de 0.20 puntos porcentuales en el año, y ahora representa 3.96 por ciento del total de la Población Económicamente Activa (PEA). </w:t>
      </w:r>
    </w:p>
    <w:p w:rsidR="00144F95" w:rsidRPr="00D83D8E" w:rsidRDefault="00144F95" w:rsidP="00D83D8E">
      <w:pPr>
        <w:contextualSpacing/>
        <w:rPr>
          <w:rFonts w:ascii="Arial" w:hAnsi="Arial" w:cs="Arial"/>
          <w:b/>
          <w:kern w:val="2"/>
          <w:sz w:val="20"/>
          <w:szCs w:val="20"/>
        </w:rPr>
      </w:pPr>
    </w:p>
    <w:p w:rsidR="00144F95" w:rsidRPr="00D83D8E" w:rsidRDefault="00144F95" w:rsidP="00D83D8E">
      <w:pPr>
        <w:spacing w:after="240"/>
        <w:contextualSpacing/>
        <w:jc w:val="both"/>
        <w:rPr>
          <w:rFonts w:ascii="Arial" w:hAnsi="Arial" w:cs="Arial"/>
          <w:b/>
          <w:kern w:val="2"/>
          <w:sz w:val="20"/>
          <w:szCs w:val="20"/>
        </w:rPr>
      </w:pPr>
    </w:p>
    <w:p w:rsidR="00144F95" w:rsidRPr="00D83D8E" w:rsidRDefault="00144F95" w:rsidP="00D83D8E">
      <w:pPr>
        <w:spacing w:after="240"/>
        <w:contextualSpacing/>
        <w:jc w:val="both"/>
        <w:rPr>
          <w:rFonts w:ascii="Arial" w:hAnsi="Arial" w:cs="Arial"/>
          <w:b/>
          <w:kern w:val="2"/>
          <w:sz w:val="20"/>
          <w:szCs w:val="20"/>
        </w:rPr>
      </w:pPr>
    </w:p>
    <w:p w:rsidR="00144F95" w:rsidRPr="00D83D8E" w:rsidRDefault="00144F95" w:rsidP="00D83D8E">
      <w:pPr>
        <w:spacing w:after="240"/>
        <w:contextualSpacing/>
        <w:jc w:val="both"/>
        <w:rPr>
          <w:rFonts w:ascii="Arial" w:hAnsi="Arial" w:cs="Arial"/>
          <w:b/>
          <w:kern w:val="2"/>
          <w:sz w:val="20"/>
          <w:szCs w:val="20"/>
        </w:rPr>
      </w:pPr>
    </w:p>
    <w:p w:rsidR="00E91C2E" w:rsidRDefault="00E91C2E">
      <w:pPr>
        <w:rPr>
          <w:rFonts w:ascii="Arial" w:hAnsi="Arial" w:cs="Arial"/>
          <w:b/>
          <w:kern w:val="2"/>
          <w:szCs w:val="20"/>
        </w:rPr>
      </w:pPr>
      <w:r>
        <w:rPr>
          <w:rFonts w:ascii="Arial" w:hAnsi="Arial" w:cs="Arial"/>
          <w:b/>
          <w:kern w:val="2"/>
          <w:szCs w:val="20"/>
        </w:rPr>
        <w:br w:type="page"/>
      </w:r>
    </w:p>
    <w:p w:rsidR="00144F95" w:rsidRDefault="00D83D8E" w:rsidP="00D83D8E">
      <w:pPr>
        <w:spacing w:after="240"/>
        <w:contextualSpacing/>
        <w:jc w:val="both"/>
        <w:rPr>
          <w:rFonts w:ascii="Arial" w:hAnsi="Arial" w:cs="Arial"/>
          <w:b/>
          <w:kern w:val="2"/>
          <w:szCs w:val="20"/>
        </w:rPr>
      </w:pPr>
      <w:r w:rsidRPr="00D83D8E">
        <w:rPr>
          <w:rFonts w:ascii="Arial" w:hAnsi="Arial" w:cs="Arial"/>
          <w:b/>
          <w:kern w:val="2"/>
          <w:szCs w:val="20"/>
        </w:rPr>
        <w:lastRenderedPageBreak/>
        <w:t xml:space="preserve">2.2.- </w:t>
      </w:r>
      <w:r>
        <w:rPr>
          <w:rFonts w:ascii="Arial" w:hAnsi="Arial" w:cs="Arial"/>
          <w:b/>
          <w:kern w:val="2"/>
          <w:szCs w:val="20"/>
        </w:rPr>
        <w:t>ECONOMÍA ESTATAL</w:t>
      </w:r>
    </w:p>
    <w:p w:rsidR="00D83D8E" w:rsidRPr="00D83D8E" w:rsidRDefault="00D83D8E" w:rsidP="00D83D8E">
      <w:pPr>
        <w:spacing w:after="240"/>
        <w:contextualSpacing/>
        <w:jc w:val="both"/>
        <w:rPr>
          <w:rFonts w:ascii="Arial" w:hAnsi="Arial" w:cs="Arial"/>
          <w:b/>
          <w:kern w:val="2"/>
          <w:szCs w:val="20"/>
        </w:rPr>
      </w:pPr>
    </w:p>
    <w:p w:rsidR="00D83D8E"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 xml:space="preserve">Con base en los datos más recientes reportados por el Instituto Nacional de Estadística y Geografía (INEGI), el estado de Oaxaca registró una producción anual de poco más de 208 mil millones de pesos en 2014. Así, la cifra de crecimiento económico para 2014 fue de 1.96 por ciento, un desempeño menor al del año previo. </w:t>
      </w:r>
    </w:p>
    <w:p w:rsidR="00D83D8E" w:rsidRDefault="00D83D8E" w:rsidP="00D83D8E">
      <w:pPr>
        <w:spacing w:after="240"/>
        <w:contextualSpacing/>
        <w:jc w:val="both"/>
        <w:rPr>
          <w:rFonts w:ascii="Arial" w:hAnsi="Arial" w:cs="Arial"/>
          <w:kern w:val="2"/>
          <w:lang w:eastAsia="en-US"/>
        </w:rPr>
      </w:pPr>
    </w:p>
    <w:p w:rsidR="00144F95"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Con estos datos, el Estado aportó en 2014 el 1.6 por ciento de la producción nacional.</w:t>
      </w:r>
    </w:p>
    <w:p w:rsidR="00D83D8E" w:rsidRPr="00D83D8E" w:rsidRDefault="00D83D8E" w:rsidP="00D83D8E">
      <w:pPr>
        <w:spacing w:after="240"/>
        <w:contextualSpacing/>
        <w:jc w:val="both"/>
        <w:rPr>
          <w:rFonts w:ascii="Arial" w:hAnsi="Arial" w:cs="Arial"/>
          <w:kern w:val="2"/>
          <w:lang w:eastAsia="en-US"/>
        </w:rPr>
      </w:pPr>
    </w:p>
    <w:p w:rsidR="00144F95" w:rsidRPr="00D83D8E"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El ritmo de crecimiento de la producción estatal hasta el cierre de 2014 registra cuatro años de caídas consecutivas. Para 2015, el Indicador Trimestral de la Actividad Económica Estatal (ITAEE), única serie de datos disponibles sobre la actividad económica estatal para este año, muestra una recuperación en el tercer trimestre 2015 por lo que el crecimiento estatal en 2015 podría reportarse hasta un nivel de 2.69 por ciento.</w:t>
      </w:r>
    </w:p>
    <w:p w:rsidR="00144F95" w:rsidRPr="00D83D8E" w:rsidRDefault="00144F95" w:rsidP="00D83D8E">
      <w:pPr>
        <w:spacing w:after="240"/>
        <w:contextualSpacing/>
        <w:jc w:val="both"/>
        <w:rPr>
          <w:rFonts w:ascii="Arial" w:hAnsi="Arial" w:cs="Arial"/>
          <w:kern w:val="2"/>
          <w:lang w:eastAsia="en-US"/>
        </w:rPr>
      </w:pPr>
    </w:p>
    <w:p w:rsidR="00144F95" w:rsidRPr="00D83D8E" w:rsidRDefault="009B1A50" w:rsidP="00D83D8E">
      <w:pPr>
        <w:spacing w:after="240"/>
        <w:contextualSpacing/>
        <w:jc w:val="center"/>
        <w:rPr>
          <w:rFonts w:ascii="Arial" w:hAnsi="Arial" w:cs="Arial"/>
          <w:kern w:val="2"/>
          <w:lang w:eastAsia="en-US"/>
        </w:rPr>
      </w:pPr>
      <w:r w:rsidRPr="009B1A50">
        <w:rPr>
          <w:noProof/>
          <w:kern w:val="2"/>
        </w:rPr>
        <w:pict>
          <v:shapetype id="_x0000_t202" coordsize="21600,21600" o:spt="202" path="m,l,21600r21600,l21600,xe">
            <v:stroke joinstyle="miter"/>
            <v:path gradientshapeok="t" o:connecttype="rect"/>
          </v:shapetype>
          <v:shape id="_x0000_s1079" type="#_x0000_t202" style="position:absolute;left:0;text-align:left;margin-left:94.1pt;margin-top:189.05pt;width:302.25pt;height:16.4pt;z-index:25179801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" filled="f" stroked="f">
            <v:textbox style="mso-next-textbox:#_x0000_s1079;mso-fit-shape-to-text:t">
              <w:txbxContent>
                <w:p w:rsidR="00AD6037" w:rsidRDefault="00AD6037" w:rsidP="00144F95">
                  <w:pPr>
                    <w:rPr>
                      <w:rFonts w:ascii="Arial" w:hAnsi="Arial" w:cs="Arial"/>
                      <w:sz w:val="16"/>
                      <w:szCs w:val="16"/>
                    </w:rPr>
                  </w:pPr>
                  <w:r>
                    <w:rPr>
                      <w:rFonts w:ascii="Arial" w:hAnsi="Arial" w:cs="Arial"/>
                      <w:sz w:val="16"/>
                      <w:szCs w:val="16"/>
                    </w:rPr>
                    <w:t xml:space="preserve">Nota: Valores a precios constantes 2008. Cifras en millones de pesos. </w:t>
                  </w:r>
                </w:p>
                <w:p w:rsidR="00AD6037" w:rsidRPr="00EB203C" w:rsidRDefault="00AD6037" w:rsidP="00144F95">
                  <w:pPr>
                    <w:rPr>
                      <w:rFonts w:ascii="Arial" w:hAnsi="Arial" w:cs="Arial"/>
                      <w:sz w:val="16"/>
                      <w:szCs w:val="16"/>
                    </w:rPr>
                  </w:pPr>
                  <w:r w:rsidRPr="00EB203C">
                    <w:rPr>
                      <w:rFonts w:ascii="Arial" w:hAnsi="Arial" w:cs="Arial"/>
                      <w:sz w:val="16"/>
                      <w:szCs w:val="16"/>
                    </w:rPr>
                    <w:t>Fuente: INEGI.</w:t>
                  </w:r>
                </w:p>
              </w:txbxContent>
            </v:textbox>
          </v:shape>
        </w:pict>
      </w:r>
      <w:r w:rsidR="00144F95" w:rsidRPr="00D83D8E">
        <w:rPr>
          <w:noProof/>
          <w:kern w:val="2"/>
          <w:lang w:val="es-MX" w:eastAsia="es-MX"/>
        </w:rPr>
        <w:drawing>
          <wp:inline distT="0" distB="0" distL="0" distR="0">
            <wp:extent cx="4540631" cy="2724239"/>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144F95" w:rsidRPr="00D83D8E" w:rsidRDefault="009B1A50" w:rsidP="00D83D8E">
      <w:pPr>
        <w:spacing w:after="240"/>
        <w:contextualSpacing/>
        <w:jc w:val="center"/>
        <w:rPr>
          <w:rFonts w:ascii="Arial" w:hAnsi="Arial" w:cs="Arial"/>
          <w:kern w:val="2"/>
          <w:lang w:eastAsia="en-US"/>
        </w:rPr>
      </w:pPr>
      <w:r w:rsidRPr="009B1A50">
        <w:rPr>
          <w:noProof/>
          <w:kern w:val="2"/>
        </w:rPr>
        <w:lastRenderedPageBreak/>
        <w:pict>
          <v:shape id="_x0000_s1078" type="#_x0000_t202" style="position:absolute;left:0;text-align:left;margin-left:76.95pt;margin-top:198.1pt;width:345pt;height:16.4pt;z-index:2517969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" filled="f" stroked="f">
            <v:textbox style="mso-next-textbox:#_x0000_s1078;mso-fit-shape-to-text:t">
              <w:txbxContent>
                <w:p w:rsidR="00AD6037" w:rsidRDefault="00AD6037" w:rsidP="00144F95">
                  <w:pPr>
                    <w:rPr>
                      <w:rFonts w:ascii="Arial" w:hAnsi="Arial" w:cs="Arial"/>
                      <w:sz w:val="16"/>
                      <w:szCs w:val="16"/>
                    </w:rPr>
                  </w:pPr>
                  <w:r>
                    <w:rPr>
                      <w:rFonts w:ascii="Arial" w:hAnsi="Arial" w:cs="Arial"/>
                      <w:sz w:val="16"/>
                      <w:szCs w:val="16"/>
                    </w:rPr>
                    <w:t xml:space="preserve">Nota: Dato 2015 estimado con base en datos trimestrales de ITAEE. </w:t>
                  </w:r>
                </w:p>
                <w:p w:rsidR="00AD6037" w:rsidRPr="00EB203C" w:rsidRDefault="00AD6037" w:rsidP="00144F95">
                  <w:pPr>
                    <w:rPr>
                      <w:rFonts w:ascii="Arial" w:hAnsi="Arial" w:cs="Arial"/>
                      <w:sz w:val="16"/>
                      <w:szCs w:val="16"/>
                    </w:rPr>
                  </w:pPr>
                  <w:r w:rsidRPr="00EB203C">
                    <w:rPr>
                      <w:rFonts w:ascii="Arial" w:hAnsi="Arial" w:cs="Arial"/>
                      <w:sz w:val="16"/>
                      <w:szCs w:val="16"/>
                    </w:rPr>
                    <w:t>Fuente: INEGI.</w:t>
                  </w:r>
                </w:p>
              </w:txbxContent>
            </v:textbox>
          </v:shape>
        </w:pict>
      </w:r>
      <w:r w:rsidR="00144F95" w:rsidRPr="00D83D8E">
        <w:rPr>
          <w:noProof/>
          <w:kern w:val="2"/>
          <w:lang w:val="es-MX" w:eastAsia="es-MX"/>
        </w:rPr>
        <w:drawing>
          <wp:inline distT="0" distB="0" distL="0" distR="0">
            <wp:extent cx="4581525" cy="2514600"/>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44F95" w:rsidRPr="00D83D8E" w:rsidRDefault="00144F95" w:rsidP="00D83D8E">
      <w:pPr>
        <w:spacing w:after="240"/>
        <w:contextualSpacing/>
        <w:jc w:val="center"/>
        <w:rPr>
          <w:rFonts w:ascii="Arial" w:hAnsi="Arial" w:cs="Arial"/>
          <w:kern w:val="2"/>
          <w:lang w:eastAsia="en-US"/>
        </w:rPr>
      </w:pPr>
    </w:p>
    <w:p w:rsidR="00144F95" w:rsidRPr="00D83D8E" w:rsidRDefault="00144F95" w:rsidP="00D83D8E">
      <w:pPr>
        <w:spacing w:after="240"/>
        <w:contextualSpacing/>
        <w:jc w:val="center"/>
        <w:rPr>
          <w:rFonts w:ascii="Arial" w:hAnsi="Arial" w:cs="Arial"/>
          <w:kern w:val="2"/>
          <w:lang w:eastAsia="en-US"/>
        </w:rPr>
      </w:pPr>
    </w:p>
    <w:p w:rsidR="00E91C2E" w:rsidRDefault="00E91C2E" w:rsidP="00D83D8E">
      <w:pPr>
        <w:spacing w:after="240"/>
        <w:contextualSpacing/>
        <w:jc w:val="both"/>
        <w:rPr>
          <w:rFonts w:ascii="Arial" w:hAnsi="Arial" w:cs="Arial"/>
          <w:kern w:val="2"/>
          <w:lang w:eastAsia="en-US"/>
        </w:rPr>
      </w:pPr>
    </w:p>
    <w:p w:rsidR="00144F95"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Las actividades primarias en 2014 en el Estado de Oaxaca registraron un crecimiento de 2.59 por ciento, con lo que ligaron dos años con crecimiento cada vez menor. Para 2015, el ITAEE estima que hubo un decrecimiento de -0.70 por ciento debido principalmente a una fuerte caída de las actividades primarias en el primer trimestre del año.</w:t>
      </w:r>
    </w:p>
    <w:p w:rsidR="00D83D8E" w:rsidRPr="00D83D8E" w:rsidRDefault="00D83D8E" w:rsidP="00D83D8E">
      <w:pPr>
        <w:spacing w:after="240"/>
        <w:contextualSpacing/>
        <w:jc w:val="both"/>
        <w:rPr>
          <w:rFonts w:ascii="Arial" w:hAnsi="Arial" w:cs="Arial"/>
          <w:kern w:val="2"/>
          <w:lang w:eastAsia="en-US"/>
        </w:rPr>
      </w:pPr>
    </w:p>
    <w:p w:rsidR="00144F95"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Las actividades secundarias en 2014 registraron un crecimiento de 4.12 por ciento, cifra ligeramente menor a las registradas en los dos años anteriores. Para 2015, el ITAEE estima que las actividades secundarias en el Estado alcanzaron un crecimiento de tan solo 2.90 por ciento, a pesar de un notable repunte de 7.50 por ciento en el tercer trimestre del año.</w:t>
      </w:r>
    </w:p>
    <w:p w:rsidR="00D83D8E" w:rsidRPr="00D83D8E" w:rsidRDefault="00D83D8E" w:rsidP="00D83D8E">
      <w:pPr>
        <w:spacing w:after="240"/>
        <w:contextualSpacing/>
        <w:jc w:val="both"/>
        <w:rPr>
          <w:rFonts w:ascii="Arial" w:hAnsi="Arial" w:cs="Arial"/>
          <w:kern w:val="2"/>
          <w:lang w:eastAsia="en-US"/>
        </w:rPr>
      </w:pPr>
    </w:p>
    <w:p w:rsidR="00144F95" w:rsidRPr="00D83D8E" w:rsidRDefault="00144F95" w:rsidP="00D83D8E">
      <w:pPr>
        <w:spacing w:after="240"/>
        <w:contextualSpacing/>
        <w:jc w:val="both"/>
        <w:rPr>
          <w:rFonts w:ascii="Arial" w:hAnsi="Arial" w:cs="Arial"/>
          <w:kern w:val="2"/>
          <w:lang w:eastAsia="en-US"/>
        </w:rPr>
      </w:pPr>
      <w:r w:rsidRPr="00D83D8E">
        <w:rPr>
          <w:rFonts w:ascii="Arial" w:hAnsi="Arial" w:cs="Arial"/>
          <w:kern w:val="2"/>
          <w:lang w:eastAsia="en-US"/>
        </w:rPr>
        <w:t>Las actividades terciarias en 2014 registraron un crecimiento de 0.79 por ciento, cifra muy por debajo de las observadas en los tres años anteriores. Para 2015, el ITAEE estima que las actividades secundarias en el Estado alcanzaron un crecimiento de 2.89 por ciento.</w:t>
      </w:r>
    </w:p>
    <w:p w:rsidR="00144F95" w:rsidRPr="00D83D8E" w:rsidRDefault="00144F95" w:rsidP="00D83D8E">
      <w:pPr>
        <w:spacing w:after="240"/>
        <w:contextualSpacing/>
        <w:jc w:val="both"/>
        <w:rPr>
          <w:rFonts w:ascii="Arial" w:hAnsi="Arial" w:cs="Arial"/>
          <w:kern w:val="2"/>
          <w:lang w:eastAsia="en-US"/>
        </w:rPr>
      </w:pPr>
    </w:p>
    <w:p w:rsidR="00144F95" w:rsidRPr="00D83D8E" w:rsidRDefault="00144F95" w:rsidP="00D83D8E">
      <w:pPr>
        <w:spacing w:after="240"/>
        <w:contextualSpacing/>
        <w:jc w:val="both"/>
        <w:rPr>
          <w:rFonts w:ascii="Arial" w:hAnsi="Arial" w:cs="Arial"/>
          <w:kern w:val="2"/>
          <w:lang w:eastAsia="en-US"/>
        </w:rPr>
      </w:pPr>
    </w:p>
    <w:p w:rsidR="00144F95" w:rsidRPr="00D83D8E" w:rsidRDefault="00144F95" w:rsidP="00D83D8E">
      <w:pPr>
        <w:spacing w:after="240"/>
        <w:contextualSpacing/>
        <w:jc w:val="both"/>
        <w:rPr>
          <w:rFonts w:ascii="Arial" w:hAnsi="Arial" w:cs="Arial"/>
          <w:kern w:val="2"/>
          <w:lang w:eastAsia="en-US"/>
        </w:rPr>
      </w:pPr>
    </w:p>
    <w:p w:rsidR="00144F95" w:rsidRPr="00D83D8E" w:rsidRDefault="009B1A50" w:rsidP="00D83D8E">
      <w:pPr>
        <w:spacing w:after="240"/>
        <w:contextualSpacing/>
        <w:jc w:val="center"/>
        <w:rPr>
          <w:rFonts w:ascii="Arial" w:hAnsi="Arial" w:cs="Arial"/>
          <w:kern w:val="2"/>
          <w:lang w:eastAsia="en-US"/>
        </w:rPr>
      </w:pPr>
      <w:r w:rsidRPr="009B1A50">
        <w:rPr>
          <w:noProof/>
          <w:kern w:val="2"/>
        </w:rPr>
        <w:lastRenderedPageBreak/>
        <w:pict>
          <v:shape id="_x0000_s1077" type="#_x0000_t202" style="position:absolute;left:0;text-align:left;margin-left:86.55pt;margin-top:156.05pt;width:312.2pt;height:16.4pt;z-index:25179904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" filled="f" stroked="f">
            <v:textbox style="mso-next-textbox:#_x0000_s1077;mso-fit-shape-to-text:t">
              <w:txbxContent>
                <w:p w:rsidR="00AD6037" w:rsidRDefault="00AD6037" w:rsidP="00144F95">
                  <w:pPr>
                    <w:rPr>
                      <w:rFonts w:ascii="Arial" w:hAnsi="Arial" w:cs="Arial"/>
                      <w:sz w:val="16"/>
                      <w:szCs w:val="16"/>
                    </w:rPr>
                  </w:pPr>
                  <w:r>
                    <w:rPr>
                      <w:rFonts w:ascii="Arial" w:hAnsi="Arial" w:cs="Arial"/>
                      <w:sz w:val="16"/>
                      <w:szCs w:val="16"/>
                    </w:rPr>
                    <w:t xml:space="preserve">Nota: Dato 2015 estimado con base en datos trimestrales de ITAEE. </w:t>
                  </w:r>
                </w:p>
                <w:p w:rsidR="00AD6037" w:rsidRPr="00EB203C" w:rsidRDefault="00AD6037" w:rsidP="00144F95">
                  <w:pPr>
                    <w:rPr>
                      <w:rFonts w:ascii="Arial" w:hAnsi="Arial" w:cs="Arial"/>
                      <w:sz w:val="16"/>
                      <w:szCs w:val="16"/>
                    </w:rPr>
                  </w:pPr>
                  <w:r w:rsidRPr="00EB203C">
                    <w:rPr>
                      <w:rFonts w:ascii="Arial" w:hAnsi="Arial" w:cs="Arial"/>
                      <w:sz w:val="16"/>
                      <w:szCs w:val="16"/>
                    </w:rPr>
                    <w:t>Fuente: INEGI.</w:t>
                  </w:r>
                </w:p>
              </w:txbxContent>
            </v:textbox>
          </v:shape>
        </w:pict>
      </w:r>
      <w:r w:rsidR="00144F95" w:rsidRPr="00D83D8E">
        <w:rPr>
          <w:noProof/>
          <w:kern w:val="2"/>
          <w:lang w:val="es-MX" w:eastAsia="es-MX"/>
        </w:rPr>
        <w:drawing>
          <wp:inline distT="0" distB="0" distL="0" distR="0">
            <wp:extent cx="4560124" cy="2006930"/>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44F95" w:rsidRPr="00D83D8E" w:rsidRDefault="00144F95" w:rsidP="00D83D8E">
      <w:pPr>
        <w:spacing w:after="240"/>
        <w:contextualSpacing/>
        <w:jc w:val="both"/>
        <w:rPr>
          <w:rFonts w:ascii="Arial" w:hAnsi="Arial" w:cs="Arial"/>
          <w:kern w:val="2"/>
          <w:lang w:eastAsia="en-US"/>
        </w:rPr>
      </w:pPr>
    </w:p>
    <w:p w:rsidR="00144F95" w:rsidRPr="00D83D8E" w:rsidRDefault="009B1A50" w:rsidP="00D83D8E">
      <w:pPr>
        <w:spacing w:after="240"/>
        <w:contextualSpacing/>
        <w:jc w:val="center"/>
        <w:rPr>
          <w:rFonts w:ascii="Arial" w:hAnsi="Arial" w:cs="Arial"/>
          <w:kern w:val="2"/>
          <w:lang w:eastAsia="en-US"/>
        </w:rPr>
      </w:pPr>
      <w:r w:rsidRPr="009B1A50">
        <w:rPr>
          <w:noProof/>
          <w:kern w:val="2"/>
        </w:rPr>
        <w:pict>
          <v:shape id="_x0000_s1076" type="#_x0000_t202" style="position:absolute;left:0;text-align:left;margin-left:85.9pt;margin-top:158.1pt;width:318.9pt;height:16.4pt;z-index:2518000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" filled="f" stroked="f">
            <v:textbox style="mso-next-textbox:#_x0000_s1076;mso-fit-shape-to-text:t">
              <w:txbxContent>
                <w:p w:rsidR="00AD6037" w:rsidRDefault="00AD6037" w:rsidP="00144F95">
                  <w:pPr>
                    <w:rPr>
                      <w:rFonts w:ascii="Arial" w:hAnsi="Arial" w:cs="Arial"/>
                      <w:sz w:val="16"/>
                      <w:szCs w:val="16"/>
                    </w:rPr>
                  </w:pPr>
                  <w:r>
                    <w:rPr>
                      <w:rFonts w:ascii="Arial" w:hAnsi="Arial" w:cs="Arial"/>
                      <w:sz w:val="16"/>
                      <w:szCs w:val="16"/>
                    </w:rPr>
                    <w:t xml:space="preserve">Nota: Dato 2015 estimado con base en datos trimestrales de ITAEE. </w:t>
                  </w:r>
                </w:p>
                <w:p w:rsidR="00AD6037" w:rsidRPr="00EB203C" w:rsidRDefault="00AD6037" w:rsidP="00144F95">
                  <w:pPr>
                    <w:rPr>
                      <w:rFonts w:ascii="Arial" w:hAnsi="Arial" w:cs="Arial"/>
                      <w:sz w:val="16"/>
                      <w:szCs w:val="16"/>
                    </w:rPr>
                  </w:pPr>
                  <w:r w:rsidRPr="00EB203C">
                    <w:rPr>
                      <w:rFonts w:ascii="Arial" w:hAnsi="Arial" w:cs="Arial"/>
                      <w:sz w:val="16"/>
                      <w:szCs w:val="16"/>
                    </w:rPr>
                    <w:t>Fuente: INEGI.</w:t>
                  </w:r>
                </w:p>
              </w:txbxContent>
            </v:textbox>
          </v:shape>
        </w:pict>
      </w:r>
      <w:r w:rsidR="00144F95" w:rsidRPr="00D83D8E">
        <w:rPr>
          <w:noProof/>
          <w:kern w:val="2"/>
          <w:lang w:val="es-MX" w:eastAsia="es-MX"/>
        </w:rPr>
        <w:drawing>
          <wp:inline distT="0" distB="0" distL="0" distR="0">
            <wp:extent cx="4536374" cy="2006930"/>
            <wp:effectExtent l="0" t="0" r="0" b="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44F95" w:rsidRPr="00D83D8E" w:rsidRDefault="00144F95" w:rsidP="00D83D8E">
      <w:pPr>
        <w:spacing w:after="240"/>
        <w:contextualSpacing/>
        <w:jc w:val="both"/>
        <w:rPr>
          <w:rFonts w:ascii="Arial" w:hAnsi="Arial" w:cs="Arial"/>
          <w:kern w:val="2"/>
          <w:lang w:eastAsia="en-US"/>
        </w:rPr>
      </w:pPr>
    </w:p>
    <w:p w:rsidR="00144F95" w:rsidRPr="00D83D8E" w:rsidRDefault="009B1A50" w:rsidP="00D83D8E">
      <w:pPr>
        <w:contextualSpacing/>
        <w:jc w:val="center"/>
        <w:rPr>
          <w:rFonts w:ascii="Arial" w:hAnsi="Arial" w:cs="Arial"/>
          <w:kern w:val="2"/>
          <w:lang w:eastAsia="en-US"/>
        </w:rPr>
      </w:pPr>
      <w:r w:rsidRPr="009B1A50">
        <w:rPr>
          <w:noProof/>
          <w:kern w:val="2"/>
        </w:rPr>
        <w:pict>
          <v:shape id="_x0000_s1075" type="#_x0000_t202" style="position:absolute;left:0;text-align:left;margin-left:86.4pt;margin-top:158.55pt;width:318.9pt;height:16.4pt;z-index:25180108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" filled="f" stroked="f">
            <v:textbox style="mso-next-textbox:#_x0000_s1075;mso-fit-shape-to-text:t">
              <w:txbxContent>
                <w:p w:rsidR="00AD6037" w:rsidRDefault="00AD6037" w:rsidP="00144F95">
                  <w:pPr>
                    <w:rPr>
                      <w:rFonts w:ascii="Arial" w:hAnsi="Arial" w:cs="Arial"/>
                      <w:sz w:val="16"/>
                      <w:szCs w:val="16"/>
                    </w:rPr>
                  </w:pPr>
                  <w:r>
                    <w:rPr>
                      <w:rFonts w:ascii="Arial" w:hAnsi="Arial" w:cs="Arial"/>
                      <w:sz w:val="16"/>
                      <w:szCs w:val="16"/>
                    </w:rPr>
                    <w:t xml:space="preserve">Nota: Dato 2015 estimado con base en datos trimestrales de ITAEE. </w:t>
                  </w:r>
                </w:p>
                <w:p w:rsidR="00AD6037" w:rsidRPr="00EB203C" w:rsidRDefault="00AD6037" w:rsidP="00144F95">
                  <w:pPr>
                    <w:rPr>
                      <w:rFonts w:ascii="Arial" w:hAnsi="Arial" w:cs="Arial"/>
                      <w:sz w:val="16"/>
                      <w:szCs w:val="16"/>
                    </w:rPr>
                  </w:pPr>
                  <w:r w:rsidRPr="00EB203C">
                    <w:rPr>
                      <w:rFonts w:ascii="Arial" w:hAnsi="Arial" w:cs="Arial"/>
                      <w:sz w:val="16"/>
                      <w:szCs w:val="16"/>
                    </w:rPr>
                    <w:t>Fuente: INEGI.</w:t>
                  </w:r>
                </w:p>
              </w:txbxContent>
            </v:textbox>
          </v:shape>
        </w:pict>
      </w:r>
      <w:r w:rsidR="00144F95" w:rsidRPr="00D83D8E">
        <w:rPr>
          <w:noProof/>
          <w:kern w:val="2"/>
          <w:lang w:val="es-MX" w:eastAsia="es-MX"/>
        </w:rPr>
        <w:drawing>
          <wp:inline distT="0" distB="0" distL="0" distR="0">
            <wp:extent cx="4417620" cy="2066307"/>
            <wp:effectExtent l="0" t="0" r="2540" b="0"/>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44F95" w:rsidRPr="00D83D8E" w:rsidRDefault="00144F95" w:rsidP="00D83D8E">
      <w:pPr>
        <w:spacing w:after="240"/>
        <w:contextualSpacing/>
        <w:jc w:val="center"/>
        <w:rPr>
          <w:rFonts w:ascii="Arial" w:hAnsi="Arial" w:cs="Arial"/>
          <w:kern w:val="2"/>
          <w:lang w:eastAsia="en-US"/>
        </w:rPr>
      </w:pPr>
    </w:p>
    <w:p w:rsidR="00D83D8E" w:rsidRDefault="00D83D8E" w:rsidP="00D83D8E">
      <w:pPr>
        <w:spacing w:after="240"/>
        <w:contextualSpacing/>
        <w:jc w:val="both"/>
        <w:rPr>
          <w:rFonts w:ascii="Arial" w:hAnsi="Arial" w:cs="Arial"/>
          <w:b/>
          <w:kern w:val="2"/>
        </w:rPr>
      </w:pPr>
    </w:p>
    <w:p w:rsidR="00D83D8E" w:rsidRDefault="00D83D8E" w:rsidP="00D83D8E">
      <w:pPr>
        <w:spacing w:after="240"/>
        <w:contextualSpacing/>
        <w:jc w:val="both"/>
        <w:rPr>
          <w:rFonts w:ascii="Arial" w:hAnsi="Arial" w:cs="Arial"/>
          <w:b/>
          <w:kern w:val="2"/>
        </w:rPr>
      </w:pPr>
    </w:p>
    <w:p w:rsidR="00D83D8E" w:rsidRDefault="00D83D8E" w:rsidP="00D83D8E">
      <w:pPr>
        <w:spacing w:after="240"/>
        <w:contextualSpacing/>
        <w:jc w:val="both"/>
        <w:rPr>
          <w:rFonts w:ascii="Arial" w:hAnsi="Arial" w:cs="Arial"/>
          <w:b/>
          <w:kern w:val="2"/>
        </w:rPr>
      </w:pPr>
    </w:p>
    <w:p w:rsidR="00D83D8E" w:rsidRDefault="00D83D8E" w:rsidP="00D83D8E">
      <w:pPr>
        <w:spacing w:after="240"/>
        <w:contextualSpacing/>
        <w:jc w:val="both"/>
        <w:rPr>
          <w:rFonts w:ascii="Arial" w:hAnsi="Arial" w:cs="Arial"/>
          <w:b/>
          <w:kern w:val="2"/>
        </w:rPr>
      </w:pPr>
    </w:p>
    <w:p w:rsidR="00144F95" w:rsidRDefault="00D83D8E" w:rsidP="00D83D8E">
      <w:pPr>
        <w:spacing w:after="240"/>
        <w:contextualSpacing/>
        <w:jc w:val="both"/>
        <w:rPr>
          <w:rFonts w:ascii="Arial" w:hAnsi="Arial" w:cs="Arial"/>
          <w:b/>
          <w:kern w:val="2"/>
        </w:rPr>
      </w:pPr>
      <w:r w:rsidRPr="00D83D8E">
        <w:rPr>
          <w:rFonts w:ascii="Arial" w:hAnsi="Arial" w:cs="Arial"/>
          <w:b/>
          <w:kern w:val="2"/>
        </w:rPr>
        <w:lastRenderedPageBreak/>
        <w:t xml:space="preserve">2.2.1.- </w:t>
      </w:r>
      <w:r w:rsidR="00E91C2E" w:rsidRPr="00D83D8E">
        <w:rPr>
          <w:rFonts w:ascii="Arial" w:hAnsi="Arial" w:cs="Arial"/>
          <w:b/>
          <w:kern w:val="2"/>
        </w:rPr>
        <w:t>MERCADO LABORAL ESTATAL</w:t>
      </w:r>
    </w:p>
    <w:p w:rsidR="00D83D8E" w:rsidRPr="00D83D8E" w:rsidRDefault="00D83D8E" w:rsidP="00D83D8E">
      <w:pPr>
        <w:spacing w:after="240"/>
        <w:contextualSpacing/>
        <w:jc w:val="both"/>
        <w:rPr>
          <w:rFonts w:ascii="Arial" w:hAnsi="Arial" w:cs="Arial"/>
          <w:b/>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 xml:space="preserve">Con datos de la Encuesta Nacional </w:t>
      </w:r>
      <w:r w:rsidRPr="00D83D8E">
        <w:rPr>
          <w:rFonts w:ascii="Arial" w:hAnsi="Arial" w:cs="Arial"/>
          <w:color w:val="000000"/>
          <w:kern w:val="2"/>
        </w:rPr>
        <w:t>de Ocupación y Empleo (ENOE), al cuarto trimestre de 2015 la Población Económicamente Activa (PEA)</w:t>
      </w:r>
      <w:r w:rsidRPr="00D83D8E">
        <w:rPr>
          <w:rStyle w:val="Refdenotaalpie"/>
          <w:rFonts w:ascii="Arial" w:hAnsi="Arial" w:cs="Arial"/>
          <w:color w:val="000000"/>
          <w:kern w:val="2"/>
        </w:rPr>
        <w:footnoteReference w:id="2"/>
      </w:r>
      <w:r w:rsidRPr="00D83D8E">
        <w:rPr>
          <w:rFonts w:ascii="Arial" w:hAnsi="Arial" w:cs="Arial"/>
          <w:color w:val="000000"/>
          <w:kern w:val="2"/>
        </w:rPr>
        <w:t xml:space="preserve"> en el estado de Oaxaca es de un millón 711 mil 751 personas, </w:t>
      </w:r>
      <w:r w:rsidRPr="00D83D8E">
        <w:rPr>
          <w:rFonts w:ascii="Arial" w:hAnsi="Arial" w:cs="Arial"/>
          <w:kern w:val="2"/>
        </w:rPr>
        <w:t>lo que representa el 42.5 por ciento de la población total del Estado. De este conjunto, un millón 665 mil 531 personas se encuentran ocupadas.</w:t>
      </w:r>
    </w:p>
    <w:p w:rsidR="00D83D8E" w:rsidRPr="00D83D8E" w:rsidRDefault="00D83D8E" w:rsidP="00D83D8E">
      <w:pPr>
        <w:spacing w:after="240"/>
        <w:contextualSpacing/>
        <w:jc w:val="both"/>
        <w:rPr>
          <w:rFonts w:ascii="Arial" w:hAnsi="Arial" w:cs="Arial"/>
          <w:kern w:val="2"/>
        </w:rPr>
      </w:pPr>
    </w:p>
    <w:p w:rsidR="00144F95" w:rsidRPr="00D83D8E" w:rsidRDefault="00144F95" w:rsidP="00D83D8E">
      <w:pPr>
        <w:spacing w:after="240"/>
        <w:contextualSpacing/>
        <w:jc w:val="both"/>
        <w:rPr>
          <w:rFonts w:ascii="Arial" w:hAnsi="Arial" w:cs="Arial"/>
          <w:color w:val="000000"/>
          <w:kern w:val="2"/>
        </w:rPr>
      </w:pPr>
      <w:r w:rsidRPr="00D83D8E">
        <w:rPr>
          <w:rFonts w:ascii="Arial" w:hAnsi="Arial" w:cs="Arial"/>
          <w:color w:val="000000"/>
          <w:kern w:val="2"/>
        </w:rPr>
        <w:t>El segmento de la población ocupada se distribuye por cuatro tipos de regímenes laborales; bajo la modalidad de asalariados se ubican, al cuarto trimestre de 2015, 769 mil 455 personas que representan el 46 por ciento de la población ocupada; el número de trabajadores por cuenta propia, que alcanza un total de 624 mil 119 personas, o 37.4 por ciento de la población ocupada; la población ocupada en la modalidad sin pagos y otros, que representa el 12 por ciento de la población ocupada con 202 mil 582 personas ocupadas; y la modalidad de empleadores alcanza el 4 por ciento, con 69 mil 375 personas.</w:t>
      </w:r>
    </w:p>
    <w:p w:rsidR="00144F95" w:rsidRPr="00D83D8E" w:rsidRDefault="00144F95" w:rsidP="00D83D8E">
      <w:pPr>
        <w:contextualSpacing/>
        <w:rPr>
          <w:rFonts w:ascii="Arial" w:hAnsi="Arial" w:cs="Arial"/>
          <w:kern w:val="2"/>
        </w:rPr>
      </w:pPr>
    </w:p>
    <w:p w:rsidR="00144F95" w:rsidRPr="00D83D8E" w:rsidRDefault="009B1A50" w:rsidP="00D83D8E">
      <w:pPr>
        <w:spacing w:after="240"/>
        <w:contextualSpacing/>
        <w:jc w:val="center"/>
        <w:rPr>
          <w:rFonts w:ascii="Arial" w:hAnsi="Arial" w:cs="Arial"/>
          <w:kern w:val="2"/>
        </w:rPr>
      </w:pPr>
      <w:r w:rsidRPr="009B1A50">
        <w:rPr>
          <w:noProof/>
          <w:kern w:val="2"/>
        </w:rPr>
        <w:pict>
          <v:shape id="_x0000_s1074" type="#_x0000_t202" style="position:absolute;left:0;text-align:left;margin-left:67.35pt;margin-top:208.3pt;width:210.2pt;height:16.4pt;z-index:25179392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" filled="f" stroked="f">
            <v:textbox style="mso-next-textbox:#_x0000_s1074;mso-fit-shape-to-text:t">
              <w:txbxContent>
                <w:p w:rsidR="00AD6037" w:rsidRPr="00EB203C" w:rsidRDefault="00AD6037" w:rsidP="00144F95">
                  <w:pPr>
                    <w:rPr>
                      <w:rFonts w:ascii="Arial" w:hAnsi="Arial" w:cs="Arial"/>
                      <w:sz w:val="16"/>
                      <w:szCs w:val="16"/>
                    </w:rPr>
                  </w:pPr>
                  <w:r w:rsidRPr="00EB203C">
                    <w:rPr>
                      <w:rFonts w:ascii="Arial" w:hAnsi="Arial" w:cs="Arial"/>
                      <w:sz w:val="16"/>
                      <w:szCs w:val="16"/>
                    </w:rPr>
                    <w:t xml:space="preserve">Fuente: </w:t>
                  </w:r>
                  <w:r>
                    <w:rPr>
                      <w:rFonts w:ascii="Arial" w:hAnsi="Arial" w:cs="Arial"/>
                      <w:sz w:val="16"/>
                      <w:szCs w:val="16"/>
                    </w:rPr>
                    <w:t xml:space="preserve">ENOE, </w:t>
                  </w:r>
                  <w:r w:rsidRPr="00EB203C">
                    <w:rPr>
                      <w:rFonts w:ascii="Arial" w:hAnsi="Arial" w:cs="Arial"/>
                      <w:sz w:val="16"/>
                      <w:szCs w:val="16"/>
                    </w:rPr>
                    <w:t>INEGI.</w:t>
                  </w:r>
                </w:p>
              </w:txbxContent>
            </v:textbox>
          </v:shape>
        </w:pict>
      </w:r>
      <w:r w:rsidR="00144F95" w:rsidRPr="00D83D8E">
        <w:rPr>
          <w:noProof/>
          <w:kern w:val="2"/>
          <w:lang w:val="es-MX" w:eastAsia="es-MX"/>
        </w:rPr>
        <w:drawing>
          <wp:inline distT="0" distB="0" distL="0" distR="0">
            <wp:extent cx="4572000" cy="2647950"/>
            <wp:effectExtent l="0" t="0" r="0" b="0"/>
            <wp:docPr id="289" name="Gráfico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44F95" w:rsidRPr="00D83D8E" w:rsidRDefault="00144F95" w:rsidP="00D83D8E">
      <w:pPr>
        <w:spacing w:after="240"/>
        <w:contextualSpacing/>
        <w:jc w:val="center"/>
        <w:rPr>
          <w:rFonts w:ascii="Arial" w:hAnsi="Arial" w:cs="Arial"/>
          <w:kern w:val="2"/>
        </w:rPr>
      </w:pPr>
    </w:p>
    <w:p w:rsidR="00144F95" w:rsidRPr="00D83D8E" w:rsidRDefault="00144F95" w:rsidP="00D83D8E">
      <w:pPr>
        <w:spacing w:after="240"/>
        <w:contextualSpacing/>
        <w:jc w:val="center"/>
        <w:rPr>
          <w:rFonts w:ascii="Arial" w:hAnsi="Arial" w:cs="Arial"/>
          <w:kern w:val="2"/>
        </w:rPr>
      </w:pPr>
    </w:p>
    <w:p w:rsidR="00144F95" w:rsidRDefault="00144F95" w:rsidP="00D83D8E">
      <w:pPr>
        <w:spacing w:after="240"/>
        <w:contextualSpacing/>
        <w:jc w:val="both"/>
        <w:rPr>
          <w:rFonts w:ascii="Arial" w:hAnsi="Arial" w:cs="Arial"/>
          <w:color w:val="000000"/>
          <w:kern w:val="2"/>
        </w:rPr>
      </w:pPr>
      <w:r w:rsidRPr="00D83D8E">
        <w:rPr>
          <w:rFonts w:ascii="Arial" w:hAnsi="Arial" w:cs="Arial"/>
          <w:kern w:val="2"/>
        </w:rPr>
        <w:t>Solamente el uno por ciento de la población total, es decir 46 mil 220 personas se encuentra en situación de desocupación.</w:t>
      </w:r>
      <w:r w:rsidRPr="00D83D8E">
        <w:rPr>
          <w:rStyle w:val="Refdenotaalpie"/>
          <w:rFonts w:ascii="Arial" w:hAnsi="Arial" w:cs="Arial"/>
          <w:kern w:val="2"/>
        </w:rPr>
        <w:footnoteReference w:id="3"/>
      </w:r>
      <w:r w:rsidRPr="00D83D8E">
        <w:rPr>
          <w:rFonts w:ascii="Arial" w:hAnsi="Arial" w:cs="Arial"/>
          <w:kern w:val="2"/>
        </w:rPr>
        <w:t xml:space="preserve"> De esta forma, la </w:t>
      </w:r>
      <w:r w:rsidRPr="00D83D8E">
        <w:rPr>
          <w:rFonts w:ascii="Arial" w:hAnsi="Arial" w:cs="Arial"/>
          <w:color w:val="000000"/>
          <w:kern w:val="2"/>
        </w:rPr>
        <w:t xml:space="preserve">tasa de desocupación </w:t>
      </w:r>
      <w:r w:rsidRPr="00D83D8E">
        <w:rPr>
          <w:rFonts w:ascii="Arial" w:hAnsi="Arial" w:cs="Arial"/>
          <w:color w:val="000000"/>
          <w:kern w:val="2"/>
        </w:rPr>
        <w:lastRenderedPageBreak/>
        <w:t>estatal, entendida como el porcentaje de la PEA que se encuentra sin trabajar, pero que está buscando trabajo, es de 2.7 por ciento al cuarto trimestre de 2015, cifra inferior a la tasa nacional de 4.2 por ciento. Así, el estado de Oaxaca se ubica en la tercera posición entre las entidades con menor tasa de desocupación en el país.</w:t>
      </w:r>
    </w:p>
    <w:p w:rsidR="00D83D8E" w:rsidRDefault="00D83D8E" w:rsidP="00D83D8E">
      <w:pPr>
        <w:spacing w:after="240"/>
        <w:contextualSpacing/>
        <w:jc w:val="both"/>
        <w:rPr>
          <w:rFonts w:ascii="Arial" w:hAnsi="Arial" w:cs="Arial"/>
          <w:color w:val="000000"/>
          <w:kern w:val="2"/>
        </w:rPr>
      </w:pPr>
    </w:p>
    <w:p w:rsidR="00D83D8E" w:rsidRPr="00D83D8E" w:rsidRDefault="009B1A50" w:rsidP="00D83D8E">
      <w:pPr>
        <w:spacing w:after="240"/>
        <w:contextualSpacing/>
        <w:jc w:val="both"/>
        <w:rPr>
          <w:rFonts w:ascii="Arial" w:hAnsi="Arial" w:cs="Arial"/>
          <w:color w:val="000000"/>
          <w:kern w:val="2"/>
        </w:rPr>
      </w:pPr>
      <w:r w:rsidRPr="009B1A50">
        <w:rPr>
          <w:noProof/>
          <w:kern w:val="2"/>
        </w:rPr>
        <w:pict>
          <v:shape id="Cuadro de texto 2" o:spid="_x0000_s1073" type="#_x0000_t202" style="position:absolute;left:0;text-align:left;margin-left:.45pt;margin-top:3.5pt;width:462.75pt;height:20.95pt;z-index:2517908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" filled="f" stroked="f">
            <v:textbox style="mso-next-textbox:#Cuadro de texto 2;mso-fit-shape-to-text:t">
              <w:txbxContent>
                <w:p w:rsidR="00AD6037" w:rsidRPr="00FA74BC" w:rsidRDefault="00AD6037" w:rsidP="00144F95">
                  <w:pPr>
                    <w:jc w:val="center"/>
                    <w:rPr>
                      <w:rFonts w:ascii="Arial Narrow" w:hAnsi="Arial Narrow"/>
                    </w:rPr>
                  </w:pPr>
                  <w:r w:rsidRPr="00FA74BC">
                    <w:rPr>
                      <w:rFonts w:ascii="Arial Narrow" w:hAnsi="Arial Narrow"/>
                      <w:b/>
                      <w:bCs/>
                    </w:rPr>
                    <w:t>ESTADO DE OAXACA: CIFRAS DE EMPLEO (2015)</w:t>
                  </w:r>
                </w:p>
              </w:txbxContent>
            </v:textbox>
          </v:shape>
        </w:pict>
      </w:r>
    </w:p>
    <w:p w:rsidR="00144F95" w:rsidRPr="00D83D8E" w:rsidRDefault="00144F95" w:rsidP="00D83D8E">
      <w:pPr>
        <w:spacing w:after="240"/>
        <w:contextualSpacing/>
        <w:jc w:val="both"/>
        <w:rPr>
          <w:rFonts w:ascii="Arial" w:hAnsi="Arial" w:cs="Arial"/>
          <w:color w:val="000000"/>
          <w:kern w:val="2"/>
        </w:rPr>
      </w:pPr>
    </w:p>
    <w:p w:rsidR="00144F95" w:rsidRPr="00D83D8E" w:rsidRDefault="009B1A50" w:rsidP="00D83D8E">
      <w:pPr>
        <w:spacing w:after="240"/>
        <w:contextualSpacing/>
        <w:jc w:val="center"/>
        <w:rPr>
          <w:rFonts w:ascii="Arial" w:hAnsi="Arial" w:cs="Arial"/>
          <w:color w:val="000000"/>
          <w:kern w:val="2"/>
        </w:rPr>
      </w:pPr>
      <w:r w:rsidRPr="009B1A50">
        <w:rPr>
          <w:noProof/>
          <w:kern w:val="2"/>
        </w:rPr>
        <w:pict>
          <v:shape id="_x0000_s1072" type="#_x0000_t202" style="position:absolute;left:0;text-align:left;margin-left:58.35pt;margin-top:169.95pt;width:338.5pt;height:16.4pt;z-index:25179596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" filled="f" stroked="f">
            <v:textbox style="mso-next-textbox:#_x0000_s1072;mso-fit-shape-to-text:t">
              <w:txbxContent>
                <w:p w:rsidR="00AD6037" w:rsidRPr="003B0359" w:rsidRDefault="00AD6037" w:rsidP="00144F95">
                  <w:pPr>
                    <w:rPr>
                      <w:rFonts w:ascii="Arial" w:hAnsi="Arial" w:cs="Arial"/>
                      <w:sz w:val="16"/>
                      <w:szCs w:val="16"/>
                    </w:rPr>
                  </w:pPr>
                  <w:r w:rsidRPr="003B0359">
                    <w:rPr>
                      <w:rFonts w:ascii="Arial" w:hAnsi="Arial" w:cs="Arial"/>
                      <w:sz w:val="16"/>
                      <w:szCs w:val="16"/>
                    </w:rPr>
                    <w:t>Fuente: ENOE, INEGI</w:t>
                  </w:r>
                  <w:r>
                    <w:rPr>
                      <w:rFonts w:ascii="Arial" w:hAnsi="Arial" w:cs="Arial"/>
                      <w:sz w:val="16"/>
                      <w:szCs w:val="16"/>
                    </w:rPr>
                    <w:t xml:space="preserve"> y Secretaría del Trabajo y Previsión Social</w:t>
                  </w:r>
                  <w:r w:rsidRPr="003B0359">
                    <w:rPr>
                      <w:rFonts w:ascii="Arial" w:hAnsi="Arial" w:cs="Arial"/>
                      <w:sz w:val="16"/>
                      <w:szCs w:val="16"/>
                    </w:rPr>
                    <w:t>.</w:t>
                  </w:r>
                </w:p>
              </w:txbxContent>
            </v:textbox>
          </v:shape>
        </w:pict>
      </w:r>
      <w:r w:rsidR="00144F95" w:rsidRPr="00D83D8E">
        <w:rPr>
          <w:noProof/>
          <w:kern w:val="2"/>
          <w:lang w:val="es-MX" w:eastAsia="es-MX"/>
        </w:rPr>
        <w:drawing>
          <wp:inline distT="0" distB="0" distL="0" distR="0">
            <wp:extent cx="4052081" cy="2066925"/>
            <wp:effectExtent l="0" t="0" r="5715"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0029" cy="2070979"/>
                    </a:xfrm>
                    <a:prstGeom prst="rect">
                      <a:avLst/>
                    </a:prstGeom>
                    <a:noFill/>
                    <a:ln>
                      <a:noFill/>
                    </a:ln>
                  </pic:spPr>
                </pic:pic>
              </a:graphicData>
            </a:graphic>
          </wp:inline>
        </w:drawing>
      </w:r>
    </w:p>
    <w:p w:rsidR="00144F95" w:rsidRPr="00D83D8E" w:rsidRDefault="00144F95" w:rsidP="00D83D8E">
      <w:pPr>
        <w:spacing w:after="240"/>
        <w:contextualSpacing/>
        <w:jc w:val="both"/>
        <w:rPr>
          <w:rFonts w:ascii="Arial" w:hAnsi="Arial" w:cs="Arial"/>
          <w:color w:val="000000"/>
          <w:kern w:val="2"/>
        </w:rPr>
      </w:pPr>
    </w:p>
    <w:p w:rsidR="00144F95" w:rsidRDefault="009B1A50" w:rsidP="00D83D8E">
      <w:pPr>
        <w:spacing w:after="240"/>
        <w:contextualSpacing/>
        <w:jc w:val="center"/>
        <w:rPr>
          <w:rFonts w:ascii="Arial" w:hAnsi="Arial" w:cs="Arial"/>
          <w:color w:val="000000"/>
          <w:kern w:val="2"/>
        </w:rPr>
      </w:pPr>
      <w:r w:rsidRPr="009B1A50">
        <w:rPr>
          <w:noProof/>
          <w:kern w:val="2"/>
        </w:rPr>
        <w:pict>
          <v:shape id="_x0000_s1071" type="#_x0000_t202" style="position:absolute;left:0;text-align:left;margin-left:61.2pt;margin-top:164.85pt;width:202.7pt;height:16.4pt;z-index:2517918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" filled="f" stroked="f">
            <v:textbox style="mso-next-textbox:#_x0000_s1071;mso-fit-shape-to-text:t">
              <w:txbxContent>
                <w:p w:rsidR="00AD6037" w:rsidRPr="003B0359" w:rsidRDefault="00AD6037" w:rsidP="00144F95">
                  <w:pPr>
                    <w:rPr>
                      <w:rFonts w:ascii="Arial" w:hAnsi="Arial" w:cs="Arial"/>
                      <w:sz w:val="16"/>
                      <w:szCs w:val="16"/>
                    </w:rPr>
                  </w:pPr>
                  <w:r w:rsidRPr="003B0359">
                    <w:rPr>
                      <w:rFonts w:ascii="Arial" w:hAnsi="Arial" w:cs="Arial"/>
                      <w:sz w:val="16"/>
                      <w:szCs w:val="16"/>
                    </w:rPr>
                    <w:t>Fuente: ENOE, INEGI.</w:t>
                  </w:r>
                </w:p>
              </w:txbxContent>
            </v:textbox>
          </v:shape>
        </w:pict>
      </w:r>
      <w:r w:rsidR="00144F95" w:rsidRPr="00D83D8E">
        <w:rPr>
          <w:noProof/>
          <w:kern w:val="2"/>
          <w:lang w:val="es-MX" w:eastAsia="es-MX"/>
        </w:rPr>
        <w:drawing>
          <wp:inline distT="0" distB="0" distL="0" distR="0">
            <wp:extent cx="4572000" cy="2074545"/>
            <wp:effectExtent l="0" t="0" r="0" b="190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83D8E" w:rsidRPr="00D83D8E" w:rsidRDefault="00D83D8E" w:rsidP="00D83D8E">
      <w:pPr>
        <w:spacing w:after="240"/>
        <w:contextualSpacing/>
        <w:jc w:val="center"/>
        <w:rPr>
          <w:rFonts w:ascii="Arial" w:hAnsi="Arial" w:cs="Arial"/>
          <w:color w:val="000000"/>
          <w:kern w:val="2"/>
        </w:rPr>
      </w:pPr>
    </w:p>
    <w:p w:rsidR="00144F95" w:rsidRPr="00D83D8E" w:rsidRDefault="00144F95" w:rsidP="00D83D8E">
      <w:pPr>
        <w:spacing w:after="240"/>
        <w:contextualSpacing/>
        <w:jc w:val="both"/>
        <w:rPr>
          <w:rFonts w:ascii="Arial" w:hAnsi="Arial" w:cs="Arial"/>
          <w:color w:val="000000"/>
          <w:kern w:val="2"/>
        </w:rPr>
      </w:pPr>
    </w:p>
    <w:p w:rsidR="00144F95" w:rsidRDefault="00144F95" w:rsidP="00D83D8E">
      <w:pPr>
        <w:spacing w:after="240"/>
        <w:contextualSpacing/>
        <w:jc w:val="both"/>
        <w:rPr>
          <w:rFonts w:ascii="Arial" w:hAnsi="Arial" w:cs="Arial"/>
          <w:color w:val="000000"/>
          <w:kern w:val="2"/>
        </w:rPr>
      </w:pPr>
      <w:r w:rsidRPr="00D83D8E">
        <w:rPr>
          <w:rFonts w:ascii="Arial" w:hAnsi="Arial" w:cs="Arial"/>
          <w:color w:val="000000"/>
          <w:kern w:val="2"/>
        </w:rPr>
        <w:t xml:space="preserve">Con datos al cuarto trimestre de 2015, las actividades terciarias emplean a más personas en la entidad, ocupando a 798 mil 438 personas. En segundo lugar, las actividades primarias emplean 548 mil 476 personas, mientras que las actividades  secundarias emplean a 313 mil 498 personas. </w:t>
      </w:r>
    </w:p>
    <w:p w:rsidR="00D83D8E" w:rsidRPr="00D83D8E" w:rsidRDefault="00D83D8E" w:rsidP="00D83D8E">
      <w:pPr>
        <w:spacing w:after="240"/>
        <w:contextualSpacing/>
        <w:jc w:val="both"/>
        <w:rPr>
          <w:rFonts w:ascii="Arial" w:hAnsi="Arial" w:cs="Arial"/>
          <w:color w:val="000000"/>
          <w:kern w:val="2"/>
        </w:rPr>
      </w:pPr>
    </w:p>
    <w:p w:rsidR="00144F95" w:rsidRPr="00D83D8E" w:rsidRDefault="00144F95" w:rsidP="00D83D8E">
      <w:pPr>
        <w:spacing w:after="240"/>
        <w:contextualSpacing/>
        <w:jc w:val="both"/>
        <w:rPr>
          <w:rFonts w:ascii="Arial" w:hAnsi="Arial" w:cs="Arial"/>
          <w:color w:val="000000"/>
          <w:kern w:val="2"/>
        </w:rPr>
      </w:pPr>
      <w:r w:rsidRPr="00D83D8E">
        <w:rPr>
          <w:rFonts w:ascii="Arial" w:hAnsi="Arial" w:cs="Arial"/>
          <w:color w:val="000000"/>
          <w:kern w:val="2"/>
        </w:rPr>
        <w:t xml:space="preserve">Al analizar el empleo por rama de actividad económica, tres actividades emplean la mayor parte del segmento de la población ocupada: las actividades agropecuarias emplean el mayor número de personas, esto es un 33 por ciento, le sigue otros </w:t>
      </w:r>
      <w:r w:rsidRPr="00D83D8E">
        <w:rPr>
          <w:rFonts w:ascii="Arial" w:hAnsi="Arial" w:cs="Arial"/>
          <w:color w:val="000000"/>
          <w:kern w:val="2"/>
        </w:rPr>
        <w:lastRenderedPageBreak/>
        <w:t xml:space="preserve">servicios con 26 por ciento de la población ocupada, y las actividades del  comercio con 15 por ciento de la población ocupada. </w:t>
      </w:r>
    </w:p>
    <w:p w:rsidR="00144F95" w:rsidRPr="00D83D8E" w:rsidRDefault="00144F95" w:rsidP="00D83D8E">
      <w:pPr>
        <w:spacing w:after="240"/>
        <w:contextualSpacing/>
        <w:jc w:val="both"/>
        <w:rPr>
          <w:rFonts w:ascii="Arial" w:hAnsi="Arial" w:cs="Arial"/>
          <w:color w:val="000000"/>
          <w:kern w:val="2"/>
        </w:rPr>
      </w:pPr>
    </w:p>
    <w:p w:rsidR="00144F95" w:rsidRPr="00D83D8E" w:rsidRDefault="009B1A50" w:rsidP="00D83D8E">
      <w:pPr>
        <w:spacing w:after="240"/>
        <w:contextualSpacing/>
        <w:jc w:val="center"/>
        <w:rPr>
          <w:rFonts w:ascii="Arial" w:hAnsi="Arial" w:cs="Arial"/>
          <w:color w:val="000000"/>
          <w:kern w:val="2"/>
        </w:rPr>
      </w:pPr>
      <w:r w:rsidRPr="009B1A50">
        <w:rPr>
          <w:noProof/>
          <w:kern w:val="2"/>
        </w:rPr>
        <w:pict>
          <v:shape id="_x0000_s1070" type="#_x0000_t202" style="position:absolute;left:0;text-align:left;margin-left:23.4pt;margin-top:215.2pt;width:202.7pt;height:16.4pt;z-index:25180211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" filled="f" stroked="f">
            <v:textbox style="mso-next-textbox:#_x0000_s1070;mso-fit-shape-to-text:t">
              <w:txbxContent>
                <w:p w:rsidR="00AD6037" w:rsidRPr="003B0359" w:rsidRDefault="00AD6037" w:rsidP="00144F95">
                  <w:pPr>
                    <w:rPr>
                      <w:rFonts w:ascii="Arial" w:hAnsi="Arial" w:cs="Arial"/>
                      <w:sz w:val="16"/>
                      <w:szCs w:val="16"/>
                    </w:rPr>
                  </w:pPr>
                  <w:r w:rsidRPr="003B0359">
                    <w:rPr>
                      <w:rFonts w:ascii="Arial" w:hAnsi="Arial" w:cs="Arial"/>
                      <w:sz w:val="16"/>
                      <w:szCs w:val="16"/>
                    </w:rPr>
                    <w:t>Fuente: ENOE, INEGI.</w:t>
                  </w:r>
                </w:p>
              </w:txbxContent>
            </v:textbox>
          </v:shape>
        </w:pict>
      </w:r>
      <w:r w:rsidR="00144F95" w:rsidRPr="00D83D8E">
        <w:rPr>
          <w:noProof/>
          <w:kern w:val="2"/>
          <w:lang w:val="es-MX" w:eastAsia="es-MX"/>
        </w:rPr>
        <w:drawing>
          <wp:inline distT="0" distB="0" distL="0" distR="0">
            <wp:extent cx="5314950" cy="2971800"/>
            <wp:effectExtent l="0" t="0" r="0" b="0"/>
            <wp:docPr id="308" name="Gráfico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44F95" w:rsidRPr="00D83D8E" w:rsidRDefault="00144F95" w:rsidP="00D83D8E">
      <w:pPr>
        <w:contextualSpacing/>
        <w:rPr>
          <w:rFonts w:ascii="Arial" w:hAnsi="Arial" w:cs="Arial"/>
          <w:color w:val="000000"/>
          <w:kern w:val="2"/>
        </w:rPr>
      </w:pPr>
      <w:r w:rsidRPr="00D83D8E">
        <w:rPr>
          <w:rFonts w:ascii="Arial" w:hAnsi="Arial" w:cs="Arial"/>
          <w:color w:val="000000"/>
          <w:kern w:val="2"/>
        </w:rPr>
        <w:br w:type="page"/>
      </w:r>
    </w:p>
    <w:p w:rsidR="00144F95" w:rsidRPr="00D83D8E" w:rsidRDefault="00144F95" w:rsidP="00D83D8E">
      <w:pPr>
        <w:spacing w:after="240"/>
        <w:contextualSpacing/>
        <w:jc w:val="both"/>
        <w:rPr>
          <w:rFonts w:ascii="Arial" w:hAnsi="Arial" w:cs="Arial"/>
          <w:color w:val="000000"/>
          <w:kern w:val="2"/>
        </w:rPr>
      </w:pPr>
      <w:r w:rsidRPr="00D83D8E">
        <w:rPr>
          <w:rFonts w:ascii="Arial" w:hAnsi="Arial" w:cs="Arial"/>
          <w:kern w:val="2"/>
        </w:rPr>
        <w:lastRenderedPageBreak/>
        <w:t xml:space="preserve">El promedio en 2015 de los registros mensuales de trabajadores afiliados al IMSS en el estado de Oaxaca fue de 192,440 trabajadores, lo que representa, al compararlo con el promedio de 185 mil 592 trabajadores asegurados en 2014, un crecimiento interanual de 3.7 por ciento. </w:t>
      </w:r>
      <w:r w:rsidRPr="00D83D8E">
        <w:rPr>
          <w:rFonts w:ascii="Arial" w:hAnsi="Arial" w:cs="Arial"/>
          <w:color w:val="000000"/>
          <w:kern w:val="2"/>
        </w:rPr>
        <w:t>La tasa media de crecimiento (TMC) de los últimos 10 años del número de trabajadores afiliados al IMSS en el estado de Oaxaca es de 2.96 por ciento.</w:t>
      </w:r>
    </w:p>
    <w:p w:rsidR="00144F95" w:rsidRPr="00D83D8E" w:rsidRDefault="009B1A50" w:rsidP="00D83D8E">
      <w:pPr>
        <w:spacing w:after="240"/>
        <w:contextualSpacing/>
        <w:jc w:val="center"/>
        <w:rPr>
          <w:rFonts w:ascii="Arial" w:hAnsi="Arial" w:cs="Arial"/>
          <w:color w:val="000000"/>
          <w:kern w:val="2"/>
        </w:rPr>
      </w:pPr>
      <w:r w:rsidRPr="009B1A50">
        <w:rPr>
          <w:noProof/>
          <w:kern w:val="2"/>
        </w:rPr>
        <w:pict>
          <v:shape id="35 Cuadro de texto" o:spid="_x0000_s1069" type="#_x0000_t202" style="position:absolute;left:0;text-align:left;margin-left:109pt;margin-top:51.05pt;width:101.9pt;height:30.85pt;z-index:2517898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" filled="f" stroked="f" strokeweight=".5pt">
            <v:path arrowok="t"/>
            <v:textbox style="mso-next-textbox:#35 Cuadro de texto">
              <w:txbxContent>
                <w:p w:rsidR="00AD6037" w:rsidRPr="00BD3984" w:rsidRDefault="00AD6037" w:rsidP="00144F95">
                  <w:pPr>
                    <w:rPr>
                      <w:rFonts w:ascii="Calibri" w:hAnsi="Calibri"/>
                      <w:sz w:val="16"/>
                    </w:rPr>
                  </w:pPr>
                  <w:r w:rsidRPr="00BD3984">
                    <w:rPr>
                      <w:rFonts w:ascii="Calibri" w:hAnsi="Calibri"/>
                      <w:bCs/>
                      <w:sz w:val="16"/>
                    </w:rPr>
                    <w:t>TMC Oaxaca = 2.78%</w:t>
                  </w:r>
                </w:p>
                <w:p w:rsidR="00AD6037" w:rsidRPr="00BD3984" w:rsidRDefault="00AD6037" w:rsidP="00144F95">
                  <w:pPr>
                    <w:rPr>
                      <w:rFonts w:ascii="Calibri" w:hAnsi="Calibri"/>
                      <w:sz w:val="16"/>
                    </w:rPr>
                  </w:pPr>
                  <w:r w:rsidRPr="00BD3984">
                    <w:rPr>
                      <w:rFonts w:ascii="Calibri" w:hAnsi="Calibri"/>
                      <w:bCs/>
                      <w:sz w:val="16"/>
                    </w:rPr>
                    <w:t>TMC Nacional = 3.11%</w:t>
                  </w:r>
                </w:p>
              </w:txbxContent>
            </v:textbox>
          </v:shape>
        </w:pict>
      </w:r>
      <w:r w:rsidRPr="009B1A50">
        <w:rPr>
          <w:noProof/>
          <w:kern w:val="2"/>
        </w:rPr>
        <w:pict>
          <v:shape id="_x0000_s1068" type="#_x0000_t202" style="position:absolute;left:0;text-align:left;margin-left:53.4pt;margin-top:201.25pt;width:210.2pt;height:16.4pt;z-index:25179289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" filled="f" stroked="f">
            <v:textbox style="mso-next-textbox:#_x0000_s1068;mso-fit-shape-to-text:t">
              <w:txbxContent>
                <w:p w:rsidR="00AD6037" w:rsidRPr="00474103" w:rsidRDefault="00AD6037" w:rsidP="00144F95">
                  <w:pPr>
                    <w:rPr>
                      <w:rFonts w:ascii="Arial" w:hAnsi="Arial" w:cs="Arial"/>
                      <w:sz w:val="16"/>
                      <w:szCs w:val="16"/>
                    </w:rPr>
                  </w:pPr>
                  <w:r w:rsidRPr="00474103">
                    <w:rPr>
                      <w:rFonts w:ascii="Arial" w:hAnsi="Arial" w:cs="Arial"/>
                      <w:sz w:val="16"/>
                      <w:szCs w:val="16"/>
                    </w:rPr>
                    <w:t>Fuente: INEGI.</w:t>
                  </w:r>
                </w:p>
              </w:txbxContent>
            </v:textbox>
          </v:shape>
        </w:pict>
      </w:r>
      <w:r w:rsidR="00144F95" w:rsidRPr="00D83D8E">
        <w:rPr>
          <w:noProof/>
          <w:kern w:val="2"/>
          <w:lang w:val="es-MX" w:eastAsia="es-MX"/>
        </w:rPr>
        <w:drawing>
          <wp:inline distT="0" distB="0" distL="0" distR="0">
            <wp:extent cx="4572000" cy="2743200"/>
            <wp:effectExtent l="0" t="0" r="0" b="0"/>
            <wp:docPr id="255" name="Gráfico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44F95" w:rsidRPr="00D83D8E" w:rsidRDefault="00144F95" w:rsidP="00D83D8E">
      <w:pPr>
        <w:spacing w:after="240"/>
        <w:contextualSpacing/>
        <w:jc w:val="center"/>
        <w:rPr>
          <w:rFonts w:ascii="Arial" w:hAnsi="Arial" w:cs="Arial"/>
          <w:color w:val="000000"/>
          <w:kern w:val="2"/>
        </w:rPr>
      </w:pPr>
    </w:p>
    <w:p w:rsidR="00144F95" w:rsidRPr="00D83D8E" w:rsidRDefault="00144F95" w:rsidP="00D83D8E">
      <w:pPr>
        <w:spacing w:after="240"/>
        <w:contextualSpacing/>
        <w:jc w:val="both"/>
        <w:rPr>
          <w:rFonts w:ascii="Arial" w:hAnsi="Arial" w:cs="Arial"/>
          <w:i/>
          <w:kern w:val="2"/>
        </w:rPr>
      </w:pPr>
    </w:p>
    <w:p w:rsidR="00E91C2E" w:rsidRDefault="00E91C2E">
      <w:pPr>
        <w:rPr>
          <w:rFonts w:ascii="Arial" w:hAnsi="Arial" w:cs="Arial"/>
          <w:b/>
          <w:kern w:val="2"/>
        </w:rPr>
      </w:pPr>
      <w:r>
        <w:rPr>
          <w:rFonts w:ascii="Arial" w:hAnsi="Arial" w:cs="Arial"/>
          <w:b/>
          <w:kern w:val="2"/>
        </w:rPr>
        <w:br w:type="page"/>
      </w:r>
    </w:p>
    <w:p w:rsidR="00144F95" w:rsidRDefault="00D83D8E" w:rsidP="00D83D8E">
      <w:pPr>
        <w:spacing w:after="240"/>
        <w:contextualSpacing/>
        <w:jc w:val="both"/>
        <w:rPr>
          <w:rFonts w:ascii="Arial" w:hAnsi="Arial" w:cs="Arial"/>
          <w:b/>
          <w:kern w:val="2"/>
        </w:rPr>
      </w:pPr>
      <w:r w:rsidRPr="00D83D8E">
        <w:rPr>
          <w:rFonts w:ascii="Arial" w:hAnsi="Arial" w:cs="Arial"/>
          <w:b/>
          <w:kern w:val="2"/>
        </w:rPr>
        <w:lastRenderedPageBreak/>
        <w:t xml:space="preserve">2.2.2.- </w:t>
      </w:r>
      <w:r w:rsidR="00E91C2E" w:rsidRPr="00D83D8E">
        <w:rPr>
          <w:rFonts w:ascii="Arial" w:hAnsi="Arial" w:cs="Arial"/>
          <w:b/>
          <w:kern w:val="2"/>
        </w:rPr>
        <w:t>INVERSIÓN EXTRANJERA</w:t>
      </w:r>
    </w:p>
    <w:p w:rsidR="00D83D8E" w:rsidRPr="00D83D8E" w:rsidRDefault="00D83D8E" w:rsidP="00D83D8E">
      <w:pPr>
        <w:spacing w:after="240"/>
        <w:contextualSpacing/>
        <w:jc w:val="both"/>
        <w:rPr>
          <w:rFonts w:ascii="Arial" w:hAnsi="Arial" w:cs="Arial"/>
          <w:b/>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 xml:space="preserve">La inversión extranjera representa un importante flujo de recursos para el Estado. A diciembre de 2015, bajo la nueva metodología de registro de la inversión de la Secretaría de Economía que reconoce los flujos de inversión de acuerdo en la entidad donde operan y no según su domicilio fiscal, el estado de Oaxaca registró un total de inversión extranjera directa de 181 millones de dólares. </w:t>
      </w:r>
    </w:p>
    <w:p w:rsidR="00D83D8E" w:rsidRPr="00D83D8E" w:rsidRDefault="00D83D8E" w:rsidP="00D83D8E">
      <w:pPr>
        <w:spacing w:after="240"/>
        <w:contextualSpacing/>
        <w:jc w:val="both"/>
        <w:rPr>
          <w:rFonts w:ascii="Arial" w:hAnsi="Arial" w:cs="Arial"/>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 xml:space="preserve">De este monto, 83.6 millones de dólares corresponden a nuevas inversiones, es decir, al establecimiento de plantas de manufactura, oficinas y otras estructuras físicas relacionadas con una compañía; 109.8 millones de dólares corresponden a reinversión de utilidades. Se registra también en 2015 un saldo negativo de 12.5 millones de dólares como cuentas entre compañías (préstamos de la matriz residente en el exterior a su filial en Oaxaca). </w:t>
      </w:r>
    </w:p>
    <w:p w:rsidR="00D83D8E" w:rsidRPr="00D83D8E" w:rsidRDefault="00D83D8E" w:rsidP="00D83D8E">
      <w:pPr>
        <w:spacing w:after="240"/>
        <w:contextualSpacing/>
        <w:jc w:val="both"/>
        <w:rPr>
          <w:rFonts w:ascii="Arial" w:hAnsi="Arial" w:cs="Arial"/>
          <w:kern w:val="2"/>
        </w:rPr>
      </w:pPr>
    </w:p>
    <w:p w:rsidR="00144F95" w:rsidRPr="00D83D8E" w:rsidRDefault="00144F95" w:rsidP="00D83D8E">
      <w:pPr>
        <w:spacing w:after="240"/>
        <w:contextualSpacing/>
        <w:jc w:val="both"/>
        <w:rPr>
          <w:rFonts w:ascii="Arial" w:hAnsi="Arial" w:cs="Arial"/>
          <w:kern w:val="2"/>
        </w:rPr>
      </w:pPr>
      <w:r w:rsidRPr="00D83D8E">
        <w:rPr>
          <w:rFonts w:ascii="Arial" w:hAnsi="Arial" w:cs="Arial"/>
          <w:kern w:val="2"/>
        </w:rPr>
        <w:t>Visto por sector de destino, la inversión extranjera ha beneficiado al sector Generación, transmisión y distribución de energía eléctrica, suministro de agua y de gas por ductos al consumidor final, pero principalmente al sector construcción asociado la generación de energía.</w:t>
      </w:r>
    </w:p>
    <w:p w:rsidR="00144F95" w:rsidRDefault="00144F95" w:rsidP="00D83D8E">
      <w:pPr>
        <w:spacing w:after="240"/>
        <w:contextualSpacing/>
        <w:jc w:val="both"/>
        <w:rPr>
          <w:rFonts w:ascii="Arial" w:hAnsi="Arial" w:cs="Arial"/>
          <w:kern w:val="2"/>
        </w:rPr>
      </w:pPr>
    </w:p>
    <w:p w:rsidR="00D83D8E" w:rsidRPr="00D83D8E" w:rsidRDefault="00D83D8E" w:rsidP="00D83D8E">
      <w:pPr>
        <w:spacing w:after="240"/>
        <w:contextualSpacing/>
        <w:jc w:val="both"/>
        <w:rPr>
          <w:rFonts w:ascii="Arial" w:hAnsi="Arial" w:cs="Arial"/>
          <w:kern w:val="2"/>
        </w:rPr>
      </w:pPr>
    </w:p>
    <w:p w:rsidR="00144F95" w:rsidRPr="00D83D8E" w:rsidRDefault="009B1A50" w:rsidP="00D83D8E">
      <w:pPr>
        <w:spacing w:after="240"/>
        <w:contextualSpacing/>
        <w:jc w:val="center"/>
        <w:rPr>
          <w:rFonts w:ascii="Arial" w:hAnsi="Arial" w:cs="Arial"/>
          <w:kern w:val="2"/>
        </w:rPr>
      </w:pPr>
      <w:r w:rsidRPr="009B1A50">
        <w:rPr>
          <w:noProof/>
          <w:kern w:val="2"/>
        </w:rPr>
        <w:pict>
          <v:shape id="_x0000_s1067" type="#_x0000_t202" style="position:absolute;left:0;text-align:left;margin-left:54.55pt;margin-top:222.95pt;width:210.2pt;height:25.6pt;z-index:25180313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" filled="f" stroked="f">
            <v:textbox style="mso-next-textbox:#_x0000_s1067;mso-fit-shape-to-text:t">
              <w:txbxContent>
                <w:p w:rsidR="00AD6037" w:rsidRPr="003B0359" w:rsidRDefault="00AD6037" w:rsidP="00144F95">
                  <w:pPr>
                    <w:rPr>
                      <w:rFonts w:ascii="Arial" w:hAnsi="Arial" w:cs="Arial"/>
                      <w:sz w:val="16"/>
                      <w:szCs w:val="16"/>
                    </w:rPr>
                  </w:pPr>
                  <w:r w:rsidRPr="003B0359">
                    <w:rPr>
                      <w:rFonts w:ascii="Arial" w:hAnsi="Arial" w:cs="Arial"/>
                      <w:sz w:val="16"/>
                      <w:szCs w:val="16"/>
                    </w:rPr>
                    <w:t>*Cifras en millones de dólares</w:t>
                  </w:r>
                </w:p>
                <w:p w:rsidR="00AD6037" w:rsidRPr="003B0359" w:rsidRDefault="00AD6037" w:rsidP="00144F95">
                  <w:pPr>
                    <w:rPr>
                      <w:rFonts w:ascii="Arial" w:hAnsi="Arial" w:cs="Arial"/>
                      <w:sz w:val="16"/>
                      <w:szCs w:val="16"/>
                    </w:rPr>
                  </w:pPr>
                  <w:r w:rsidRPr="003B0359">
                    <w:rPr>
                      <w:rFonts w:ascii="Arial" w:hAnsi="Arial" w:cs="Arial"/>
                      <w:sz w:val="16"/>
                      <w:szCs w:val="16"/>
                    </w:rPr>
                    <w:t>Fuente: Secretaría de Economía e INEGI.</w:t>
                  </w:r>
                </w:p>
              </w:txbxContent>
            </v:textbox>
          </v:shape>
        </w:pict>
      </w:r>
      <w:r w:rsidR="00144F95" w:rsidRPr="00D83D8E">
        <w:rPr>
          <w:noProof/>
          <w:kern w:val="2"/>
          <w:lang w:val="es-MX" w:eastAsia="es-MX"/>
        </w:rPr>
        <w:drawing>
          <wp:inline distT="0" distB="0" distL="0" distR="0">
            <wp:extent cx="4535981" cy="2743200"/>
            <wp:effectExtent l="0" t="0" r="0" b="0"/>
            <wp:docPr id="315" name="Gráfico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44F95" w:rsidRPr="00D83D8E" w:rsidRDefault="00144F95" w:rsidP="00D83D8E">
      <w:pPr>
        <w:spacing w:after="240"/>
        <w:contextualSpacing/>
        <w:jc w:val="both"/>
        <w:rPr>
          <w:rFonts w:ascii="Arial" w:hAnsi="Arial" w:cs="Arial"/>
          <w:kern w:val="2"/>
        </w:rPr>
      </w:pPr>
    </w:p>
    <w:p w:rsidR="00144F95" w:rsidRPr="00D83D8E" w:rsidRDefault="009B1A50" w:rsidP="00D83D8E">
      <w:pPr>
        <w:spacing w:after="240"/>
        <w:contextualSpacing/>
        <w:jc w:val="center"/>
        <w:rPr>
          <w:rFonts w:ascii="Arial" w:hAnsi="Arial" w:cs="Arial"/>
          <w:kern w:val="2"/>
        </w:rPr>
      </w:pPr>
      <w:r w:rsidRPr="009B1A50">
        <w:rPr>
          <w:noProof/>
          <w:kern w:val="2"/>
        </w:rPr>
        <w:pict>
          <v:shape id="_x0000_s1066" type="#_x0000_t202" style="position:absolute;left:0;text-align:left;margin-left:42.55pt;margin-top:311.45pt;width:210.2pt;height:25.6pt;z-index:2517949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" filled="f" stroked="f">
            <v:textbox style="mso-next-textbox:#_x0000_s1066;mso-fit-shape-to-text:t">
              <w:txbxContent>
                <w:p w:rsidR="00AD6037" w:rsidRPr="003B0359" w:rsidRDefault="00AD6037" w:rsidP="00144F95">
                  <w:pPr>
                    <w:rPr>
                      <w:rFonts w:ascii="Arial" w:hAnsi="Arial" w:cs="Arial"/>
                      <w:sz w:val="16"/>
                      <w:szCs w:val="16"/>
                    </w:rPr>
                  </w:pPr>
                  <w:r w:rsidRPr="003B0359">
                    <w:rPr>
                      <w:rFonts w:ascii="Arial" w:hAnsi="Arial" w:cs="Arial"/>
                      <w:sz w:val="16"/>
                      <w:szCs w:val="16"/>
                    </w:rPr>
                    <w:t>*Cifras en millones de dólares</w:t>
                  </w:r>
                </w:p>
                <w:p w:rsidR="00AD6037" w:rsidRPr="003B0359" w:rsidRDefault="00AD6037" w:rsidP="00144F95">
                  <w:pPr>
                    <w:rPr>
                      <w:rFonts w:ascii="Arial" w:hAnsi="Arial" w:cs="Arial"/>
                      <w:sz w:val="16"/>
                      <w:szCs w:val="16"/>
                    </w:rPr>
                  </w:pPr>
                  <w:r w:rsidRPr="003B0359">
                    <w:rPr>
                      <w:rFonts w:ascii="Arial" w:hAnsi="Arial" w:cs="Arial"/>
                      <w:sz w:val="16"/>
                      <w:szCs w:val="16"/>
                    </w:rPr>
                    <w:t>Fuente: Secretaría de Economía e INEGI.</w:t>
                  </w:r>
                </w:p>
              </w:txbxContent>
            </v:textbox>
          </v:shape>
        </w:pict>
      </w:r>
    </w:p>
    <w:p w:rsidR="00144F95" w:rsidRPr="00D83D8E" w:rsidRDefault="00144F95" w:rsidP="00D83D8E">
      <w:pPr>
        <w:contextualSpacing/>
        <w:rPr>
          <w:rFonts w:ascii="Arial" w:hAnsi="Arial" w:cs="Arial"/>
          <w:i/>
          <w:kern w:val="2"/>
        </w:rPr>
      </w:pPr>
      <w:r w:rsidRPr="00D83D8E">
        <w:rPr>
          <w:rFonts w:ascii="Arial" w:hAnsi="Arial" w:cs="Arial"/>
          <w:i/>
          <w:kern w:val="2"/>
        </w:rPr>
        <w:br w:type="page"/>
      </w:r>
    </w:p>
    <w:p w:rsidR="00144F95" w:rsidRDefault="00D83D8E" w:rsidP="00D83D8E">
      <w:pPr>
        <w:spacing w:after="240"/>
        <w:contextualSpacing/>
        <w:jc w:val="both"/>
        <w:rPr>
          <w:rFonts w:ascii="Arial" w:hAnsi="Arial" w:cs="Arial"/>
          <w:b/>
          <w:kern w:val="2"/>
        </w:rPr>
      </w:pPr>
      <w:r w:rsidRPr="00D83D8E">
        <w:rPr>
          <w:rFonts w:ascii="Arial" w:hAnsi="Arial" w:cs="Arial"/>
          <w:b/>
          <w:kern w:val="2"/>
        </w:rPr>
        <w:lastRenderedPageBreak/>
        <w:t xml:space="preserve">2.2.3.- </w:t>
      </w:r>
      <w:r w:rsidR="00E91C2E" w:rsidRPr="00D83D8E">
        <w:rPr>
          <w:rFonts w:ascii="Arial" w:hAnsi="Arial" w:cs="Arial"/>
          <w:b/>
          <w:kern w:val="2"/>
        </w:rPr>
        <w:t>INFLACIÓN</w:t>
      </w:r>
    </w:p>
    <w:p w:rsidR="00D83D8E" w:rsidRPr="00D83D8E" w:rsidRDefault="00D83D8E" w:rsidP="00D83D8E">
      <w:pPr>
        <w:spacing w:after="240"/>
        <w:contextualSpacing/>
        <w:jc w:val="both"/>
        <w:rPr>
          <w:rFonts w:ascii="Arial" w:hAnsi="Arial" w:cs="Arial"/>
          <w:b/>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 xml:space="preserve">Al mes de diciembre 2015 la inflación anual nacional se ubicó en 2.13 por ciento. En las ciudades del Estado de Oaxaca que lo integran los resultados para el mismo periodo fueron, para la  Ciudad de Oaxaca, de 2.58 por ciento, y para la Ciudad de Tehuantepec, de 1.84 por ciento. Aunque en las ciudades de la entidad se registraron durante 2011 y 2013 niveles superiores a la tasa nacional, su tendencia es a la baja. </w:t>
      </w:r>
    </w:p>
    <w:p w:rsidR="00D83D8E" w:rsidRPr="00D83D8E" w:rsidRDefault="00D83D8E" w:rsidP="00D83D8E">
      <w:pPr>
        <w:spacing w:after="240"/>
        <w:contextualSpacing/>
        <w:jc w:val="both"/>
        <w:rPr>
          <w:rFonts w:ascii="Arial" w:hAnsi="Arial" w:cs="Arial"/>
          <w:kern w:val="2"/>
        </w:rPr>
      </w:pPr>
    </w:p>
    <w:p w:rsidR="00144F95" w:rsidRPr="00D83D8E" w:rsidRDefault="00144F95" w:rsidP="00D83D8E">
      <w:pPr>
        <w:spacing w:after="240"/>
        <w:contextualSpacing/>
        <w:jc w:val="center"/>
        <w:rPr>
          <w:rFonts w:ascii="Arial" w:hAnsi="Arial" w:cs="Arial"/>
          <w:kern w:val="2"/>
        </w:rPr>
      </w:pPr>
      <w:r w:rsidRPr="00D83D8E">
        <w:rPr>
          <w:noProof/>
          <w:kern w:val="2"/>
          <w:lang w:val="es-MX" w:eastAsia="es-MX"/>
        </w:rPr>
        <w:drawing>
          <wp:inline distT="0" distB="0" distL="0" distR="0">
            <wp:extent cx="4576732" cy="2783429"/>
            <wp:effectExtent l="0" t="0" r="0" b="0"/>
            <wp:docPr id="319" name="Gráfico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44F95" w:rsidRPr="00D83D8E" w:rsidRDefault="009B1A50" w:rsidP="00D83D8E">
      <w:pPr>
        <w:spacing w:after="240"/>
        <w:contextualSpacing/>
        <w:jc w:val="both"/>
        <w:rPr>
          <w:rFonts w:ascii="Arial" w:hAnsi="Arial" w:cs="Arial"/>
          <w:kern w:val="2"/>
        </w:rPr>
      </w:pPr>
      <w:r w:rsidRPr="009B1A50">
        <w:rPr>
          <w:noProof/>
          <w:kern w:val="2"/>
        </w:rPr>
        <w:pict>
          <v:shape id="_x0000_s1065" type="#_x0000_t202" style="position:absolute;left:0;text-align:left;margin-left:59.5pt;margin-top:.4pt;width:210.2pt;height:16.4pt;z-index:2518041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" filled="f" stroked="f">
            <v:textbox style="mso-next-textbox:#_x0000_s1065;mso-fit-shape-to-text:t">
              <w:txbxContent>
                <w:p w:rsidR="00AD6037" w:rsidRPr="00474103" w:rsidRDefault="00AD6037" w:rsidP="00144F95">
                  <w:pPr>
                    <w:rPr>
                      <w:rFonts w:ascii="Arial" w:hAnsi="Arial" w:cs="Arial"/>
                      <w:sz w:val="16"/>
                      <w:szCs w:val="16"/>
                    </w:rPr>
                  </w:pPr>
                  <w:r w:rsidRPr="00474103">
                    <w:rPr>
                      <w:rFonts w:ascii="Arial" w:hAnsi="Arial" w:cs="Arial"/>
                      <w:sz w:val="16"/>
                      <w:szCs w:val="16"/>
                    </w:rPr>
                    <w:t>Fuente: INEGI.</w:t>
                  </w:r>
                </w:p>
              </w:txbxContent>
            </v:textbox>
          </v:shape>
        </w:pict>
      </w:r>
    </w:p>
    <w:p w:rsidR="00144F95" w:rsidRPr="00D83D8E" w:rsidRDefault="00144F95" w:rsidP="00D83D8E">
      <w:pPr>
        <w:contextualSpacing/>
        <w:rPr>
          <w:rFonts w:ascii="Arial" w:hAnsi="Arial" w:cs="Arial"/>
          <w:b/>
          <w:kern w:val="2"/>
          <w:sz w:val="20"/>
          <w:szCs w:val="20"/>
        </w:rPr>
      </w:pPr>
      <w:r w:rsidRPr="00D83D8E">
        <w:rPr>
          <w:rFonts w:ascii="Arial" w:hAnsi="Arial" w:cs="Arial"/>
          <w:b/>
          <w:kern w:val="2"/>
          <w:sz w:val="20"/>
          <w:szCs w:val="20"/>
        </w:rPr>
        <w:br w:type="page"/>
      </w:r>
    </w:p>
    <w:p w:rsidR="00144F95" w:rsidRDefault="00D83D8E" w:rsidP="00D83D8E">
      <w:pPr>
        <w:spacing w:after="240"/>
        <w:contextualSpacing/>
        <w:jc w:val="both"/>
        <w:rPr>
          <w:rFonts w:ascii="Arial" w:hAnsi="Arial" w:cs="Arial"/>
          <w:b/>
          <w:kern w:val="2"/>
          <w:szCs w:val="20"/>
        </w:rPr>
      </w:pPr>
      <w:r w:rsidRPr="00D83D8E">
        <w:rPr>
          <w:rFonts w:ascii="Arial" w:hAnsi="Arial" w:cs="Arial"/>
          <w:b/>
          <w:kern w:val="2"/>
          <w:szCs w:val="20"/>
        </w:rPr>
        <w:lastRenderedPageBreak/>
        <w:t xml:space="preserve">2.3.- </w:t>
      </w:r>
      <w:r w:rsidR="00144F95" w:rsidRPr="00D83D8E">
        <w:rPr>
          <w:rFonts w:ascii="Arial" w:hAnsi="Arial" w:cs="Arial"/>
          <w:b/>
          <w:kern w:val="2"/>
          <w:szCs w:val="20"/>
        </w:rPr>
        <w:t xml:space="preserve">PERSPECTIVAS ECONÓMICAS 2016 </w:t>
      </w:r>
    </w:p>
    <w:p w:rsidR="00D83D8E" w:rsidRPr="00D83D8E" w:rsidRDefault="00D83D8E" w:rsidP="00D83D8E">
      <w:pPr>
        <w:spacing w:after="240"/>
        <w:contextualSpacing/>
        <w:jc w:val="both"/>
        <w:rPr>
          <w:rFonts w:ascii="Arial" w:hAnsi="Arial" w:cs="Arial"/>
          <w:b/>
          <w:kern w:val="2"/>
          <w:szCs w:val="20"/>
        </w:rPr>
      </w:pPr>
    </w:p>
    <w:p w:rsidR="00D83D8E" w:rsidRDefault="00D83D8E" w:rsidP="00D83D8E">
      <w:pPr>
        <w:spacing w:after="240"/>
        <w:contextualSpacing/>
        <w:jc w:val="both"/>
        <w:rPr>
          <w:rFonts w:ascii="Arial" w:hAnsi="Arial" w:cs="Arial"/>
          <w:b/>
          <w:kern w:val="2"/>
          <w:szCs w:val="20"/>
        </w:rPr>
      </w:pPr>
      <w:r w:rsidRPr="00D83D8E">
        <w:rPr>
          <w:rFonts w:ascii="Arial" w:hAnsi="Arial" w:cs="Arial"/>
          <w:b/>
          <w:kern w:val="2"/>
          <w:szCs w:val="20"/>
        </w:rPr>
        <w:t>2.3.1</w:t>
      </w:r>
      <w:r w:rsidR="00E91C2E" w:rsidRPr="00D83D8E">
        <w:rPr>
          <w:rFonts w:ascii="Arial" w:hAnsi="Arial" w:cs="Arial"/>
          <w:b/>
          <w:kern w:val="2"/>
          <w:szCs w:val="20"/>
        </w:rPr>
        <w:t xml:space="preserve">.- ENTORNO INTERNACIONAL </w:t>
      </w:r>
    </w:p>
    <w:p w:rsidR="00D83D8E" w:rsidRPr="00D83D8E" w:rsidRDefault="00D83D8E" w:rsidP="00D83D8E">
      <w:pPr>
        <w:spacing w:after="240"/>
        <w:contextualSpacing/>
        <w:jc w:val="both"/>
        <w:rPr>
          <w:rFonts w:ascii="Arial" w:hAnsi="Arial" w:cs="Arial"/>
          <w:b/>
          <w:kern w:val="2"/>
          <w:szCs w:val="20"/>
        </w:rPr>
      </w:pPr>
    </w:p>
    <w:p w:rsidR="00144F95" w:rsidRDefault="00144F95" w:rsidP="00D83D8E">
      <w:pPr>
        <w:spacing w:after="240"/>
        <w:contextualSpacing/>
        <w:jc w:val="both"/>
        <w:rPr>
          <w:rFonts w:ascii="Arial" w:hAnsi="Arial" w:cs="Arial"/>
          <w:kern w:val="2"/>
        </w:rPr>
      </w:pPr>
      <w:r w:rsidRPr="00D83D8E">
        <w:rPr>
          <w:rFonts w:ascii="Arial" w:hAnsi="Arial" w:cs="Arial"/>
          <w:kern w:val="2"/>
        </w:rPr>
        <w:t xml:space="preserve">El panorama de crecimiento en la economía global para el 2016 se ubica en un contexto de crecimiento moderado a causa de factores como el menor ritmo de crecimiento previsto para las economías avanzadas, la desaceleración económica en las economías emergentes y a la persistente disminución en los precios de las materias primas. </w:t>
      </w:r>
    </w:p>
    <w:p w:rsidR="00D83D8E" w:rsidRPr="00D83D8E" w:rsidRDefault="00D83D8E" w:rsidP="00D83D8E">
      <w:pPr>
        <w:spacing w:after="240"/>
        <w:contextualSpacing/>
        <w:jc w:val="both"/>
        <w:rPr>
          <w:rFonts w:ascii="Arial" w:hAnsi="Arial" w:cs="Arial"/>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 xml:space="preserve">En el caso de las economías avanzadas, de acuerdo a pronósticos del Fondo Monetario Internacional (FMI), en 2016 se prevé un mejoramiento en el crecimiento de las economías debido al repunte de la economía en Estados Unidos, la recuperación modesta en la zona del Euro y la previsión positiva en el ritmo de crecimiento en la economía de Japón. </w:t>
      </w:r>
    </w:p>
    <w:p w:rsidR="00D83D8E" w:rsidRPr="00D83D8E" w:rsidRDefault="00D83D8E" w:rsidP="00D83D8E">
      <w:pPr>
        <w:spacing w:after="240"/>
        <w:contextualSpacing/>
        <w:jc w:val="both"/>
        <w:rPr>
          <w:rFonts w:ascii="Arial" w:hAnsi="Arial" w:cs="Arial"/>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Para el caso de la economía de Estados Unidos, su recuperación cobraría firmeza a consecuencia del repunte en el consumo privado, a la creación de empleos y al aumento percibido en el ingreso personal. De esta forma su tasa de crecimiento estaría en torno al 2.8 por ciento en 2016. La zona del euro seguiría con una recuperación moderada gracias a la disminución en el precio del petróleo, a la distensión monetaria y a la depreciación del euro; de esta forma, se prevé un crecimiento de 1.6 por ciento en 2016, pronóstico influido por la caída persistente en los precios del petróleo.</w:t>
      </w:r>
    </w:p>
    <w:p w:rsidR="00D83D8E" w:rsidRPr="00D83D8E" w:rsidRDefault="00D83D8E" w:rsidP="00D83D8E">
      <w:pPr>
        <w:spacing w:after="240"/>
        <w:contextualSpacing/>
        <w:jc w:val="both"/>
        <w:rPr>
          <w:rFonts w:ascii="Arial" w:hAnsi="Arial" w:cs="Arial"/>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En el caso de las economías emergentes, en 2016 se proyecta una disminución en el ritmo de crecimiento, debido al pronóstico de un menor crecimiento de los países exportadores de petróleo, además de los efectos adversos esperados por la desaceleración en el ritmo de crecimiento de la Economía China, además del efecto que se espera ante la posible disminución en los precios de las materias primas.</w:t>
      </w:r>
    </w:p>
    <w:p w:rsidR="00D83D8E" w:rsidRPr="00D83D8E" w:rsidRDefault="00D83D8E" w:rsidP="00D83D8E">
      <w:pPr>
        <w:spacing w:after="240"/>
        <w:contextualSpacing/>
        <w:jc w:val="both"/>
        <w:rPr>
          <w:rFonts w:ascii="Arial" w:hAnsi="Arial" w:cs="Arial"/>
          <w:kern w:val="2"/>
        </w:rPr>
      </w:pPr>
    </w:p>
    <w:p w:rsidR="00144F95" w:rsidRPr="00D83D8E" w:rsidRDefault="00144F95" w:rsidP="00D83D8E">
      <w:pPr>
        <w:spacing w:after="240"/>
        <w:contextualSpacing/>
        <w:jc w:val="both"/>
        <w:rPr>
          <w:rFonts w:ascii="Arial" w:hAnsi="Arial" w:cs="Arial"/>
          <w:kern w:val="2"/>
        </w:rPr>
      </w:pPr>
      <w:r w:rsidRPr="00D83D8E">
        <w:rPr>
          <w:rFonts w:ascii="Arial" w:hAnsi="Arial" w:cs="Arial"/>
          <w:kern w:val="2"/>
        </w:rPr>
        <w:t>De acuerdo al FMI</w:t>
      </w:r>
      <w:r w:rsidRPr="00D83D8E">
        <w:rPr>
          <w:rStyle w:val="Refdenotaalpie"/>
          <w:rFonts w:ascii="Arial" w:hAnsi="Arial" w:cs="Arial"/>
          <w:kern w:val="2"/>
        </w:rPr>
        <w:footnoteReference w:id="4"/>
      </w:r>
      <w:r w:rsidRPr="00D83D8E">
        <w:rPr>
          <w:rFonts w:ascii="Arial" w:hAnsi="Arial" w:cs="Arial"/>
          <w:kern w:val="2"/>
        </w:rPr>
        <w:t>, la región de América Latina y el Caribe presentaría una ligera recuperación del 0.8 por ciento para el 2016, después de una contracción de la actividad económica a finales de 2015. Las regiones exportadoras de materias primas en América del Sur seguirían disminuyendo sus ingresos ante la persistente disminución en el precio de las materias primas, de esta forma, disminuirían sus activos en el segmento de la inversión, traduciéndose en un deterioro de sus balances fiscales.</w:t>
      </w:r>
    </w:p>
    <w:p w:rsidR="00144F95" w:rsidRPr="00D83D8E" w:rsidRDefault="00144F95" w:rsidP="00D83D8E">
      <w:pPr>
        <w:spacing w:after="240"/>
        <w:contextualSpacing/>
        <w:jc w:val="both"/>
        <w:rPr>
          <w:rFonts w:ascii="Arial" w:hAnsi="Arial" w:cs="Arial"/>
          <w:b/>
          <w:kern w:val="2"/>
          <w:sz w:val="20"/>
          <w:szCs w:val="20"/>
        </w:rPr>
      </w:pPr>
    </w:p>
    <w:p w:rsidR="00144F95" w:rsidRPr="00D83D8E" w:rsidRDefault="00144F95" w:rsidP="00D83D8E">
      <w:pPr>
        <w:spacing w:after="240"/>
        <w:contextualSpacing/>
        <w:jc w:val="both"/>
        <w:rPr>
          <w:rFonts w:ascii="Arial" w:hAnsi="Arial" w:cs="Arial"/>
          <w:b/>
          <w:kern w:val="2"/>
          <w:sz w:val="20"/>
          <w:szCs w:val="20"/>
        </w:rPr>
      </w:pPr>
    </w:p>
    <w:p w:rsidR="00144F95" w:rsidRDefault="00D83D8E" w:rsidP="00D83D8E">
      <w:pPr>
        <w:spacing w:after="240"/>
        <w:contextualSpacing/>
        <w:jc w:val="both"/>
        <w:rPr>
          <w:rFonts w:ascii="Arial" w:hAnsi="Arial" w:cs="Arial"/>
          <w:b/>
          <w:kern w:val="2"/>
          <w:szCs w:val="20"/>
        </w:rPr>
      </w:pPr>
      <w:r w:rsidRPr="00D83D8E">
        <w:rPr>
          <w:rFonts w:ascii="Arial" w:hAnsi="Arial" w:cs="Arial"/>
          <w:b/>
          <w:kern w:val="2"/>
          <w:szCs w:val="20"/>
        </w:rPr>
        <w:lastRenderedPageBreak/>
        <w:t xml:space="preserve">2.3.2.- </w:t>
      </w:r>
      <w:r w:rsidR="00E91C2E" w:rsidRPr="00D83D8E">
        <w:rPr>
          <w:rFonts w:ascii="Arial" w:hAnsi="Arial" w:cs="Arial"/>
          <w:b/>
          <w:kern w:val="2"/>
          <w:szCs w:val="20"/>
        </w:rPr>
        <w:t>ENTORNO NACIONAL</w:t>
      </w:r>
    </w:p>
    <w:p w:rsidR="00D83D8E" w:rsidRPr="00D83D8E" w:rsidRDefault="00D83D8E" w:rsidP="00D83D8E">
      <w:pPr>
        <w:spacing w:after="240"/>
        <w:contextualSpacing/>
        <w:jc w:val="both"/>
        <w:rPr>
          <w:rFonts w:ascii="Arial" w:hAnsi="Arial" w:cs="Arial"/>
          <w:b/>
          <w:kern w:val="2"/>
          <w:szCs w:val="20"/>
        </w:rPr>
      </w:pPr>
    </w:p>
    <w:p w:rsidR="00144F95" w:rsidRDefault="00144F95" w:rsidP="00D83D8E">
      <w:pPr>
        <w:spacing w:after="240"/>
        <w:contextualSpacing/>
        <w:jc w:val="both"/>
        <w:rPr>
          <w:rFonts w:ascii="Arial" w:hAnsi="Arial" w:cs="Arial"/>
          <w:kern w:val="2"/>
        </w:rPr>
      </w:pPr>
      <w:r w:rsidRPr="00D83D8E">
        <w:rPr>
          <w:rFonts w:ascii="Arial" w:hAnsi="Arial" w:cs="Arial"/>
          <w:kern w:val="2"/>
        </w:rPr>
        <w:t>El panorama económico para 2016 en México incluye retos asociados a la alta volatilidad financiera a nivel internacional, por ello es deseable que el país solidifique su compromiso con las finanzas públicas y la implementación oportuna de las reformas estructurales a fin de lograr un mejor desempeño en el corto plazo.</w:t>
      </w:r>
    </w:p>
    <w:p w:rsidR="00D83D8E" w:rsidRPr="00D83D8E" w:rsidRDefault="00D83D8E" w:rsidP="00D83D8E">
      <w:pPr>
        <w:spacing w:after="240"/>
        <w:contextualSpacing/>
        <w:jc w:val="both"/>
        <w:rPr>
          <w:rFonts w:ascii="Arial" w:hAnsi="Arial" w:cs="Arial"/>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Entre los principales factores que podrían obstaculizar el crecimiento económico de México en el corto plazo según los especialistas, están, en orden de importancia, la debilidad del mercado externo y la economía mundial; la inestabilidad financiera internacional; la plataforma de producción petrolera; y los problemas de inseguridad pública.</w:t>
      </w:r>
    </w:p>
    <w:p w:rsidR="00D83D8E" w:rsidRPr="00D83D8E" w:rsidRDefault="00D83D8E" w:rsidP="00D83D8E">
      <w:pPr>
        <w:spacing w:after="240"/>
        <w:contextualSpacing/>
        <w:jc w:val="both"/>
        <w:rPr>
          <w:rFonts w:ascii="Arial" w:hAnsi="Arial" w:cs="Arial"/>
          <w:kern w:val="2"/>
        </w:rPr>
      </w:pPr>
    </w:p>
    <w:p w:rsidR="00144F95" w:rsidRDefault="00144F95" w:rsidP="00D83D8E">
      <w:pPr>
        <w:spacing w:after="240"/>
        <w:contextualSpacing/>
        <w:jc w:val="both"/>
        <w:rPr>
          <w:rFonts w:ascii="Arial" w:hAnsi="Arial" w:cs="Arial"/>
          <w:kern w:val="2"/>
        </w:rPr>
      </w:pPr>
      <w:r w:rsidRPr="00D83D8E">
        <w:rPr>
          <w:rFonts w:ascii="Arial" w:hAnsi="Arial" w:cs="Arial"/>
          <w:kern w:val="2"/>
        </w:rPr>
        <w:t>Ante el fortalecimiento del dólar y la respuesta emprendida por parte del Banco de México de elevar las tasas de interés en el País, se esperaría que el efecto de crecimiento en la economía norteamericana impulse a su vez la situación económica mexicana.</w:t>
      </w:r>
    </w:p>
    <w:p w:rsidR="00D83D8E" w:rsidRPr="00D83D8E" w:rsidRDefault="00D83D8E" w:rsidP="00D83D8E">
      <w:pPr>
        <w:spacing w:after="240"/>
        <w:contextualSpacing/>
        <w:jc w:val="both"/>
        <w:rPr>
          <w:rFonts w:ascii="Arial" w:hAnsi="Arial" w:cs="Arial"/>
          <w:kern w:val="2"/>
        </w:rPr>
      </w:pPr>
    </w:p>
    <w:p w:rsidR="00144F95" w:rsidRPr="00D83D8E" w:rsidRDefault="00144F95" w:rsidP="00D83D8E">
      <w:pPr>
        <w:spacing w:after="240"/>
        <w:contextualSpacing/>
        <w:jc w:val="both"/>
        <w:rPr>
          <w:rFonts w:ascii="Arial" w:hAnsi="Arial" w:cs="Arial"/>
          <w:kern w:val="2"/>
        </w:rPr>
      </w:pPr>
      <w:r w:rsidRPr="00D83D8E">
        <w:rPr>
          <w:rFonts w:ascii="Arial" w:hAnsi="Arial" w:cs="Arial"/>
          <w:kern w:val="2"/>
        </w:rPr>
        <w:t xml:space="preserve">De acuerdo a los Criterios Generales de Política Económica 2016 publicados por la SHCP, la producción de petróleo para 2016 representa un nivel de producción históricamente bajo, ya que la producción adicional que se espera generar no será suficiente para rebasar los 2 mil 247 millones de barriles diarios, cifra que equivale al 4.5 por ciento del PIB. </w:t>
      </w:r>
    </w:p>
    <w:p w:rsidR="00D83D8E" w:rsidRPr="00D83D8E" w:rsidRDefault="00D83D8E" w:rsidP="00D83D8E">
      <w:pPr>
        <w:spacing w:after="240"/>
        <w:contextualSpacing/>
        <w:jc w:val="both"/>
        <w:rPr>
          <w:rFonts w:ascii="Arial" w:hAnsi="Arial" w:cs="Arial"/>
          <w:b/>
          <w:kern w:val="2"/>
          <w:szCs w:val="20"/>
        </w:rPr>
      </w:pPr>
    </w:p>
    <w:p w:rsidR="00E91C2E" w:rsidRDefault="00E91C2E">
      <w:pPr>
        <w:rPr>
          <w:rFonts w:ascii="Arial" w:hAnsi="Arial" w:cs="Arial"/>
          <w:b/>
          <w:kern w:val="2"/>
          <w:szCs w:val="20"/>
        </w:rPr>
      </w:pPr>
      <w:r>
        <w:rPr>
          <w:rFonts w:ascii="Arial" w:hAnsi="Arial" w:cs="Arial"/>
          <w:b/>
          <w:kern w:val="2"/>
          <w:szCs w:val="20"/>
        </w:rPr>
        <w:br w:type="page"/>
      </w:r>
    </w:p>
    <w:p w:rsidR="00144F95" w:rsidRDefault="00D83D8E" w:rsidP="00D83D8E">
      <w:pPr>
        <w:spacing w:after="240"/>
        <w:contextualSpacing/>
        <w:jc w:val="both"/>
        <w:rPr>
          <w:rFonts w:ascii="Arial" w:hAnsi="Arial" w:cs="Arial"/>
          <w:b/>
          <w:kern w:val="2"/>
          <w:szCs w:val="20"/>
        </w:rPr>
      </w:pPr>
      <w:r w:rsidRPr="00D83D8E">
        <w:rPr>
          <w:rFonts w:ascii="Arial" w:hAnsi="Arial" w:cs="Arial"/>
          <w:b/>
          <w:kern w:val="2"/>
          <w:szCs w:val="20"/>
        </w:rPr>
        <w:lastRenderedPageBreak/>
        <w:t xml:space="preserve">2.3.3.- </w:t>
      </w:r>
      <w:r w:rsidR="00E91C2E" w:rsidRPr="00D83D8E">
        <w:rPr>
          <w:rFonts w:ascii="Arial" w:hAnsi="Arial" w:cs="Arial"/>
          <w:b/>
          <w:kern w:val="2"/>
          <w:szCs w:val="20"/>
        </w:rPr>
        <w:t>ENTORNO ESTATAL</w:t>
      </w:r>
    </w:p>
    <w:p w:rsidR="00D83D8E" w:rsidRPr="00D83D8E" w:rsidRDefault="00D83D8E" w:rsidP="00D83D8E">
      <w:pPr>
        <w:spacing w:after="240"/>
        <w:contextualSpacing/>
        <w:jc w:val="both"/>
        <w:rPr>
          <w:rFonts w:ascii="Arial" w:hAnsi="Arial" w:cs="Arial"/>
          <w:b/>
          <w:kern w:val="2"/>
          <w:szCs w:val="20"/>
        </w:rPr>
      </w:pPr>
    </w:p>
    <w:p w:rsidR="00144F95" w:rsidRDefault="00144F95" w:rsidP="00D83D8E">
      <w:pPr>
        <w:spacing w:after="240"/>
        <w:contextualSpacing/>
        <w:jc w:val="both"/>
        <w:rPr>
          <w:rFonts w:ascii="Arial" w:hAnsi="Arial" w:cs="Arial"/>
          <w:kern w:val="2"/>
        </w:rPr>
      </w:pPr>
      <w:r w:rsidRPr="00D83D8E">
        <w:rPr>
          <w:rFonts w:ascii="Arial" w:hAnsi="Arial" w:cs="Arial"/>
          <w:kern w:val="2"/>
          <w:lang w:eastAsia="en-US"/>
        </w:rPr>
        <w:t xml:space="preserve">En 2016 el desempeño de la economía del Estado de Oaxaca podría situarse en niveles de crecimiento menores a los registrados en 2014 y 2015. </w:t>
      </w:r>
      <w:r w:rsidRPr="00D83D8E">
        <w:rPr>
          <w:rFonts w:ascii="Arial" w:hAnsi="Arial" w:cs="Arial"/>
          <w:kern w:val="2"/>
        </w:rPr>
        <w:t xml:space="preserve">Entre los principales factores que podrían obstaculizar el crecimiento económico del estado de Oaxaca se cuentan un menor desempeño de los sectores clave para la economía local como los servicios inmobiliarios, el comercio y la construcción, actividades que en los últimos dos o tres años han registrado en Oaxaca una tendencia decreciente en su ritmo de crecimiento. </w:t>
      </w:r>
    </w:p>
    <w:p w:rsidR="00D83D8E" w:rsidRPr="00D83D8E" w:rsidRDefault="00D83D8E" w:rsidP="00D83D8E">
      <w:pPr>
        <w:spacing w:after="240"/>
        <w:contextualSpacing/>
        <w:jc w:val="both"/>
        <w:rPr>
          <w:rFonts w:ascii="Arial" w:hAnsi="Arial" w:cs="Arial"/>
          <w:kern w:val="2"/>
        </w:rPr>
      </w:pPr>
    </w:p>
    <w:p w:rsidR="00144F95" w:rsidRPr="00D83D8E" w:rsidRDefault="00144F95" w:rsidP="00D83D8E">
      <w:pPr>
        <w:contextualSpacing/>
        <w:jc w:val="both"/>
        <w:rPr>
          <w:rFonts w:ascii="Arial" w:hAnsi="Arial" w:cs="Arial"/>
          <w:kern w:val="2"/>
          <w:lang w:eastAsia="en-US"/>
        </w:rPr>
      </w:pPr>
      <w:r w:rsidRPr="00D83D8E">
        <w:rPr>
          <w:rFonts w:ascii="Arial" w:hAnsi="Arial" w:cs="Arial"/>
          <w:kern w:val="2"/>
          <w:lang w:eastAsia="en-US"/>
        </w:rPr>
        <w:t>Aunque la cifra de desocupación estatal al cierre de 2015 se ubica entre las menores a nivel nacional, el Estado aún carece de fuentes de empleo en varios sectores de su economía. Esto, sumado al relativo deterioro de los ingresos laborales en el estado en los últimos años, podría debilitar el consumo local en el corto plazo.</w:t>
      </w:r>
    </w:p>
    <w:p w:rsidR="00144F95" w:rsidRPr="00D83D8E" w:rsidRDefault="00144F95" w:rsidP="00D83D8E">
      <w:pPr>
        <w:contextualSpacing/>
        <w:jc w:val="both"/>
        <w:rPr>
          <w:rFonts w:ascii="Arial" w:hAnsi="Arial"/>
          <w:b/>
          <w:spacing w:val="20"/>
          <w:kern w:val="2"/>
          <w:lang w:val="es-MX"/>
        </w:rPr>
      </w:pPr>
    </w:p>
    <w:p w:rsidR="00D83D8E" w:rsidRDefault="00D83D8E">
      <w:pPr>
        <w:rPr>
          <w:rFonts w:ascii="Arial" w:hAnsi="Arial" w:cs="Arial"/>
          <w:b/>
          <w:spacing w:val="20"/>
          <w:kern w:val="2"/>
        </w:rPr>
      </w:pPr>
      <w:r>
        <w:rPr>
          <w:rFonts w:ascii="Arial" w:hAnsi="Arial" w:cs="Arial"/>
          <w:b/>
          <w:spacing w:val="20"/>
          <w:kern w:val="2"/>
        </w:rPr>
        <w:br w:type="page"/>
      </w:r>
    </w:p>
    <w:p w:rsidR="003B678C" w:rsidRPr="00D83D8E" w:rsidRDefault="003B678C" w:rsidP="00D83D8E">
      <w:pPr>
        <w:contextualSpacing/>
        <w:jc w:val="both"/>
        <w:rPr>
          <w:rFonts w:ascii="Arial" w:hAnsi="Arial" w:cs="Arial"/>
          <w:b/>
          <w:spacing w:val="20"/>
          <w:kern w:val="2"/>
        </w:rPr>
      </w:pPr>
      <w:r w:rsidRPr="00D83D8E">
        <w:rPr>
          <w:rFonts w:ascii="Arial" w:hAnsi="Arial" w:cs="Arial"/>
          <w:b/>
          <w:spacing w:val="20"/>
          <w:kern w:val="2"/>
        </w:rPr>
        <w:lastRenderedPageBreak/>
        <w:t>3.- RESULTADOS DE LAS OPERACIONES DERIVADAS DE LA APLICACIÓN DE LA LEY DE INGRESOS, E INFORMACIÓN SOBRE LA GESTIÓN Y CUMPLIMIENTO DE SUS PRINCIPALES OBJETIVOS.</w:t>
      </w:r>
    </w:p>
    <w:p w:rsidR="003B678C" w:rsidRPr="00D83D8E" w:rsidRDefault="003B678C" w:rsidP="00D83D8E">
      <w:pPr>
        <w:contextualSpacing/>
        <w:jc w:val="both"/>
        <w:rPr>
          <w:rFonts w:ascii="Arial" w:hAnsi="Arial" w:cs="Arial"/>
          <w:b/>
          <w:spacing w:val="20"/>
          <w:kern w:val="2"/>
        </w:rPr>
      </w:pPr>
    </w:p>
    <w:p w:rsidR="005C3297" w:rsidRPr="00D83D8E" w:rsidRDefault="005C3297" w:rsidP="00D83D8E">
      <w:pPr>
        <w:contextualSpacing/>
        <w:jc w:val="both"/>
        <w:rPr>
          <w:rFonts w:ascii="Arial" w:hAnsi="Arial" w:cs="Arial"/>
          <w:b/>
          <w:spacing w:val="20"/>
          <w:kern w:val="2"/>
        </w:rPr>
      </w:pPr>
      <w:r w:rsidRPr="00D83D8E">
        <w:rPr>
          <w:rFonts w:ascii="Arial" w:hAnsi="Arial" w:cs="Arial"/>
          <w:b/>
          <w:spacing w:val="20"/>
          <w:kern w:val="2"/>
        </w:rPr>
        <w:t>3.1.- REFORMA AL MARCO INSTITUCIONAL EN MATERIA HACENDARIA</w:t>
      </w:r>
    </w:p>
    <w:p w:rsidR="005C3297" w:rsidRPr="00D83D8E" w:rsidRDefault="005C3297" w:rsidP="00D83D8E">
      <w:pPr>
        <w:contextualSpacing/>
        <w:jc w:val="both"/>
        <w:rPr>
          <w:rFonts w:ascii="Arial" w:hAnsi="Arial" w:cs="Arial"/>
          <w:b/>
          <w:spacing w:val="20"/>
          <w:kern w:val="2"/>
        </w:rPr>
      </w:pPr>
    </w:p>
    <w:p w:rsidR="00B27E5F" w:rsidRPr="00D83D8E" w:rsidRDefault="00B27E5F" w:rsidP="00D83D8E">
      <w:pPr>
        <w:contextualSpacing/>
        <w:jc w:val="both"/>
        <w:rPr>
          <w:rFonts w:ascii="Arial" w:hAnsi="Arial" w:cs="Arial"/>
          <w:color w:val="000000"/>
          <w:kern w:val="2"/>
          <w:highlight w:val="yellow"/>
        </w:rPr>
      </w:pPr>
    </w:p>
    <w:p w:rsidR="00B27E5F" w:rsidRPr="00D83D8E" w:rsidRDefault="00B27E5F" w:rsidP="00D83D8E">
      <w:pPr>
        <w:contextualSpacing/>
        <w:jc w:val="both"/>
        <w:rPr>
          <w:rFonts w:ascii="Arial" w:hAnsi="Arial" w:cs="Arial"/>
          <w:color w:val="000000"/>
          <w:kern w:val="2"/>
        </w:rPr>
      </w:pPr>
      <w:r w:rsidRPr="00D83D8E">
        <w:rPr>
          <w:rFonts w:ascii="Arial" w:hAnsi="Arial" w:cs="Arial"/>
          <w:color w:val="000000"/>
          <w:kern w:val="2"/>
        </w:rPr>
        <w:t>En el Plan Estatal de Desarrollo (PED) y  Programa Estatal de Financiamiento para el Desarrollo del Estado de Oaxaca (</w:t>
      </w:r>
      <w:proofErr w:type="spellStart"/>
      <w:r w:rsidRPr="00D83D8E">
        <w:rPr>
          <w:rFonts w:ascii="Arial" w:hAnsi="Arial" w:cs="Arial"/>
          <w:color w:val="000000"/>
          <w:kern w:val="2"/>
        </w:rPr>
        <w:t>Prefide</w:t>
      </w:r>
      <w:proofErr w:type="spellEnd"/>
      <w:r w:rsidRPr="00D83D8E">
        <w:rPr>
          <w:rFonts w:ascii="Arial" w:hAnsi="Arial" w:cs="Arial"/>
          <w:color w:val="000000"/>
          <w:kern w:val="2"/>
        </w:rPr>
        <w:t xml:space="preserve">), se planteó como prioridad la reestructuración de las finanzas públicas, la administración tributaria, además el manejo y control del gasto público. Restructuración que partió de la reforma al marco institucional del Estado en materia hacendaria. </w:t>
      </w:r>
    </w:p>
    <w:p w:rsidR="00B27E5F" w:rsidRPr="00D83D8E" w:rsidRDefault="00B27E5F" w:rsidP="00D83D8E">
      <w:pPr>
        <w:contextualSpacing/>
        <w:jc w:val="both"/>
        <w:rPr>
          <w:rFonts w:ascii="Arial" w:hAnsi="Arial" w:cs="Arial"/>
          <w:color w:val="000000"/>
          <w:kern w:val="2"/>
        </w:rPr>
      </w:pPr>
    </w:p>
    <w:p w:rsidR="005C3297" w:rsidRDefault="00B27E5F" w:rsidP="00D83D8E">
      <w:pPr>
        <w:spacing w:after="200"/>
        <w:contextualSpacing/>
        <w:jc w:val="both"/>
        <w:rPr>
          <w:rFonts w:ascii="Arial" w:hAnsi="Arial" w:cs="Arial"/>
          <w:color w:val="000000"/>
          <w:kern w:val="2"/>
        </w:rPr>
      </w:pPr>
      <w:r w:rsidRPr="00D83D8E">
        <w:rPr>
          <w:rFonts w:ascii="Arial" w:hAnsi="Arial" w:cs="Arial"/>
          <w:color w:val="000000"/>
          <w:kern w:val="2"/>
        </w:rPr>
        <w:t>Al</w:t>
      </w:r>
      <w:r w:rsidR="005C3297" w:rsidRPr="00D83D8E">
        <w:rPr>
          <w:rFonts w:ascii="Arial" w:hAnsi="Arial" w:cs="Arial"/>
          <w:color w:val="000000"/>
          <w:kern w:val="2"/>
        </w:rPr>
        <w:t xml:space="preserve"> inicio de esta administración se realizó un detallado diagnóstico que permitió ubicar los elementos del andamiaje institucional que tenían que ser actualizados o sustituidos, e incluso el de crear nuevos instrumentos.</w:t>
      </w:r>
    </w:p>
    <w:p w:rsidR="00783485" w:rsidRPr="00D83D8E" w:rsidRDefault="00783485" w:rsidP="00D83D8E">
      <w:pPr>
        <w:spacing w:after="200"/>
        <w:contextualSpacing/>
        <w:jc w:val="both"/>
        <w:rPr>
          <w:rFonts w:ascii="Arial" w:hAnsi="Arial" w:cs="Arial"/>
          <w:color w:val="000000"/>
          <w:kern w:val="2"/>
        </w:rPr>
      </w:pPr>
    </w:p>
    <w:p w:rsidR="005C3297" w:rsidRPr="00D83D8E" w:rsidRDefault="005C3297" w:rsidP="00D83D8E">
      <w:pPr>
        <w:tabs>
          <w:tab w:val="num" w:pos="720"/>
        </w:tabs>
        <w:autoSpaceDE w:val="0"/>
        <w:autoSpaceDN w:val="0"/>
        <w:adjustRightInd w:val="0"/>
        <w:contextualSpacing/>
        <w:jc w:val="both"/>
        <w:rPr>
          <w:rFonts w:ascii="Arial" w:hAnsi="Arial" w:cs="Arial"/>
          <w:color w:val="000000"/>
          <w:kern w:val="2"/>
        </w:rPr>
      </w:pPr>
      <w:r w:rsidRPr="00D83D8E">
        <w:rPr>
          <w:rFonts w:ascii="Arial" w:hAnsi="Arial" w:cs="Arial"/>
          <w:color w:val="000000"/>
          <w:kern w:val="2"/>
        </w:rPr>
        <w:t xml:space="preserve">Así, desde el envío del primer paquete económico al Honorable Congreso del Estado, esta administración incluyó importantes reformas fiscales, con lo cual Oaxaca se constituye en un caso exitoso en materia de reformas hacendarias a nivel de gobiernos </w:t>
      </w:r>
      <w:proofErr w:type="spellStart"/>
      <w:r w:rsidRPr="00D83D8E">
        <w:rPr>
          <w:rFonts w:ascii="Arial" w:hAnsi="Arial" w:cs="Arial"/>
          <w:color w:val="000000"/>
          <w:kern w:val="2"/>
        </w:rPr>
        <w:t>subnacionales</w:t>
      </w:r>
      <w:proofErr w:type="spellEnd"/>
      <w:r w:rsidRPr="00D83D8E">
        <w:rPr>
          <w:rFonts w:ascii="Arial" w:hAnsi="Arial" w:cs="Arial"/>
          <w:color w:val="000000"/>
          <w:kern w:val="2"/>
        </w:rPr>
        <w:t xml:space="preserve">. </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F77A43" w:rsidRPr="00D83D8E" w:rsidRDefault="00F77A43" w:rsidP="00D83D8E">
      <w:pPr>
        <w:contextualSpacing/>
        <w:jc w:val="both"/>
        <w:rPr>
          <w:rFonts w:ascii="Arial" w:hAnsi="Arial" w:cs="Arial"/>
          <w:spacing w:val="20"/>
          <w:kern w:val="2"/>
          <w:highlight w:val="yellow"/>
        </w:rPr>
      </w:pPr>
    </w:p>
    <w:p w:rsidR="00F77A43" w:rsidRPr="00D83D8E" w:rsidRDefault="00F77A43" w:rsidP="00D83D8E">
      <w:pPr>
        <w:contextualSpacing/>
        <w:jc w:val="both"/>
        <w:rPr>
          <w:rFonts w:ascii="Arial" w:hAnsi="Arial" w:cs="Arial"/>
          <w:spacing w:val="20"/>
          <w:kern w:val="2"/>
          <w:highlight w:val="yellow"/>
        </w:rPr>
      </w:pPr>
    </w:p>
    <w:p w:rsidR="005C3297" w:rsidRPr="00D83D8E" w:rsidRDefault="005C3297" w:rsidP="00D83D8E">
      <w:pPr>
        <w:contextualSpacing/>
        <w:jc w:val="both"/>
        <w:rPr>
          <w:rFonts w:ascii="Arial" w:hAnsi="Arial" w:cs="Arial"/>
          <w:spacing w:val="20"/>
          <w:kern w:val="2"/>
          <w:highlight w:val="yellow"/>
        </w:rPr>
      </w:pPr>
    </w:p>
    <w:p w:rsidR="00FA56FD" w:rsidRDefault="00FA56FD" w:rsidP="00D83D8E">
      <w:pPr>
        <w:contextualSpacing/>
        <w:jc w:val="both"/>
        <w:rPr>
          <w:rFonts w:ascii="Arial" w:hAnsi="Arial" w:cs="Arial"/>
          <w:b/>
          <w:spacing w:val="20"/>
          <w:kern w:val="2"/>
        </w:rPr>
      </w:pPr>
    </w:p>
    <w:p w:rsidR="00FA56FD" w:rsidRDefault="00FA56FD" w:rsidP="00D83D8E">
      <w:pPr>
        <w:contextualSpacing/>
        <w:jc w:val="both"/>
        <w:rPr>
          <w:rFonts w:ascii="Arial" w:hAnsi="Arial" w:cs="Arial"/>
          <w:b/>
          <w:spacing w:val="20"/>
          <w:kern w:val="2"/>
        </w:rPr>
      </w:pPr>
    </w:p>
    <w:p w:rsidR="00FA56FD" w:rsidRDefault="00FA56FD" w:rsidP="00D83D8E">
      <w:pPr>
        <w:contextualSpacing/>
        <w:jc w:val="both"/>
        <w:rPr>
          <w:rFonts w:ascii="Arial" w:hAnsi="Arial" w:cs="Arial"/>
          <w:b/>
          <w:spacing w:val="20"/>
          <w:kern w:val="2"/>
        </w:rPr>
      </w:pPr>
    </w:p>
    <w:p w:rsidR="00FA56FD" w:rsidRDefault="00FA56FD" w:rsidP="00D83D8E">
      <w:pPr>
        <w:contextualSpacing/>
        <w:jc w:val="both"/>
        <w:rPr>
          <w:rFonts w:ascii="Arial" w:hAnsi="Arial" w:cs="Arial"/>
          <w:b/>
          <w:spacing w:val="20"/>
          <w:kern w:val="2"/>
        </w:rPr>
      </w:pPr>
    </w:p>
    <w:p w:rsidR="005C3297" w:rsidRPr="00D83D8E" w:rsidRDefault="005C3297" w:rsidP="00D83D8E">
      <w:pPr>
        <w:contextualSpacing/>
        <w:jc w:val="both"/>
        <w:rPr>
          <w:rFonts w:ascii="Arial" w:hAnsi="Arial" w:cs="Arial"/>
          <w:b/>
          <w:spacing w:val="20"/>
          <w:kern w:val="2"/>
        </w:rPr>
      </w:pPr>
      <w:r w:rsidRPr="00D83D8E">
        <w:rPr>
          <w:rFonts w:ascii="Arial" w:hAnsi="Arial" w:cs="Arial"/>
          <w:b/>
          <w:spacing w:val="20"/>
          <w:kern w:val="2"/>
        </w:rPr>
        <w:lastRenderedPageBreak/>
        <w:t>Reformas al marco institucional hacendario, 2011-201</w:t>
      </w:r>
      <w:r w:rsidR="00DB1B3C" w:rsidRPr="00D83D8E">
        <w:rPr>
          <w:rFonts w:ascii="Arial" w:hAnsi="Arial" w:cs="Arial"/>
          <w:b/>
          <w:spacing w:val="20"/>
          <w:kern w:val="2"/>
        </w:rPr>
        <w:t>5</w:t>
      </w:r>
    </w:p>
    <w:p w:rsidR="00DB1B3C" w:rsidRPr="00D83D8E" w:rsidRDefault="00DB1B3C" w:rsidP="00D83D8E">
      <w:pPr>
        <w:contextualSpacing/>
        <w:jc w:val="both"/>
        <w:rPr>
          <w:rFonts w:ascii="Arial" w:hAnsi="Arial" w:cs="Arial"/>
          <w:b/>
          <w:spacing w:val="20"/>
          <w:kern w:val="2"/>
        </w:rPr>
      </w:pPr>
    </w:p>
    <w:p w:rsidR="00F77A43" w:rsidRPr="00D83D8E" w:rsidRDefault="00F77A43" w:rsidP="00D83D8E">
      <w:pPr>
        <w:contextualSpacing/>
        <w:jc w:val="both"/>
        <w:rPr>
          <w:rFonts w:ascii="Arial Black" w:hAnsi="Arial Black"/>
          <w:b/>
          <w:kern w:val="2"/>
        </w:rPr>
      </w:pPr>
    </w:p>
    <w:tbl>
      <w:tblPr>
        <w:tblW w:w="10632" w:type="dxa"/>
        <w:tblInd w:w="-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985"/>
        <w:gridCol w:w="2126"/>
        <w:gridCol w:w="1985"/>
        <w:gridCol w:w="2268"/>
        <w:gridCol w:w="2268"/>
      </w:tblGrid>
      <w:tr w:rsidR="00901E06" w:rsidRPr="00D83D8E" w:rsidTr="00901E06">
        <w:trPr>
          <w:trHeight w:val="603"/>
        </w:trPr>
        <w:tc>
          <w:tcPr>
            <w:tcW w:w="1985" w:type="dxa"/>
            <w:shd w:val="clear" w:color="auto" w:fill="8B814F"/>
            <w:tcMar>
              <w:top w:w="72" w:type="dxa"/>
              <w:left w:w="144" w:type="dxa"/>
              <w:bottom w:w="72" w:type="dxa"/>
              <w:right w:w="144" w:type="dxa"/>
            </w:tcMar>
            <w:vAlign w:val="center"/>
            <w:hideMark/>
          </w:tcPr>
          <w:p w:rsidR="00901E06" w:rsidRPr="00D83D8E" w:rsidRDefault="00901E06" w:rsidP="00D83D8E">
            <w:pPr>
              <w:contextualSpacing/>
              <w:jc w:val="center"/>
              <w:rPr>
                <w:rFonts w:ascii="Arial" w:hAnsi="Arial" w:cs="Arial"/>
                <w:color w:val="FFFFFF"/>
                <w:kern w:val="2"/>
              </w:rPr>
            </w:pPr>
            <w:r w:rsidRPr="00D83D8E">
              <w:rPr>
                <w:rFonts w:ascii="Arial" w:hAnsi="Arial" w:cs="Arial"/>
                <w:b/>
                <w:bCs/>
                <w:color w:val="FFFFFF"/>
                <w:kern w:val="2"/>
              </w:rPr>
              <w:t>2011</w:t>
            </w:r>
          </w:p>
        </w:tc>
        <w:tc>
          <w:tcPr>
            <w:tcW w:w="2126" w:type="dxa"/>
            <w:shd w:val="clear" w:color="auto" w:fill="8B814F"/>
            <w:tcMar>
              <w:top w:w="72" w:type="dxa"/>
              <w:left w:w="144" w:type="dxa"/>
              <w:bottom w:w="72" w:type="dxa"/>
              <w:right w:w="144" w:type="dxa"/>
            </w:tcMar>
            <w:vAlign w:val="center"/>
            <w:hideMark/>
          </w:tcPr>
          <w:p w:rsidR="00901E06" w:rsidRPr="00D83D8E" w:rsidRDefault="00901E06" w:rsidP="00D83D8E">
            <w:pPr>
              <w:contextualSpacing/>
              <w:jc w:val="center"/>
              <w:rPr>
                <w:rFonts w:ascii="Arial" w:hAnsi="Arial" w:cs="Arial"/>
                <w:color w:val="FFFFFF"/>
                <w:kern w:val="2"/>
              </w:rPr>
            </w:pPr>
            <w:r w:rsidRPr="00D83D8E">
              <w:rPr>
                <w:rFonts w:ascii="Arial" w:hAnsi="Arial" w:cs="Arial"/>
                <w:b/>
                <w:bCs/>
                <w:color w:val="FFFFFF"/>
                <w:kern w:val="2"/>
              </w:rPr>
              <w:t>2012</w:t>
            </w:r>
          </w:p>
        </w:tc>
        <w:tc>
          <w:tcPr>
            <w:tcW w:w="1985" w:type="dxa"/>
            <w:shd w:val="clear" w:color="auto" w:fill="8B814F"/>
            <w:tcMar>
              <w:top w:w="72" w:type="dxa"/>
              <w:left w:w="144" w:type="dxa"/>
              <w:bottom w:w="72" w:type="dxa"/>
              <w:right w:w="144" w:type="dxa"/>
            </w:tcMar>
            <w:vAlign w:val="center"/>
            <w:hideMark/>
          </w:tcPr>
          <w:p w:rsidR="00901E06" w:rsidRPr="00D83D8E" w:rsidRDefault="00901E06" w:rsidP="00D83D8E">
            <w:pPr>
              <w:contextualSpacing/>
              <w:jc w:val="center"/>
              <w:rPr>
                <w:rFonts w:ascii="Arial" w:hAnsi="Arial" w:cs="Arial"/>
                <w:color w:val="FFFFFF"/>
                <w:kern w:val="2"/>
              </w:rPr>
            </w:pPr>
            <w:r w:rsidRPr="00D83D8E">
              <w:rPr>
                <w:rFonts w:ascii="Arial" w:hAnsi="Arial" w:cs="Arial"/>
                <w:b/>
                <w:bCs/>
                <w:color w:val="FFFFFF"/>
                <w:kern w:val="2"/>
              </w:rPr>
              <w:t>2013</w:t>
            </w:r>
          </w:p>
        </w:tc>
        <w:tc>
          <w:tcPr>
            <w:tcW w:w="2268" w:type="dxa"/>
            <w:shd w:val="clear" w:color="auto" w:fill="8B814F"/>
            <w:vAlign w:val="center"/>
          </w:tcPr>
          <w:p w:rsidR="00901E06" w:rsidRPr="00D83D8E" w:rsidRDefault="00901E06" w:rsidP="00D83D8E">
            <w:pPr>
              <w:contextualSpacing/>
              <w:jc w:val="center"/>
              <w:rPr>
                <w:rFonts w:ascii="Arial" w:hAnsi="Arial" w:cs="Arial"/>
                <w:color w:val="FFFFFF"/>
                <w:kern w:val="2"/>
              </w:rPr>
            </w:pPr>
            <w:r w:rsidRPr="00D83D8E">
              <w:rPr>
                <w:rFonts w:ascii="Arial" w:hAnsi="Arial" w:cs="Arial"/>
                <w:b/>
                <w:bCs/>
                <w:color w:val="FFFFFF"/>
                <w:kern w:val="2"/>
              </w:rPr>
              <w:t>2014</w:t>
            </w:r>
          </w:p>
        </w:tc>
        <w:tc>
          <w:tcPr>
            <w:tcW w:w="2268" w:type="dxa"/>
            <w:shd w:val="clear" w:color="auto" w:fill="8B814F"/>
            <w:vAlign w:val="center"/>
          </w:tcPr>
          <w:p w:rsidR="00901E06" w:rsidRPr="00D83D8E" w:rsidRDefault="00901E06" w:rsidP="00D83D8E">
            <w:pPr>
              <w:contextualSpacing/>
              <w:jc w:val="center"/>
              <w:rPr>
                <w:rFonts w:ascii="Arial" w:hAnsi="Arial" w:cs="Arial"/>
                <w:b/>
                <w:bCs/>
                <w:color w:val="FFFFFF"/>
                <w:kern w:val="2"/>
              </w:rPr>
            </w:pPr>
            <w:r w:rsidRPr="00D83D8E">
              <w:rPr>
                <w:rFonts w:ascii="Arial" w:hAnsi="Arial" w:cs="Arial"/>
                <w:b/>
                <w:bCs/>
                <w:color w:val="FFFFFF"/>
                <w:kern w:val="2"/>
              </w:rPr>
              <w:t>2015</w:t>
            </w:r>
          </w:p>
        </w:tc>
      </w:tr>
      <w:tr w:rsidR="00901E06" w:rsidRPr="00D83D8E" w:rsidTr="00901E06">
        <w:trPr>
          <w:trHeight w:val="20"/>
        </w:trPr>
        <w:tc>
          <w:tcPr>
            <w:tcW w:w="1985" w:type="dxa"/>
            <w:shd w:val="clear" w:color="auto" w:fill="F2F2F2"/>
            <w:tcMar>
              <w:top w:w="72" w:type="dxa"/>
              <w:left w:w="144" w:type="dxa"/>
              <w:bottom w:w="72" w:type="dxa"/>
              <w:right w:w="144" w:type="dxa"/>
            </w:tcMar>
            <w:hideMark/>
          </w:tcPr>
          <w:p w:rsidR="00901E06" w:rsidRPr="00D83D8E" w:rsidRDefault="00901E06" w:rsidP="00D83D8E">
            <w:pPr>
              <w:contextualSpacing/>
              <w:jc w:val="both"/>
              <w:rPr>
                <w:rFonts w:ascii="Arial" w:hAnsi="Arial" w:cs="Arial"/>
                <w:b/>
                <w:color w:val="000000"/>
                <w:kern w:val="2"/>
                <w:sz w:val="14"/>
                <w:szCs w:val="14"/>
                <w:lang w:eastAsia="es-MX"/>
              </w:rPr>
            </w:pPr>
            <w:r w:rsidRPr="00D83D8E">
              <w:rPr>
                <w:rFonts w:ascii="Arial" w:hAnsi="Arial" w:cs="Arial"/>
                <w:b/>
                <w:color w:val="000000"/>
                <w:kern w:val="2"/>
                <w:sz w:val="14"/>
                <w:szCs w:val="14"/>
                <w:lang w:eastAsia="es-MX"/>
              </w:rPr>
              <w:t>Se promulgaron las siguientes disposiciones legales:</w:t>
            </w:r>
          </w:p>
          <w:p w:rsidR="00901E06" w:rsidRPr="00D83D8E" w:rsidRDefault="00901E06" w:rsidP="00D83D8E">
            <w:pPr>
              <w:contextualSpacing/>
              <w:jc w:val="both"/>
              <w:rPr>
                <w:rFonts w:ascii="Arial" w:hAnsi="Arial" w:cs="Arial"/>
                <w:b/>
                <w:color w:val="000000"/>
                <w:kern w:val="2"/>
                <w:sz w:val="14"/>
                <w:szCs w:val="14"/>
                <w:lang w:eastAsia="es-MX"/>
              </w:rPr>
            </w:pPr>
          </w:p>
          <w:p w:rsidR="00901E06" w:rsidRPr="00D83D8E" w:rsidRDefault="00901E06" w:rsidP="00D83D8E">
            <w:pPr>
              <w:contextualSpacing/>
              <w:jc w:val="both"/>
              <w:rPr>
                <w:rFonts w:ascii="Arial" w:hAnsi="Arial" w:cs="Arial"/>
                <w:color w:val="000000"/>
                <w:kern w:val="2"/>
                <w:sz w:val="14"/>
                <w:szCs w:val="14"/>
                <w:lang w:eastAsia="es-MX"/>
              </w:rPr>
            </w:pPr>
          </w:p>
          <w:p w:rsidR="00901E06" w:rsidRPr="00D83D8E" w:rsidRDefault="00901E06" w:rsidP="002F6527">
            <w:pPr>
              <w:numPr>
                <w:ilvl w:val="0"/>
                <w:numId w:val="5"/>
              </w:numPr>
              <w:tabs>
                <w:tab w:val="clear" w:pos="360"/>
                <w:tab w:val="num" w:pos="284"/>
              </w:tabs>
              <w:spacing w:after="200"/>
              <w:ind w:left="284" w:hanging="284"/>
              <w:contextualSpacing/>
              <w:jc w:val="both"/>
              <w:rPr>
                <w:rFonts w:ascii="Arial" w:hAnsi="Arial" w:cs="Arial"/>
                <w:kern w:val="2"/>
                <w:sz w:val="14"/>
                <w:szCs w:val="14"/>
              </w:rPr>
            </w:pPr>
            <w:r w:rsidRPr="00D83D8E">
              <w:rPr>
                <w:rFonts w:ascii="Arial" w:hAnsi="Arial" w:cs="Arial"/>
                <w:kern w:val="2"/>
                <w:sz w:val="14"/>
                <w:szCs w:val="14"/>
              </w:rPr>
              <w:t>Impuesto Estatal Sobre la Tenencia Vehicular.</w:t>
            </w:r>
          </w:p>
          <w:p w:rsidR="00901E06" w:rsidRPr="00D83D8E" w:rsidRDefault="00901E06" w:rsidP="002F6527">
            <w:pPr>
              <w:pStyle w:val="Prrafodelista"/>
              <w:numPr>
                <w:ilvl w:val="0"/>
                <w:numId w:val="5"/>
              </w:numPr>
              <w:tabs>
                <w:tab w:val="clear" w:pos="360"/>
                <w:tab w:val="num" w:pos="282"/>
              </w:tabs>
              <w:spacing w:after="200"/>
              <w:ind w:left="282" w:hanging="284"/>
              <w:contextualSpacing/>
              <w:jc w:val="both"/>
              <w:rPr>
                <w:rFonts w:ascii="Arial" w:hAnsi="Arial" w:cs="Arial"/>
                <w:kern w:val="2"/>
                <w:sz w:val="14"/>
                <w:szCs w:val="14"/>
              </w:rPr>
            </w:pPr>
            <w:r w:rsidRPr="00D83D8E">
              <w:rPr>
                <w:rFonts w:ascii="Arial" w:hAnsi="Arial" w:cs="Arial"/>
                <w:kern w:val="2"/>
                <w:sz w:val="14"/>
                <w:szCs w:val="14"/>
              </w:rPr>
              <w:t>Se amplió la base del Impuesto sobre la prestación de servicios de Hospedaje</w:t>
            </w:r>
          </w:p>
        </w:tc>
        <w:tc>
          <w:tcPr>
            <w:tcW w:w="2126" w:type="dxa"/>
            <w:shd w:val="clear" w:color="auto" w:fill="F2F2F2"/>
            <w:tcMar>
              <w:top w:w="72" w:type="dxa"/>
              <w:left w:w="144" w:type="dxa"/>
              <w:bottom w:w="72" w:type="dxa"/>
              <w:right w:w="144" w:type="dxa"/>
            </w:tcMar>
            <w:hideMark/>
          </w:tcPr>
          <w:p w:rsidR="00901E06" w:rsidRPr="00D83D8E" w:rsidRDefault="00901E06" w:rsidP="00D83D8E">
            <w:pPr>
              <w:contextualSpacing/>
              <w:jc w:val="both"/>
              <w:rPr>
                <w:rFonts w:ascii="Arial" w:hAnsi="Arial" w:cs="Arial"/>
                <w:b/>
                <w:color w:val="000000"/>
                <w:kern w:val="2"/>
                <w:sz w:val="14"/>
                <w:szCs w:val="14"/>
                <w:lang w:eastAsia="es-MX"/>
              </w:rPr>
            </w:pPr>
            <w:r w:rsidRPr="00D83D8E">
              <w:rPr>
                <w:rFonts w:ascii="Arial" w:hAnsi="Arial" w:cs="Arial"/>
                <w:b/>
                <w:color w:val="000000"/>
                <w:kern w:val="2"/>
                <w:sz w:val="14"/>
                <w:szCs w:val="14"/>
                <w:lang w:eastAsia="es-MX"/>
              </w:rPr>
              <w:t>Se promulgaron las siguientes disposiciones legales:</w:t>
            </w:r>
          </w:p>
          <w:p w:rsidR="00901E06" w:rsidRPr="00D83D8E" w:rsidRDefault="00901E06" w:rsidP="00D83D8E">
            <w:pPr>
              <w:ind w:left="423"/>
              <w:contextualSpacing/>
              <w:jc w:val="both"/>
              <w:rPr>
                <w:rFonts w:ascii="Arial" w:hAnsi="Arial" w:cs="Arial"/>
                <w:color w:val="000000"/>
                <w:kern w:val="2"/>
                <w:sz w:val="14"/>
                <w:szCs w:val="14"/>
                <w:lang w:eastAsia="es-MX"/>
              </w:rPr>
            </w:pPr>
          </w:p>
          <w:p w:rsidR="00901E06" w:rsidRPr="00D83D8E" w:rsidRDefault="00901E06" w:rsidP="002F6527">
            <w:pPr>
              <w:numPr>
                <w:ilvl w:val="0"/>
                <w:numId w:val="5"/>
              </w:numPr>
              <w:tabs>
                <w:tab w:val="clear" w:pos="360"/>
                <w:tab w:val="num" w:pos="423"/>
              </w:tabs>
              <w:spacing w:after="200"/>
              <w:ind w:left="423" w:hanging="284"/>
              <w:contextualSpacing/>
              <w:jc w:val="both"/>
              <w:rPr>
                <w:rFonts w:ascii="Arial" w:hAnsi="Arial" w:cs="Arial"/>
                <w:color w:val="000000"/>
                <w:kern w:val="2"/>
                <w:sz w:val="14"/>
                <w:szCs w:val="14"/>
                <w:lang w:eastAsia="es-MX"/>
              </w:rPr>
            </w:pPr>
            <w:r w:rsidRPr="00D83D8E">
              <w:rPr>
                <w:rFonts w:ascii="Arial" w:hAnsi="Arial" w:cs="Arial"/>
                <w:color w:val="000000"/>
                <w:kern w:val="2"/>
                <w:sz w:val="14"/>
                <w:szCs w:val="14"/>
                <w:lang w:eastAsia="es-MX"/>
              </w:rPr>
              <w:t xml:space="preserve"> Ley Estatal de Presupuesto y Responsabilidad Hacendaria.</w:t>
            </w:r>
          </w:p>
          <w:p w:rsidR="00901E06" w:rsidRPr="00D83D8E" w:rsidRDefault="00901E06" w:rsidP="002F6527">
            <w:pPr>
              <w:numPr>
                <w:ilvl w:val="0"/>
                <w:numId w:val="5"/>
              </w:numPr>
              <w:tabs>
                <w:tab w:val="clear" w:pos="360"/>
                <w:tab w:val="num" w:pos="423"/>
              </w:tabs>
              <w:spacing w:after="200"/>
              <w:ind w:left="423" w:hanging="284"/>
              <w:contextualSpacing/>
              <w:jc w:val="both"/>
              <w:rPr>
                <w:rFonts w:ascii="Arial" w:hAnsi="Arial" w:cs="Arial"/>
                <w:color w:val="000000"/>
                <w:kern w:val="2"/>
                <w:sz w:val="14"/>
                <w:szCs w:val="14"/>
                <w:lang w:eastAsia="es-MX"/>
              </w:rPr>
            </w:pPr>
            <w:r w:rsidRPr="00D83D8E">
              <w:rPr>
                <w:rFonts w:ascii="Arial" w:hAnsi="Arial" w:cs="Arial"/>
                <w:color w:val="000000"/>
                <w:kern w:val="2"/>
                <w:sz w:val="14"/>
                <w:szCs w:val="14"/>
                <w:lang w:eastAsia="es-MX"/>
              </w:rPr>
              <w:t xml:space="preserve"> Ley de Deuda Pública. </w:t>
            </w:r>
          </w:p>
          <w:p w:rsidR="00901E06" w:rsidRPr="00D83D8E" w:rsidRDefault="00901E06" w:rsidP="002F6527">
            <w:pPr>
              <w:numPr>
                <w:ilvl w:val="0"/>
                <w:numId w:val="5"/>
              </w:numPr>
              <w:tabs>
                <w:tab w:val="clear" w:pos="360"/>
                <w:tab w:val="num" w:pos="423"/>
              </w:tabs>
              <w:spacing w:after="200"/>
              <w:ind w:left="423" w:hanging="284"/>
              <w:contextualSpacing/>
              <w:jc w:val="both"/>
              <w:rPr>
                <w:rFonts w:ascii="Arial" w:hAnsi="Arial" w:cs="Arial"/>
                <w:color w:val="000000"/>
                <w:kern w:val="2"/>
                <w:sz w:val="14"/>
                <w:szCs w:val="14"/>
                <w:lang w:eastAsia="es-MX"/>
              </w:rPr>
            </w:pPr>
            <w:r w:rsidRPr="00D83D8E">
              <w:rPr>
                <w:rFonts w:ascii="Arial" w:hAnsi="Arial" w:cs="Arial"/>
                <w:color w:val="000000"/>
                <w:kern w:val="2"/>
                <w:sz w:val="14"/>
                <w:szCs w:val="14"/>
                <w:lang w:eastAsia="es-MX"/>
              </w:rPr>
              <w:t xml:space="preserve"> Ley Estatal de Derechos. </w:t>
            </w:r>
          </w:p>
          <w:p w:rsidR="00901E06" w:rsidRPr="00D83D8E" w:rsidRDefault="00901E06" w:rsidP="002F6527">
            <w:pPr>
              <w:numPr>
                <w:ilvl w:val="0"/>
                <w:numId w:val="5"/>
              </w:numPr>
              <w:tabs>
                <w:tab w:val="clear" w:pos="360"/>
                <w:tab w:val="num" w:pos="423"/>
              </w:tabs>
              <w:spacing w:after="200"/>
              <w:ind w:left="423" w:hanging="284"/>
              <w:contextualSpacing/>
              <w:jc w:val="both"/>
              <w:rPr>
                <w:rFonts w:ascii="Arial" w:hAnsi="Arial" w:cs="Arial"/>
                <w:color w:val="000000"/>
                <w:kern w:val="2"/>
                <w:sz w:val="14"/>
                <w:szCs w:val="14"/>
                <w:lang w:eastAsia="es-MX"/>
              </w:rPr>
            </w:pPr>
            <w:r w:rsidRPr="00D83D8E">
              <w:rPr>
                <w:rFonts w:ascii="Arial" w:hAnsi="Arial" w:cs="Arial"/>
                <w:color w:val="000000"/>
                <w:kern w:val="2"/>
                <w:sz w:val="14"/>
                <w:szCs w:val="14"/>
                <w:lang w:eastAsia="es-MX"/>
              </w:rPr>
              <w:t xml:space="preserve">Ley de Pensiones para los Empleados del Gobierno del Estado de Oaxaca. </w:t>
            </w:r>
          </w:p>
          <w:p w:rsidR="00901E06" w:rsidRPr="00D83D8E" w:rsidRDefault="00901E06" w:rsidP="002F6527">
            <w:pPr>
              <w:numPr>
                <w:ilvl w:val="0"/>
                <w:numId w:val="5"/>
              </w:numPr>
              <w:tabs>
                <w:tab w:val="clear" w:pos="360"/>
                <w:tab w:val="num" w:pos="423"/>
              </w:tabs>
              <w:spacing w:after="200"/>
              <w:ind w:left="423" w:hanging="284"/>
              <w:contextualSpacing/>
              <w:jc w:val="both"/>
              <w:rPr>
                <w:rFonts w:ascii="Arial" w:hAnsi="Arial" w:cs="Arial"/>
                <w:color w:val="000000"/>
                <w:kern w:val="2"/>
                <w:sz w:val="14"/>
                <w:szCs w:val="14"/>
                <w:lang w:eastAsia="es-MX"/>
              </w:rPr>
            </w:pPr>
            <w:r w:rsidRPr="00D83D8E">
              <w:rPr>
                <w:rFonts w:ascii="Arial" w:hAnsi="Arial" w:cs="Arial"/>
                <w:color w:val="000000"/>
                <w:kern w:val="2"/>
                <w:sz w:val="14"/>
                <w:szCs w:val="14"/>
                <w:lang w:eastAsia="es-MX"/>
              </w:rPr>
              <w:t xml:space="preserve">Creación del Impuesto Sobre Demasías Caducas. </w:t>
            </w:r>
          </w:p>
          <w:p w:rsidR="00901E06" w:rsidRPr="00D83D8E" w:rsidRDefault="00901E06" w:rsidP="002F6527">
            <w:pPr>
              <w:numPr>
                <w:ilvl w:val="0"/>
                <w:numId w:val="5"/>
              </w:numPr>
              <w:tabs>
                <w:tab w:val="clear" w:pos="360"/>
                <w:tab w:val="num" w:pos="423"/>
              </w:tabs>
              <w:spacing w:after="200"/>
              <w:ind w:left="423" w:hanging="284"/>
              <w:contextualSpacing/>
              <w:jc w:val="both"/>
              <w:rPr>
                <w:rFonts w:ascii="Arial" w:hAnsi="Arial" w:cs="Arial"/>
                <w:color w:val="000000"/>
                <w:kern w:val="2"/>
                <w:sz w:val="14"/>
                <w:szCs w:val="14"/>
                <w:lang w:eastAsia="es-MX"/>
              </w:rPr>
            </w:pPr>
            <w:r w:rsidRPr="00D83D8E">
              <w:rPr>
                <w:rFonts w:ascii="Arial" w:hAnsi="Arial" w:cs="Arial"/>
                <w:color w:val="000000"/>
                <w:kern w:val="2"/>
                <w:sz w:val="14"/>
                <w:szCs w:val="14"/>
                <w:lang w:eastAsia="es-MX"/>
              </w:rPr>
              <w:t>Eliminación de exenciones al Impuesto Sobre Nóminas.</w:t>
            </w:r>
          </w:p>
          <w:p w:rsidR="00901E06" w:rsidRPr="00D83D8E" w:rsidRDefault="00901E06" w:rsidP="002F6527">
            <w:pPr>
              <w:numPr>
                <w:ilvl w:val="0"/>
                <w:numId w:val="5"/>
              </w:numPr>
              <w:tabs>
                <w:tab w:val="clear" w:pos="360"/>
                <w:tab w:val="num" w:pos="423"/>
              </w:tabs>
              <w:spacing w:after="200"/>
              <w:ind w:left="423" w:hanging="284"/>
              <w:contextualSpacing/>
              <w:jc w:val="both"/>
              <w:rPr>
                <w:rFonts w:ascii="Arial" w:hAnsi="Arial" w:cs="Arial"/>
                <w:color w:val="000000"/>
                <w:kern w:val="2"/>
                <w:sz w:val="14"/>
                <w:szCs w:val="14"/>
                <w:lang w:eastAsia="es-MX"/>
              </w:rPr>
            </w:pPr>
            <w:r w:rsidRPr="00D83D8E">
              <w:rPr>
                <w:rFonts w:ascii="Arial" w:hAnsi="Arial" w:cs="Arial"/>
                <w:color w:val="000000"/>
                <w:kern w:val="2"/>
                <w:sz w:val="14"/>
                <w:szCs w:val="14"/>
                <w:lang w:eastAsia="es-MX"/>
              </w:rPr>
              <w:t>Actualización de las cuotas por suministro de agua potable.</w:t>
            </w:r>
          </w:p>
          <w:p w:rsidR="00901E06" w:rsidRPr="00D83D8E" w:rsidRDefault="00901E06" w:rsidP="00D83D8E">
            <w:pPr>
              <w:ind w:left="139"/>
              <w:contextualSpacing/>
              <w:jc w:val="both"/>
              <w:rPr>
                <w:rFonts w:ascii="Arial" w:hAnsi="Arial" w:cs="Arial"/>
                <w:color w:val="000000"/>
                <w:kern w:val="2"/>
                <w:sz w:val="14"/>
                <w:szCs w:val="14"/>
                <w:lang w:eastAsia="es-MX"/>
              </w:rPr>
            </w:pPr>
          </w:p>
        </w:tc>
        <w:tc>
          <w:tcPr>
            <w:tcW w:w="1985" w:type="dxa"/>
            <w:shd w:val="clear" w:color="auto" w:fill="F2F2F2"/>
            <w:tcMar>
              <w:top w:w="72" w:type="dxa"/>
              <w:left w:w="144" w:type="dxa"/>
              <w:bottom w:w="72" w:type="dxa"/>
              <w:right w:w="144" w:type="dxa"/>
            </w:tcMar>
            <w:hideMark/>
          </w:tcPr>
          <w:p w:rsidR="00901E06" w:rsidRPr="00D83D8E" w:rsidRDefault="00901E06" w:rsidP="00D83D8E">
            <w:pPr>
              <w:contextualSpacing/>
              <w:jc w:val="both"/>
              <w:rPr>
                <w:rFonts w:ascii="Arial" w:hAnsi="Arial" w:cs="Arial"/>
                <w:b/>
                <w:color w:val="000000"/>
                <w:kern w:val="2"/>
                <w:sz w:val="14"/>
                <w:szCs w:val="14"/>
                <w:lang w:eastAsia="es-MX"/>
              </w:rPr>
            </w:pPr>
            <w:r w:rsidRPr="00D83D8E">
              <w:rPr>
                <w:rFonts w:ascii="Arial" w:hAnsi="Arial" w:cs="Arial"/>
                <w:b/>
                <w:color w:val="000000"/>
                <w:kern w:val="2"/>
                <w:sz w:val="14"/>
                <w:szCs w:val="14"/>
                <w:lang w:eastAsia="es-MX"/>
              </w:rPr>
              <w:t>Se promulgaron las siguientes disposiciones legales:</w:t>
            </w:r>
          </w:p>
          <w:p w:rsidR="00901E06" w:rsidRPr="00D83D8E" w:rsidRDefault="00901E06" w:rsidP="00D83D8E">
            <w:pPr>
              <w:contextualSpacing/>
              <w:jc w:val="both"/>
              <w:rPr>
                <w:rFonts w:ascii="Arial" w:hAnsi="Arial" w:cs="Arial"/>
                <w:b/>
                <w:color w:val="000000"/>
                <w:kern w:val="2"/>
                <w:sz w:val="14"/>
                <w:szCs w:val="14"/>
                <w:lang w:eastAsia="es-MX"/>
              </w:rPr>
            </w:pPr>
          </w:p>
          <w:p w:rsidR="00901E06" w:rsidRPr="00D83D8E" w:rsidRDefault="00901E06" w:rsidP="002F6527">
            <w:pPr>
              <w:numPr>
                <w:ilvl w:val="0"/>
                <w:numId w:val="5"/>
              </w:numPr>
              <w:tabs>
                <w:tab w:val="clear" w:pos="360"/>
                <w:tab w:val="num" w:pos="281"/>
              </w:tabs>
              <w:spacing w:after="200"/>
              <w:ind w:left="281" w:hanging="283"/>
              <w:contextualSpacing/>
              <w:jc w:val="both"/>
              <w:rPr>
                <w:rFonts w:ascii="Arial" w:hAnsi="Arial" w:cs="Arial"/>
                <w:kern w:val="2"/>
                <w:sz w:val="14"/>
                <w:szCs w:val="14"/>
              </w:rPr>
            </w:pPr>
            <w:r w:rsidRPr="00D83D8E">
              <w:rPr>
                <w:rFonts w:ascii="Arial" w:hAnsi="Arial" w:cs="Arial"/>
                <w:kern w:val="2"/>
                <w:sz w:val="14"/>
                <w:szCs w:val="14"/>
              </w:rPr>
              <w:t xml:space="preserve"> Código Fiscal para el Estado de Oaxaca.</w:t>
            </w:r>
          </w:p>
          <w:p w:rsidR="00901E06" w:rsidRPr="00D83D8E" w:rsidRDefault="00901E06" w:rsidP="002F6527">
            <w:pPr>
              <w:numPr>
                <w:ilvl w:val="0"/>
                <w:numId w:val="5"/>
              </w:numPr>
              <w:tabs>
                <w:tab w:val="clear" w:pos="360"/>
                <w:tab w:val="num" w:pos="281"/>
              </w:tabs>
              <w:spacing w:after="200"/>
              <w:ind w:left="281" w:hanging="283"/>
              <w:contextualSpacing/>
              <w:jc w:val="both"/>
              <w:rPr>
                <w:rFonts w:ascii="Arial" w:hAnsi="Arial" w:cs="Arial"/>
                <w:kern w:val="2"/>
                <w:sz w:val="14"/>
                <w:szCs w:val="14"/>
              </w:rPr>
            </w:pPr>
            <w:r w:rsidRPr="00D83D8E">
              <w:rPr>
                <w:rFonts w:ascii="Arial" w:hAnsi="Arial" w:cs="Arial"/>
                <w:kern w:val="2"/>
                <w:sz w:val="14"/>
                <w:szCs w:val="14"/>
              </w:rPr>
              <w:t>Ley Estatal de Hacienda.</w:t>
            </w:r>
          </w:p>
          <w:p w:rsidR="00901E06" w:rsidRPr="00D83D8E" w:rsidRDefault="00901E06" w:rsidP="002F6527">
            <w:pPr>
              <w:numPr>
                <w:ilvl w:val="0"/>
                <w:numId w:val="5"/>
              </w:numPr>
              <w:tabs>
                <w:tab w:val="clear" w:pos="360"/>
                <w:tab w:val="num" w:pos="281"/>
              </w:tabs>
              <w:spacing w:after="200"/>
              <w:ind w:left="281" w:hanging="283"/>
              <w:contextualSpacing/>
              <w:jc w:val="both"/>
              <w:rPr>
                <w:rFonts w:ascii="Arial" w:hAnsi="Arial" w:cs="Arial"/>
                <w:kern w:val="2"/>
                <w:sz w:val="14"/>
                <w:szCs w:val="14"/>
              </w:rPr>
            </w:pPr>
            <w:r w:rsidRPr="00D83D8E">
              <w:rPr>
                <w:rFonts w:ascii="Arial" w:hAnsi="Arial" w:cs="Arial"/>
                <w:kern w:val="2"/>
                <w:sz w:val="14"/>
                <w:szCs w:val="14"/>
              </w:rPr>
              <w:t xml:space="preserve">Ley de Asociaciones Público Privadas para el Estado de Oaxaca. </w:t>
            </w:r>
          </w:p>
          <w:p w:rsidR="00901E06" w:rsidRPr="00D83D8E" w:rsidRDefault="00901E06" w:rsidP="002F6527">
            <w:pPr>
              <w:numPr>
                <w:ilvl w:val="0"/>
                <w:numId w:val="5"/>
              </w:numPr>
              <w:tabs>
                <w:tab w:val="clear" w:pos="360"/>
                <w:tab w:val="num" w:pos="281"/>
              </w:tabs>
              <w:spacing w:after="200"/>
              <w:ind w:left="281" w:hanging="283"/>
              <w:contextualSpacing/>
              <w:jc w:val="both"/>
              <w:rPr>
                <w:rFonts w:ascii="Arial" w:hAnsi="Arial" w:cs="Arial"/>
                <w:kern w:val="2"/>
                <w:sz w:val="14"/>
                <w:szCs w:val="14"/>
              </w:rPr>
            </w:pPr>
            <w:r w:rsidRPr="00D83D8E">
              <w:rPr>
                <w:rFonts w:ascii="Arial" w:hAnsi="Arial" w:cs="Arial"/>
                <w:kern w:val="2"/>
                <w:sz w:val="14"/>
                <w:szCs w:val="14"/>
              </w:rPr>
              <w:t xml:space="preserve">Ley del Organismo Operador Público denominado Servicios de Agua Potable y Alcantarillado de Oaxaca. </w:t>
            </w:r>
          </w:p>
          <w:p w:rsidR="00901E06" w:rsidRPr="00D83D8E" w:rsidRDefault="00901E06" w:rsidP="002F6527">
            <w:pPr>
              <w:numPr>
                <w:ilvl w:val="0"/>
                <w:numId w:val="5"/>
              </w:numPr>
              <w:tabs>
                <w:tab w:val="clear" w:pos="360"/>
                <w:tab w:val="num" w:pos="281"/>
              </w:tabs>
              <w:spacing w:after="200"/>
              <w:ind w:left="281" w:hanging="283"/>
              <w:contextualSpacing/>
              <w:jc w:val="both"/>
              <w:rPr>
                <w:rFonts w:ascii="Arial" w:hAnsi="Arial" w:cs="Arial"/>
                <w:kern w:val="2"/>
                <w:sz w:val="14"/>
                <w:szCs w:val="14"/>
              </w:rPr>
            </w:pPr>
            <w:r w:rsidRPr="00D83D8E">
              <w:rPr>
                <w:rFonts w:ascii="Arial" w:hAnsi="Arial" w:cs="Arial"/>
                <w:color w:val="000000"/>
                <w:kern w:val="2"/>
                <w:sz w:val="14"/>
                <w:szCs w:val="14"/>
                <w:lang w:eastAsia="es-MX"/>
              </w:rPr>
              <w:t>Adiciones y reformas a la Ley Orgánica del Poder Ejecutivo del Estado de Oaxaca.</w:t>
            </w:r>
          </w:p>
          <w:p w:rsidR="00901E06" w:rsidRPr="00D83D8E" w:rsidRDefault="00901E06" w:rsidP="002F6527">
            <w:pPr>
              <w:numPr>
                <w:ilvl w:val="0"/>
                <w:numId w:val="5"/>
              </w:numPr>
              <w:tabs>
                <w:tab w:val="clear" w:pos="360"/>
                <w:tab w:val="num" w:pos="281"/>
              </w:tabs>
              <w:spacing w:after="200"/>
              <w:ind w:left="281" w:hanging="283"/>
              <w:contextualSpacing/>
              <w:jc w:val="both"/>
              <w:rPr>
                <w:rFonts w:ascii="Arial" w:hAnsi="Arial" w:cs="Arial"/>
                <w:kern w:val="2"/>
                <w:sz w:val="14"/>
                <w:szCs w:val="14"/>
              </w:rPr>
            </w:pPr>
            <w:r w:rsidRPr="00D83D8E">
              <w:rPr>
                <w:rFonts w:ascii="Arial" w:hAnsi="Arial" w:cs="Arial"/>
                <w:color w:val="000000"/>
                <w:kern w:val="2"/>
                <w:sz w:val="14"/>
                <w:szCs w:val="14"/>
                <w:lang w:eastAsia="es-MX"/>
              </w:rPr>
              <w:t>Reformas a la Ley Estatal de Presupuesto y Responsabilidad Hacendaria.</w:t>
            </w:r>
          </w:p>
          <w:p w:rsidR="00901E06" w:rsidRPr="00D83D8E" w:rsidRDefault="00901E06" w:rsidP="002F6527">
            <w:pPr>
              <w:numPr>
                <w:ilvl w:val="0"/>
                <w:numId w:val="5"/>
              </w:numPr>
              <w:tabs>
                <w:tab w:val="clear" w:pos="360"/>
                <w:tab w:val="num" w:pos="281"/>
              </w:tabs>
              <w:spacing w:after="200"/>
              <w:ind w:left="281" w:hanging="283"/>
              <w:contextualSpacing/>
              <w:jc w:val="both"/>
              <w:rPr>
                <w:rFonts w:ascii="Arial" w:hAnsi="Arial" w:cs="Arial"/>
                <w:kern w:val="2"/>
                <w:sz w:val="14"/>
                <w:szCs w:val="14"/>
              </w:rPr>
            </w:pPr>
            <w:r w:rsidRPr="00D83D8E">
              <w:rPr>
                <w:rFonts w:ascii="Arial" w:hAnsi="Arial" w:cs="Arial"/>
                <w:color w:val="000000"/>
                <w:kern w:val="2"/>
                <w:sz w:val="14"/>
                <w:szCs w:val="14"/>
                <w:lang w:eastAsia="es-MX"/>
              </w:rPr>
              <w:t>Adiciones y reformas a la Ley Estatal de Derechos</w:t>
            </w:r>
          </w:p>
        </w:tc>
        <w:tc>
          <w:tcPr>
            <w:tcW w:w="2268" w:type="dxa"/>
            <w:shd w:val="clear" w:color="auto" w:fill="F2F2F2"/>
          </w:tcPr>
          <w:p w:rsidR="00901E06" w:rsidRPr="00D83D8E" w:rsidRDefault="00901E06" w:rsidP="00D83D8E">
            <w:pPr>
              <w:ind w:left="142" w:right="142"/>
              <w:contextualSpacing/>
              <w:jc w:val="both"/>
              <w:rPr>
                <w:rFonts w:ascii="Arial" w:hAnsi="Arial" w:cs="Arial"/>
                <w:b/>
                <w:color w:val="000000"/>
                <w:kern w:val="2"/>
                <w:sz w:val="14"/>
                <w:szCs w:val="14"/>
                <w:lang w:eastAsia="es-MX"/>
              </w:rPr>
            </w:pPr>
            <w:r w:rsidRPr="00D83D8E">
              <w:rPr>
                <w:rFonts w:ascii="Arial" w:hAnsi="Arial" w:cs="Arial"/>
                <w:b/>
                <w:color w:val="000000"/>
                <w:kern w:val="2"/>
                <w:sz w:val="14"/>
                <w:szCs w:val="14"/>
                <w:lang w:eastAsia="es-MX"/>
              </w:rPr>
              <w:t>Se promulgaron los Decretos que reformaron, adicionaron y derogaron las siguientes disposiciones legales:</w:t>
            </w:r>
          </w:p>
          <w:p w:rsidR="00901E06" w:rsidRPr="00D83D8E" w:rsidRDefault="00901E06" w:rsidP="00D83D8E">
            <w:pPr>
              <w:ind w:left="283" w:right="142" w:hanging="141"/>
              <w:contextualSpacing/>
              <w:jc w:val="both"/>
              <w:rPr>
                <w:rFonts w:ascii="Arial" w:hAnsi="Arial" w:cs="Arial"/>
                <w:b/>
                <w:color w:val="000000"/>
                <w:kern w:val="2"/>
                <w:sz w:val="14"/>
                <w:szCs w:val="14"/>
                <w:lang w:eastAsia="es-MX"/>
              </w:rPr>
            </w:pP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Código Fiscal para el Estado de Oaxaca</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Ley Estatal de Hacienda</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Ley de Coordinación Fiscal para el Estado de Oaxaca</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Ley de Deuda Pública</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color w:val="000000"/>
                <w:kern w:val="2"/>
                <w:sz w:val="14"/>
                <w:szCs w:val="14"/>
                <w:lang w:eastAsia="es-MX"/>
              </w:rPr>
            </w:pPr>
            <w:r w:rsidRPr="00D83D8E">
              <w:rPr>
                <w:rFonts w:ascii="Arial" w:hAnsi="Arial" w:cs="Arial"/>
                <w:kern w:val="2"/>
                <w:sz w:val="14"/>
                <w:szCs w:val="14"/>
              </w:rPr>
              <w:t>Ley Estatal de Derechos</w:t>
            </w:r>
          </w:p>
        </w:tc>
        <w:tc>
          <w:tcPr>
            <w:tcW w:w="2268" w:type="dxa"/>
            <w:shd w:val="clear" w:color="auto" w:fill="F2F2F2"/>
          </w:tcPr>
          <w:p w:rsidR="00901E06" w:rsidRPr="00D83D8E" w:rsidRDefault="00901E06" w:rsidP="00D83D8E">
            <w:pPr>
              <w:contextualSpacing/>
              <w:jc w:val="both"/>
              <w:rPr>
                <w:rFonts w:ascii="Arial" w:hAnsi="Arial" w:cs="Arial"/>
                <w:b/>
                <w:color w:val="000000"/>
                <w:kern w:val="2"/>
                <w:sz w:val="14"/>
                <w:szCs w:val="14"/>
                <w:lang w:eastAsia="es-MX"/>
              </w:rPr>
            </w:pPr>
            <w:r w:rsidRPr="00D83D8E">
              <w:rPr>
                <w:rFonts w:ascii="Arial" w:hAnsi="Arial" w:cs="Arial"/>
                <w:b/>
                <w:color w:val="000000"/>
                <w:kern w:val="2"/>
                <w:sz w:val="14"/>
                <w:szCs w:val="14"/>
                <w:lang w:eastAsia="es-MX"/>
              </w:rPr>
              <w:t>Se promulgan las siguientes disposiciones:</w:t>
            </w:r>
          </w:p>
          <w:p w:rsidR="00901E06" w:rsidRPr="00D83D8E" w:rsidRDefault="00901E06" w:rsidP="00D83D8E">
            <w:pPr>
              <w:ind w:left="283" w:right="142" w:hanging="141"/>
              <w:contextualSpacing/>
              <w:jc w:val="both"/>
              <w:rPr>
                <w:rFonts w:ascii="Arial" w:hAnsi="Arial" w:cs="Arial"/>
                <w:b/>
                <w:color w:val="000000"/>
                <w:kern w:val="2"/>
                <w:sz w:val="14"/>
                <w:szCs w:val="14"/>
                <w:lang w:eastAsia="es-MX"/>
              </w:rPr>
            </w:pP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Reglamento Interno de la Secretaría de Finanzas del Poder Ejecutivo del Estado.</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Ley que Regula las Casas de Empeño en el Estado</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Ley de Firma Electrónica Certificada para el Estado.</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color w:val="000000"/>
                <w:kern w:val="2"/>
                <w:sz w:val="14"/>
                <w:szCs w:val="14"/>
                <w:lang w:eastAsia="es-MX"/>
              </w:rPr>
            </w:pPr>
            <w:r w:rsidRPr="00D83D8E">
              <w:rPr>
                <w:rFonts w:ascii="Arial" w:hAnsi="Arial" w:cs="Arial"/>
                <w:kern w:val="2"/>
                <w:sz w:val="14"/>
                <w:szCs w:val="14"/>
              </w:rPr>
              <w:t>Reglas de Carácter General que facilitan el cumplimiento de las obligaciones fiscales a cargo de los contribuyentes de la Hacienda Pública Estatal, para el Ejercicio Fiscal</w:t>
            </w:r>
            <w:r w:rsidRPr="00D83D8E">
              <w:rPr>
                <w:rFonts w:ascii="Arial" w:hAnsi="Arial" w:cs="Arial"/>
                <w:color w:val="000000"/>
                <w:kern w:val="2"/>
                <w:sz w:val="14"/>
                <w:szCs w:val="14"/>
                <w:lang w:eastAsia="es-MX"/>
              </w:rPr>
              <w:t xml:space="preserve"> 2015.</w:t>
            </w:r>
          </w:p>
          <w:p w:rsidR="00901E06" w:rsidRPr="00D83D8E" w:rsidRDefault="00901E06" w:rsidP="00D83D8E">
            <w:pPr>
              <w:contextualSpacing/>
              <w:jc w:val="both"/>
              <w:rPr>
                <w:rFonts w:ascii="Arial" w:hAnsi="Arial" w:cs="Arial"/>
                <w:b/>
                <w:color w:val="000000"/>
                <w:kern w:val="2"/>
                <w:sz w:val="14"/>
                <w:szCs w:val="14"/>
                <w:lang w:eastAsia="es-MX"/>
              </w:rPr>
            </w:pPr>
          </w:p>
          <w:p w:rsidR="00901E06" w:rsidRPr="00D83D8E" w:rsidRDefault="00901E06" w:rsidP="00D83D8E">
            <w:pPr>
              <w:contextualSpacing/>
              <w:jc w:val="both"/>
              <w:rPr>
                <w:rFonts w:ascii="Arial" w:hAnsi="Arial" w:cs="Arial"/>
                <w:b/>
                <w:color w:val="000000"/>
                <w:kern w:val="2"/>
                <w:sz w:val="14"/>
                <w:szCs w:val="14"/>
                <w:lang w:eastAsia="es-MX"/>
              </w:rPr>
            </w:pPr>
            <w:r w:rsidRPr="00D83D8E">
              <w:rPr>
                <w:rFonts w:ascii="Arial" w:hAnsi="Arial" w:cs="Arial"/>
                <w:b/>
                <w:color w:val="000000"/>
                <w:kern w:val="2"/>
                <w:sz w:val="14"/>
                <w:szCs w:val="14"/>
                <w:lang w:eastAsia="es-MX"/>
              </w:rPr>
              <w:t>Entran en vigor los Decretos que reformaron, adicionaron y derogaron las siguientes disposiciones legales:</w:t>
            </w:r>
          </w:p>
          <w:p w:rsidR="00901E06" w:rsidRPr="00D83D8E" w:rsidRDefault="00901E06" w:rsidP="00D83D8E">
            <w:pPr>
              <w:spacing w:after="200"/>
              <w:ind w:left="283" w:right="142"/>
              <w:contextualSpacing/>
              <w:jc w:val="both"/>
              <w:rPr>
                <w:rFonts w:ascii="Arial" w:hAnsi="Arial" w:cs="Arial"/>
                <w:kern w:val="2"/>
                <w:sz w:val="14"/>
                <w:szCs w:val="14"/>
              </w:rPr>
            </w:pP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Ley Estatal de Derechos</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kern w:val="2"/>
                <w:sz w:val="14"/>
                <w:szCs w:val="14"/>
              </w:rPr>
            </w:pPr>
            <w:r w:rsidRPr="00D83D8E">
              <w:rPr>
                <w:rFonts w:ascii="Arial" w:hAnsi="Arial" w:cs="Arial"/>
                <w:kern w:val="2"/>
                <w:sz w:val="14"/>
                <w:szCs w:val="14"/>
              </w:rPr>
              <w:t>Ley Estatal de Hacienda.</w:t>
            </w:r>
          </w:p>
          <w:p w:rsidR="00901E06" w:rsidRPr="00D83D8E" w:rsidRDefault="00901E06" w:rsidP="002F6527">
            <w:pPr>
              <w:numPr>
                <w:ilvl w:val="0"/>
                <w:numId w:val="5"/>
              </w:numPr>
              <w:tabs>
                <w:tab w:val="clear" w:pos="360"/>
                <w:tab w:val="num" w:pos="284"/>
              </w:tabs>
              <w:spacing w:after="200"/>
              <w:ind w:left="283" w:right="142" w:hanging="141"/>
              <w:contextualSpacing/>
              <w:jc w:val="both"/>
              <w:rPr>
                <w:rFonts w:ascii="Arial" w:hAnsi="Arial" w:cs="Arial"/>
                <w:b/>
                <w:color w:val="000000"/>
                <w:kern w:val="2"/>
                <w:sz w:val="14"/>
                <w:szCs w:val="14"/>
                <w:lang w:eastAsia="es-MX"/>
              </w:rPr>
            </w:pPr>
            <w:r w:rsidRPr="00D83D8E">
              <w:rPr>
                <w:rFonts w:ascii="Arial" w:hAnsi="Arial" w:cs="Arial"/>
                <w:kern w:val="2"/>
                <w:sz w:val="14"/>
                <w:szCs w:val="14"/>
              </w:rPr>
              <w:t>Código Fiscal para el Estado</w:t>
            </w:r>
            <w:r w:rsidRPr="00D83D8E">
              <w:rPr>
                <w:rFonts w:ascii="Arial" w:hAnsi="Arial" w:cs="Arial"/>
                <w:color w:val="000000"/>
                <w:kern w:val="2"/>
                <w:sz w:val="14"/>
                <w:szCs w:val="14"/>
                <w:lang w:eastAsia="es-MX"/>
              </w:rPr>
              <w:t xml:space="preserve"> de Oaxaca</w:t>
            </w:r>
          </w:p>
        </w:tc>
      </w:tr>
    </w:tbl>
    <w:p w:rsidR="005C3297" w:rsidRPr="00D83D8E" w:rsidRDefault="005C3297" w:rsidP="00D83D8E">
      <w:pPr>
        <w:contextualSpacing/>
        <w:jc w:val="both"/>
        <w:rPr>
          <w:rFonts w:ascii="Arial Black" w:hAnsi="Arial Black"/>
          <w:b/>
          <w:kern w:val="2"/>
        </w:rPr>
      </w:pPr>
    </w:p>
    <w:p w:rsidR="005C3297" w:rsidRPr="00D83D8E" w:rsidRDefault="005C3297" w:rsidP="00D83D8E">
      <w:pPr>
        <w:contextualSpacing/>
        <w:jc w:val="both"/>
        <w:rPr>
          <w:b/>
          <w:kern w:val="2"/>
          <w:sz w:val="32"/>
          <w:szCs w:val="32"/>
        </w:rPr>
      </w:pPr>
    </w:p>
    <w:p w:rsidR="00F77A43" w:rsidRPr="00D83D8E" w:rsidRDefault="00F77A43" w:rsidP="00D83D8E">
      <w:pPr>
        <w:contextualSpacing/>
        <w:jc w:val="both"/>
        <w:rPr>
          <w:b/>
          <w:kern w:val="2"/>
          <w:sz w:val="32"/>
          <w:szCs w:val="32"/>
        </w:rPr>
      </w:pPr>
    </w:p>
    <w:p w:rsidR="00901E06" w:rsidRPr="00D83D8E" w:rsidRDefault="00901E06" w:rsidP="00D83D8E">
      <w:pPr>
        <w:contextualSpacing/>
        <w:jc w:val="both"/>
        <w:rPr>
          <w:b/>
          <w:kern w:val="2"/>
          <w:sz w:val="32"/>
          <w:szCs w:val="32"/>
        </w:rPr>
      </w:pPr>
    </w:p>
    <w:p w:rsidR="00901E06" w:rsidRPr="00D83D8E" w:rsidRDefault="00901E06" w:rsidP="00D83D8E">
      <w:pPr>
        <w:contextualSpacing/>
        <w:jc w:val="both"/>
        <w:rPr>
          <w:b/>
          <w:kern w:val="2"/>
          <w:sz w:val="32"/>
          <w:szCs w:val="32"/>
        </w:rPr>
      </w:pPr>
    </w:p>
    <w:p w:rsidR="00901E06" w:rsidRPr="00D83D8E" w:rsidRDefault="00901E06" w:rsidP="00D83D8E">
      <w:pPr>
        <w:contextualSpacing/>
        <w:jc w:val="both"/>
        <w:rPr>
          <w:b/>
          <w:kern w:val="2"/>
          <w:sz w:val="32"/>
          <w:szCs w:val="32"/>
        </w:rPr>
      </w:pPr>
    </w:p>
    <w:p w:rsidR="00901E06" w:rsidRPr="00D83D8E" w:rsidRDefault="00901E06" w:rsidP="00D83D8E">
      <w:pPr>
        <w:contextualSpacing/>
        <w:jc w:val="both"/>
        <w:rPr>
          <w:b/>
          <w:kern w:val="2"/>
          <w:sz w:val="32"/>
          <w:szCs w:val="32"/>
        </w:rPr>
      </w:pPr>
    </w:p>
    <w:p w:rsidR="00901E06" w:rsidRPr="00D83D8E" w:rsidRDefault="00901E06" w:rsidP="00D83D8E">
      <w:pPr>
        <w:contextualSpacing/>
        <w:jc w:val="both"/>
        <w:rPr>
          <w:b/>
          <w:kern w:val="2"/>
          <w:sz w:val="32"/>
          <w:szCs w:val="32"/>
        </w:rPr>
      </w:pPr>
    </w:p>
    <w:p w:rsidR="00F77A43" w:rsidRPr="00D83D8E" w:rsidRDefault="00F77A43" w:rsidP="00D83D8E">
      <w:pPr>
        <w:contextualSpacing/>
        <w:jc w:val="both"/>
        <w:rPr>
          <w:b/>
          <w:kern w:val="2"/>
          <w:sz w:val="32"/>
          <w:szCs w:val="32"/>
        </w:rPr>
      </w:pPr>
    </w:p>
    <w:p w:rsidR="00FA56FD" w:rsidRDefault="00FA56FD">
      <w:pPr>
        <w:rPr>
          <w:rFonts w:ascii="Arial" w:hAnsi="Arial" w:cs="Arial"/>
          <w:b/>
          <w:spacing w:val="20"/>
          <w:kern w:val="2"/>
        </w:rPr>
      </w:pPr>
      <w:r>
        <w:rPr>
          <w:rFonts w:ascii="Arial" w:hAnsi="Arial" w:cs="Arial"/>
          <w:b/>
          <w:spacing w:val="20"/>
          <w:kern w:val="2"/>
        </w:rPr>
        <w:br w:type="page"/>
      </w:r>
    </w:p>
    <w:p w:rsidR="005C3297" w:rsidRPr="00D83D8E" w:rsidRDefault="005C3297" w:rsidP="00D83D8E">
      <w:pPr>
        <w:contextualSpacing/>
        <w:jc w:val="both"/>
        <w:rPr>
          <w:rFonts w:ascii="Arial" w:hAnsi="Arial" w:cs="Arial"/>
          <w:b/>
          <w:spacing w:val="20"/>
          <w:kern w:val="2"/>
        </w:rPr>
      </w:pPr>
      <w:r w:rsidRPr="00D83D8E">
        <w:rPr>
          <w:rFonts w:ascii="Arial" w:hAnsi="Arial" w:cs="Arial"/>
          <w:b/>
          <w:spacing w:val="20"/>
          <w:kern w:val="2"/>
        </w:rPr>
        <w:lastRenderedPageBreak/>
        <w:t>3.2.- POLÍTICA DE INGRESOS</w:t>
      </w:r>
    </w:p>
    <w:p w:rsidR="005C3297" w:rsidRPr="00D83D8E" w:rsidRDefault="005C3297" w:rsidP="00D83D8E">
      <w:pPr>
        <w:autoSpaceDE w:val="0"/>
        <w:autoSpaceDN w:val="0"/>
        <w:adjustRightInd w:val="0"/>
        <w:contextualSpacing/>
        <w:jc w:val="both"/>
        <w:rPr>
          <w:rFonts w:ascii="Arial" w:hAnsi="Arial" w:cs="Arial"/>
          <w:kern w:val="2"/>
        </w:rPr>
      </w:pPr>
    </w:p>
    <w:p w:rsidR="005C3297" w:rsidRPr="00D83D8E" w:rsidRDefault="005B1860" w:rsidP="00D83D8E">
      <w:pPr>
        <w:contextualSpacing/>
        <w:jc w:val="both"/>
        <w:rPr>
          <w:rFonts w:ascii="Arial" w:hAnsi="Arial" w:cs="Arial"/>
          <w:color w:val="000000"/>
          <w:kern w:val="2"/>
        </w:rPr>
      </w:pPr>
      <w:r w:rsidRPr="00D83D8E">
        <w:rPr>
          <w:rFonts w:ascii="Arial" w:hAnsi="Arial" w:cs="Arial"/>
          <w:color w:val="000000"/>
          <w:kern w:val="2"/>
        </w:rPr>
        <w:t>En cumplimiento al</w:t>
      </w:r>
      <w:r w:rsidR="005C3297" w:rsidRPr="00D83D8E">
        <w:rPr>
          <w:rFonts w:ascii="Arial" w:hAnsi="Arial" w:cs="Arial"/>
          <w:color w:val="000000"/>
          <w:kern w:val="2"/>
        </w:rPr>
        <w:t xml:space="preserve"> Plan Estatal de Desarrollo de Oaxaca 2011-2016, la hacienda pública del estado </w:t>
      </w:r>
      <w:r w:rsidR="0047312F" w:rsidRPr="00D83D8E">
        <w:rPr>
          <w:rFonts w:ascii="Arial" w:hAnsi="Arial" w:cs="Arial"/>
          <w:color w:val="000000"/>
          <w:kern w:val="2"/>
        </w:rPr>
        <w:t xml:space="preserve">se ha planteado como </w:t>
      </w:r>
      <w:r w:rsidR="005C3297" w:rsidRPr="00D83D8E">
        <w:rPr>
          <w:rFonts w:ascii="Arial" w:hAnsi="Arial" w:cs="Arial"/>
          <w:color w:val="000000"/>
          <w:kern w:val="2"/>
        </w:rPr>
        <w:t xml:space="preserve">objetivo principal de </w:t>
      </w:r>
      <w:r w:rsidR="00CA4E0D" w:rsidRPr="00D83D8E">
        <w:rPr>
          <w:rFonts w:ascii="Arial" w:hAnsi="Arial" w:cs="Arial"/>
          <w:color w:val="000000"/>
          <w:kern w:val="2"/>
        </w:rPr>
        <w:t>la</w:t>
      </w:r>
      <w:r w:rsidR="005C3297" w:rsidRPr="00D83D8E">
        <w:rPr>
          <w:rFonts w:ascii="Arial" w:hAnsi="Arial" w:cs="Arial"/>
          <w:color w:val="000000"/>
          <w:kern w:val="2"/>
        </w:rPr>
        <w:t xml:space="preserve"> política tributaria, incrementar los ingresos totales del estado mediante el fortalecimiento de la hacienda pública local, que permita garantizar el financiamiento del desarrollo y crecimiento económico del estado.</w:t>
      </w:r>
    </w:p>
    <w:p w:rsidR="005B1860" w:rsidRPr="00D83D8E" w:rsidRDefault="005B1860" w:rsidP="00D83D8E">
      <w:pPr>
        <w:contextualSpacing/>
        <w:jc w:val="both"/>
        <w:rPr>
          <w:rFonts w:ascii="Arial" w:hAnsi="Arial" w:cs="Arial"/>
          <w:color w:val="000000"/>
          <w:kern w:val="2"/>
        </w:rPr>
      </w:pPr>
    </w:p>
    <w:p w:rsidR="005B1860" w:rsidRPr="00D83D8E" w:rsidRDefault="005B1860" w:rsidP="00D83D8E">
      <w:pPr>
        <w:contextualSpacing/>
        <w:jc w:val="both"/>
        <w:rPr>
          <w:rFonts w:ascii="Arial" w:hAnsi="Arial" w:cs="Arial"/>
          <w:color w:val="000000"/>
          <w:kern w:val="2"/>
        </w:rPr>
      </w:pPr>
      <w:r w:rsidRPr="00D83D8E">
        <w:rPr>
          <w:rFonts w:ascii="Arial" w:hAnsi="Arial" w:cs="Arial"/>
          <w:color w:val="000000"/>
          <w:kern w:val="2"/>
        </w:rPr>
        <w:t>En el presente año, han permanecido las acciones que permiten lograr la eficiencia recaudatoria con el apoyo de un marco normativo modernizado y la continuidad de mejoras tecnológicas que faciliten al contribuyente cumplir con sus obligaciones fiscales. Ejemplo de esto son el uso de canales de atención y recepción de pagos y la incorporación de mejores mecanismos de fiscalización para alcanzar objetivos establecidos, siempre dentro del marco de legalidad, eficiencia y eficacia.</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Incrementar los ingresos propios del estado tiene dos grandes virtudes: la primera porque amplía en el corto plazo la capacidad del estado para la provisión de más bienes y servicios públicos para la población; la segunda porque en el mediano y largo plazo permite incrementar los ingresos, que por concepto de participaciones federales, recibirá nuestro estado a partir del efecto positivo que tiene sobre los coeficientes que determinan la repartición de dichos recursos entre todas las entidades del país; es decir, a mayor esfuerzo r</w:t>
      </w:r>
      <w:r w:rsidR="00CA7BE4" w:rsidRPr="00D83D8E">
        <w:rPr>
          <w:rFonts w:ascii="Arial" w:hAnsi="Arial" w:cs="Arial"/>
          <w:color w:val="000000"/>
          <w:kern w:val="2"/>
        </w:rPr>
        <w:t>ecaudatorio, el Estado</w:t>
      </w:r>
      <w:r w:rsidRPr="00D83D8E">
        <w:rPr>
          <w:rFonts w:ascii="Arial" w:hAnsi="Arial" w:cs="Arial"/>
          <w:color w:val="000000"/>
          <w:kern w:val="2"/>
        </w:rPr>
        <w:t xml:space="preserve"> se verá compensado con mayores recursos</w:t>
      </w:r>
      <w:r w:rsidR="00883C32" w:rsidRPr="00D83D8E">
        <w:rPr>
          <w:rFonts w:ascii="Arial" w:hAnsi="Arial" w:cs="Arial"/>
          <w:color w:val="000000"/>
          <w:kern w:val="2"/>
        </w:rPr>
        <w:t xml:space="preserve"> </w:t>
      </w:r>
      <w:r w:rsidR="00CA7BE4" w:rsidRPr="00D83D8E">
        <w:rPr>
          <w:rFonts w:ascii="Arial" w:hAnsi="Arial" w:cs="Arial"/>
          <w:color w:val="000000"/>
          <w:kern w:val="2"/>
        </w:rPr>
        <w:t>por concepto de Participaciones F</w:t>
      </w:r>
      <w:r w:rsidRPr="00D83D8E">
        <w:rPr>
          <w:rFonts w:ascii="Arial" w:hAnsi="Arial" w:cs="Arial"/>
          <w:color w:val="000000"/>
          <w:kern w:val="2"/>
        </w:rPr>
        <w:t>ederales.</w:t>
      </w:r>
    </w:p>
    <w:p w:rsidR="005C3297" w:rsidRPr="00D83D8E" w:rsidRDefault="005C3297" w:rsidP="00D83D8E">
      <w:pPr>
        <w:contextualSpacing/>
        <w:jc w:val="both"/>
        <w:rPr>
          <w:rFonts w:ascii="Arial" w:hAnsi="Arial" w:cs="Arial"/>
          <w:color w:val="000000"/>
          <w:kern w:val="2"/>
          <w:highlight w:val="yellow"/>
        </w:rPr>
      </w:pPr>
    </w:p>
    <w:p w:rsidR="005B1860"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Los resultados que se presentan en este informe de Cuenta Pública del ejercicio fiscal 201</w:t>
      </w:r>
      <w:r w:rsidR="005B1860" w:rsidRPr="00D83D8E">
        <w:rPr>
          <w:rFonts w:ascii="Arial" w:hAnsi="Arial" w:cs="Arial"/>
          <w:color w:val="000000"/>
          <w:kern w:val="2"/>
        </w:rPr>
        <w:t>5, reflejan como el fortalecer el sistema tributario ha permitido incrementar los ingresos del Estado y por consiguiente cumplir la meta establecida.</w:t>
      </w:r>
    </w:p>
    <w:p w:rsidR="005B1860" w:rsidRPr="00D83D8E" w:rsidRDefault="005B1860" w:rsidP="00D83D8E">
      <w:pPr>
        <w:contextualSpacing/>
        <w:jc w:val="both"/>
        <w:rPr>
          <w:rFonts w:ascii="Arial" w:hAnsi="Arial" w:cs="Arial"/>
          <w:color w:val="000000"/>
          <w:kern w:val="2"/>
          <w:highlight w:val="yellow"/>
        </w:rPr>
      </w:pPr>
    </w:p>
    <w:p w:rsidR="005B1860" w:rsidRPr="00D83D8E" w:rsidRDefault="000E1387" w:rsidP="00D83D8E">
      <w:pPr>
        <w:contextualSpacing/>
        <w:jc w:val="both"/>
        <w:rPr>
          <w:rFonts w:ascii="Arial" w:hAnsi="Arial" w:cs="Arial"/>
          <w:color w:val="000000"/>
          <w:kern w:val="2"/>
          <w:highlight w:val="yellow"/>
        </w:rPr>
      </w:pPr>
      <w:r w:rsidRPr="00D83D8E">
        <w:rPr>
          <w:rFonts w:ascii="Arial" w:hAnsi="Arial" w:cs="Arial"/>
          <w:color w:val="000000"/>
          <w:kern w:val="2"/>
        </w:rPr>
        <w:t>El r</w:t>
      </w:r>
      <w:r w:rsidR="005B1860" w:rsidRPr="00D83D8E">
        <w:rPr>
          <w:rFonts w:ascii="Arial" w:hAnsi="Arial" w:cs="Arial"/>
          <w:color w:val="000000"/>
          <w:kern w:val="2"/>
        </w:rPr>
        <w:t>esultado</w:t>
      </w:r>
      <w:r w:rsidRPr="00D83D8E">
        <w:rPr>
          <w:rFonts w:ascii="Arial" w:hAnsi="Arial" w:cs="Arial"/>
          <w:color w:val="000000"/>
          <w:kern w:val="2"/>
        </w:rPr>
        <w:t xml:space="preserve"> obtenido, demuestra </w:t>
      </w:r>
      <w:r w:rsidR="005B1860" w:rsidRPr="00D83D8E">
        <w:rPr>
          <w:rFonts w:ascii="Arial" w:hAnsi="Arial" w:cs="Arial"/>
          <w:color w:val="000000"/>
          <w:kern w:val="2"/>
        </w:rPr>
        <w:t>que cuando se trabaja con políticas públicas bien definidas, técnicamente solventes y guiadas bajo un cumplimiento estricto a las estrategias de un plan establecido, se pueden incrementar los ingresos propios</w:t>
      </w:r>
      <w:r w:rsidRPr="00D83D8E">
        <w:rPr>
          <w:rFonts w:ascii="Arial" w:hAnsi="Arial" w:cs="Arial"/>
          <w:color w:val="000000"/>
          <w:kern w:val="2"/>
        </w:rPr>
        <w:t>.</w:t>
      </w:r>
    </w:p>
    <w:p w:rsidR="005B1860" w:rsidRPr="00D83D8E" w:rsidRDefault="005B1860" w:rsidP="00D83D8E">
      <w:pPr>
        <w:contextualSpacing/>
        <w:jc w:val="both"/>
        <w:rPr>
          <w:rFonts w:ascii="Arial" w:hAnsi="Arial" w:cs="Arial"/>
          <w:color w:val="000000"/>
          <w:kern w:val="2"/>
          <w:highlight w:val="yellow"/>
        </w:rPr>
      </w:pPr>
    </w:p>
    <w:p w:rsidR="005C3297" w:rsidRPr="00D83D8E" w:rsidRDefault="005C3297" w:rsidP="00D83D8E">
      <w:pPr>
        <w:contextualSpacing/>
        <w:jc w:val="both"/>
        <w:rPr>
          <w:rFonts w:ascii="Arial" w:hAnsi="Arial" w:cs="Arial"/>
          <w:spacing w:val="20"/>
          <w:kern w:val="2"/>
        </w:rPr>
      </w:pPr>
    </w:p>
    <w:p w:rsidR="000E1387" w:rsidRPr="00D83D8E" w:rsidRDefault="000E1387" w:rsidP="00D83D8E">
      <w:pPr>
        <w:contextualSpacing/>
        <w:jc w:val="both"/>
        <w:rPr>
          <w:rFonts w:ascii="Arial" w:hAnsi="Arial" w:cs="Arial"/>
          <w:spacing w:val="20"/>
          <w:kern w:val="2"/>
        </w:rPr>
      </w:pPr>
    </w:p>
    <w:p w:rsidR="000E1387" w:rsidRPr="00D83D8E" w:rsidRDefault="000E1387" w:rsidP="00D83D8E">
      <w:pPr>
        <w:contextualSpacing/>
        <w:jc w:val="both"/>
        <w:rPr>
          <w:rFonts w:ascii="Arial" w:hAnsi="Arial" w:cs="Arial"/>
          <w:spacing w:val="20"/>
          <w:kern w:val="2"/>
        </w:rPr>
      </w:pPr>
    </w:p>
    <w:p w:rsidR="000E1387" w:rsidRPr="00D83D8E" w:rsidRDefault="000E1387" w:rsidP="00D83D8E">
      <w:pPr>
        <w:contextualSpacing/>
        <w:jc w:val="both"/>
        <w:rPr>
          <w:rFonts w:ascii="Arial" w:hAnsi="Arial" w:cs="Arial"/>
          <w:spacing w:val="20"/>
          <w:kern w:val="2"/>
        </w:rPr>
      </w:pPr>
    </w:p>
    <w:p w:rsidR="005C3297" w:rsidRPr="00D83D8E" w:rsidRDefault="005C3297" w:rsidP="00D83D8E">
      <w:pPr>
        <w:spacing w:before="120" w:after="120"/>
        <w:contextualSpacing/>
        <w:jc w:val="both"/>
        <w:rPr>
          <w:rFonts w:ascii="Arial" w:hAnsi="Arial" w:cs="Arial"/>
          <w:spacing w:val="20"/>
          <w:kern w:val="2"/>
        </w:rPr>
      </w:pPr>
    </w:p>
    <w:p w:rsidR="002775D6" w:rsidRPr="00D83D8E" w:rsidRDefault="002775D6" w:rsidP="00D83D8E">
      <w:pPr>
        <w:contextualSpacing/>
        <w:jc w:val="both"/>
        <w:rPr>
          <w:rFonts w:ascii="Arial" w:hAnsi="Arial" w:cs="Arial"/>
          <w:color w:val="000000"/>
          <w:kern w:val="2"/>
        </w:rPr>
      </w:pPr>
    </w:p>
    <w:p w:rsidR="002775D6" w:rsidRPr="00D83D8E" w:rsidRDefault="002775D6" w:rsidP="00D83D8E">
      <w:pPr>
        <w:contextualSpacing/>
        <w:jc w:val="both"/>
        <w:rPr>
          <w:rFonts w:ascii="Arial" w:hAnsi="Arial" w:cs="Arial"/>
          <w:color w:val="000000"/>
          <w:kern w:val="2"/>
        </w:rPr>
      </w:pPr>
      <w:r w:rsidRPr="00D83D8E">
        <w:rPr>
          <w:noProof/>
          <w:kern w:val="2"/>
          <w:lang w:val="es-MX" w:eastAsia="es-MX"/>
        </w:rPr>
        <w:lastRenderedPageBreak/>
        <w:drawing>
          <wp:inline distT="0" distB="0" distL="0" distR="0">
            <wp:extent cx="5882005" cy="2407652"/>
            <wp:effectExtent l="19050" t="19050" r="4445"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2407652"/>
                    </a:xfrm>
                    <a:prstGeom prst="rect">
                      <a:avLst/>
                    </a:prstGeom>
                    <a:noFill/>
                    <a:ln w="3175">
                      <a:solidFill>
                        <a:schemeClr val="tx1"/>
                      </a:solidFill>
                    </a:ln>
                  </pic:spPr>
                </pic:pic>
              </a:graphicData>
            </a:graphic>
          </wp:inline>
        </w:drawing>
      </w:r>
    </w:p>
    <w:p w:rsidR="002775D6" w:rsidRPr="00D83D8E" w:rsidRDefault="002775D6" w:rsidP="00D83D8E">
      <w:pPr>
        <w:contextualSpacing/>
        <w:jc w:val="both"/>
        <w:rPr>
          <w:rFonts w:ascii="Arial" w:hAnsi="Arial" w:cs="Arial"/>
          <w:color w:val="000000"/>
          <w:kern w:val="2"/>
        </w:rPr>
      </w:pPr>
    </w:p>
    <w:p w:rsidR="002775D6" w:rsidRPr="00D83D8E" w:rsidRDefault="002775D6"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Los logros alcanzados, derivan de la aplicación de la política recaudatoria, de establecer una mayor presencia fiscal a través de acciones de fiscalización y seguimiento al cumplimiento de obligaciones.</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A56FD" w:rsidRDefault="00FA56FD" w:rsidP="00D83D8E">
      <w:pPr>
        <w:contextualSpacing/>
        <w:jc w:val="both"/>
        <w:rPr>
          <w:rFonts w:ascii="Arial" w:hAnsi="Arial" w:cs="Arial"/>
          <w:b/>
          <w:color w:val="000000"/>
          <w:kern w:val="2"/>
        </w:rPr>
      </w:pPr>
    </w:p>
    <w:p w:rsidR="00FA56FD" w:rsidRDefault="00FA56FD" w:rsidP="00D83D8E">
      <w:pPr>
        <w:contextualSpacing/>
        <w:jc w:val="both"/>
        <w:rPr>
          <w:rFonts w:ascii="Arial" w:hAnsi="Arial" w:cs="Arial"/>
          <w:b/>
          <w:color w:val="000000"/>
          <w:kern w:val="2"/>
        </w:rPr>
      </w:pPr>
    </w:p>
    <w:p w:rsidR="00FA56FD" w:rsidRDefault="00FA56FD" w:rsidP="00D83D8E">
      <w:pPr>
        <w:contextualSpacing/>
        <w:jc w:val="both"/>
        <w:rPr>
          <w:rFonts w:ascii="Arial" w:hAnsi="Arial" w:cs="Arial"/>
          <w:b/>
          <w:color w:val="000000"/>
          <w:kern w:val="2"/>
        </w:rPr>
      </w:pPr>
    </w:p>
    <w:p w:rsidR="00FA56FD" w:rsidRDefault="00FA56FD" w:rsidP="00D83D8E">
      <w:pPr>
        <w:contextualSpacing/>
        <w:jc w:val="both"/>
        <w:rPr>
          <w:rFonts w:ascii="Arial" w:hAnsi="Arial" w:cs="Arial"/>
          <w:b/>
          <w:color w:val="000000"/>
          <w:kern w:val="2"/>
        </w:rPr>
      </w:pPr>
    </w:p>
    <w:p w:rsidR="00FA56FD" w:rsidRDefault="00FA56FD" w:rsidP="00D83D8E">
      <w:pPr>
        <w:contextualSpacing/>
        <w:jc w:val="both"/>
        <w:rPr>
          <w:rFonts w:ascii="Arial" w:hAnsi="Arial" w:cs="Arial"/>
          <w:b/>
          <w:color w:val="000000"/>
          <w:kern w:val="2"/>
        </w:rPr>
      </w:pPr>
    </w:p>
    <w:p w:rsidR="00FB0C53" w:rsidRPr="00D83D8E" w:rsidRDefault="00FA56FD" w:rsidP="00D83D8E">
      <w:pPr>
        <w:contextualSpacing/>
        <w:jc w:val="both"/>
        <w:rPr>
          <w:rFonts w:ascii="Arial" w:hAnsi="Arial" w:cs="Arial"/>
          <w:b/>
          <w:color w:val="000000"/>
          <w:kern w:val="2"/>
        </w:rPr>
      </w:pPr>
      <w:r>
        <w:rPr>
          <w:rFonts w:ascii="Arial" w:hAnsi="Arial" w:cs="Arial"/>
          <w:b/>
          <w:color w:val="000000"/>
          <w:kern w:val="2"/>
        </w:rPr>
        <w:lastRenderedPageBreak/>
        <w:t xml:space="preserve">3.2.1.- </w:t>
      </w:r>
      <w:r w:rsidR="00E91C2E" w:rsidRPr="00D83D8E">
        <w:rPr>
          <w:rFonts w:ascii="Arial" w:hAnsi="Arial" w:cs="Arial"/>
          <w:b/>
          <w:color w:val="000000"/>
          <w:kern w:val="2"/>
        </w:rPr>
        <w:t>ACCIONES DE FISCALIZACIÓN.</w:t>
      </w:r>
    </w:p>
    <w:p w:rsidR="00FB0C53" w:rsidRPr="00D83D8E" w:rsidRDefault="00FB0C53" w:rsidP="00D83D8E">
      <w:pPr>
        <w:contextualSpacing/>
        <w:jc w:val="both"/>
        <w:rPr>
          <w:rFonts w:ascii="Arial" w:hAnsi="Arial" w:cs="Arial"/>
          <w:b/>
          <w:color w:val="000000"/>
          <w:kern w:val="2"/>
        </w:rPr>
      </w:pPr>
    </w:p>
    <w:p w:rsidR="00FB0C53" w:rsidRPr="00D83D8E" w:rsidRDefault="00E91C2E" w:rsidP="00D83D8E">
      <w:pPr>
        <w:contextualSpacing/>
        <w:jc w:val="both"/>
        <w:rPr>
          <w:rFonts w:ascii="Arial" w:hAnsi="Arial" w:cs="Arial"/>
          <w:b/>
          <w:color w:val="000000"/>
          <w:kern w:val="2"/>
        </w:rPr>
      </w:pPr>
      <w:r>
        <w:rPr>
          <w:rFonts w:ascii="Arial" w:hAnsi="Arial" w:cs="Arial"/>
          <w:b/>
          <w:color w:val="000000"/>
          <w:kern w:val="2"/>
        </w:rPr>
        <w:t>3.2.1.1</w:t>
      </w:r>
      <w:r w:rsidRPr="00D83D8E">
        <w:rPr>
          <w:rFonts w:ascii="Arial" w:hAnsi="Arial" w:cs="Arial"/>
          <w:b/>
          <w:color w:val="000000"/>
          <w:kern w:val="2"/>
        </w:rPr>
        <w:t>.- IMPUESTOS FEDERALES.</w:t>
      </w:r>
    </w:p>
    <w:p w:rsidR="00FB0C53" w:rsidRPr="00D83D8E" w:rsidRDefault="00FB0C53" w:rsidP="00D83D8E">
      <w:pPr>
        <w:contextualSpacing/>
        <w:jc w:val="both"/>
        <w:rPr>
          <w:rFonts w:ascii="Arial" w:hAnsi="Arial" w:cs="Arial"/>
          <w:b/>
          <w:color w:val="000000"/>
          <w:kern w:val="2"/>
        </w:rPr>
      </w:pP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t>Con base en el Convenio de Colaboración Administrativa en Materia Fiscal Federal, durante el año 2015 se realizaron 330 actos de fiscalización en las diversas regiones del Estado, profundizando con acciones sustantivas en los casos no corregidos derivado de acciones ágiles, logrando con ello un incremento en la percepción de riesgo de los contribuyentes incumplidos; además de estos actos, con la finalidad de combatir la evasión fiscal, en este ejercicio se llevaron a cabo 75 casos de ejemplaridad, con las acciones antes señaladas se dio cumplimiento al Programa Operativo Anual.</w:t>
      </w: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t xml:space="preserve"> </w:t>
      </w: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t xml:space="preserve">En cuanto al número de actos de fiscalización realizados, hasta el ejercicio 2013 se tenía la tendencia de un incremento en relación al ejercicio anterior de la siguiente manera: para 2011 en 19 %, para 2012 en 45 % y para 2013 en un 76 %; sin embargo,  a partir de los ejercicios 2014 y 2015, las nuevas directrices dictadas por el SAT se encaminaron a la realización de un número menor de acciones de fiscalización, pero logrando una mayor eficiencia operativa, lo cual conlleva a lograr un incremento en la recaudación, es por ello que durante el ejercicio 2014 se estableció una meta de 519 actos y para 2015 de 381. </w:t>
      </w:r>
    </w:p>
    <w:p w:rsidR="00FB0C53" w:rsidRPr="00D83D8E" w:rsidRDefault="00FB0C53" w:rsidP="00D83D8E">
      <w:pPr>
        <w:contextualSpacing/>
        <w:jc w:val="both"/>
        <w:rPr>
          <w:rFonts w:ascii="Arial" w:hAnsi="Arial" w:cs="Arial"/>
          <w:spacing w:val="20"/>
          <w:kern w:val="2"/>
        </w:rPr>
      </w:pPr>
    </w:p>
    <w:p w:rsidR="00FB0C53" w:rsidRPr="00D83D8E" w:rsidRDefault="00FB0C53" w:rsidP="00D83D8E">
      <w:pPr>
        <w:contextualSpacing/>
        <w:jc w:val="center"/>
        <w:rPr>
          <w:rFonts w:ascii="Arial" w:hAnsi="Arial" w:cs="Arial"/>
          <w:spacing w:val="20"/>
          <w:kern w:val="2"/>
        </w:rPr>
      </w:pPr>
      <w:r w:rsidRPr="00D83D8E">
        <w:rPr>
          <w:noProof/>
          <w:kern w:val="2"/>
          <w:lang w:val="es-MX" w:eastAsia="es-MX"/>
        </w:rPr>
        <w:drawing>
          <wp:inline distT="0" distB="0" distL="0" distR="0">
            <wp:extent cx="5279666" cy="2456953"/>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B0C53" w:rsidRPr="00D83D8E" w:rsidRDefault="00FB0C53" w:rsidP="00D83D8E">
      <w:pPr>
        <w:contextualSpacing/>
        <w:jc w:val="both"/>
        <w:rPr>
          <w:rFonts w:ascii="Arial" w:hAnsi="Arial" w:cs="Arial"/>
          <w:spacing w:val="2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t xml:space="preserve">El cumplimiento del programa operativo anual 2015 fue del  103.7  y 119.0 por ciento de los  actos de fiscalización en materia de impuestos Internos y de actos de ejemplaridad, respectivamente, ya que se realizaron en el primero de ellos 330 actos </w:t>
      </w:r>
      <w:r w:rsidRPr="00D83D8E">
        <w:rPr>
          <w:rFonts w:ascii="Arial" w:hAnsi="Arial" w:cs="Arial"/>
          <w:color w:val="000000"/>
          <w:kern w:val="2"/>
        </w:rPr>
        <w:lastRenderedPageBreak/>
        <w:t>de los 318 que se tenían programados y en el segundo caso se realizaron 75 de los 63 que se establecieron como meta.</w:t>
      </w:r>
    </w:p>
    <w:p w:rsidR="00FB0C53" w:rsidRPr="00D83D8E" w:rsidRDefault="00FB0C53" w:rsidP="00D83D8E">
      <w:pPr>
        <w:tabs>
          <w:tab w:val="num" w:pos="720"/>
        </w:tabs>
        <w:contextualSpacing/>
        <w:jc w:val="center"/>
        <w:rPr>
          <w:rFonts w:ascii="Arial" w:hAnsi="Arial" w:cs="Arial"/>
          <w:noProof/>
          <w:kern w:val="2"/>
        </w:rPr>
      </w:pPr>
    </w:p>
    <w:p w:rsidR="00FB0C53" w:rsidRPr="00D83D8E" w:rsidRDefault="009B1A50" w:rsidP="00D83D8E">
      <w:pPr>
        <w:tabs>
          <w:tab w:val="num" w:pos="720"/>
        </w:tabs>
        <w:contextualSpacing/>
        <w:jc w:val="center"/>
        <w:rPr>
          <w:rFonts w:ascii="Arial" w:hAnsi="Arial" w:cs="Arial"/>
          <w:kern w:val="2"/>
        </w:rPr>
      </w:pPr>
      <w:r w:rsidRPr="009B1A50">
        <w:rPr>
          <w:noProof/>
          <w:kern w:val="2"/>
        </w:rPr>
        <w:pict>
          <v:shape id="Text Box 1" o:spid="_x0000_s1063" type="#_x0000_t202" style="position:absolute;left:0;text-align:left;margin-left:11.55pt;margin-top:216.8pt;width:443.95pt;height:27.25pt;z-index:251785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" stroked="f">
            <v:textbox style="mso-next-textbox:#Text Box 1">
              <w:txbxContent>
                <w:p w:rsidR="00AD6037" w:rsidRDefault="00AD6037" w:rsidP="00FB0C53">
                  <w:pPr>
                    <w:pStyle w:val="NormalWeb"/>
                    <w:spacing w:before="0" w:beforeAutospacing="0" w:after="0" w:afterAutospacing="0"/>
                  </w:pPr>
                  <w:r>
                    <w:rPr>
                      <w:rFonts w:ascii="Calibri" w:hAnsi="Calibri"/>
                      <w:sz w:val="16"/>
                      <w:szCs w:val="16"/>
                    </w:rPr>
                    <w:t>FUENTE: SAT  Informes  cumplimiento POA  enero - diciembre 2015.</w:t>
                  </w:r>
                </w:p>
              </w:txbxContent>
            </v:textbox>
          </v:shape>
        </w:pict>
      </w:r>
      <w:r w:rsidR="00FB0C53" w:rsidRPr="00D83D8E">
        <w:rPr>
          <w:noProof/>
          <w:kern w:val="2"/>
          <w:lang w:val="es-MX" w:eastAsia="es-MX"/>
        </w:rPr>
        <w:drawing>
          <wp:inline distT="0" distB="0" distL="0" distR="0">
            <wp:extent cx="5383033" cy="2743200"/>
            <wp:effectExtent l="0" t="0" r="27305" b="1905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B0C53" w:rsidRPr="00D83D8E" w:rsidRDefault="00FB0C53" w:rsidP="00D83D8E">
      <w:pPr>
        <w:tabs>
          <w:tab w:val="num" w:pos="720"/>
        </w:tabs>
        <w:contextualSpacing/>
        <w:jc w:val="both"/>
        <w:rPr>
          <w:rFonts w:ascii="Arial" w:hAnsi="Arial" w:cs="Arial"/>
          <w:kern w:val="2"/>
        </w:rPr>
      </w:pPr>
    </w:p>
    <w:p w:rsidR="00FA56FD" w:rsidRDefault="00FA56FD" w:rsidP="00D83D8E">
      <w:pPr>
        <w:contextualSpacing/>
        <w:jc w:val="both"/>
        <w:rPr>
          <w:rFonts w:ascii="Arial" w:hAnsi="Arial" w:cs="Arial"/>
          <w:color w:val="000000"/>
          <w:kern w:val="2"/>
        </w:rPr>
      </w:pPr>
    </w:p>
    <w:p w:rsidR="00FA56FD" w:rsidRDefault="00FA56FD"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t>De los 330 actos de fiscalización realizados,  209 se realizaron a través de métodos sustantivos, 121 a través de métodos de presencia fiscal; además de los 75 casos de ejemplaridad,  lográndose los siguientes avances:</w:t>
      </w:r>
    </w:p>
    <w:p w:rsidR="00FB0C53" w:rsidRPr="00D83D8E" w:rsidRDefault="00FB0C53" w:rsidP="00D83D8E">
      <w:pPr>
        <w:spacing w:before="120" w:after="120"/>
        <w:contextualSpacing/>
        <w:jc w:val="both"/>
        <w:rPr>
          <w:rFonts w:ascii="Arial" w:hAnsi="Arial" w:cs="Arial"/>
          <w:spacing w:val="20"/>
          <w:kern w:val="2"/>
        </w:rPr>
      </w:pPr>
    </w:p>
    <w:tbl>
      <w:tblPr>
        <w:tblW w:w="9229" w:type="dxa"/>
        <w:tblInd w:w="55" w:type="dxa"/>
        <w:tblCellMar>
          <w:left w:w="70" w:type="dxa"/>
          <w:right w:w="70" w:type="dxa"/>
        </w:tblCellMar>
        <w:tblLook w:val="04A0"/>
      </w:tblPr>
      <w:tblGrid>
        <w:gridCol w:w="3100"/>
        <w:gridCol w:w="2018"/>
        <w:gridCol w:w="2127"/>
        <w:gridCol w:w="1984"/>
      </w:tblGrid>
      <w:tr w:rsidR="00FB0C53" w:rsidRPr="00D83D8E" w:rsidTr="00DE5DA3">
        <w:trPr>
          <w:trHeight w:val="300"/>
        </w:trPr>
        <w:tc>
          <w:tcPr>
            <w:tcW w:w="3100" w:type="dxa"/>
            <w:tcBorders>
              <w:top w:val="single" w:sz="4" w:space="0" w:color="FFFFFF"/>
              <w:left w:val="single" w:sz="4" w:space="0" w:color="FFFFFF"/>
              <w:bottom w:val="single" w:sz="4" w:space="0" w:color="FFFFFF"/>
              <w:right w:val="single" w:sz="4" w:space="0" w:color="FFFFFF"/>
            </w:tcBorders>
            <w:shd w:val="clear" w:color="000000" w:fill="1F497D"/>
            <w:noWrap/>
            <w:vAlign w:val="center"/>
            <w:hideMark/>
          </w:tcPr>
          <w:p w:rsidR="00FB0C53" w:rsidRPr="00D83D8E" w:rsidRDefault="00FB0C53" w:rsidP="00D83D8E">
            <w:pPr>
              <w:contextualSpacing/>
              <w:jc w:val="center"/>
              <w:rPr>
                <w:rFonts w:ascii="Calibri" w:hAnsi="Calibri"/>
                <w:b/>
                <w:bCs/>
                <w:color w:val="FFFFFF"/>
                <w:kern w:val="2"/>
                <w:sz w:val="22"/>
                <w:szCs w:val="22"/>
                <w:lang w:val="es-MX" w:eastAsia="es-MX"/>
              </w:rPr>
            </w:pPr>
          </w:p>
          <w:p w:rsidR="00FB0C53" w:rsidRPr="00D83D8E" w:rsidRDefault="00FB0C53" w:rsidP="00D83D8E">
            <w:pPr>
              <w:contextualSpacing/>
              <w:jc w:val="center"/>
              <w:rPr>
                <w:rFonts w:ascii="Calibri" w:hAnsi="Calibri"/>
                <w:b/>
                <w:bCs/>
                <w:color w:val="FFFFFF"/>
                <w:kern w:val="2"/>
                <w:sz w:val="22"/>
                <w:szCs w:val="22"/>
                <w:lang w:val="es-MX" w:eastAsia="es-MX"/>
              </w:rPr>
            </w:pPr>
            <w:r w:rsidRPr="00D83D8E">
              <w:rPr>
                <w:rFonts w:ascii="Calibri" w:hAnsi="Calibri"/>
                <w:b/>
                <w:bCs/>
                <w:color w:val="FFFFFF"/>
                <w:kern w:val="2"/>
                <w:sz w:val="22"/>
                <w:szCs w:val="22"/>
                <w:lang w:val="es-MX" w:eastAsia="es-MX"/>
              </w:rPr>
              <w:t>Método de Revisión</w:t>
            </w:r>
          </w:p>
          <w:p w:rsidR="00FB0C53" w:rsidRPr="00D83D8E" w:rsidRDefault="00FB0C53" w:rsidP="00D83D8E">
            <w:pPr>
              <w:contextualSpacing/>
              <w:jc w:val="center"/>
              <w:rPr>
                <w:rFonts w:ascii="Calibri" w:hAnsi="Calibri"/>
                <w:b/>
                <w:bCs/>
                <w:color w:val="FFFFFF"/>
                <w:kern w:val="2"/>
                <w:sz w:val="22"/>
                <w:szCs w:val="22"/>
                <w:lang w:val="es-MX" w:eastAsia="es-MX"/>
              </w:rPr>
            </w:pPr>
          </w:p>
        </w:tc>
        <w:tc>
          <w:tcPr>
            <w:tcW w:w="2018" w:type="dxa"/>
            <w:tcBorders>
              <w:top w:val="single" w:sz="4" w:space="0" w:color="FFFFFF"/>
              <w:left w:val="nil"/>
              <w:bottom w:val="single" w:sz="4" w:space="0" w:color="FFFFFF"/>
              <w:right w:val="single" w:sz="4" w:space="0" w:color="FFFFFF"/>
            </w:tcBorders>
            <w:shd w:val="clear" w:color="000000" w:fill="1F497D"/>
            <w:noWrap/>
            <w:vAlign w:val="center"/>
            <w:hideMark/>
          </w:tcPr>
          <w:p w:rsidR="00FB0C53" w:rsidRPr="00D83D8E" w:rsidRDefault="00FB0C53" w:rsidP="00D83D8E">
            <w:pPr>
              <w:contextualSpacing/>
              <w:jc w:val="center"/>
              <w:rPr>
                <w:rFonts w:ascii="Calibri" w:hAnsi="Calibri"/>
                <w:b/>
                <w:bCs/>
                <w:color w:val="FFFFFF"/>
                <w:kern w:val="2"/>
                <w:sz w:val="22"/>
                <w:szCs w:val="22"/>
                <w:lang w:val="es-MX" w:eastAsia="es-MX"/>
              </w:rPr>
            </w:pPr>
            <w:r w:rsidRPr="00D83D8E">
              <w:rPr>
                <w:rFonts w:ascii="Calibri" w:hAnsi="Calibri"/>
                <w:b/>
                <w:bCs/>
                <w:color w:val="FFFFFF"/>
                <w:kern w:val="2"/>
                <w:sz w:val="22"/>
                <w:szCs w:val="22"/>
                <w:lang w:val="es-MX" w:eastAsia="es-MX"/>
              </w:rPr>
              <w:t>Programadas</w:t>
            </w:r>
          </w:p>
        </w:tc>
        <w:tc>
          <w:tcPr>
            <w:tcW w:w="2127" w:type="dxa"/>
            <w:tcBorders>
              <w:top w:val="single" w:sz="4" w:space="0" w:color="FFFFFF"/>
              <w:left w:val="nil"/>
              <w:bottom w:val="single" w:sz="4" w:space="0" w:color="FFFFFF"/>
              <w:right w:val="single" w:sz="4" w:space="0" w:color="FFFFFF"/>
            </w:tcBorders>
            <w:shd w:val="clear" w:color="000000" w:fill="1F497D"/>
            <w:noWrap/>
            <w:vAlign w:val="center"/>
            <w:hideMark/>
          </w:tcPr>
          <w:p w:rsidR="00FB0C53" w:rsidRPr="00D83D8E" w:rsidRDefault="00FB0C53" w:rsidP="00D83D8E">
            <w:pPr>
              <w:contextualSpacing/>
              <w:jc w:val="center"/>
              <w:rPr>
                <w:rFonts w:ascii="Calibri" w:hAnsi="Calibri"/>
                <w:b/>
                <w:bCs/>
                <w:color w:val="FFFFFF"/>
                <w:kern w:val="2"/>
                <w:sz w:val="22"/>
                <w:szCs w:val="22"/>
                <w:lang w:val="es-MX" w:eastAsia="es-MX"/>
              </w:rPr>
            </w:pPr>
            <w:r w:rsidRPr="00D83D8E">
              <w:rPr>
                <w:rFonts w:ascii="Calibri" w:hAnsi="Calibri"/>
                <w:b/>
                <w:bCs/>
                <w:color w:val="FFFFFF"/>
                <w:kern w:val="2"/>
                <w:sz w:val="22"/>
                <w:szCs w:val="22"/>
                <w:lang w:val="es-MX" w:eastAsia="es-MX"/>
              </w:rPr>
              <w:t>Terminadas</w:t>
            </w:r>
          </w:p>
        </w:tc>
        <w:tc>
          <w:tcPr>
            <w:tcW w:w="1984" w:type="dxa"/>
            <w:tcBorders>
              <w:top w:val="single" w:sz="4" w:space="0" w:color="FFFFFF"/>
              <w:left w:val="nil"/>
              <w:bottom w:val="single" w:sz="4" w:space="0" w:color="FFFFFF"/>
              <w:right w:val="single" w:sz="4" w:space="0" w:color="FFFFFF"/>
            </w:tcBorders>
            <w:shd w:val="clear" w:color="000000" w:fill="1F497D"/>
            <w:noWrap/>
            <w:vAlign w:val="center"/>
            <w:hideMark/>
          </w:tcPr>
          <w:p w:rsidR="00FB0C53" w:rsidRPr="00D83D8E" w:rsidRDefault="00FB0C53" w:rsidP="00D83D8E">
            <w:pPr>
              <w:contextualSpacing/>
              <w:jc w:val="center"/>
              <w:rPr>
                <w:rFonts w:ascii="Calibri" w:hAnsi="Calibri"/>
                <w:b/>
                <w:bCs/>
                <w:color w:val="FFFFFF"/>
                <w:kern w:val="2"/>
                <w:sz w:val="22"/>
                <w:szCs w:val="22"/>
                <w:lang w:val="es-MX" w:eastAsia="es-MX"/>
              </w:rPr>
            </w:pPr>
            <w:r w:rsidRPr="00D83D8E">
              <w:rPr>
                <w:rFonts w:ascii="Calibri" w:hAnsi="Calibri"/>
                <w:b/>
                <w:bCs/>
                <w:color w:val="FFFFFF"/>
                <w:kern w:val="2"/>
                <w:sz w:val="22"/>
                <w:szCs w:val="22"/>
                <w:lang w:val="es-MX" w:eastAsia="es-MX"/>
              </w:rPr>
              <w:t>% Avance</w:t>
            </w:r>
          </w:p>
        </w:tc>
      </w:tr>
      <w:tr w:rsidR="00FB0C53" w:rsidRPr="00D83D8E" w:rsidTr="00DE5DA3">
        <w:trPr>
          <w:trHeight w:val="300"/>
        </w:trPr>
        <w:tc>
          <w:tcPr>
            <w:tcW w:w="3100" w:type="dxa"/>
            <w:tcBorders>
              <w:top w:val="nil"/>
              <w:left w:val="single" w:sz="4" w:space="0" w:color="FFFFFF"/>
              <w:bottom w:val="single" w:sz="4" w:space="0" w:color="FFFFFF"/>
              <w:right w:val="single" w:sz="4" w:space="0" w:color="FFFFFF"/>
            </w:tcBorders>
            <w:shd w:val="clear" w:color="000000" w:fill="B7DEE8"/>
            <w:noWrap/>
            <w:vAlign w:val="bottom"/>
            <w:hideMark/>
          </w:tcPr>
          <w:p w:rsidR="00FB0C53" w:rsidRPr="00D83D8E" w:rsidRDefault="00FB0C53" w:rsidP="00D83D8E">
            <w:pPr>
              <w:contextualSpacing/>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Sustantivos</w:t>
            </w:r>
          </w:p>
        </w:tc>
        <w:tc>
          <w:tcPr>
            <w:tcW w:w="2018" w:type="dxa"/>
            <w:tcBorders>
              <w:top w:val="nil"/>
              <w:left w:val="nil"/>
              <w:bottom w:val="single" w:sz="4" w:space="0" w:color="FFFFFF"/>
              <w:right w:val="single" w:sz="4" w:space="0" w:color="FFFFFF"/>
            </w:tcBorders>
            <w:shd w:val="clear" w:color="000000" w:fill="B7DEE8"/>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208</w:t>
            </w:r>
          </w:p>
        </w:tc>
        <w:tc>
          <w:tcPr>
            <w:tcW w:w="2127" w:type="dxa"/>
            <w:tcBorders>
              <w:top w:val="nil"/>
              <w:left w:val="nil"/>
              <w:bottom w:val="single" w:sz="4" w:space="0" w:color="FFFFFF"/>
              <w:right w:val="single" w:sz="4" w:space="0" w:color="FFFFFF"/>
            </w:tcBorders>
            <w:shd w:val="clear" w:color="000000" w:fill="B7DEE8"/>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209</w:t>
            </w:r>
          </w:p>
        </w:tc>
        <w:tc>
          <w:tcPr>
            <w:tcW w:w="1984" w:type="dxa"/>
            <w:tcBorders>
              <w:top w:val="nil"/>
              <w:left w:val="nil"/>
              <w:bottom w:val="single" w:sz="4" w:space="0" w:color="FFFFFF"/>
              <w:right w:val="single" w:sz="4" w:space="0" w:color="FFFFFF"/>
            </w:tcBorders>
            <w:shd w:val="clear" w:color="000000" w:fill="B7DEE8"/>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100.5</w:t>
            </w:r>
          </w:p>
        </w:tc>
      </w:tr>
      <w:tr w:rsidR="00FB0C53" w:rsidRPr="00D83D8E" w:rsidTr="00DE5DA3">
        <w:trPr>
          <w:trHeight w:val="300"/>
        </w:trPr>
        <w:tc>
          <w:tcPr>
            <w:tcW w:w="3100" w:type="dxa"/>
            <w:tcBorders>
              <w:top w:val="nil"/>
              <w:left w:val="single" w:sz="4" w:space="0" w:color="FFFFFF"/>
              <w:bottom w:val="single" w:sz="4" w:space="0" w:color="FFFFFF"/>
              <w:right w:val="single" w:sz="4" w:space="0" w:color="FFFFFF"/>
            </w:tcBorders>
            <w:shd w:val="clear" w:color="000000" w:fill="DAEEF3"/>
            <w:noWrap/>
            <w:vAlign w:val="bottom"/>
            <w:hideMark/>
          </w:tcPr>
          <w:p w:rsidR="00FB0C53" w:rsidRPr="00D83D8E" w:rsidRDefault="00FB0C53" w:rsidP="00D83D8E">
            <w:pPr>
              <w:contextualSpacing/>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Presencia Fiscal</w:t>
            </w:r>
          </w:p>
        </w:tc>
        <w:tc>
          <w:tcPr>
            <w:tcW w:w="2018" w:type="dxa"/>
            <w:tcBorders>
              <w:top w:val="nil"/>
              <w:left w:val="nil"/>
              <w:bottom w:val="single" w:sz="4" w:space="0" w:color="FFFFFF"/>
              <w:right w:val="single" w:sz="4" w:space="0" w:color="FFFFFF"/>
            </w:tcBorders>
            <w:shd w:val="clear" w:color="000000" w:fill="DAEEF3"/>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110</w:t>
            </w:r>
          </w:p>
        </w:tc>
        <w:tc>
          <w:tcPr>
            <w:tcW w:w="2127" w:type="dxa"/>
            <w:tcBorders>
              <w:top w:val="nil"/>
              <w:left w:val="nil"/>
              <w:bottom w:val="single" w:sz="4" w:space="0" w:color="FFFFFF"/>
              <w:right w:val="single" w:sz="4" w:space="0" w:color="FFFFFF"/>
            </w:tcBorders>
            <w:shd w:val="clear" w:color="000000" w:fill="DAEEF3"/>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121</w:t>
            </w:r>
          </w:p>
        </w:tc>
        <w:tc>
          <w:tcPr>
            <w:tcW w:w="1984" w:type="dxa"/>
            <w:tcBorders>
              <w:top w:val="nil"/>
              <w:left w:val="nil"/>
              <w:bottom w:val="single" w:sz="4" w:space="0" w:color="FFFFFF"/>
              <w:right w:val="single" w:sz="4" w:space="0" w:color="FFFFFF"/>
            </w:tcBorders>
            <w:shd w:val="clear" w:color="000000" w:fill="DAEEF3"/>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104.3</w:t>
            </w:r>
          </w:p>
        </w:tc>
      </w:tr>
      <w:tr w:rsidR="00FB0C53" w:rsidRPr="00D83D8E" w:rsidTr="00DE5DA3">
        <w:trPr>
          <w:trHeight w:val="300"/>
        </w:trPr>
        <w:tc>
          <w:tcPr>
            <w:tcW w:w="3100" w:type="dxa"/>
            <w:tcBorders>
              <w:top w:val="nil"/>
              <w:left w:val="single" w:sz="4" w:space="0" w:color="FFFFFF"/>
              <w:bottom w:val="single" w:sz="4" w:space="0" w:color="FFFFFF"/>
              <w:right w:val="single" w:sz="4" w:space="0" w:color="FFFFFF"/>
            </w:tcBorders>
            <w:shd w:val="clear" w:color="000000" w:fill="B7DEE8"/>
            <w:noWrap/>
            <w:vAlign w:val="bottom"/>
          </w:tcPr>
          <w:p w:rsidR="00FB0C53" w:rsidRPr="00D83D8E" w:rsidRDefault="00FB0C53" w:rsidP="00D83D8E">
            <w:pPr>
              <w:contextualSpacing/>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Ejemplaridad</w:t>
            </w:r>
          </w:p>
        </w:tc>
        <w:tc>
          <w:tcPr>
            <w:tcW w:w="2018" w:type="dxa"/>
            <w:tcBorders>
              <w:top w:val="nil"/>
              <w:left w:val="nil"/>
              <w:bottom w:val="single" w:sz="4" w:space="0" w:color="FFFFFF"/>
              <w:right w:val="single" w:sz="4" w:space="0" w:color="FFFFFF"/>
            </w:tcBorders>
            <w:shd w:val="clear" w:color="000000" w:fill="B7DEE8"/>
            <w:noWrap/>
            <w:vAlign w:val="bottom"/>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63</w:t>
            </w:r>
          </w:p>
        </w:tc>
        <w:tc>
          <w:tcPr>
            <w:tcW w:w="2127" w:type="dxa"/>
            <w:tcBorders>
              <w:top w:val="nil"/>
              <w:left w:val="nil"/>
              <w:bottom w:val="single" w:sz="4" w:space="0" w:color="FFFFFF"/>
              <w:right w:val="single" w:sz="4" w:space="0" w:color="FFFFFF"/>
            </w:tcBorders>
            <w:shd w:val="clear" w:color="000000" w:fill="B7DEE8"/>
            <w:noWrap/>
            <w:vAlign w:val="bottom"/>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75</w:t>
            </w:r>
          </w:p>
        </w:tc>
        <w:tc>
          <w:tcPr>
            <w:tcW w:w="1984" w:type="dxa"/>
            <w:tcBorders>
              <w:top w:val="nil"/>
              <w:left w:val="nil"/>
              <w:bottom w:val="single" w:sz="4" w:space="0" w:color="FFFFFF"/>
              <w:right w:val="single" w:sz="4" w:space="0" w:color="FFFFFF"/>
            </w:tcBorders>
            <w:shd w:val="clear" w:color="000000" w:fill="B7DEE8"/>
            <w:noWrap/>
            <w:vAlign w:val="bottom"/>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119.0</w:t>
            </w:r>
          </w:p>
        </w:tc>
      </w:tr>
      <w:tr w:rsidR="00FB0C53" w:rsidRPr="00D83D8E" w:rsidTr="00DE5DA3">
        <w:trPr>
          <w:trHeight w:val="300"/>
        </w:trPr>
        <w:tc>
          <w:tcPr>
            <w:tcW w:w="3100" w:type="dxa"/>
            <w:tcBorders>
              <w:top w:val="nil"/>
              <w:left w:val="single" w:sz="4" w:space="0" w:color="FFFFFF"/>
              <w:bottom w:val="single" w:sz="4" w:space="0" w:color="FFFFFF"/>
              <w:right w:val="single" w:sz="4" w:space="0" w:color="FFFFFF"/>
            </w:tcBorders>
            <w:shd w:val="clear" w:color="000000" w:fill="B7DEE8"/>
            <w:noWrap/>
            <w:vAlign w:val="bottom"/>
            <w:hideMark/>
          </w:tcPr>
          <w:p w:rsidR="00FB0C53" w:rsidRPr="00D83D8E" w:rsidRDefault="00FB0C53" w:rsidP="00D83D8E">
            <w:pPr>
              <w:contextualSpacing/>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Meta Anual</w:t>
            </w:r>
          </w:p>
        </w:tc>
        <w:tc>
          <w:tcPr>
            <w:tcW w:w="2018" w:type="dxa"/>
            <w:tcBorders>
              <w:top w:val="nil"/>
              <w:left w:val="nil"/>
              <w:bottom w:val="single" w:sz="4" w:space="0" w:color="FFFFFF"/>
              <w:right w:val="single" w:sz="4" w:space="0" w:color="FFFFFF"/>
            </w:tcBorders>
            <w:shd w:val="clear" w:color="000000" w:fill="B7DEE8"/>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381</w:t>
            </w:r>
          </w:p>
        </w:tc>
        <w:tc>
          <w:tcPr>
            <w:tcW w:w="2127" w:type="dxa"/>
            <w:tcBorders>
              <w:top w:val="nil"/>
              <w:left w:val="nil"/>
              <w:bottom w:val="single" w:sz="4" w:space="0" w:color="FFFFFF"/>
              <w:right w:val="single" w:sz="4" w:space="0" w:color="FFFFFF"/>
            </w:tcBorders>
            <w:shd w:val="clear" w:color="000000" w:fill="B7DEE8"/>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405</w:t>
            </w:r>
          </w:p>
        </w:tc>
        <w:tc>
          <w:tcPr>
            <w:tcW w:w="1984" w:type="dxa"/>
            <w:tcBorders>
              <w:top w:val="nil"/>
              <w:left w:val="nil"/>
              <w:bottom w:val="single" w:sz="4" w:space="0" w:color="FFFFFF"/>
              <w:right w:val="single" w:sz="4" w:space="0" w:color="FFFFFF"/>
            </w:tcBorders>
            <w:shd w:val="clear" w:color="000000" w:fill="B7DEE8"/>
            <w:noWrap/>
            <w:vAlign w:val="bottom"/>
            <w:hideMark/>
          </w:tcPr>
          <w:p w:rsidR="00FB0C53" w:rsidRPr="00D83D8E" w:rsidRDefault="00FB0C53" w:rsidP="00D83D8E">
            <w:pPr>
              <w:contextualSpacing/>
              <w:jc w:val="center"/>
              <w:rPr>
                <w:rFonts w:ascii="Calibri" w:hAnsi="Calibri"/>
                <w:color w:val="000000"/>
                <w:kern w:val="2"/>
                <w:sz w:val="22"/>
                <w:szCs w:val="22"/>
                <w:lang w:val="es-MX" w:eastAsia="es-MX"/>
              </w:rPr>
            </w:pPr>
            <w:r w:rsidRPr="00D83D8E">
              <w:rPr>
                <w:rFonts w:ascii="Calibri" w:hAnsi="Calibri"/>
                <w:color w:val="000000"/>
                <w:kern w:val="2"/>
                <w:sz w:val="22"/>
                <w:szCs w:val="22"/>
                <w:lang w:val="es-MX" w:eastAsia="es-MX"/>
              </w:rPr>
              <w:t>106.3</w:t>
            </w:r>
          </w:p>
        </w:tc>
      </w:tr>
      <w:tr w:rsidR="00FB0C53" w:rsidRPr="00D83D8E" w:rsidTr="00DE5DA3">
        <w:trPr>
          <w:trHeight w:val="300"/>
        </w:trPr>
        <w:tc>
          <w:tcPr>
            <w:tcW w:w="9229" w:type="dxa"/>
            <w:gridSpan w:val="4"/>
            <w:tcBorders>
              <w:top w:val="nil"/>
              <w:left w:val="nil"/>
              <w:bottom w:val="nil"/>
              <w:right w:val="nil"/>
            </w:tcBorders>
            <w:shd w:val="clear" w:color="auto" w:fill="auto"/>
            <w:noWrap/>
            <w:vAlign w:val="bottom"/>
            <w:hideMark/>
          </w:tcPr>
          <w:p w:rsidR="00FB0C53" w:rsidRPr="00D83D8E" w:rsidRDefault="00FB0C53" w:rsidP="00D83D8E">
            <w:pPr>
              <w:contextualSpacing/>
              <w:rPr>
                <w:rFonts w:ascii="Calibri" w:hAnsi="Calibri"/>
                <w:color w:val="000000"/>
                <w:kern w:val="2"/>
                <w:sz w:val="16"/>
                <w:szCs w:val="16"/>
                <w:lang w:val="es-MX" w:eastAsia="es-MX"/>
              </w:rPr>
            </w:pPr>
          </w:p>
          <w:p w:rsidR="00FB0C53" w:rsidRPr="00D83D8E" w:rsidRDefault="00FB0C53" w:rsidP="00D83D8E">
            <w:pPr>
              <w:contextualSpacing/>
              <w:rPr>
                <w:rFonts w:ascii="Calibri" w:hAnsi="Calibri"/>
                <w:color w:val="000000"/>
                <w:kern w:val="2"/>
                <w:sz w:val="22"/>
                <w:szCs w:val="22"/>
                <w:lang w:val="es-MX" w:eastAsia="es-MX"/>
              </w:rPr>
            </w:pPr>
            <w:r w:rsidRPr="00D83D8E">
              <w:rPr>
                <w:rFonts w:ascii="Calibri" w:hAnsi="Calibri"/>
                <w:kern w:val="2"/>
                <w:sz w:val="16"/>
                <w:szCs w:val="16"/>
              </w:rPr>
              <w:t>FUENTE: SAT  Informes  cumplimiento POA  enero - diciembre 2015</w:t>
            </w:r>
            <w:r w:rsidRPr="00D83D8E">
              <w:rPr>
                <w:rFonts w:ascii="Calibri" w:hAnsi="Calibri"/>
                <w:color w:val="000000"/>
                <w:kern w:val="2"/>
                <w:sz w:val="22"/>
                <w:szCs w:val="22"/>
                <w:lang w:val="es-MX" w:eastAsia="es-MX"/>
              </w:rPr>
              <w:t> </w:t>
            </w:r>
          </w:p>
        </w:tc>
      </w:tr>
    </w:tbl>
    <w:p w:rsidR="00FB0C53" w:rsidRPr="00D83D8E" w:rsidRDefault="00FB0C53" w:rsidP="00D83D8E">
      <w:pPr>
        <w:contextualSpacing/>
        <w:jc w:val="both"/>
        <w:rPr>
          <w:rFonts w:ascii="Arial" w:hAnsi="Arial" w:cs="Arial"/>
          <w:b/>
          <w:color w:val="000000"/>
          <w:kern w:val="2"/>
        </w:rPr>
      </w:pPr>
    </w:p>
    <w:p w:rsidR="00FB0C53" w:rsidRPr="00D83D8E" w:rsidRDefault="00FB0C53" w:rsidP="00D83D8E">
      <w:pPr>
        <w:contextualSpacing/>
        <w:jc w:val="both"/>
        <w:rPr>
          <w:rFonts w:ascii="Arial" w:hAnsi="Arial" w:cs="Arial"/>
          <w:b/>
          <w:color w:val="000000"/>
          <w:kern w:val="2"/>
        </w:rPr>
      </w:pPr>
    </w:p>
    <w:p w:rsidR="00FB0C53" w:rsidRPr="00D83D8E" w:rsidRDefault="00FB0C53" w:rsidP="00D83D8E">
      <w:pPr>
        <w:contextualSpacing/>
        <w:jc w:val="both"/>
        <w:rPr>
          <w:rFonts w:ascii="Arial" w:hAnsi="Arial" w:cs="Arial"/>
          <w:b/>
          <w:color w:val="000000"/>
          <w:kern w:val="2"/>
        </w:rPr>
      </w:pPr>
    </w:p>
    <w:p w:rsidR="00FB0C53" w:rsidRPr="00D83D8E" w:rsidRDefault="00FB0C53" w:rsidP="00D83D8E">
      <w:pPr>
        <w:contextualSpacing/>
        <w:jc w:val="both"/>
        <w:rPr>
          <w:rFonts w:ascii="Arial" w:hAnsi="Arial" w:cs="Arial"/>
          <w:b/>
          <w:color w:val="000000"/>
          <w:kern w:val="2"/>
        </w:rPr>
      </w:pPr>
    </w:p>
    <w:p w:rsidR="00FA56FD" w:rsidRDefault="00FA56FD" w:rsidP="00D83D8E">
      <w:pPr>
        <w:contextualSpacing/>
        <w:jc w:val="both"/>
        <w:rPr>
          <w:rFonts w:ascii="Arial" w:hAnsi="Arial" w:cs="Arial"/>
          <w:b/>
          <w:color w:val="000000"/>
          <w:kern w:val="2"/>
        </w:rPr>
      </w:pPr>
    </w:p>
    <w:p w:rsidR="00FA56FD" w:rsidRDefault="00FA56FD" w:rsidP="00D83D8E">
      <w:pPr>
        <w:contextualSpacing/>
        <w:jc w:val="both"/>
        <w:rPr>
          <w:rFonts w:ascii="Arial" w:hAnsi="Arial" w:cs="Arial"/>
          <w:b/>
          <w:color w:val="000000"/>
          <w:kern w:val="2"/>
        </w:rPr>
      </w:pPr>
    </w:p>
    <w:p w:rsidR="00FA56FD" w:rsidRDefault="00FA56FD" w:rsidP="00D83D8E">
      <w:pPr>
        <w:contextualSpacing/>
        <w:jc w:val="both"/>
        <w:rPr>
          <w:rFonts w:ascii="Arial" w:hAnsi="Arial" w:cs="Arial"/>
          <w:b/>
          <w:color w:val="000000"/>
          <w:kern w:val="2"/>
        </w:rPr>
      </w:pPr>
    </w:p>
    <w:p w:rsidR="00FB0C53" w:rsidRPr="00D83D8E" w:rsidRDefault="00FA56FD" w:rsidP="00D83D8E">
      <w:pPr>
        <w:contextualSpacing/>
        <w:jc w:val="both"/>
        <w:rPr>
          <w:rFonts w:ascii="Arial" w:hAnsi="Arial" w:cs="Arial"/>
          <w:b/>
          <w:color w:val="000000"/>
          <w:kern w:val="2"/>
        </w:rPr>
      </w:pPr>
      <w:r>
        <w:rPr>
          <w:rFonts w:ascii="Arial" w:hAnsi="Arial" w:cs="Arial"/>
          <w:b/>
          <w:color w:val="000000"/>
          <w:kern w:val="2"/>
        </w:rPr>
        <w:lastRenderedPageBreak/>
        <w:t>3.2.1.2</w:t>
      </w:r>
      <w:r w:rsidR="00E91C2E">
        <w:rPr>
          <w:rFonts w:ascii="Arial" w:hAnsi="Arial" w:cs="Arial"/>
          <w:b/>
          <w:color w:val="000000"/>
          <w:kern w:val="2"/>
        </w:rPr>
        <w:t>.-</w:t>
      </w:r>
      <w:r w:rsidR="00E91C2E" w:rsidRPr="00D83D8E">
        <w:rPr>
          <w:rFonts w:ascii="Arial" w:hAnsi="Arial" w:cs="Arial"/>
          <w:b/>
          <w:color w:val="000000"/>
          <w:kern w:val="2"/>
        </w:rPr>
        <w:t xml:space="preserve"> IMPUESTOS ESTATALES.</w:t>
      </w:r>
    </w:p>
    <w:p w:rsidR="00FB0C53" w:rsidRPr="00D83D8E" w:rsidRDefault="00FB0C53" w:rsidP="00D83D8E">
      <w:pPr>
        <w:contextualSpacing/>
        <w:jc w:val="both"/>
        <w:rPr>
          <w:rFonts w:ascii="Arial" w:hAnsi="Arial" w:cs="Arial"/>
          <w:spacing w:val="20"/>
          <w:kern w:val="2"/>
        </w:rPr>
      </w:pP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t>En lo que se refiere al POA Estatal, la meta anual del ejercicio 2015 fue de 20 actos de fiscalización,  concluyéndose un total de 45 acciones, lográndose un avance de 225.0 por ciento respecto a la meta señalada</w:t>
      </w: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center"/>
        <w:rPr>
          <w:rFonts w:ascii="Arial" w:hAnsi="Arial" w:cs="Arial"/>
          <w:color w:val="000000"/>
          <w:kern w:val="2"/>
        </w:rPr>
      </w:pPr>
      <w:r w:rsidRPr="00D83D8E">
        <w:rPr>
          <w:noProof/>
          <w:kern w:val="2"/>
          <w:sz w:val="22"/>
          <w:lang w:val="es-MX" w:eastAsia="es-MX"/>
        </w:rPr>
        <w:drawing>
          <wp:inline distT="0" distB="0" distL="0" distR="0">
            <wp:extent cx="3363402" cy="2560320"/>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B0C53" w:rsidRPr="00D83D8E" w:rsidRDefault="00FB0C53" w:rsidP="00D83D8E">
      <w:pPr>
        <w:contextualSpacing/>
        <w:jc w:val="both"/>
        <w:rPr>
          <w:rFonts w:ascii="Arial" w:hAnsi="Arial" w:cs="Arial"/>
          <w:b/>
          <w:color w:val="000000"/>
          <w:kern w:val="2"/>
        </w:rPr>
      </w:pPr>
    </w:p>
    <w:p w:rsidR="00FB0C53" w:rsidRPr="00D83D8E" w:rsidRDefault="00FB0C53" w:rsidP="00D83D8E">
      <w:pPr>
        <w:contextualSpacing/>
        <w:jc w:val="both"/>
        <w:rPr>
          <w:rFonts w:ascii="Arial" w:hAnsi="Arial" w:cs="Arial"/>
          <w:b/>
          <w:color w:val="000000"/>
          <w:kern w:val="2"/>
        </w:rPr>
      </w:pPr>
    </w:p>
    <w:p w:rsidR="00FB0C53" w:rsidRPr="00D83D8E" w:rsidRDefault="00FB0C53" w:rsidP="00D83D8E">
      <w:pPr>
        <w:contextualSpacing/>
        <w:jc w:val="both"/>
        <w:rPr>
          <w:rFonts w:ascii="Arial" w:hAnsi="Arial" w:cs="Arial"/>
          <w:b/>
          <w:color w:val="000000"/>
          <w:kern w:val="2"/>
        </w:rPr>
      </w:pPr>
    </w:p>
    <w:p w:rsidR="00FB0C53" w:rsidRPr="00D83D8E" w:rsidRDefault="00FB0C53" w:rsidP="00D83D8E">
      <w:pPr>
        <w:contextualSpacing/>
        <w:jc w:val="both"/>
        <w:rPr>
          <w:rFonts w:ascii="Arial" w:hAnsi="Arial" w:cs="Arial"/>
          <w:b/>
          <w:color w:val="000000"/>
          <w:kern w:val="2"/>
        </w:rPr>
      </w:pPr>
    </w:p>
    <w:p w:rsidR="008721C0" w:rsidRPr="00D83D8E" w:rsidRDefault="008721C0" w:rsidP="00D83D8E">
      <w:pPr>
        <w:contextualSpacing/>
        <w:jc w:val="both"/>
        <w:rPr>
          <w:rFonts w:ascii="Arial" w:hAnsi="Arial" w:cs="Arial"/>
          <w:b/>
          <w:color w:val="000000"/>
          <w:kern w:val="2"/>
        </w:rPr>
      </w:pPr>
    </w:p>
    <w:p w:rsidR="00FA56FD" w:rsidRDefault="00FA56FD" w:rsidP="00D83D8E">
      <w:pPr>
        <w:contextualSpacing/>
        <w:jc w:val="both"/>
        <w:rPr>
          <w:rFonts w:ascii="Arial" w:hAnsi="Arial" w:cs="Arial"/>
          <w:b/>
          <w:color w:val="000000"/>
          <w:kern w:val="2"/>
        </w:rPr>
      </w:pPr>
    </w:p>
    <w:p w:rsidR="00FA56FD" w:rsidRDefault="00FA56FD">
      <w:pPr>
        <w:rPr>
          <w:rFonts w:ascii="Arial" w:hAnsi="Arial" w:cs="Arial"/>
          <w:b/>
          <w:color w:val="000000"/>
          <w:kern w:val="2"/>
        </w:rPr>
      </w:pPr>
      <w:r>
        <w:rPr>
          <w:rFonts w:ascii="Arial" w:hAnsi="Arial" w:cs="Arial"/>
          <w:b/>
          <w:color w:val="000000"/>
          <w:kern w:val="2"/>
        </w:rPr>
        <w:br w:type="page"/>
      </w:r>
    </w:p>
    <w:p w:rsidR="00FB0C53" w:rsidRPr="00D83D8E" w:rsidRDefault="00FA56FD" w:rsidP="00D83D8E">
      <w:pPr>
        <w:contextualSpacing/>
        <w:jc w:val="both"/>
        <w:rPr>
          <w:rFonts w:ascii="Arial" w:hAnsi="Arial" w:cs="Arial"/>
          <w:b/>
          <w:color w:val="000000"/>
          <w:kern w:val="2"/>
        </w:rPr>
      </w:pPr>
      <w:r>
        <w:rPr>
          <w:rFonts w:ascii="Arial" w:hAnsi="Arial" w:cs="Arial"/>
          <w:b/>
          <w:color w:val="000000"/>
          <w:kern w:val="2"/>
        </w:rPr>
        <w:lastRenderedPageBreak/>
        <w:t>3.2.1.3.-</w:t>
      </w:r>
      <w:r w:rsidR="00FB0C53" w:rsidRPr="00D83D8E">
        <w:rPr>
          <w:rFonts w:ascii="Arial" w:hAnsi="Arial" w:cs="Arial"/>
          <w:b/>
          <w:color w:val="000000"/>
          <w:kern w:val="2"/>
        </w:rPr>
        <w:t xml:space="preserve"> </w:t>
      </w:r>
      <w:r w:rsidR="00E91C2E" w:rsidRPr="00D83D8E">
        <w:rPr>
          <w:rFonts w:ascii="Arial" w:hAnsi="Arial" w:cs="Arial"/>
          <w:b/>
          <w:color w:val="000000"/>
          <w:kern w:val="2"/>
        </w:rPr>
        <w:t>CIFRAS COBRADAS</w:t>
      </w:r>
      <w:r w:rsidR="00FB0C53" w:rsidRPr="00D83D8E">
        <w:rPr>
          <w:rFonts w:ascii="Arial" w:hAnsi="Arial" w:cs="Arial"/>
          <w:b/>
          <w:color w:val="000000"/>
          <w:kern w:val="2"/>
        </w:rPr>
        <w:t>.</w:t>
      </w:r>
    </w:p>
    <w:p w:rsidR="00FB0C53" w:rsidRPr="00D83D8E" w:rsidRDefault="00FB0C53" w:rsidP="00D83D8E">
      <w:pPr>
        <w:contextualSpacing/>
        <w:jc w:val="both"/>
        <w:rPr>
          <w:rFonts w:ascii="Arial" w:hAnsi="Arial" w:cs="Arial"/>
          <w:b/>
          <w:color w:val="000000"/>
          <w:kern w:val="2"/>
        </w:rPr>
      </w:pPr>
    </w:p>
    <w:p w:rsidR="00FB0C53" w:rsidRPr="00D83D8E" w:rsidRDefault="00FB0C53" w:rsidP="00783485">
      <w:pPr>
        <w:contextualSpacing/>
        <w:jc w:val="both"/>
        <w:rPr>
          <w:rFonts w:ascii="Arial" w:hAnsi="Arial" w:cs="Arial"/>
          <w:color w:val="000000"/>
          <w:kern w:val="2"/>
        </w:rPr>
      </w:pPr>
      <w:r w:rsidRPr="00D83D8E">
        <w:rPr>
          <w:rFonts w:ascii="Arial" w:hAnsi="Arial" w:cs="Arial"/>
          <w:color w:val="000000"/>
          <w:kern w:val="2"/>
        </w:rPr>
        <w:t>Como resultado de la actividad fiscalizadora en materia federal y estatal, se obtuvieron recursos económicos adicionales para nuestro Estado, lo que contribuye a sufragar el gasto público, la recaudación obtenida en el ejercicio 2015 fue de $80</w:t>
      </w:r>
      <w:r w:rsidR="0090445E" w:rsidRPr="00D83D8E">
        <w:rPr>
          <w:rFonts w:ascii="Arial" w:hAnsi="Arial" w:cs="Arial"/>
          <w:color w:val="000000"/>
          <w:kern w:val="2"/>
        </w:rPr>
        <w:t>,</w:t>
      </w:r>
      <w:r w:rsidRPr="00D83D8E">
        <w:rPr>
          <w:rFonts w:ascii="Arial" w:hAnsi="Arial" w:cs="Arial"/>
          <w:color w:val="000000"/>
          <w:kern w:val="2"/>
        </w:rPr>
        <w:t>526,675.00, por</w:t>
      </w:r>
      <w:r w:rsidR="00783485">
        <w:rPr>
          <w:rFonts w:ascii="Arial" w:hAnsi="Arial" w:cs="Arial"/>
          <w:color w:val="000000"/>
          <w:kern w:val="2"/>
        </w:rPr>
        <w:t xml:space="preserve"> </w:t>
      </w:r>
      <w:r w:rsidRPr="00D83D8E">
        <w:rPr>
          <w:rFonts w:ascii="Arial" w:hAnsi="Arial" w:cs="Arial"/>
          <w:color w:val="000000"/>
          <w:kern w:val="2"/>
        </w:rPr>
        <w:t>concepto de cifras cobradas, correspondiendo a impuest</w:t>
      </w:r>
      <w:r w:rsidR="0090445E" w:rsidRPr="00D83D8E">
        <w:rPr>
          <w:rFonts w:ascii="Arial" w:hAnsi="Arial" w:cs="Arial"/>
          <w:color w:val="000000"/>
          <w:kern w:val="2"/>
        </w:rPr>
        <w:t>os federales la cantidad de $75,</w:t>
      </w:r>
      <w:r w:rsidRPr="00D83D8E">
        <w:rPr>
          <w:rFonts w:ascii="Arial" w:hAnsi="Arial" w:cs="Arial"/>
          <w:color w:val="000000"/>
          <w:kern w:val="2"/>
        </w:rPr>
        <w:t>846,791.00  y a  impuestos  Estatales $4</w:t>
      </w:r>
      <w:r w:rsidR="0090445E" w:rsidRPr="00D83D8E">
        <w:rPr>
          <w:rFonts w:ascii="Arial" w:hAnsi="Arial" w:cs="Arial"/>
          <w:color w:val="000000"/>
          <w:kern w:val="2"/>
        </w:rPr>
        <w:t>,</w:t>
      </w:r>
      <w:r w:rsidRPr="00D83D8E">
        <w:rPr>
          <w:rFonts w:ascii="Arial" w:hAnsi="Arial" w:cs="Arial"/>
          <w:color w:val="000000"/>
          <w:kern w:val="2"/>
        </w:rPr>
        <w:t>679,884.00,  cantidades  que en suma representan un 129.4 por ciento de avance respecto de la meta establecida en la Ley de Ingresos del Estado para el ejercicio 2015,  en cantidad de $62</w:t>
      </w:r>
      <w:r w:rsidR="0090445E" w:rsidRPr="00D83D8E">
        <w:rPr>
          <w:rFonts w:ascii="Arial" w:hAnsi="Arial" w:cs="Arial"/>
          <w:color w:val="000000"/>
          <w:kern w:val="2"/>
        </w:rPr>
        <w:t>,</w:t>
      </w:r>
      <w:r w:rsidRPr="00D83D8E">
        <w:rPr>
          <w:rFonts w:ascii="Arial" w:hAnsi="Arial" w:cs="Arial"/>
          <w:color w:val="000000"/>
          <w:kern w:val="2"/>
        </w:rPr>
        <w:t>193,635.00.</w:t>
      </w:r>
    </w:p>
    <w:p w:rsidR="008721C0" w:rsidRPr="00D83D8E" w:rsidRDefault="008721C0" w:rsidP="00D83D8E">
      <w:pPr>
        <w:contextualSpacing/>
        <w:jc w:val="both"/>
        <w:rPr>
          <w:rFonts w:ascii="Arial" w:hAnsi="Arial" w:cs="Arial"/>
          <w:kern w:val="2"/>
        </w:rPr>
      </w:pPr>
    </w:p>
    <w:p w:rsidR="00783485" w:rsidRDefault="00783485" w:rsidP="00D83D8E">
      <w:pPr>
        <w:contextualSpacing/>
        <w:jc w:val="both"/>
        <w:rPr>
          <w:rFonts w:ascii="Arial" w:hAnsi="Arial" w:cs="Arial"/>
          <w:kern w:val="2"/>
        </w:rPr>
      </w:pPr>
    </w:p>
    <w:p w:rsidR="00783485" w:rsidRDefault="00783485" w:rsidP="00D83D8E">
      <w:pPr>
        <w:contextualSpacing/>
        <w:jc w:val="both"/>
        <w:rPr>
          <w:rFonts w:ascii="Arial" w:hAnsi="Arial" w:cs="Arial"/>
          <w:kern w:val="2"/>
        </w:rPr>
      </w:pPr>
    </w:p>
    <w:p w:rsidR="00783485" w:rsidRDefault="00783485" w:rsidP="00D83D8E">
      <w:pPr>
        <w:contextualSpacing/>
        <w:jc w:val="both"/>
        <w:rPr>
          <w:rFonts w:ascii="Arial" w:hAnsi="Arial" w:cs="Arial"/>
          <w:kern w:val="2"/>
        </w:rPr>
      </w:pPr>
    </w:p>
    <w:p w:rsidR="00783485" w:rsidRDefault="00783485" w:rsidP="00D83D8E">
      <w:pPr>
        <w:contextualSpacing/>
        <w:jc w:val="both"/>
        <w:rPr>
          <w:rFonts w:ascii="Arial" w:hAnsi="Arial" w:cs="Arial"/>
          <w:kern w:val="2"/>
        </w:rPr>
      </w:pPr>
    </w:p>
    <w:p w:rsidR="00783485" w:rsidRDefault="00783485" w:rsidP="00D83D8E">
      <w:pPr>
        <w:contextualSpacing/>
        <w:jc w:val="both"/>
        <w:rPr>
          <w:rFonts w:ascii="Arial" w:hAnsi="Arial" w:cs="Arial"/>
          <w:kern w:val="2"/>
        </w:rPr>
      </w:pPr>
    </w:p>
    <w:p w:rsidR="00783485" w:rsidRDefault="00783485" w:rsidP="00D83D8E">
      <w:pPr>
        <w:contextualSpacing/>
        <w:jc w:val="both"/>
        <w:rPr>
          <w:rFonts w:ascii="Arial" w:hAnsi="Arial" w:cs="Arial"/>
          <w:kern w:val="2"/>
        </w:rPr>
      </w:pPr>
    </w:p>
    <w:p w:rsidR="00FB0C53" w:rsidRPr="00D83D8E" w:rsidRDefault="009B1A50" w:rsidP="00D83D8E">
      <w:pPr>
        <w:contextualSpacing/>
        <w:jc w:val="both"/>
        <w:rPr>
          <w:rFonts w:ascii="Arial" w:hAnsi="Arial" w:cs="Arial"/>
          <w:kern w:val="2"/>
        </w:rPr>
      </w:pPr>
      <w:r w:rsidRPr="009B1A50">
        <w:rPr>
          <w:noProof/>
          <w:kern w:val="2"/>
        </w:rPr>
        <w:pict>
          <v:group id="16 Grupo" o:spid="_x0000_s1058" style="position:absolute;left:0;text-align:left;margin-left:77.75pt;margin-top:13.5pt;width:289.6pt;height:190.95pt;z-index:251784704;mso-width-relative:margin;mso-height-relative:margin" coordsize="45720,27432"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35 Gráfico" o:spid="_x0000_s1059" type="#_x0000_t75" style="position:absolute;left:6062;top:4619;width:35009;height:196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">
              <v:imagedata r:id="rId24" o:title=""/>
              <o:lock v:ext="edit" aspectratio="f"/>
            </v:shape>
            <v:shape id="10 CuadroTexto" o:spid="_x0000_s1060" type="#_x0000_t202" style="position:absolute;left:1482;top:3648;width:13155;height:45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style="mso-next-textbox:#10 CuadroTexto">
                <w:txbxContent>
                  <w:p w:rsidR="00AD6037" w:rsidRPr="007D44EC" w:rsidRDefault="00AD6037" w:rsidP="00FB0C53">
                    <w:pPr>
                      <w:pStyle w:val="NormalWeb"/>
                      <w:spacing w:before="0" w:beforeAutospacing="0" w:after="0" w:afterAutospacing="0"/>
                      <w:rPr>
                        <w:b/>
                        <w:sz w:val="18"/>
                        <w:szCs w:val="18"/>
                      </w:rPr>
                    </w:pPr>
                    <w:r w:rsidRPr="007D44EC">
                      <w:rPr>
                        <w:rFonts w:asciiTheme="minorHAnsi" w:hAnsi="Calibri" w:cstheme="minorBidi"/>
                        <w:b/>
                        <w:color w:val="000000" w:themeColor="text1"/>
                        <w:sz w:val="18"/>
                        <w:szCs w:val="18"/>
                      </w:rPr>
                      <w:t>ESTATALES</w:t>
                    </w:r>
                  </w:p>
                  <w:p w:rsidR="00AD6037" w:rsidRPr="007D44EC" w:rsidRDefault="00AD6037" w:rsidP="00FB0C53">
                    <w:pPr>
                      <w:pStyle w:val="NormalWeb"/>
                      <w:spacing w:before="0" w:beforeAutospacing="0" w:after="0" w:afterAutospacing="0"/>
                      <w:rPr>
                        <w:b/>
                        <w:sz w:val="18"/>
                        <w:szCs w:val="18"/>
                      </w:rPr>
                    </w:pPr>
                    <w:r>
                      <w:rPr>
                        <w:rFonts w:asciiTheme="minorHAnsi" w:hAnsi="Calibri" w:cstheme="minorBidi"/>
                        <w:b/>
                        <w:color w:val="000000" w:themeColor="text1"/>
                        <w:sz w:val="18"/>
                        <w:szCs w:val="18"/>
                      </w:rPr>
                      <w:t>$ 4</w:t>
                    </w:r>
                    <w:proofErr w:type="gramStart"/>
                    <w:r>
                      <w:rPr>
                        <w:rFonts w:asciiTheme="minorHAnsi" w:hAnsi="Calibri" w:cstheme="minorBidi"/>
                        <w:b/>
                        <w:color w:val="000000" w:themeColor="text1"/>
                        <w:sz w:val="18"/>
                        <w:szCs w:val="18"/>
                      </w:rPr>
                      <w:t>,</w:t>
                    </w:r>
                    <w:r w:rsidRPr="007D44EC">
                      <w:rPr>
                        <w:rFonts w:asciiTheme="minorHAnsi" w:hAnsi="Calibri" w:cstheme="minorBidi"/>
                        <w:b/>
                        <w:color w:val="000000" w:themeColor="text1"/>
                        <w:sz w:val="18"/>
                        <w:szCs w:val="18"/>
                      </w:rPr>
                      <w:t>679,884.00</w:t>
                    </w:r>
                    <w:proofErr w:type="gramEnd"/>
                  </w:p>
                </w:txbxContent>
              </v:textbox>
            </v:shape>
            <v:shape id="14 CuadroTexto" o:spid="_x0000_s1061" type="#_x0000_t202" style="position:absolute;left:691;top:12279;width:11578;height:42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style="mso-next-textbox:#14 CuadroTexto">
                <w:txbxContent>
                  <w:p w:rsidR="00AD6037" w:rsidRPr="007D44EC" w:rsidRDefault="00AD6037" w:rsidP="00FB0C53">
                    <w:pPr>
                      <w:pStyle w:val="NormalWeb"/>
                      <w:spacing w:before="0" w:beforeAutospacing="0" w:after="0" w:afterAutospacing="0"/>
                      <w:rPr>
                        <w:b/>
                        <w:sz w:val="18"/>
                        <w:szCs w:val="18"/>
                      </w:rPr>
                    </w:pPr>
                    <w:r w:rsidRPr="007D44EC">
                      <w:rPr>
                        <w:rFonts w:asciiTheme="minorHAnsi" w:hAnsi="Calibri" w:cstheme="minorBidi"/>
                        <w:b/>
                        <w:color w:val="000000" w:themeColor="text1"/>
                        <w:sz w:val="18"/>
                        <w:szCs w:val="18"/>
                      </w:rPr>
                      <w:t>FEDERALES</w:t>
                    </w:r>
                  </w:p>
                  <w:p w:rsidR="00AD6037" w:rsidRPr="007D44EC" w:rsidRDefault="00AD6037" w:rsidP="00FB0C53">
                    <w:pPr>
                      <w:pStyle w:val="NormalWeb"/>
                      <w:spacing w:before="0" w:beforeAutospacing="0" w:after="0" w:afterAutospacing="0"/>
                      <w:rPr>
                        <w:b/>
                        <w:sz w:val="18"/>
                        <w:szCs w:val="18"/>
                      </w:rPr>
                    </w:pPr>
                    <w:r w:rsidRPr="007D44EC">
                      <w:rPr>
                        <w:rFonts w:asciiTheme="minorHAnsi" w:hAnsi="Calibri" w:cstheme="minorBidi"/>
                        <w:b/>
                        <w:color w:val="000000" w:themeColor="text1"/>
                        <w:sz w:val="18"/>
                        <w:szCs w:val="18"/>
                      </w:rPr>
                      <w:t>$75</w:t>
                    </w:r>
                    <w:proofErr w:type="gramStart"/>
                    <w:r>
                      <w:rPr>
                        <w:rFonts w:asciiTheme="minorHAnsi" w:hAnsi="Calibri" w:cstheme="minorBidi"/>
                        <w:b/>
                        <w:color w:val="000000" w:themeColor="text1"/>
                        <w:sz w:val="18"/>
                        <w:szCs w:val="18"/>
                      </w:rPr>
                      <w:t>,</w:t>
                    </w:r>
                    <w:r w:rsidRPr="007D44EC">
                      <w:rPr>
                        <w:rFonts w:asciiTheme="minorHAnsi" w:hAnsi="Calibri" w:cstheme="minorBidi"/>
                        <w:b/>
                        <w:color w:val="000000" w:themeColor="text1"/>
                        <w:sz w:val="18"/>
                        <w:szCs w:val="18"/>
                      </w:rPr>
                      <w:t>846,79</w:t>
                    </w:r>
                    <w:r>
                      <w:rPr>
                        <w:rFonts w:asciiTheme="minorHAnsi" w:hAnsi="Calibri" w:cstheme="minorBidi"/>
                        <w:b/>
                        <w:color w:val="000000" w:themeColor="text1"/>
                        <w:sz w:val="18"/>
                        <w:szCs w:val="18"/>
                      </w:rPr>
                      <w:t>1</w:t>
                    </w:r>
                    <w:r w:rsidRPr="007D44EC">
                      <w:rPr>
                        <w:rFonts w:asciiTheme="minorHAnsi" w:hAnsi="Calibri" w:cstheme="minorBidi"/>
                        <w:b/>
                        <w:color w:val="000000" w:themeColor="text1"/>
                        <w:sz w:val="18"/>
                        <w:szCs w:val="18"/>
                      </w:rPr>
                      <w:t>.00</w:t>
                    </w:r>
                    <w:proofErr w:type="gramEnd"/>
                  </w:p>
                </w:txbxContent>
              </v:textbox>
            </v:shape>
            <v:shape id="15 CuadroTexto" o:spid="_x0000_s1062" type="#_x0000_t202" style="position:absolute;left:26238;top:3752;width:11321;height:25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style="mso-next-textbox:#15 CuadroTexto">
                <w:txbxContent>
                  <w:p w:rsidR="00AD6037" w:rsidRPr="007D44EC" w:rsidRDefault="00AD6037" w:rsidP="00FB0C53">
                    <w:pPr>
                      <w:pStyle w:val="NormalWeb"/>
                      <w:spacing w:before="0" w:beforeAutospacing="0" w:after="0" w:afterAutospacing="0"/>
                      <w:rPr>
                        <w:b/>
                        <w:sz w:val="18"/>
                        <w:szCs w:val="18"/>
                      </w:rPr>
                    </w:pPr>
                    <w:r w:rsidRPr="007D44EC">
                      <w:rPr>
                        <w:rFonts w:asciiTheme="minorHAnsi" w:hAnsi="Calibri" w:cstheme="minorBidi"/>
                        <w:b/>
                        <w:color w:val="000000" w:themeColor="text1"/>
                        <w:sz w:val="18"/>
                        <w:szCs w:val="18"/>
                      </w:rPr>
                      <w:t>$62</w:t>
                    </w:r>
                    <w:proofErr w:type="gramStart"/>
                    <w:r>
                      <w:rPr>
                        <w:rFonts w:asciiTheme="minorHAnsi" w:hAnsi="Calibri" w:cstheme="minorBidi"/>
                        <w:b/>
                        <w:color w:val="000000" w:themeColor="text1"/>
                        <w:sz w:val="18"/>
                        <w:szCs w:val="18"/>
                      </w:rPr>
                      <w:t>,</w:t>
                    </w:r>
                    <w:r w:rsidRPr="007D44EC">
                      <w:rPr>
                        <w:rFonts w:asciiTheme="minorHAnsi" w:hAnsi="Calibri" w:cstheme="minorBidi"/>
                        <w:b/>
                        <w:color w:val="000000" w:themeColor="text1"/>
                        <w:sz w:val="18"/>
                        <w:szCs w:val="18"/>
                      </w:rPr>
                      <w:t>193,635.00</w:t>
                    </w:r>
                    <w:proofErr w:type="gramEnd"/>
                  </w:p>
                </w:txbxContent>
              </v:textbox>
            </v:shape>
          </v:group>
        </w:pict>
      </w:r>
    </w:p>
    <w:p w:rsidR="00FB0C53" w:rsidRPr="00D83D8E" w:rsidRDefault="00FB0C53" w:rsidP="00D83D8E">
      <w:pPr>
        <w:tabs>
          <w:tab w:val="num" w:pos="720"/>
        </w:tabs>
        <w:contextualSpacing/>
        <w:jc w:val="both"/>
        <w:rPr>
          <w:rFonts w:ascii="Arial" w:hAnsi="Arial" w:cs="Arial"/>
          <w:kern w:val="2"/>
        </w:rPr>
      </w:pPr>
    </w:p>
    <w:p w:rsidR="00FB0C53" w:rsidRPr="00D83D8E" w:rsidRDefault="00FB0C53" w:rsidP="00D83D8E">
      <w:pPr>
        <w:tabs>
          <w:tab w:val="num" w:pos="720"/>
        </w:tabs>
        <w:contextualSpacing/>
        <w:jc w:val="both"/>
        <w:rPr>
          <w:rFonts w:ascii="Arial" w:hAnsi="Arial" w:cs="Arial"/>
          <w:kern w:val="2"/>
        </w:rPr>
      </w:pPr>
    </w:p>
    <w:p w:rsidR="00FB0C53" w:rsidRPr="00D83D8E" w:rsidRDefault="00FB0C53" w:rsidP="00D83D8E">
      <w:pPr>
        <w:tabs>
          <w:tab w:val="num" w:pos="720"/>
        </w:tabs>
        <w:contextualSpacing/>
        <w:jc w:val="both"/>
        <w:rPr>
          <w:rFonts w:ascii="Arial" w:hAnsi="Arial" w:cs="Arial"/>
          <w:kern w:val="2"/>
          <w:highlight w:val="yellow"/>
        </w:rPr>
      </w:pPr>
    </w:p>
    <w:p w:rsidR="00FB0C53" w:rsidRPr="00D83D8E" w:rsidRDefault="00FB0C53" w:rsidP="00D83D8E">
      <w:pPr>
        <w:tabs>
          <w:tab w:val="num" w:pos="720"/>
        </w:tabs>
        <w:contextualSpacing/>
        <w:jc w:val="both"/>
        <w:rPr>
          <w:rFonts w:ascii="Arial" w:hAnsi="Arial" w:cs="Arial"/>
          <w:kern w:val="2"/>
        </w:rPr>
      </w:pPr>
    </w:p>
    <w:p w:rsidR="00FB0C53" w:rsidRPr="00D83D8E" w:rsidRDefault="00FB0C53" w:rsidP="00D83D8E">
      <w:pPr>
        <w:tabs>
          <w:tab w:val="num" w:pos="720"/>
        </w:tabs>
        <w:contextualSpacing/>
        <w:jc w:val="both"/>
        <w:rPr>
          <w:rFonts w:ascii="Arial" w:hAnsi="Arial" w:cs="Arial"/>
          <w:kern w:val="2"/>
        </w:rPr>
      </w:pPr>
    </w:p>
    <w:p w:rsidR="00FB0C53" w:rsidRPr="00D83D8E" w:rsidRDefault="00FB0C53" w:rsidP="00D83D8E">
      <w:pPr>
        <w:tabs>
          <w:tab w:val="num" w:pos="720"/>
        </w:tabs>
        <w:contextualSpacing/>
        <w:jc w:val="both"/>
        <w:rPr>
          <w:rFonts w:ascii="Arial" w:hAnsi="Arial" w:cs="Arial"/>
          <w:kern w:val="2"/>
        </w:rPr>
      </w:pPr>
    </w:p>
    <w:p w:rsidR="00FB0C53" w:rsidRPr="00D83D8E" w:rsidRDefault="00FB0C53" w:rsidP="00D83D8E">
      <w:pPr>
        <w:tabs>
          <w:tab w:val="num" w:pos="720"/>
        </w:tabs>
        <w:contextualSpacing/>
        <w:jc w:val="both"/>
        <w:rPr>
          <w:rFonts w:ascii="Arial" w:hAnsi="Arial" w:cs="Arial"/>
          <w:kern w:val="2"/>
        </w:rPr>
      </w:pPr>
    </w:p>
    <w:p w:rsidR="00FB0C53" w:rsidRPr="00D83D8E" w:rsidRDefault="00FB0C53" w:rsidP="00D83D8E">
      <w:pPr>
        <w:tabs>
          <w:tab w:val="num" w:pos="720"/>
        </w:tabs>
        <w:contextualSpacing/>
        <w:jc w:val="both"/>
        <w:rPr>
          <w:rFonts w:ascii="Arial" w:hAnsi="Arial" w:cs="Arial"/>
          <w:kern w:val="2"/>
        </w:rPr>
      </w:pPr>
    </w:p>
    <w:p w:rsidR="00FB0C53" w:rsidRPr="00D83D8E" w:rsidRDefault="00FB0C53" w:rsidP="00D83D8E">
      <w:pPr>
        <w:tabs>
          <w:tab w:val="num" w:pos="720"/>
        </w:tabs>
        <w:contextualSpacing/>
        <w:jc w:val="both"/>
        <w:rPr>
          <w:rFonts w:ascii="Arial" w:hAnsi="Arial" w:cs="Arial"/>
          <w:kern w:val="2"/>
        </w:rPr>
      </w:pPr>
    </w:p>
    <w:p w:rsidR="00FA56FD" w:rsidRDefault="00FA56FD" w:rsidP="00D83D8E">
      <w:pPr>
        <w:tabs>
          <w:tab w:val="num" w:pos="720"/>
        </w:tabs>
        <w:contextualSpacing/>
        <w:jc w:val="both"/>
        <w:rPr>
          <w:rFonts w:ascii="Arial" w:hAnsi="Arial" w:cs="Arial"/>
          <w:b/>
          <w:kern w:val="2"/>
        </w:rPr>
      </w:pPr>
    </w:p>
    <w:p w:rsidR="00FA56FD" w:rsidRDefault="00FA56FD" w:rsidP="00D83D8E">
      <w:pPr>
        <w:tabs>
          <w:tab w:val="num" w:pos="720"/>
        </w:tabs>
        <w:contextualSpacing/>
        <w:jc w:val="both"/>
        <w:rPr>
          <w:rFonts w:ascii="Arial" w:hAnsi="Arial" w:cs="Arial"/>
          <w:b/>
          <w:kern w:val="2"/>
        </w:rPr>
      </w:pPr>
    </w:p>
    <w:p w:rsidR="00FA56FD" w:rsidRDefault="00FA56FD" w:rsidP="00D83D8E">
      <w:pPr>
        <w:tabs>
          <w:tab w:val="num" w:pos="720"/>
        </w:tabs>
        <w:contextualSpacing/>
        <w:jc w:val="both"/>
        <w:rPr>
          <w:rFonts w:ascii="Arial" w:hAnsi="Arial" w:cs="Arial"/>
          <w:b/>
          <w:kern w:val="2"/>
        </w:rPr>
      </w:pPr>
    </w:p>
    <w:p w:rsidR="00FA56FD" w:rsidRDefault="00FA56FD" w:rsidP="00D83D8E">
      <w:pPr>
        <w:tabs>
          <w:tab w:val="num" w:pos="720"/>
        </w:tabs>
        <w:contextualSpacing/>
        <w:jc w:val="both"/>
        <w:rPr>
          <w:rFonts w:ascii="Arial" w:hAnsi="Arial" w:cs="Arial"/>
          <w:b/>
          <w:kern w:val="2"/>
        </w:rPr>
      </w:pPr>
    </w:p>
    <w:p w:rsidR="00FA56FD" w:rsidRDefault="00FA56FD" w:rsidP="00D83D8E">
      <w:pPr>
        <w:tabs>
          <w:tab w:val="num" w:pos="720"/>
        </w:tabs>
        <w:contextualSpacing/>
        <w:jc w:val="both"/>
        <w:rPr>
          <w:rFonts w:ascii="Arial" w:hAnsi="Arial" w:cs="Arial"/>
          <w:b/>
          <w:kern w:val="2"/>
        </w:rPr>
      </w:pPr>
    </w:p>
    <w:p w:rsidR="00FA56FD" w:rsidRDefault="00FA56FD" w:rsidP="00D83D8E">
      <w:pPr>
        <w:tabs>
          <w:tab w:val="num" w:pos="720"/>
        </w:tabs>
        <w:contextualSpacing/>
        <w:jc w:val="both"/>
        <w:rPr>
          <w:rFonts w:ascii="Arial" w:hAnsi="Arial" w:cs="Arial"/>
          <w:b/>
          <w:kern w:val="2"/>
        </w:rPr>
      </w:pPr>
    </w:p>
    <w:p w:rsidR="00FA56FD" w:rsidRDefault="00FA56FD" w:rsidP="00D83D8E">
      <w:pPr>
        <w:tabs>
          <w:tab w:val="num" w:pos="720"/>
        </w:tabs>
        <w:contextualSpacing/>
        <w:jc w:val="both"/>
        <w:rPr>
          <w:rFonts w:ascii="Arial" w:hAnsi="Arial" w:cs="Arial"/>
          <w:b/>
          <w:kern w:val="2"/>
        </w:rPr>
      </w:pPr>
    </w:p>
    <w:p w:rsidR="00FA56FD" w:rsidRDefault="00FA56FD" w:rsidP="00D83D8E">
      <w:pPr>
        <w:tabs>
          <w:tab w:val="num" w:pos="720"/>
        </w:tabs>
        <w:contextualSpacing/>
        <w:jc w:val="both"/>
        <w:rPr>
          <w:rFonts w:ascii="Arial" w:hAnsi="Arial" w:cs="Arial"/>
          <w:b/>
          <w:kern w:val="2"/>
        </w:rPr>
      </w:pPr>
    </w:p>
    <w:p w:rsidR="00FA56FD" w:rsidRDefault="00FA56FD" w:rsidP="00D83D8E">
      <w:pPr>
        <w:tabs>
          <w:tab w:val="num" w:pos="720"/>
        </w:tabs>
        <w:contextualSpacing/>
        <w:jc w:val="both"/>
        <w:rPr>
          <w:rFonts w:ascii="Arial" w:hAnsi="Arial" w:cs="Arial"/>
          <w:b/>
          <w:kern w:val="2"/>
        </w:rPr>
      </w:pPr>
    </w:p>
    <w:p w:rsidR="00783485" w:rsidRDefault="00783485">
      <w:pPr>
        <w:rPr>
          <w:rFonts w:ascii="Arial" w:hAnsi="Arial" w:cs="Arial"/>
          <w:b/>
          <w:kern w:val="2"/>
        </w:rPr>
      </w:pPr>
      <w:r>
        <w:rPr>
          <w:rFonts w:ascii="Arial" w:hAnsi="Arial" w:cs="Arial"/>
          <w:b/>
          <w:kern w:val="2"/>
        </w:rPr>
        <w:br w:type="page"/>
      </w:r>
    </w:p>
    <w:p w:rsidR="00FB0C53" w:rsidRPr="00D83D8E" w:rsidRDefault="00FA56FD" w:rsidP="00D83D8E">
      <w:pPr>
        <w:tabs>
          <w:tab w:val="num" w:pos="720"/>
        </w:tabs>
        <w:contextualSpacing/>
        <w:jc w:val="both"/>
        <w:rPr>
          <w:rFonts w:ascii="Arial" w:hAnsi="Arial" w:cs="Arial"/>
          <w:b/>
          <w:kern w:val="2"/>
        </w:rPr>
      </w:pPr>
      <w:r>
        <w:rPr>
          <w:rFonts w:ascii="Arial" w:hAnsi="Arial" w:cs="Arial"/>
          <w:b/>
          <w:kern w:val="2"/>
        </w:rPr>
        <w:lastRenderedPageBreak/>
        <w:t xml:space="preserve">3.2.1.4.- </w:t>
      </w:r>
      <w:r w:rsidR="00FB0C53" w:rsidRPr="00D83D8E">
        <w:rPr>
          <w:rFonts w:ascii="Arial" w:hAnsi="Arial" w:cs="Arial"/>
          <w:b/>
          <w:kern w:val="2"/>
        </w:rPr>
        <w:t xml:space="preserve"> </w:t>
      </w:r>
      <w:r w:rsidR="00E91C2E" w:rsidRPr="00D83D8E">
        <w:rPr>
          <w:rFonts w:ascii="Arial" w:hAnsi="Arial" w:cs="Arial"/>
          <w:b/>
          <w:kern w:val="2"/>
        </w:rPr>
        <w:t>CIFRAS VIRTUALES</w:t>
      </w:r>
    </w:p>
    <w:p w:rsidR="00FB0C53" w:rsidRPr="00D83D8E" w:rsidRDefault="00FB0C53" w:rsidP="00D83D8E">
      <w:pPr>
        <w:contextualSpacing/>
        <w:jc w:val="both"/>
        <w:rPr>
          <w:rFonts w:ascii="Arial" w:hAnsi="Arial" w:cs="Arial"/>
          <w:color w:val="000000"/>
          <w:kern w:val="2"/>
        </w:rPr>
      </w:pPr>
    </w:p>
    <w:p w:rsidR="00FB0C53" w:rsidRDefault="00FB0C53" w:rsidP="00D83D8E">
      <w:pPr>
        <w:contextualSpacing/>
        <w:jc w:val="both"/>
        <w:rPr>
          <w:rFonts w:ascii="Arial" w:hAnsi="Arial" w:cs="Arial"/>
          <w:color w:val="000000"/>
          <w:kern w:val="2"/>
        </w:rPr>
      </w:pPr>
      <w:r w:rsidRPr="00D83D8E">
        <w:rPr>
          <w:rFonts w:ascii="Arial" w:hAnsi="Arial" w:cs="Arial"/>
          <w:color w:val="000000"/>
          <w:kern w:val="2"/>
        </w:rPr>
        <w:t>Como se señaló en el punto anterior, con la actividad fiscalizadora el Estado obtiene recursos económicos adicionales, en este sentido, además de las cifras cobradas ya referidas, durante el ejercicio 2015 se determinaron  cifras  virtuales en cantidad de $37</w:t>
      </w:r>
      <w:r w:rsidR="0090445E" w:rsidRPr="00D83D8E">
        <w:rPr>
          <w:rFonts w:ascii="Arial" w:hAnsi="Arial" w:cs="Arial"/>
          <w:color w:val="000000"/>
          <w:kern w:val="2"/>
        </w:rPr>
        <w:t>,</w:t>
      </w:r>
      <w:r w:rsidRPr="00D83D8E">
        <w:rPr>
          <w:rFonts w:ascii="Arial" w:hAnsi="Arial" w:cs="Arial"/>
          <w:color w:val="000000"/>
          <w:kern w:val="2"/>
        </w:rPr>
        <w:t xml:space="preserve">331,022.00, mismas que representan un avance del 129.6 por ciento respecto de la meta anual 2015; estas cifras son consideraras en el Fondo de Fiscalización y Recaudación para la determinación de las participaciones federales, a través de las cuales el Estado obtiene recursos económicos vía participaciones federales. </w:t>
      </w:r>
    </w:p>
    <w:p w:rsidR="00783485" w:rsidRDefault="00783485" w:rsidP="00D83D8E">
      <w:pPr>
        <w:contextualSpacing/>
        <w:jc w:val="both"/>
        <w:rPr>
          <w:rFonts w:ascii="Arial" w:hAnsi="Arial" w:cs="Arial"/>
          <w:color w:val="000000"/>
          <w:kern w:val="2"/>
        </w:rPr>
      </w:pPr>
    </w:p>
    <w:p w:rsidR="00783485" w:rsidRDefault="00783485" w:rsidP="00D83D8E">
      <w:pPr>
        <w:contextualSpacing/>
        <w:jc w:val="both"/>
        <w:rPr>
          <w:rFonts w:ascii="Arial" w:hAnsi="Arial" w:cs="Arial"/>
          <w:color w:val="000000"/>
          <w:kern w:val="2"/>
        </w:rPr>
      </w:pPr>
    </w:p>
    <w:p w:rsidR="00783485" w:rsidRPr="00D83D8E" w:rsidRDefault="00783485" w:rsidP="00D83D8E">
      <w:pPr>
        <w:contextualSpacing/>
        <w:jc w:val="both"/>
        <w:rPr>
          <w:rFonts w:ascii="Arial" w:hAnsi="Arial" w:cs="Arial"/>
          <w:spacing w:val="20"/>
          <w:kern w:val="2"/>
        </w:rPr>
      </w:pPr>
    </w:p>
    <w:p w:rsidR="00FB0C53" w:rsidRPr="00D83D8E" w:rsidRDefault="00FB0C53" w:rsidP="00D83D8E">
      <w:pPr>
        <w:spacing w:before="120" w:after="120"/>
        <w:contextualSpacing/>
        <w:jc w:val="both"/>
        <w:rPr>
          <w:rFonts w:ascii="Arial" w:hAnsi="Arial" w:cs="Arial"/>
          <w:spacing w:val="20"/>
          <w:kern w:val="2"/>
        </w:rPr>
      </w:pPr>
    </w:p>
    <w:p w:rsidR="00FB0C53" w:rsidRPr="00D83D8E" w:rsidRDefault="00FB0C53" w:rsidP="00D83D8E">
      <w:pPr>
        <w:contextualSpacing/>
        <w:jc w:val="center"/>
        <w:rPr>
          <w:kern w:val="2"/>
        </w:rPr>
      </w:pPr>
      <w:r w:rsidRPr="00D83D8E">
        <w:rPr>
          <w:noProof/>
          <w:kern w:val="2"/>
          <w:lang w:val="es-MX" w:eastAsia="es-MX"/>
        </w:rPr>
        <w:drawing>
          <wp:inline distT="0" distB="0" distL="0" distR="0">
            <wp:extent cx="4007458" cy="1948070"/>
            <wp:effectExtent l="0" t="0" r="0"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B0C53" w:rsidRPr="00D83D8E" w:rsidRDefault="00FB0C53" w:rsidP="00D83D8E">
      <w:pPr>
        <w:contextualSpacing/>
        <w:jc w:val="center"/>
        <w:rPr>
          <w:rFonts w:ascii="Arial" w:hAnsi="Arial" w:cs="Arial"/>
          <w:kern w:val="2"/>
        </w:rPr>
      </w:pPr>
    </w:p>
    <w:p w:rsidR="0090445E" w:rsidRPr="00D83D8E" w:rsidRDefault="0090445E" w:rsidP="00D83D8E">
      <w:pPr>
        <w:contextualSpacing/>
        <w:jc w:val="center"/>
        <w:rPr>
          <w:rFonts w:ascii="Arial" w:hAnsi="Arial" w:cs="Arial"/>
          <w:kern w:val="2"/>
        </w:rPr>
      </w:pPr>
    </w:p>
    <w:p w:rsidR="00E91C2E" w:rsidRDefault="00E91C2E">
      <w:pPr>
        <w:rPr>
          <w:rFonts w:ascii="Arial" w:hAnsi="Arial" w:cs="Arial"/>
          <w:b/>
          <w:color w:val="000000"/>
          <w:kern w:val="2"/>
        </w:rPr>
      </w:pPr>
      <w:r>
        <w:rPr>
          <w:rFonts w:ascii="Arial" w:hAnsi="Arial" w:cs="Arial"/>
          <w:b/>
          <w:color w:val="000000"/>
          <w:kern w:val="2"/>
        </w:rPr>
        <w:br w:type="page"/>
      </w:r>
    </w:p>
    <w:p w:rsidR="00FB0C53" w:rsidRPr="00D83D8E" w:rsidRDefault="007939DB" w:rsidP="00D83D8E">
      <w:pPr>
        <w:contextualSpacing/>
        <w:jc w:val="both"/>
        <w:rPr>
          <w:rFonts w:ascii="Arial" w:hAnsi="Arial" w:cs="Arial"/>
          <w:b/>
          <w:color w:val="000000"/>
          <w:kern w:val="2"/>
        </w:rPr>
      </w:pPr>
      <w:r>
        <w:rPr>
          <w:rFonts w:ascii="Arial" w:hAnsi="Arial" w:cs="Arial"/>
          <w:b/>
          <w:color w:val="000000"/>
          <w:kern w:val="2"/>
        </w:rPr>
        <w:lastRenderedPageBreak/>
        <w:t xml:space="preserve">3.2.1.5.- </w:t>
      </w:r>
      <w:r w:rsidR="00E91C2E" w:rsidRPr="00D83D8E">
        <w:rPr>
          <w:rFonts w:ascii="Arial" w:hAnsi="Arial" w:cs="Arial"/>
          <w:b/>
          <w:color w:val="000000"/>
          <w:kern w:val="2"/>
        </w:rPr>
        <w:t>RESULTADOS OBTENIDOS A NIVEL NACIONAL</w:t>
      </w: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Theme="minorHAnsi" w:hAnsiTheme="minorHAnsi"/>
          <w:kern w:val="2"/>
          <w:sz w:val="18"/>
          <w:szCs w:val="18"/>
        </w:rPr>
      </w:pPr>
      <w:r w:rsidRPr="00D83D8E">
        <w:rPr>
          <w:rFonts w:ascii="Arial" w:hAnsi="Arial" w:cs="Arial"/>
          <w:color w:val="000000"/>
          <w:kern w:val="2"/>
        </w:rPr>
        <w:t>Cabe destacar que en el ejercicio 2015 el Estado de Oaxaca ocupo el primer lugar en los resultados a nivel Nacional, con motivo de las actividades de fiscalización realizadas; esto de acuerdo al Tablero Global, herramienta utilizada por el SAT para evaluar el desempeño de las Entidades, como se muestra a continuación:</w:t>
      </w: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center"/>
        <w:rPr>
          <w:rFonts w:ascii="Arial" w:hAnsi="Arial" w:cs="Arial"/>
          <w:b/>
          <w:kern w:val="2"/>
        </w:rPr>
      </w:pPr>
      <w:r w:rsidRPr="00D83D8E">
        <w:rPr>
          <w:noProof/>
          <w:kern w:val="2"/>
          <w:sz w:val="16"/>
          <w:szCs w:val="16"/>
          <w:lang w:val="es-MX" w:eastAsia="es-MX"/>
        </w:rPr>
        <w:drawing>
          <wp:inline distT="0" distB="0" distL="0" distR="0">
            <wp:extent cx="4508389" cy="5589767"/>
            <wp:effectExtent l="0" t="0" r="6985" b="0"/>
            <wp:docPr id="224" name="Gráfico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B0C53" w:rsidRPr="00D83D8E" w:rsidRDefault="009B1A50" w:rsidP="00D83D8E">
      <w:pPr>
        <w:contextualSpacing/>
        <w:jc w:val="both"/>
        <w:rPr>
          <w:rFonts w:ascii="Arial" w:hAnsi="Arial" w:cs="Arial"/>
          <w:b/>
          <w:kern w:val="2"/>
        </w:rPr>
      </w:pPr>
      <w:r w:rsidRPr="009B1A50">
        <w:rPr>
          <w:noProof/>
          <w:kern w:val="2"/>
        </w:rPr>
        <w:pict>
          <v:shape id="_x0000_s1057" type="#_x0000_t202" style="position:absolute;left:0;text-align:left;margin-left:94.5pt;margin-top:.1pt;width:303.65pt;height:27.25pt;z-index:2517867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" stroked="f">
            <v:textbox style="mso-next-textbox:#_x0000_s1057">
              <w:txbxContent>
                <w:p w:rsidR="00AD6037" w:rsidRDefault="00AD6037" w:rsidP="00FB0C53">
                  <w:pPr>
                    <w:pStyle w:val="NormalWeb"/>
                    <w:spacing w:before="0" w:beforeAutospacing="0" w:after="0" w:afterAutospacing="0"/>
                  </w:pPr>
                  <w:r>
                    <w:rPr>
                      <w:rFonts w:ascii="Calibri" w:hAnsi="Calibri"/>
                      <w:sz w:val="16"/>
                      <w:szCs w:val="16"/>
                    </w:rPr>
                    <w:t>FUENTE SAT: Tablero Global de Entidades Federativas  enero - diciembre 2015</w:t>
                  </w:r>
                </w:p>
              </w:txbxContent>
            </v:textbox>
          </v:shape>
        </w:pict>
      </w:r>
    </w:p>
    <w:p w:rsidR="00FB0C53" w:rsidRPr="00D83D8E" w:rsidRDefault="00FB0C53" w:rsidP="00D83D8E">
      <w:pPr>
        <w:contextualSpacing/>
        <w:jc w:val="both"/>
        <w:rPr>
          <w:rFonts w:ascii="Arial" w:hAnsi="Arial" w:cs="Arial"/>
          <w:b/>
          <w:kern w:val="2"/>
        </w:rPr>
      </w:pPr>
    </w:p>
    <w:p w:rsidR="00FB0C53" w:rsidRPr="00D83D8E" w:rsidRDefault="00FB0C53" w:rsidP="00D83D8E">
      <w:pPr>
        <w:contextualSpacing/>
        <w:jc w:val="both"/>
        <w:rPr>
          <w:rFonts w:ascii="Arial" w:hAnsi="Arial" w:cs="Arial"/>
          <w:b/>
          <w:kern w:val="2"/>
        </w:rPr>
      </w:pP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lastRenderedPageBreak/>
        <w:t>Así también, el Estado de Oaxaca obtuvo el tercer lugar a nivel Nacional en el indicador a.2 Avance en el objetivo de Recaudación de Cifras Virtuales, con la importancia que estas cifras tienen en la obtención de recursos económicos para nuestro Estado, a continuación se muestra este resultado:</w:t>
      </w:r>
    </w:p>
    <w:p w:rsidR="00FB0C53" w:rsidRPr="00D83D8E" w:rsidRDefault="00FB0C53" w:rsidP="00D83D8E">
      <w:pPr>
        <w:contextualSpacing/>
        <w:jc w:val="both"/>
        <w:rPr>
          <w:rFonts w:ascii="Arial" w:hAnsi="Arial" w:cs="Arial"/>
          <w:kern w:val="2"/>
        </w:rPr>
      </w:pPr>
      <w:r w:rsidRPr="00D83D8E">
        <w:rPr>
          <w:rFonts w:ascii="Arial" w:hAnsi="Arial" w:cs="Arial"/>
          <w:color w:val="000000"/>
          <w:kern w:val="2"/>
        </w:rPr>
        <w:t xml:space="preserve"> </w:t>
      </w:r>
      <w:r w:rsidRPr="00D83D8E">
        <w:rPr>
          <w:noProof/>
          <w:kern w:val="2"/>
          <w:sz w:val="14"/>
          <w:szCs w:val="14"/>
          <w:highlight w:val="red"/>
          <w:lang w:val="es-MX" w:eastAsia="es-MX"/>
        </w:rPr>
        <w:drawing>
          <wp:inline distT="0" distB="0" distL="0" distR="0">
            <wp:extent cx="5128591" cy="5216056"/>
            <wp:effectExtent l="0" t="0" r="0" b="3810"/>
            <wp:docPr id="225" name="Gráfico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B0C53" w:rsidRPr="00D83D8E" w:rsidRDefault="00FB0C53" w:rsidP="00D83D8E">
      <w:pPr>
        <w:contextualSpacing/>
        <w:jc w:val="both"/>
        <w:rPr>
          <w:rFonts w:ascii="Arial" w:hAnsi="Arial" w:cs="Arial"/>
          <w:b/>
          <w:kern w:val="2"/>
        </w:rPr>
      </w:pPr>
    </w:p>
    <w:p w:rsidR="00FB0C53" w:rsidRPr="00D83D8E" w:rsidRDefault="009B1A50" w:rsidP="00D83D8E">
      <w:pPr>
        <w:contextualSpacing/>
        <w:jc w:val="both"/>
        <w:rPr>
          <w:rFonts w:ascii="Arial" w:hAnsi="Arial" w:cs="Arial"/>
          <w:b/>
          <w:kern w:val="2"/>
        </w:rPr>
      </w:pPr>
      <w:r w:rsidRPr="009B1A50">
        <w:rPr>
          <w:noProof/>
          <w:kern w:val="2"/>
        </w:rPr>
        <w:pict>
          <v:shape id="_x0000_s1056" type="#_x0000_t202" style="position:absolute;left:0;text-align:left;margin-left:112.15pt;margin-top:-14.8pt;width:303.65pt;height:27.25pt;z-index:25178777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" stroked="f">
            <v:textbox style="mso-next-textbox:#_x0000_s1056">
              <w:txbxContent>
                <w:p w:rsidR="00AD6037" w:rsidRDefault="00AD6037" w:rsidP="00FB0C53">
                  <w:pPr>
                    <w:pStyle w:val="NormalWeb"/>
                    <w:spacing w:before="0" w:beforeAutospacing="0" w:after="0" w:afterAutospacing="0"/>
                  </w:pPr>
                  <w:r>
                    <w:rPr>
                      <w:rFonts w:ascii="Calibri" w:hAnsi="Calibri"/>
                      <w:sz w:val="16"/>
                      <w:szCs w:val="16"/>
                    </w:rPr>
                    <w:t>FUENTE SAT: Tablero Global de Entidades Federativas  enero - diciembre 2015</w:t>
                  </w:r>
                </w:p>
              </w:txbxContent>
            </v:textbox>
          </v:shape>
        </w:pict>
      </w:r>
    </w:p>
    <w:p w:rsidR="00FB0C53" w:rsidRPr="00D83D8E" w:rsidRDefault="00FB0C53" w:rsidP="00D83D8E">
      <w:pPr>
        <w:contextualSpacing/>
        <w:jc w:val="both"/>
        <w:rPr>
          <w:rFonts w:ascii="Arial" w:hAnsi="Arial" w:cs="Arial"/>
          <w:b/>
          <w:kern w:val="2"/>
        </w:rPr>
      </w:pPr>
    </w:p>
    <w:p w:rsidR="00FB0C53" w:rsidRPr="00D83D8E" w:rsidRDefault="00FB0C53" w:rsidP="00D83D8E">
      <w:pPr>
        <w:contextualSpacing/>
        <w:jc w:val="both"/>
        <w:rPr>
          <w:rFonts w:ascii="Arial" w:hAnsi="Arial" w:cs="Arial"/>
          <w:b/>
          <w:kern w:val="2"/>
        </w:rPr>
      </w:pPr>
    </w:p>
    <w:p w:rsidR="00FB0C53" w:rsidRPr="00D83D8E" w:rsidRDefault="00FB0C53" w:rsidP="00D83D8E">
      <w:pPr>
        <w:contextualSpacing/>
        <w:jc w:val="both"/>
        <w:rPr>
          <w:rFonts w:ascii="Arial" w:hAnsi="Arial" w:cs="Arial"/>
          <w:b/>
          <w:kern w:val="2"/>
        </w:rPr>
      </w:pPr>
    </w:p>
    <w:p w:rsidR="00FB0C53" w:rsidRPr="00D83D8E" w:rsidRDefault="00FB0C53" w:rsidP="00D83D8E">
      <w:pPr>
        <w:contextualSpacing/>
        <w:jc w:val="both"/>
        <w:rPr>
          <w:rFonts w:ascii="Arial" w:hAnsi="Arial" w:cs="Arial"/>
          <w:b/>
          <w:kern w:val="2"/>
        </w:rPr>
      </w:pPr>
    </w:p>
    <w:p w:rsidR="00FB0C53" w:rsidRPr="00D83D8E" w:rsidRDefault="00FB0C53" w:rsidP="00D83D8E">
      <w:pPr>
        <w:contextualSpacing/>
        <w:jc w:val="both"/>
        <w:rPr>
          <w:rFonts w:ascii="Arial" w:hAnsi="Arial" w:cs="Arial"/>
          <w:b/>
          <w:kern w:val="2"/>
        </w:rPr>
      </w:pPr>
    </w:p>
    <w:p w:rsidR="008721C0" w:rsidRPr="00D83D8E" w:rsidRDefault="008721C0" w:rsidP="00D83D8E">
      <w:pPr>
        <w:contextualSpacing/>
        <w:jc w:val="both"/>
        <w:rPr>
          <w:rFonts w:ascii="Arial" w:hAnsi="Arial" w:cs="Arial"/>
          <w:b/>
          <w:kern w:val="2"/>
        </w:rPr>
      </w:pPr>
    </w:p>
    <w:p w:rsidR="00FB0C53" w:rsidRPr="00D83D8E" w:rsidRDefault="007939DB" w:rsidP="00D83D8E">
      <w:pPr>
        <w:contextualSpacing/>
        <w:jc w:val="both"/>
        <w:rPr>
          <w:rFonts w:ascii="Arial" w:hAnsi="Arial" w:cs="Arial"/>
          <w:b/>
          <w:kern w:val="2"/>
        </w:rPr>
      </w:pPr>
      <w:r>
        <w:rPr>
          <w:rFonts w:ascii="Arial" w:hAnsi="Arial" w:cs="Arial"/>
          <w:b/>
          <w:kern w:val="2"/>
        </w:rPr>
        <w:lastRenderedPageBreak/>
        <w:t>3.2.1.6</w:t>
      </w:r>
      <w:r w:rsidR="00E91C2E">
        <w:rPr>
          <w:rFonts w:ascii="Arial" w:hAnsi="Arial" w:cs="Arial"/>
          <w:b/>
          <w:kern w:val="2"/>
        </w:rPr>
        <w:t>.-</w:t>
      </w:r>
      <w:r w:rsidR="00E91C2E" w:rsidRPr="00D83D8E">
        <w:rPr>
          <w:rFonts w:ascii="Arial" w:hAnsi="Arial" w:cs="Arial"/>
          <w:b/>
          <w:kern w:val="2"/>
        </w:rPr>
        <w:t xml:space="preserve"> CAPACITACIÓN</w:t>
      </w:r>
      <w:r w:rsidR="00FB0C53" w:rsidRPr="00D83D8E">
        <w:rPr>
          <w:rFonts w:ascii="Arial" w:hAnsi="Arial" w:cs="Arial"/>
          <w:b/>
          <w:kern w:val="2"/>
        </w:rPr>
        <w:t>.</w:t>
      </w:r>
    </w:p>
    <w:p w:rsidR="00FB0C53" w:rsidRPr="00D83D8E" w:rsidRDefault="00FB0C53" w:rsidP="00D83D8E">
      <w:pPr>
        <w:contextualSpacing/>
        <w:jc w:val="both"/>
        <w:rPr>
          <w:rFonts w:ascii="Arial" w:hAnsi="Arial" w:cs="Arial"/>
          <w:kern w:val="2"/>
        </w:rPr>
      </w:pP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t>Durante el ejercicio 2015 se continuó</w:t>
      </w:r>
      <w:r w:rsidR="0019732B" w:rsidRPr="00D83D8E">
        <w:rPr>
          <w:rFonts w:ascii="Arial" w:hAnsi="Arial" w:cs="Arial"/>
          <w:color w:val="000000"/>
          <w:kern w:val="2"/>
        </w:rPr>
        <w:t xml:space="preserve"> </w:t>
      </w:r>
      <w:r w:rsidRPr="00D83D8E">
        <w:rPr>
          <w:rFonts w:ascii="Arial" w:hAnsi="Arial" w:cs="Arial"/>
          <w:color w:val="000000"/>
          <w:kern w:val="2"/>
        </w:rPr>
        <w:t>con el fortalecimiento en las acciones de capacitación al pe</w:t>
      </w:r>
      <w:r w:rsidR="0019732B" w:rsidRPr="00D83D8E">
        <w:rPr>
          <w:rFonts w:ascii="Arial" w:hAnsi="Arial" w:cs="Arial"/>
          <w:color w:val="000000"/>
          <w:kern w:val="2"/>
        </w:rPr>
        <w:t xml:space="preserve">rsonal fiscalizador a través de </w:t>
      </w:r>
      <w:r w:rsidRPr="00D83D8E">
        <w:rPr>
          <w:rFonts w:ascii="Arial" w:hAnsi="Arial" w:cs="Arial"/>
          <w:color w:val="000000"/>
          <w:kern w:val="2"/>
        </w:rPr>
        <w:t>diversos cursos</w:t>
      </w:r>
      <w:r w:rsidR="0019732B" w:rsidRPr="00D83D8E">
        <w:rPr>
          <w:rFonts w:ascii="Arial" w:hAnsi="Arial" w:cs="Arial"/>
          <w:color w:val="000000"/>
          <w:kern w:val="2"/>
        </w:rPr>
        <w:t xml:space="preserve"> </w:t>
      </w:r>
      <w:r w:rsidRPr="00D83D8E">
        <w:rPr>
          <w:rFonts w:ascii="Arial" w:hAnsi="Arial" w:cs="Arial"/>
          <w:color w:val="000000"/>
          <w:kern w:val="2"/>
        </w:rPr>
        <w:t>y diplomados impartidos por organismos e instituciones como es el Servicio de Administración Tributaria (SAT-SHCP) y el Instituto Para el Desarrollo Técnico de las Haciendas Públicas (INDETEC),  así como por parte de profesionales  independientes.</w:t>
      </w: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r w:rsidRPr="00D83D8E">
        <w:rPr>
          <w:rFonts w:ascii="Arial" w:hAnsi="Arial" w:cs="Arial"/>
          <w:color w:val="000000"/>
          <w:kern w:val="2"/>
        </w:rPr>
        <w:t>El objetivo de estas actividades además de dar mayor certeza jurídica a los contribuyentes en las actuaciones de la autoridad revisora, ha sido promover la eficiencia de los actos de fiscalización resultados se reflejan en 2015 como ya ha quedado  asentado anteriormente.</w:t>
      </w: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FB0C53" w:rsidRPr="00D83D8E" w:rsidRDefault="00FB0C53" w:rsidP="00D83D8E">
      <w:pPr>
        <w:contextualSpacing/>
        <w:jc w:val="both"/>
        <w:rPr>
          <w:rFonts w:ascii="Arial" w:hAnsi="Arial" w:cs="Arial"/>
          <w:color w:val="000000"/>
          <w:kern w:val="2"/>
        </w:rPr>
      </w:pPr>
    </w:p>
    <w:p w:rsidR="008714A0" w:rsidRPr="00D83D8E" w:rsidRDefault="008714A0" w:rsidP="00D83D8E">
      <w:pPr>
        <w:contextualSpacing/>
        <w:jc w:val="both"/>
        <w:rPr>
          <w:rFonts w:asciiTheme="minorHAnsi" w:hAnsiTheme="minorHAnsi"/>
          <w:kern w:val="2"/>
          <w:sz w:val="18"/>
          <w:szCs w:val="18"/>
        </w:rPr>
      </w:pPr>
    </w:p>
    <w:p w:rsidR="004B0214" w:rsidRPr="00D83D8E" w:rsidRDefault="004B0214" w:rsidP="00D83D8E">
      <w:pPr>
        <w:contextualSpacing/>
        <w:jc w:val="both"/>
        <w:rPr>
          <w:rFonts w:ascii="Arial" w:hAnsi="Arial" w:cs="Arial"/>
          <w:b/>
          <w:color w:val="000000"/>
          <w:kern w:val="2"/>
        </w:rPr>
      </w:pPr>
    </w:p>
    <w:p w:rsidR="007939DB" w:rsidRDefault="007939DB" w:rsidP="00D83D8E">
      <w:pPr>
        <w:contextualSpacing/>
        <w:jc w:val="both"/>
        <w:rPr>
          <w:rFonts w:ascii="Arial" w:hAnsi="Arial" w:cs="Arial"/>
          <w:b/>
          <w:color w:val="000000"/>
          <w:kern w:val="2"/>
        </w:rPr>
      </w:pPr>
    </w:p>
    <w:p w:rsidR="007939DB" w:rsidRDefault="007939DB" w:rsidP="00D83D8E">
      <w:pPr>
        <w:contextualSpacing/>
        <w:jc w:val="both"/>
        <w:rPr>
          <w:rFonts w:ascii="Arial" w:hAnsi="Arial" w:cs="Arial"/>
          <w:b/>
          <w:color w:val="000000"/>
          <w:kern w:val="2"/>
        </w:rPr>
      </w:pPr>
    </w:p>
    <w:p w:rsidR="007939DB" w:rsidRDefault="007939DB" w:rsidP="00D83D8E">
      <w:pPr>
        <w:contextualSpacing/>
        <w:jc w:val="both"/>
        <w:rPr>
          <w:rFonts w:ascii="Arial" w:hAnsi="Arial" w:cs="Arial"/>
          <w:b/>
          <w:color w:val="000000"/>
          <w:kern w:val="2"/>
        </w:rPr>
      </w:pPr>
    </w:p>
    <w:p w:rsidR="007939DB" w:rsidRDefault="007939DB" w:rsidP="00D83D8E">
      <w:pPr>
        <w:contextualSpacing/>
        <w:jc w:val="both"/>
        <w:rPr>
          <w:rFonts w:ascii="Arial" w:hAnsi="Arial" w:cs="Arial"/>
          <w:b/>
          <w:color w:val="000000"/>
          <w:kern w:val="2"/>
        </w:rPr>
      </w:pPr>
    </w:p>
    <w:p w:rsidR="007939DB" w:rsidRDefault="007939DB" w:rsidP="00D83D8E">
      <w:pPr>
        <w:contextualSpacing/>
        <w:jc w:val="both"/>
        <w:rPr>
          <w:rFonts w:ascii="Arial" w:hAnsi="Arial" w:cs="Arial"/>
          <w:b/>
          <w:color w:val="000000"/>
          <w:kern w:val="2"/>
        </w:rPr>
      </w:pPr>
    </w:p>
    <w:p w:rsidR="00634C72" w:rsidRPr="00D83D8E" w:rsidRDefault="007939DB" w:rsidP="00D83D8E">
      <w:pPr>
        <w:contextualSpacing/>
        <w:jc w:val="both"/>
        <w:rPr>
          <w:rFonts w:ascii="Arial" w:hAnsi="Arial" w:cs="Arial"/>
          <w:b/>
          <w:color w:val="000000"/>
          <w:kern w:val="2"/>
        </w:rPr>
      </w:pPr>
      <w:r>
        <w:rPr>
          <w:rFonts w:ascii="Arial" w:hAnsi="Arial" w:cs="Arial"/>
          <w:b/>
          <w:color w:val="000000"/>
          <w:kern w:val="2"/>
        </w:rPr>
        <w:lastRenderedPageBreak/>
        <w:t>3.2.2.-</w:t>
      </w:r>
      <w:r w:rsidR="00E91C2E" w:rsidRPr="00D83D8E">
        <w:rPr>
          <w:rFonts w:ascii="Arial" w:hAnsi="Arial" w:cs="Arial"/>
          <w:b/>
          <w:color w:val="000000"/>
          <w:kern w:val="2"/>
        </w:rPr>
        <w:t>ESTÍMULOS FISCALES</w:t>
      </w:r>
    </w:p>
    <w:p w:rsidR="00634C72" w:rsidRDefault="00634C72" w:rsidP="00D83D8E">
      <w:pPr>
        <w:contextualSpacing/>
        <w:jc w:val="both"/>
        <w:rPr>
          <w:rFonts w:ascii="Arial" w:hAnsi="Arial" w:cs="Arial"/>
          <w:color w:val="000000"/>
          <w:kern w:val="2"/>
        </w:rPr>
      </w:pPr>
    </w:p>
    <w:p w:rsidR="00783485" w:rsidRPr="00D83D8E" w:rsidRDefault="00783485" w:rsidP="00D83D8E">
      <w:pPr>
        <w:contextualSpacing/>
        <w:jc w:val="both"/>
        <w:rPr>
          <w:rFonts w:ascii="Arial" w:hAnsi="Arial" w:cs="Arial"/>
          <w:color w:val="000000"/>
          <w:kern w:val="2"/>
        </w:rPr>
      </w:pPr>
    </w:p>
    <w:p w:rsidR="006C5089" w:rsidRPr="00D83D8E" w:rsidRDefault="006C5089"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Uno de los ejes de la política tributaria, ha sido la de otorgar beneficios al contribuyente cumplido. En tal sentido, en el paquete fiscal 2015, se estableció un estímulo del 50 por ciento para el pago oportuno del Impuesto sobre Tenencia, para  autos y motocicletas de servicio privado y público nuevos; y para los propietarios y/o tenedores  de vehículos del servicio público y privado de hasta nueve años, se otorgó un estímulo del 30, 20 o 10 por ciento considerando la fecha de pago en los meses de enero, febrero y marzo respectivamente.</w:t>
      </w:r>
    </w:p>
    <w:p w:rsidR="006C5089" w:rsidRPr="00D83D8E" w:rsidRDefault="006C5089" w:rsidP="00D83D8E">
      <w:pPr>
        <w:pStyle w:val="Ttulo2"/>
        <w:spacing w:line="240" w:lineRule="auto"/>
        <w:contextualSpacing/>
        <w:rPr>
          <w:rFonts w:cs="Arial"/>
          <w:color w:val="000000"/>
          <w:spacing w:val="0"/>
          <w:kern w:val="2"/>
          <w:szCs w:val="24"/>
          <w:lang w:val="es-ES"/>
        </w:rPr>
      </w:pPr>
    </w:p>
    <w:p w:rsidR="006C5089" w:rsidRPr="00D83D8E" w:rsidRDefault="006C5089"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Así mismo para los propietarios de vehículos del servicio privado de 10 o más años de antigüedad, se estableció el beneficio para el pago del Impuesto Sobre Tenencia o uso de Vehículos igual a un peso.</w:t>
      </w:r>
    </w:p>
    <w:p w:rsidR="006C5089" w:rsidRPr="00D83D8E" w:rsidRDefault="006C5089" w:rsidP="00D83D8E">
      <w:pPr>
        <w:pStyle w:val="Ttulo2"/>
        <w:spacing w:line="240" w:lineRule="auto"/>
        <w:contextualSpacing/>
        <w:rPr>
          <w:rFonts w:cs="Arial"/>
          <w:color w:val="000000"/>
          <w:spacing w:val="0"/>
          <w:kern w:val="2"/>
          <w:szCs w:val="24"/>
          <w:lang w:val="es-ES"/>
        </w:rPr>
      </w:pPr>
    </w:p>
    <w:p w:rsidR="006C5089" w:rsidRPr="00D83D8E" w:rsidRDefault="006C5089"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Además, para los contribuyentes propietarios o tenedores de vehículos en cualquier modalidad excepto motocicletas, se concedió el 70 por ciento en el pago por derecho de verificación de emisiones a la atmosfera correspondiente al primer semestre del ejercicio 2015.</w:t>
      </w:r>
    </w:p>
    <w:p w:rsidR="006C5089" w:rsidRPr="00D83D8E" w:rsidRDefault="006C5089" w:rsidP="00D83D8E">
      <w:pPr>
        <w:pStyle w:val="Ttulo2"/>
        <w:spacing w:line="240" w:lineRule="auto"/>
        <w:contextualSpacing/>
        <w:rPr>
          <w:rFonts w:cs="Arial"/>
          <w:color w:val="000000"/>
          <w:spacing w:val="0"/>
          <w:kern w:val="2"/>
          <w:szCs w:val="24"/>
          <w:lang w:val="es-ES"/>
        </w:rPr>
      </w:pPr>
    </w:p>
    <w:p w:rsidR="006C5089" w:rsidRPr="00D83D8E" w:rsidRDefault="006C5089"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Adicionalmente a los ya mencionados se estableció el estímulo fiscal del 100% sobre actualizaciones y recargos derivados del impuesto sobre tenencia o uso de vehículos federal y estatal y derechos vehiculares relacionados de los últimos diez años y del ejercicio 2015, el cual tuvo vigencia hasta el 29 de mayo del 2015; el mismo estimulo se otorgó nuevamente en el periodo comprendido del 1 de octubre al 30 de diciembre.</w:t>
      </w:r>
    </w:p>
    <w:p w:rsidR="006C5089" w:rsidRPr="00D83D8E" w:rsidRDefault="006C5089" w:rsidP="00D83D8E">
      <w:pPr>
        <w:pStyle w:val="Ttulo2"/>
        <w:spacing w:line="240" w:lineRule="auto"/>
        <w:contextualSpacing/>
        <w:rPr>
          <w:rFonts w:cs="Arial"/>
          <w:color w:val="000000"/>
          <w:spacing w:val="0"/>
          <w:kern w:val="2"/>
          <w:szCs w:val="24"/>
          <w:lang w:val="es-ES"/>
        </w:rPr>
      </w:pPr>
    </w:p>
    <w:p w:rsidR="006C5089" w:rsidRPr="00D83D8E" w:rsidRDefault="006C5089"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En el periodo del 01 de octubre hasta el 30 de diciembre del ejercicio fiscal 2015, se otorgó para los propietarios y/o tenedores  de vehículos del servicio público y privado de hasta nueve años, un estímulo fiscal del 15 por ciento de descuento del impuesto sobre Tenencia del ejercicio 2015.</w:t>
      </w:r>
    </w:p>
    <w:p w:rsidR="006C5089" w:rsidRPr="00D83D8E" w:rsidRDefault="006C5089" w:rsidP="00D83D8E">
      <w:pPr>
        <w:contextualSpacing/>
        <w:rPr>
          <w:rFonts w:ascii="Arial" w:hAnsi="Arial" w:cs="Arial"/>
          <w:color w:val="000000"/>
          <w:kern w:val="2"/>
        </w:rPr>
      </w:pPr>
    </w:p>
    <w:p w:rsidR="006C5089" w:rsidRPr="00D83D8E" w:rsidRDefault="006C5089"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Para  autos y motocicletas de servicio privado nuevos se les otorgo adicionalmente al estímulo establecido en el artículo 14 de la Ley de Ingresos del Estado de Oaxaca para el ejercicio fiscal 2015, un estímulo fiscal que le permitió pagar únicamente la cantidad de un 1.00 (un peso) del Impuesto sobre Tenencia durante el periodo comprendido del 1 de octubre al 30 de diciembre.</w:t>
      </w:r>
    </w:p>
    <w:p w:rsidR="006C5089" w:rsidRPr="00D83D8E" w:rsidRDefault="006C5089" w:rsidP="00D83D8E">
      <w:pPr>
        <w:contextualSpacing/>
        <w:rPr>
          <w:rFonts w:ascii="Arial" w:hAnsi="Arial" w:cs="Arial"/>
          <w:color w:val="000000"/>
          <w:kern w:val="2"/>
        </w:rPr>
      </w:pPr>
    </w:p>
    <w:p w:rsidR="006C5089" w:rsidRPr="00D83D8E" w:rsidRDefault="006C5089"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Para facilitar el pago a los contribuyentes, se implementó el programa de pago a tres y seis meses sin intereses con tarjeta de crédito con diversas instituciones bancarias.</w:t>
      </w:r>
    </w:p>
    <w:p w:rsidR="006C5089" w:rsidRPr="00D83D8E" w:rsidRDefault="006C5089" w:rsidP="00D83D8E">
      <w:pPr>
        <w:pStyle w:val="Ttulo2"/>
        <w:spacing w:line="240" w:lineRule="auto"/>
        <w:contextualSpacing/>
        <w:rPr>
          <w:rFonts w:cs="Arial"/>
          <w:color w:val="000000"/>
          <w:spacing w:val="0"/>
          <w:kern w:val="2"/>
          <w:szCs w:val="24"/>
          <w:lang w:val="es-ES"/>
        </w:rPr>
      </w:pPr>
    </w:p>
    <w:p w:rsidR="00783485" w:rsidRDefault="00783485">
      <w:pPr>
        <w:rPr>
          <w:rFonts w:ascii="Arial" w:hAnsi="Arial" w:cs="Arial"/>
          <w:color w:val="000000"/>
          <w:kern w:val="2"/>
        </w:rPr>
      </w:pPr>
      <w:r>
        <w:rPr>
          <w:rFonts w:cs="Arial"/>
          <w:color w:val="000000"/>
          <w:kern w:val="2"/>
        </w:rPr>
        <w:br w:type="page"/>
      </w:r>
    </w:p>
    <w:p w:rsidR="006C5089" w:rsidRPr="00D83D8E" w:rsidRDefault="006C5089"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lastRenderedPageBreak/>
        <w:t>Por otra parte, tratándose de personas adultas mayores, se les otorga en el presente ejercicio el descuento del 50 por ciento de la tarifa establecida, a los que soliciten la expedición de licencias de manejo a que se refiere el artículo 42 de la Ley Estatal de Derechos.</w:t>
      </w:r>
    </w:p>
    <w:p w:rsidR="006C5089" w:rsidRPr="00D83D8E" w:rsidRDefault="006C5089" w:rsidP="00D83D8E">
      <w:pPr>
        <w:contextualSpacing/>
        <w:rPr>
          <w:rFonts w:ascii="Arial" w:hAnsi="Arial" w:cs="Arial"/>
          <w:color w:val="000000"/>
          <w:kern w:val="2"/>
        </w:rPr>
      </w:pPr>
    </w:p>
    <w:p w:rsidR="003A3FB6" w:rsidRPr="00D83D8E" w:rsidRDefault="003A3FB6"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Durante el periodo de enero a diciembre de 2015, se observó un buen comportamiento en el cumplimiento de pago del Impuesto sobre Tenencia y/o Uso de Vehículos,  toda vez que se recibieron  219,489 pagos.</w:t>
      </w:r>
    </w:p>
    <w:p w:rsidR="003A3FB6" w:rsidRPr="00D83D8E" w:rsidRDefault="003A3FB6" w:rsidP="00D83D8E">
      <w:pPr>
        <w:contextualSpacing/>
        <w:rPr>
          <w:rFonts w:ascii="Arial" w:hAnsi="Arial" w:cs="Arial"/>
          <w:color w:val="000000"/>
          <w:kern w:val="2"/>
        </w:rPr>
      </w:pPr>
    </w:p>
    <w:p w:rsidR="003A3FB6" w:rsidRPr="00D83D8E" w:rsidRDefault="003A3FB6" w:rsidP="00D83D8E">
      <w:pPr>
        <w:contextualSpacing/>
        <w:rPr>
          <w:rFonts w:ascii="Arial" w:hAnsi="Arial" w:cs="Arial"/>
          <w:color w:val="000000"/>
          <w:kern w:val="2"/>
        </w:rPr>
      </w:pPr>
    </w:p>
    <w:p w:rsidR="003A3FB6" w:rsidRPr="00D83D8E" w:rsidRDefault="003A3FB6" w:rsidP="00D83D8E">
      <w:pPr>
        <w:contextualSpacing/>
        <w:jc w:val="center"/>
        <w:rPr>
          <w:rFonts w:ascii="Arial" w:hAnsi="Arial" w:cs="Arial"/>
          <w:kern w:val="2"/>
        </w:rPr>
      </w:pPr>
    </w:p>
    <w:p w:rsidR="009F6C58" w:rsidRPr="00D83D8E" w:rsidRDefault="009F6C58" w:rsidP="00D83D8E">
      <w:pPr>
        <w:contextualSpacing/>
        <w:jc w:val="center"/>
        <w:rPr>
          <w:rFonts w:ascii="Arial" w:hAnsi="Arial" w:cs="Arial"/>
          <w:kern w:val="2"/>
        </w:rPr>
      </w:pPr>
      <w:r w:rsidRPr="00D83D8E">
        <w:rPr>
          <w:noProof/>
          <w:kern w:val="2"/>
          <w:lang w:val="es-MX" w:eastAsia="es-MX"/>
        </w:rPr>
        <w:drawing>
          <wp:inline distT="0" distB="0" distL="0" distR="0">
            <wp:extent cx="5882005" cy="4293027"/>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4293027"/>
                    </a:xfrm>
                    <a:prstGeom prst="rect">
                      <a:avLst/>
                    </a:prstGeom>
                    <a:noFill/>
                    <a:ln>
                      <a:noFill/>
                    </a:ln>
                  </pic:spPr>
                </pic:pic>
              </a:graphicData>
            </a:graphic>
          </wp:inline>
        </w:drawing>
      </w:r>
    </w:p>
    <w:p w:rsidR="009F6C58" w:rsidRPr="00D83D8E" w:rsidRDefault="009F6C58" w:rsidP="00D83D8E">
      <w:pPr>
        <w:contextualSpacing/>
        <w:jc w:val="center"/>
        <w:rPr>
          <w:rFonts w:ascii="Arial" w:hAnsi="Arial" w:cs="Arial"/>
          <w:kern w:val="2"/>
        </w:rPr>
      </w:pPr>
    </w:p>
    <w:p w:rsidR="003A3FB6" w:rsidRPr="00D83D8E" w:rsidRDefault="003A3FB6"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lastRenderedPageBreak/>
        <w:t>Así mismo, durante los meses enero - diciembre del ejercicio 2015, se reflejó un crecimiento respecto al cierre del ejercicio 2014 del 4.37 por ciento en el padrón vehicular,  actualmente se tienen registrados 513,339 vehículos. (Automóvil, camión, camioneta, motocicleta y ómnibus-autobús).</w:t>
      </w:r>
    </w:p>
    <w:p w:rsidR="003A3FB6" w:rsidRPr="00D83D8E" w:rsidRDefault="003A3FB6" w:rsidP="00D83D8E">
      <w:pPr>
        <w:pStyle w:val="Ttulo2"/>
        <w:spacing w:line="240" w:lineRule="auto"/>
        <w:contextualSpacing/>
        <w:jc w:val="center"/>
        <w:rPr>
          <w:rFonts w:cs="Arial"/>
          <w:color w:val="000000"/>
          <w:spacing w:val="0"/>
          <w:kern w:val="2"/>
          <w:szCs w:val="24"/>
          <w:lang w:val="es-ES"/>
        </w:rPr>
      </w:pPr>
    </w:p>
    <w:p w:rsidR="003A3FB6" w:rsidRPr="00D83D8E" w:rsidRDefault="003A3FB6" w:rsidP="00D83D8E">
      <w:pPr>
        <w:contextualSpacing/>
        <w:jc w:val="center"/>
        <w:rPr>
          <w:rFonts w:ascii="Arial" w:hAnsi="Arial" w:cs="Arial"/>
          <w:i/>
          <w:kern w:val="2"/>
        </w:rPr>
      </w:pPr>
    </w:p>
    <w:p w:rsidR="009F6C58" w:rsidRPr="00D83D8E" w:rsidRDefault="009F6C58" w:rsidP="00D83D8E">
      <w:pPr>
        <w:contextualSpacing/>
        <w:rPr>
          <w:kern w:val="2"/>
          <w:lang w:val="es-MX"/>
        </w:rPr>
      </w:pPr>
    </w:p>
    <w:p w:rsidR="009F6C58" w:rsidRPr="00D83D8E" w:rsidRDefault="009F6C58" w:rsidP="00D83D8E">
      <w:pPr>
        <w:contextualSpacing/>
        <w:rPr>
          <w:kern w:val="2"/>
          <w:lang w:val="es-MX"/>
        </w:rPr>
      </w:pPr>
      <w:r w:rsidRPr="00D83D8E">
        <w:rPr>
          <w:noProof/>
          <w:kern w:val="2"/>
          <w:lang w:val="es-MX" w:eastAsia="es-MX"/>
        </w:rPr>
        <w:drawing>
          <wp:inline distT="0" distB="0" distL="0" distR="0">
            <wp:extent cx="5882005" cy="3842658"/>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3842658"/>
                    </a:xfrm>
                    <a:prstGeom prst="rect">
                      <a:avLst/>
                    </a:prstGeom>
                    <a:noFill/>
                    <a:ln>
                      <a:noFill/>
                    </a:ln>
                  </pic:spPr>
                </pic:pic>
              </a:graphicData>
            </a:graphic>
          </wp:inline>
        </w:drawing>
      </w:r>
    </w:p>
    <w:p w:rsidR="009F6C58" w:rsidRPr="00D83D8E" w:rsidRDefault="009F6C58" w:rsidP="00D83D8E">
      <w:pPr>
        <w:contextualSpacing/>
        <w:rPr>
          <w:kern w:val="2"/>
          <w:lang w:val="es-MX"/>
        </w:rPr>
      </w:pPr>
    </w:p>
    <w:p w:rsidR="003A3FB6" w:rsidRPr="00D83D8E" w:rsidRDefault="003A3FB6"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En el caso del Impuesto sobre Erogaciones por Remuneraciones al Trabajo Personal, se consideró un estímulo a las micro, pequeñas y medianas empresas que se encuentren al corriente con sus obligaciones y también a las empresas de nueva creación.</w:t>
      </w:r>
    </w:p>
    <w:p w:rsidR="003A3FB6" w:rsidRPr="00D83D8E" w:rsidRDefault="003A3FB6" w:rsidP="00D83D8E">
      <w:pPr>
        <w:pStyle w:val="Ttulo2"/>
        <w:spacing w:line="240" w:lineRule="auto"/>
        <w:contextualSpacing/>
        <w:rPr>
          <w:rFonts w:cs="Arial"/>
          <w:color w:val="000000"/>
          <w:spacing w:val="0"/>
          <w:kern w:val="2"/>
          <w:szCs w:val="24"/>
          <w:lang w:val="es-ES"/>
        </w:rPr>
      </w:pPr>
    </w:p>
    <w:p w:rsidR="003A3FB6" w:rsidRPr="00D83D8E" w:rsidRDefault="003A3FB6" w:rsidP="00D83D8E">
      <w:pPr>
        <w:pStyle w:val="Ttulo2"/>
        <w:spacing w:line="240" w:lineRule="auto"/>
        <w:contextualSpacing/>
        <w:rPr>
          <w:rFonts w:cs="Arial"/>
          <w:color w:val="000000"/>
          <w:spacing w:val="0"/>
          <w:kern w:val="2"/>
          <w:szCs w:val="24"/>
          <w:lang w:val="es-ES"/>
        </w:rPr>
      </w:pPr>
      <w:r w:rsidRPr="00D83D8E">
        <w:rPr>
          <w:rFonts w:cs="Arial"/>
          <w:color w:val="000000"/>
          <w:spacing w:val="0"/>
          <w:kern w:val="2"/>
          <w:szCs w:val="24"/>
          <w:lang w:val="es-ES"/>
        </w:rPr>
        <w:t>Las personas físicas, morales o unidades económicas sujetas al pago del Impuesto antes señalado fueron beneficiados con un estímulo fiscal del 100 por ciento respecto a los accesorios derivados de dicho Impuesto, el cual tuvo vigencia hasta el 29 de mayo del ejercicio 2015; el mismo estimulo se otorgó nuevamente en el periodo comprendido del 1 de octubre al 17 de diciembre.</w:t>
      </w:r>
    </w:p>
    <w:p w:rsidR="003A3FB6" w:rsidRPr="00D83D8E" w:rsidRDefault="003A3FB6" w:rsidP="00D83D8E">
      <w:pPr>
        <w:pStyle w:val="Ttulo2"/>
        <w:spacing w:line="240" w:lineRule="auto"/>
        <w:contextualSpacing/>
        <w:rPr>
          <w:kern w:val="2"/>
        </w:rPr>
      </w:pPr>
      <w:r w:rsidRPr="00D83D8E">
        <w:rPr>
          <w:kern w:val="2"/>
        </w:rPr>
        <w:br w:type="page"/>
      </w:r>
    </w:p>
    <w:p w:rsidR="003A3FB6" w:rsidRPr="00D83D8E" w:rsidRDefault="003A3FB6" w:rsidP="00D83D8E">
      <w:pPr>
        <w:pStyle w:val="Ttulo2"/>
        <w:spacing w:line="240" w:lineRule="auto"/>
        <w:contextualSpacing/>
        <w:rPr>
          <w:kern w:val="2"/>
        </w:rPr>
      </w:pPr>
    </w:p>
    <w:p w:rsidR="003A3FB6" w:rsidRPr="00D83D8E" w:rsidRDefault="003A3241" w:rsidP="00D83D8E">
      <w:pPr>
        <w:pStyle w:val="Ttulo2"/>
        <w:spacing w:line="240" w:lineRule="auto"/>
        <w:contextualSpacing/>
        <w:rPr>
          <w:rFonts w:cs="Arial"/>
          <w:kern w:val="2"/>
        </w:rPr>
      </w:pPr>
      <w:r w:rsidRPr="00D83D8E">
        <w:rPr>
          <w:rFonts w:cs="Arial"/>
          <w:color w:val="000000"/>
          <w:spacing w:val="0"/>
          <w:kern w:val="2"/>
          <w:szCs w:val="24"/>
          <w:lang w:val="es-ES"/>
        </w:rPr>
        <w:t xml:space="preserve">Para el cierre del </w:t>
      </w:r>
      <w:r w:rsidR="003A3FB6" w:rsidRPr="00D83D8E">
        <w:rPr>
          <w:rFonts w:cs="Arial"/>
          <w:color w:val="000000"/>
          <w:spacing w:val="0"/>
          <w:kern w:val="2"/>
          <w:szCs w:val="24"/>
          <w:lang w:val="es-ES"/>
        </w:rPr>
        <w:t xml:space="preserve"> ejercicio fiscal</w:t>
      </w:r>
      <w:r w:rsidRPr="00D83D8E">
        <w:rPr>
          <w:rFonts w:cs="Arial"/>
          <w:color w:val="000000"/>
          <w:spacing w:val="0"/>
          <w:kern w:val="2"/>
          <w:szCs w:val="24"/>
          <w:lang w:val="es-ES"/>
        </w:rPr>
        <w:t xml:space="preserve"> 2015</w:t>
      </w:r>
      <w:r w:rsidR="003A3FB6" w:rsidRPr="00D83D8E">
        <w:rPr>
          <w:rFonts w:cs="Arial"/>
          <w:color w:val="000000"/>
          <w:spacing w:val="0"/>
          <w:kern w:val="2"/>
          <w:szCs w:val="24"/>
          <w:lang w:val="es-ES"/>
        </w:rPr>
        <w:t xml:space="preserve"> se amplió el universo de personas físicas, morales y unidades económicas, logrando un incremento del Padrón Estatal de Contribuyentes de dicho impuesto de en un 22.5% respecto al ejercicio 2014.</w:t>
      </w:r>
      <w:r w:rsidR="003A3FB6" w:rsidRPr="00D83D8E">
        <w:rPr>
          <w:kern w:val="2"/>
        </w:rPr>
        <w:tab/>
      </w:r>
    </w:p>
    <w:p w:rsidR="003A3FB6" w:rsidRPr="00D83D8E" w:rsidRDefault="003A3FB6" w:rsidP="00D83D8E">
      <w:pPr>
        <w:pStyle w:val="Textoindependiente"/>
        <w:spacing w:line="240" w:lineRule="auto"/>
        <w:contextualSpacing/>
        <w:rPr>
          <w:rFonts w:cs="Arial"/>
          <w:kern w:val="2"/>
        </w:rPr>
      </w:pPr>
    </w:p>
    <w:p w:rsidR="001D5B21" w:rsidRPr="00D83D8E" w:rsidRDefault="001D5B21" w:rsidP="00D83D8E">
      <w:pPr>
        <w:pStyle w:val="Textoindependiente"/>
        <w:spacing w:line="240" w:lineRule="auto"/>
        <w:contextualSpacing/>
        <w:rPr>
          <w:rFonts w:cs="Arial"/>
          <w:kern w:val="2"/>
        </w:rPr>
      </w:pPr>
    </w:p>
    <w:p w:rsidR="001D5B21" w:rsidRPr="00D83D8E" w:rsidRDefault="001D5B21" w:rsidP="00D83D8E">
      <w:pPr>
        <w:pStyle w:val="Textoindependiente"/>
        <w:spacing w:line="240" w:lineRule="auto"/>
        <w:contextualSpacing/>
        <w:rPr>
          <w:rFonts w:cs="Arial"/>
          <w:kern w:val="2"/>
        </w:rPr>
      </w:pPr>
      <w:r w:rsidRPr="00D83D8E">
        <w:rPr>
          <w:noProof/>
          <w:kern w:val="2"/>
          <w:lang w:eastAsia="es-MX"/>
        </w:rPr>
        <w:drawing>
          <wp:inline distT="0" distB="0" distL="0" distR="0">
            <wp:extent cx="5610225" cy="424815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4248150"/>
                    </a:xfrm>
                    <a:prstGeom prst="rect">
                      <a:avLst/>
                    </a:prstGeom>
                    <a:noFill/>
                    <a:ln>
                      <a:noFill/>
                    </a:ln>
                  </pic:spPr>
                </pic:pic>
              </a:graphicData>
            </a:graphic>
          </wp:inline>
        </w:drawing>
      </w:r>
    </w:p>
    <w:p w:rsidR="001D5B21" w:rsidRPr="00D83D8E" w:rsidRDefault="001D5B21" w:rsidP="00D83D8E">
      <w:pPr>
        <w:pStyle w:val="Textoindependiente"/>
        <w:spacing w:line="240" w:lineRule="auto"/>
        <w:contextualSpacing/>
        <w:rPr>
          <w:rFonts w:cs="Arial"/>
          <w:kern w:val="2"/>
        </w:rPr>
      </w:pPr>
    </w:p>
    <w:p w:rsidR="001D5B21" w:rsidRPr="00D83D8E" w:rsidRDefault="001D5B21" w:rsidP="00D83D8E">
      <w:pPr>
        <w:pStyle w:val="Textoindependiente"/>
        <w:spacing w:line="240" w:lineRule="auto"/>
        <w:contextualSpacing/>
        <w:rPr>
          <w:rFonts w:cs="Arial"/>
          <w:kern w:val="2"/>
        </w:rPr>
      </w:pPr>
    </w:p>
    <w:p w:rsidR="001D5B21" w:rsidRPr="00D83D8E" w:rsidRDefault="001D5B21" w:rsidP="00D83D8E">
      <w:pPr>
        <w:pStyle w:val="Textoindependiente"/>
        <w:spacing w:line="240" w:lineRule="auto"/>
        <w:contextualSpacing/>
        <w:rPr>
          <w:rFonts w:cs="Arial"/>
          <w:kern w:val="2"/>
        </w:rPr>
      </w:pPr>
    </w:p>
    <w:p w:rsidR="003A3FB6" w:rsidRPr="00D83D8E" w:rsidRDefault="003A3FB6" w:rsidP="00D83D8E">
      <w:pPr>
        <w:pStyle w:val="Textoindependiente"/>
        <w:spacing w:line="240" w:lineRule="auto"/>
        <w:contextualSpacing/>
        <w:jc w:val="center"/>
        <w:rPr>
          <w:rFonts w:cs="Arial"/>
          <w:kern w:val="2"/>
        </w:rPr>
      </w:pPr>
    </w:p>
    <w:p w:rsidR="003A3FB6" w:rsidRPr="00D83D8E" w:rsidRDefault="003A3FB6" w:rsidP="00D83D8E">
      <w:pPr>
        <w:pStyle w:val="Textoindependiente"/>
        <w:spacing w:line="240" w:lineRule="auto"/>
        <w:contextualSpacing/>
        <w:jc w:val="center"/>
        <w:rPr>
          <w:rFonts w:cs="Arial"/>
          <w:kern w:val="2"/>
        </w:rPr>
      </w:pPr>
    </w:p>
    <w:p w:rsidR="003A3FB6" w:rsidRPr="00D83D8E" w:rsidRDefault="003A3FB6" w:rsidP="00D83D8E">
      <w:pPr>
        <w:pStyle w:val="Textoindependiente"/>
        <w:spacing w:line="240" w:lineRule="auto"/>
        <w:contextualSpacing/>
        <w:rPr>
          <w:rFonts w:cs="Arial"/>
          <w:kern w:val="2"/>
        </w:rPr>
      </w:pPr>
    </w:p>
    <w:p w:rsidR="003A3FB6" w:rsidRPr="00D83D8E" w:rsidRDefault="003A3FB6" w:rsidP="00D83D8E">
      <w:pPr>
        <w:pStyle w:val="Textoindependiente"/>
        <w:spacing w:line="240" w:lineRule="auto"/>
        <w:contextualSpacing/>
        <w:rPr>
          <w:rFonts w:cs="Arial"/>
          <w:kern w:val="2"/>
        </w:rPr>
      </w:pPr>
    </w:p>
    <w:p w:rsidR="003A3FB6" w:rsidRPr="00D83D8E" w:rsidRDefault="003A3FB6" w:rsidP="00D83D8E">
      <w:pPr>
        <w:pStyle w:val="Textoindependiente"/>
        <w:spacing w:line="240" w:lineRule="auto"/>
        <w:contextualSpacing/>
        <w:rPr>
          <w:rFonts w:cs="Arial"/>
          <w:kern w:val="2"/>
        </w:rPr>
      </w:pPr>
    </w:p>
    <w:p w:rsidR="003A3FB6" w:rsidRPr="00D83D8E" w:rsidRDefault="003A3FB6" w:rsidP="00D83D8E">
      <w:pPr>
        <w:contextualSpacing/>
        <w:rPr>
          <w:rFonts w:cs="Arial"/>
          <w:kern w:val="2"/>
        </w:rPr>
      </w:pPr>
      <w:r w:rsidRPr="00D83D8E">
        <w:rPr>
          <w:rFonts w:cs="Arial"/>
          <w:kern w:val="2"/>
        </w:rPr>
        <w:br w:type="page"/>
      </w:r>
    </w:p>
    <w:p w:rsidR="00B25E51" w:rsidRPr="00D83D8E" w:rsidRDefault="00B25E51" w:rsidP="00D83D8E">
      <w:pPr>
        <w:contextualSpacing/>
        <w:jc w:val="both"/>
        <w:rPr>
          <w:rFonts w:ascii="Arial" w:hAnsi="Arial" w:cs="Arial"/>
          <w:kern w:val="2"/>
        </w:rPr>
      </w:pPr>
    </w:p>
    <w:p w:rsidR="005C3297" w:rsidRPr="00D83D8E" w:rsidRDefault="00933BEA" w:rsidP="00D83D8E">
      <w:pPr>
        <w:contextualSpacing/>
        <w:jc w:val="both"/>
        <w:rPr>
          <w:rFonts w:ascii="Arial" w:hAnsi="Arial" w:cs="Arial"/>
          <w:color w:val="000000"/>
          <w:kern w:val="2"/>
        </w:rPr>
      </w:pPr>
      <w:r w:rsidRPr="00D83D8E">
        <w:rPr>
          <w:rFonts w:ascii="Arial" w:hAnsi="Arial" w:cs="Arial"/>
          <w:color w:val="000000"/>
          <w:kern w:val="2"/>
        </w:rPr>
        <w:t>Derivado de lo anterior, se tiene que,</w:t>
      </w:r>
      <w:r w:rsidR="004B2842" w:rsidRPr="00D83D8E">
        <w:rPr>
          <w:rFonts w:ascii="Arial" w:hAnsi="Arial" w:cs="Arial"/>
          <w:color w:val="000000"/>
          <w:kern w:val="2"/>
        </w:rPr>
        <w:t xml:space="preserve"> de 3,571</w:t>
      </w:r>
      <w:r w:rsidR="005C3297" w:rsidRPr="00D83D8E">
        <w:rPr>
          <w:rFonts w:ascii="Arial" w:hAnsi="Arial" w:cs="Arial"/>
          <w:color w:val="000000"/>
          <w:kern w:val="2"/>
        </w:rPr>
        <w:t xml:space="preserve"> empresas registradas en el padrón estatal del Impue</w:t>
      </w:r>
      <w:r w:rsidR="004B2842" w:rsidRPr="00D83D8E">
        <w:rPr>
          <w:rFonts w:ascii="Arial" w:hAnsi="Arial" w:cs="Arial"/>
          <w:color w:val="000000"/>
          <w:kern w:val="2"/>
        </w:rPr>
        <w:t>sto Sobre Nóminas en el año 2011</w:t>
      </w:r>
      <w:r w:rsidR="005C3297" w:rsidRPr="00D83D8E">
        <w:rPr>
          <w:rFonts w:ascii="Arial" w:hAnsi="Arial" w:cs="Arial"/>
          <w:color w:val="000000"/>
          <w:kern w:val="2"/>
        </w:rPr>
        <w:t xml:space="preserve">, para el </w:t>
      </w:r>
      <w:r w:rsidR="004B2842" w:rsidRPr="00D83D8E">
        <w:rPr>
          <w:rFonts w:ascii="Arial" w:hAnsi="Arial" w:cs="Arial"/>
          <w:color w:val="000000"/>
          <w:kern w:val="2"/>
        </w:rPr>
        <w:t>ejercicio fiscal 2015</w:t>
      </w:r>
      <w:r w:rsidR="005C3297" w:rsidRPr="00D83D8E">
        <w:rPr>
          <w:rFonts w:ascii="Arial" w:hAnsi="Arial" w:cs="Arial"/>
          <w:color w:val="000000"/>
          <w:kern w:val="2"/>
        </w:rPr>
        <w:t xml:space="preserve"> esta cifra se incrementó a </w:t>
      </w:r>
      <w:r w:rsidR="004B2842" w:rsidRPr="00D83D8E">
        <w:rPr>
          <w:rFonts w:ascii="Arial" w:hAnsi="Arial" w:cs="Arial"/>
          <w:color w:val="000000"/>
          <w:kern w:val="2"/>
        </w:rPr>
        <w:t>8,325</w:t>
      </w:r>
      <w:r w:rsidR="005C3297" w:rsidRPr="00D83D8E">
        <w:rPr>
          <w:rFonts w:ascii="Arial" w:hAnsi="Arial" w:cs="Arial"/>
          <w:color w:val="000000"/>
          <w:kern w:val="2"/>
        </w:rPr>
        <w:t xml:space="preserve"> contribuyentes, lo que representa un incremento acumulado de más de 100 po</w:t>
      </w:r>
      <w:r w:rsidRPr="00D83D8E">
        <w:rPr>
          <w:rFonts w:ascii="Arial" w:hAnsi="Arial" w:cs="Arial"/>
          <w:color w:val="000000"/>
          <w:kern w:val="2"/>
        </w:rPr>
        <w:t xml:space="preserve">r ciento en el lapso de </w:t>
      </w:r>
      <w:r w:rsidR="00161951" w:rsidRPr="00D83D8E">
        <w:rPr>
          <w:rFonts w:ascii="Arial" w:hAnsi="Arial" w:cs="Arial"/>
          <w:color w:val="000000"/>
          <w:kern w:val="2"/>
        </w:rPr>
        <w:t>cuatro</w:t>
      </w:r>
      <w:r w:rsidRPr="00D83D8E">
        <w:rPr>
          <w:rFonts w:ascii="Arial" w:hAnsi="Arial" w:cs="Arial"/>
          <w:color w:val="000000"/>
          <w:kern w:val="2"/>
        </w:rPr>
        <w:t xml:space="preserve"> años de la presente administración.</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Al cierre del ejercicio fiscal 201</w:t>
      </w:r>
      <w:r w:rsidR="00002BB9" w:rsidRPr="00D83D8E">
        <w:rPr>
          <w:rFonts w:ascii="Arial" w:hAnsi="Arial" w:cs="Arial"/>
          <w:color w:val="000000"/>
          <w:kern w:val="2"/>
        </w:rPr>
        <w:t>5</w:t>
      </w:r>
      <w:r w:rsidRPr="00D83D8E">
        <w:rPr>
          <w:rFonts w:ascii="Arial" w:hAnsi="Arial" w:cs="Arial"/>
          <w:color w:val="000000"/>
          <w:kern w:val="2"/>
        </w:rPr>
        <w:t xml:space="preserve"> se otorgaron incentivos y condonaciones por la cantidad de </w:t>
      </w:r>
      <w:r w:rsidR="00BD5F28" w:rsidRPr="00D83D8E">
        <w:rPr>
          <w:rFonts w:ascii="Arial" w:hAnsi="Arial" w:cs="Arial"/>
          <w:color w:val="000000"/>
          <w:kern w:val="2"/>
        </w:rPr>
        <w:t>2</w:t>
      </w:r>
      <w:r w:rsidR="00002BB9" w:rsidRPr="00D83D8E">
        <w:rPr>
          <w:rFonts w:ascii="Arial" w:hAnsi="Arial" w:cs="Arial"/>
          <w:color w:val="000000"/>
          <w:kern w:val="2"/>
        </w:rPr>
        <w:t>7</w:t>
      </w:r>
      <w:r w:rsidR="00DD10A3" w:rsidRPr="00D83D8E">
        <w:rPr>
          <w:rFonts w:ascii="Arial" w:hAnsi="Arial" w:cs="Arial"/>
          <w:color w:val="000000"/>
          <w:kern w:val="2"/>
        </w:rPr>
        <w:t>3</w:t>
      </w:r>
      <w:r w:rsidRPr="00D83D8E">
        <w:rPr>
          <w:rFonts w:ascii="Arial" w:hAnsi="Arial" w:cs="Arial"/>
          <w:color w:val="000000"/>
          <w:kern w:val="2"/>
        </w:rPr>
        <w:t xml:space="preserve"> millones </w:t>
      </w:r>
      <w:r w:rsidR="00DD10A3" w:rsidRPr="00D83D8E">
        <w:rPr>
          <w:rFonts w:ascii="Arial" w:hAnsi="Arial" w:cs="Arial"/>
          <w:color w:val="000000"/>
          <w:kern w:val="2"/>
        </w:rPr>
        <w:t>442</w:t>
      </w:r>
      <w:r w:rsidRPr="00D83D8E">
        <w:rPr>
          <w:rFonts w:ascii="Arial" w:hAnsi="Arial" w:cs="Arial"/>
          <w:color w:val="000000"/>
          <w:kern w:val="2"/>
        </w:rPr>
        <w:t xml:space="preserve"> mil pesos, las cuales se integran de: estímulos fis</w:t>
      </w:r>
      <w:r w:rsidR="00AE72FC" w:rsidRPr="00D83D8E">
        <w:rPr>
          <w:rFonts w:ascii="Arial" w:hAnsi="Arial" w:cs="Arial"/>
          <w:color w:val="000000"/>
          <w:kern w:val="2"/>
        </w:rPr>
        <w:t xml:space="preserve">cales </w:t>
      </w:r>
      <w:r w:rsidR="00A67D74" w:rsidRPr="00D83D8E">
        <w:rPr>
          <w:rFonts w:ascii="Arial" w:hAnsi="Arial" w:cs="Arial"/>
          <w:color w:val="000000"/>
          <w:kern w:val="2"/>
        </w:rPr>
        <w:t>para el pago por concepto del Impuesto Sobre Tenencia o Uso de Vehículos</w:t>
      </w:r>
      <w:r w:rsidR="00AE72FC" w:rsidRPr="00D83D8E">
        <w:rPr>
          <w:rFonts w:ascii="Arial" w:hAnsi="Arial" w:cs="Arial"/>
          <w:color w:val="000000"/>
          <w:kern w:val="2"/>
        </w:rPr>
        <w:t>, Impuesto S</w:t>
      </w:r>
      <w:r w:rsidRPr="00D83D8E">
        <w:rPr>
          <w:rFonts w:ascii="Arial" w:hAnsi="Arial" w:cs="Arial"/>
          <w:color w:val="000000"/>
          <w:kern w:val="2"/>
        </w:rPr>
        <w:t xml:space="preserve">obre </w:t>
      </w:r>
      <w:r w:rsidR="00AE72FC" w:rsidRPr="00D83D8E">
        <w:rPr>
          <w:rFonts w:ascii="Arial" w:hAnsi="Arial" w:cs="Arial"/>
          <w:color w:val="000000"/>
          <w:kern w:val="2"/>
        </w:rPr>
        <w:t>Erogaciones por R</w:t>
      </w:r>
      <w:r w:rsidRPr="00D83D8E">
        <w:rPr>
          <w:rFonts w:ascii="Arial" w:hAnsi="Arial" w:cs="Arial"/>
          <w:color w:val="000000"/>
          <w:kern w:val="2"/>
        </w:rPr>
        <w:t xml:space="preserve">emuneraciones al </w:t>
      </w:r>
      <w:r w:rsidR="00AE72FC" w:rsidRPr="00D83D8E">
        <w:rPr>
          <w:rFonts w:ascii="Arial" w:hAnsi="Arial" w:cs="Arial"/>
          <w:color w:val="000000"/>
          <w:kern w:val="2"/>
        </w:rPr>
        <w:t>T</w:t>
      </w:r>
      <w:r w:rsidRPr="00D83D8E">
        <w:rPr>
          <w:rFonts w:ascii="Arial" w:hAnsi="Arial" w:cs="Arial"/>
          <w:color w:val="000000"/>
          <w:kern w:val="2"/>
        </w:rPr>
        <w:t xml:space="preserve">rabajo </w:t>
      </w:r>
      <w:r w:rsidR="00AE72FC" w:rsidRPr="00D83D8E">
        <w:rPr>
          <w:rFonts w:ascii="Arial" w:hAnsi="Arial" w:cs="Arial"/>
          <w:color w:val="000000"/>
          <w:kern w:val="2"/>
        </w:rPr>
        <w:t>P</w:t>
      </w:r>
      <w:r w:rsidRPr="00D83D8E">
        <w:rPr>
          <w:rFonts w:ascii="Arial" w:hAnsi="Arial" w:cs="Arial"/>
          <w:color w:val="000000"/>
          <w:kern w:val="2"/>
        </w:rPr>
        <w:t>ersonal</w:t>
      </w:r>
      <w:r w:rsidR="00AE72FC" w:rsidRPr="00D83D8E">
        <w:rPr>
          <w:rFonts w:ascii="Arial" w:hAnsi="Arial" w:cs="Arial"/>
          <w:color w:val="000000"/>
          <w:kern w:val="2"/>
        </w:rPr>
        <w:t xml:space="preserve"> e Impuesto para el Desarrollo Social y sus accesorios por </w:t>
      </w:r>
      <w:r w:rsidR="00360AF7" w:rsidRPr="00D83D8E">
        <w:rPr>
          <w:rFonts w:ascii="Arial" w:hAnsi="Arial" w:cs="Arial"/>
          <w:color w:val="000000"/>
          <w:kern w:val="2"/>
        </w:rPr>
        <w:t>10</w:t>
      </w:r>
      <w:r w:rsidR="00DD10A3" w:rsidRPr="00D83D8E">
        <w:rPr>
          <w:rFonts w:ascii="Arial" w:hAnsi="Arial" w:cs="Arial"/>
          <w:color w:val="000000"/>
          <w:kern w:val="2"/>
        </w:rPr>
        <w:t>5</w:t>
      </w:r>
      <w:r w:rsidRPr="00D83D8E">
        <w:rPr>
          <w:rFonts w:ascii="Arial" w:hAnsi="Arial" w:cs="Arial"/>
          <w:color w:val="000000"/>
          <w:kern w:val="2"/>
        </w:rPr>
        <w:t xml:space="preserve"> millones </w:t>
      </w:r>
      <w:r w:rsidR="00DD10A3" w:rsidRPr="00D83D8E">
        <w:rPr>
          <w:rFonts w:ascii="Arial" w:hAnsi="Arial" w:cs="Arial"/>
          <w:color w:val="000000"/>
          <w:kern w:val="2"/>
        </w:rPr>
        <w:t xml:space="preserve">456 </w:t>
      </w:r>
      <w:r w:rsidRPr="00D83D8E">
        <w:rPr>
          <w:rFonts w:ascii="Arial" w:hAnsi="Arial" w:cs="Arial"/>
          <w:color w:val="000000"/>
          <w:kern w:val="2"/>
        </w:rPr>
        <w:t>mil</w:t>
      </w:r>
      <w:r w:rsidR="00AE72FC" w:rsidRPr="00D83D8E">
        <w:rPr>
          <w:rFonts w:ascii="Arial" w:hAnsi="Arial" w:cs="Arial"/>
          <w:color w:val="000000"/>
          <w:kern w:val="2"/>
        </w:rPr>
        <w:t xml:space="preserve"> pesos; </w:t>
      </w:r>
      <w:r w:rsidRPr="00D83D8E">
        <w:rPr>
          <w:rFonts w:ascii="Arial" w:hAnsi="Arial" w:cs="Arial"/>
          <w:color w:val="000000"/>
          <w:kern w:val="2"/>
        </w:rPr>
        <w:t xml:space="preserve">por concepto de </w:t>
      </w:r>
      <w:r w:rsidR="00AE72FC" w:rsidRPr="00D83D8E">
        <w:rPr>
          <w:rFonts w:ascii="Arial" w:hAnsi="Arial" w:cs="Arial"/>
          <w:color w:val="000000"/>
          <w:kern w:val="2"/>
        </w:rPr>
        <w:t>Derechos, accesorios de derechos y aprovechamiento</w:t>
      </w:r>
      <w:r w:rsidR="00360AF7" w:rsidRPr="00D83D8E">
        <w:rPr>
          <w:rFonts w:ascii="Arial" w:hAnsi="Arial" w:cs="Arial"/>
          <w:color w:val="000000"/>
          <w:kern w:val="2"/>
        </w:rPr>
        <w:t>s se otorgaron estímulos por  167</w:t>
      </w:r>
      <w:r w:rsidR="00AE72FC" w:rsidRPr="00D83D8E">
        <w:rPr>
          <w:rFonts w:ascii="Arial" w:hAnsi="Arial" w:cs="Arial"/>
          <w:color w:val="000000"/>
          <w:kern w:val="2"/>
        </w:rPr>
        <w:t xml:space="preserve"> millones </w:t>
      </w:r>
      <w:r w:rsidR="00360AF7" w:rsidRPr="00D83D8E">
        <w:rPr>
          <w:rFonts w:ascii="Arial" w:hAnsi="Arial" w:cs="Arial"/>
          <w:color w:val="000000"/>
          <w:kern w:val="2"/>
        </w:rPr>
        <w:t>985</w:t>
      </w:r>
      <w:r w:rsidR="00AE72FC" w:rsidRPr="00D83D8E">
        <w:rPr>
          <w:rFonts w:ascii="Arial" w:hAnsi="Arial" w:cs="Arial"/>
          <w:color w:val="000000"/>
          <w:kern w:val="2"/>
        </w:rPr>
        <w:t xml:space="preserve"> mil pesos.</w:t>
      </w:r>
    </w:p>
    <w:p w:rsidR="005C3297" w:rsidRPr="00D83D8E" w:rsidRDefault="005C3297" w:rsidP="00D83D8E">
      <w:pPr>
        <w:contextualSpacing/>
        <w:jc w:val="center"/>
        <w:rPr>
          <w:kern w:val="2"/>
        </w:rPr>
      </w:pPr>
    </w:p>
    <w:p w:rsidR="009A71FC" w:rsidRPr="00D83D8E" w:rsidRDefault="009A71FC" w:rsidP="00D83D8E">
      <w:pPr>
        <w:contextualSpacing/>
        <w:jc w:val="center"/>
        <w:rPr>
          <w:kern w:val="2"/>
        </w:rPr>
      </w:pPr>
    </w:p>
    <w:p w:rsidR="009A71FC" w:rsidRPr="00D83D8E" w:rsidRDefault="009A71FC" w:rsidP="00D83D8E">
      <w:pPr>
        <w:contextualSpacing/>
        <w:jc w:val="center"/>
        <w:rPr>
          <w:kern w:val="2"/>
        </w:rPr>
      </w:pPr>
    </w:p>
    <w:p w:rsidR="009A71FC" w:rsidRPr="00D83D8E" w:rsidRDefault="009A71FC" w:rsidP="00D83D8E">
      <w:pPr>
        <w:contextualSpacing/>
        <w:jc w:val="center"/>
        <w:rPr>
          <w:kern w:val="2"/>
        </w:rPr>
      </w:pPr>
    </w:p>
    <w:p w:rsidR="009A71FC" w:rsidRPr="00D83D8E" w:rsidRDefault="009A71FC" w:rsidP="00D83D8E">
      <w:pPr>
        <w:contextualSpacing/>
        <w:jc w:val="center"/>
        <w:rPr>
          <w:kern w:val="2"/>
        </w:rPr>
      </w:pPr>
    </w:p>
    <w:p w:rsidR="009A71FC" w:rsidRPr="00D83D8E" w:rsidRDefault="009A71FC" w:rsidP="00D83D8E">
      <w:pPr>
        <w:contextualSpacing/>
        <w:jc w:val="center"/>
        <w:rPr>
          <w:kern w:val="2"/>
        </w:rPr>
      </w:pPr>
    </w:p>
    <w:p w:rsidR="00BD0BCC" w:rsidRPr="00D83D8E" w:rsidRDefault="00BD0BCC" w:rsidP="00D83D8E">
      <w:pPr>
        <w:contextualSpacing/>
        <w:jc w:val="center"/>
        <w:rPr>
          <w:kern w:val="2"/>
        </w:rPr>
      </w:pPr>
    </w:p>
    <w:p w:rsidR="00A106A2" w:rsidRPr="00D83D8E" w:rsidRDefault="00A106A2"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8C1D1D" w:rsidRPr="00D83D8E" w:rsidRDefault="008C1D1D" w:rsidP="00D83D8E">
      <w:pPr>
        <w:contextualSpacing/>
        <w:jc w:val="both"/>
        <w:rPr>
          <w:rFonts w:ascii="Arial" w:hAnsi="Arial" w:cs="Arial"/>
          <w:b/>
          <w:i/>
          <w:spacing w:val="20"/>
          <w:kern w:val="2"/>
        </w:rPr>
      </w:pPr>
    </w:p>
    <w:p w:rsidR="008C1D1D" w:rsidRPr="00D83D8E" w:rsidRDefault="008C1D1D"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center"/>
        <w:rPr>
          <w:rFonts w:ascii="Arial" w:hAnsi="Arial" w:cs="Arial"/>
          <w:b/>
          <w:i/>
          <w:spacing w:val="20"/>
          <w:kern w:val="2"/>
        </w:rPr>
      </w:pPr>
      <w:r w:rsidRPr="00D83D8E">
        <w:rPr>
          <w:noProof/>
          <w:kern w:val="2"/>
          <w:lang w:val="es-MX" w:eastAsia="es-MX"/>
        </w:rPr>
        <w:lastRenderedPageBreak/>
        <w:drawing>
          <wp:inline distT="0" distB="0" distL="0" distR="0">
            <wp:extent cx="5390147" cy="649884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2076" cy="6501169"/>
                    </a:xfrm>
                    <a:prstGeom prst="rect">
                      <a:avLst/>
                    </a:prstGeom>
                    <a:noFill/>
                    <a:ln>
                      <a:noFill/>
                    </a:ln>
                  </pic:spPr>
                </pic:pic>
              </a:graphicData>
            </a:graphic>
          </wp:inline>
        </w:drawing>
      </w: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9A71FC" w:rsidRPr="00D83D8E" w:rsidRDefault="009A71FC" w:rsidP="00D83D8E">
      <w:pPr>
        <w:contextualSpacing/>
        <w:jc w:val="both"/>
        <w:rPr>
          <w:rFonts w:ascii="Arial" w:hAnsi="Arial" w:cs="Arial"/>
          <w:b/>
          <w:i/>
          <w:spacing w:val="20"/>
          <w:kern w:val="2"/>
        </w:rPr>
      </w:pPr>
    </w:p>
    <w:p w:rsidR="005C3297" w:rsidRPr="007939DB" w:rsidRDefault="007939DB" w:rsidP="00D83D8E">
      <w:pPr>
        <w:contextualSpacing/>
        <w:jc w:val="both"/>
        <w:rPr>
          <w:kern w:val="2"/>
        </w:rPr>
      </w:pPr>
      <w:r w:rsidRPr="007939DB">
        <w:rPr>
          <w:rFonts w:ascii="Arial" w:hAnsi="Arial" w:cs="Arial"/>
          <w:b/>
          <w:spacing w:val="20"/>
          <w:kern w:val="2"/>
        </w:rPr>
        <w:t>3.2.3.-</w:t>
      </w:r>
      <w:r w:rsidR="00E91C2E" w:rsidRPr="007939DB">
        <w:rPr>
          <w:rFonts w:ascii="Arial" w:hAnsi="Arial" w:cs="Arial"/>
          <w:b/>
          <w:spacing w:val="20"/>
          <w:kern w:val="2"/>
        </w:rPr>
        <w:t>FACILIDADES ADMINISTRATIVAS Y PROCESO</w:t>
      </w:r>
      <w:r w:rsidR="00AD6037">
        <w:rPr>
          <w:rFonts w:ascii="Arial" w:hAnsi="Arial" w:cs="Arial"/>
          <w:b/>
          <w:spacing w:val="20"/>
          <w:kern w:val="2"/>
        </w:rPr>
        <w:t>S</w:t>
      </w:r>
      <w:r w:rsidR="00E91C2E" w:rsidRPr="007939DB">
        <w:rPr>
          <w:rFonts w:ascii="Arial" w:hAnsi="Arial" w:cs="Arial"/>
          <w:b/>
          <w:spacing w:val="20"/>
          <w:kern w:val="2"/>
        </w:rPr>
        <w:t xml:space="preserve"> DE MODERNIZACIÓN </w:t>
      </w:r>
    </w:p>
    <w:p w:rsidR="005C3297" w:rsidRPr="00D83D8E" w:rsidRDefault="005C3297" w:rsidP="00D83D8E">
      <w:pPr>
        <w:contextualSpacing/>
        <w:jc w:val="both"/>
        <w:rPr>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Una de las prioridades para esta administración, ha sido el rediseño administrativo y tecnológico, así como la mejora continua de los servicios que permitan al contribuyente contar con más canales de atención y recepción de pagos para el cumplimiento oportuno de sus obligaciones fiscales.  </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De las acciones realizadas en el ejercicio 201</w:t>
      </w:r>
      <w:r w:rsidR="00052743" w:rsidRPr="00D83D8E">
        <w:rPr>
          <w:rFonts w:ascii="Arial" w:hAnsi="Arial" w:cs="Arial"/>
          <w:color w:val="000000"/>
          <w:kern w:val="2"/>
        </w:rPr>
        <w:t>5</w:t>
      </w:r>
      <w:r w:rsidRPr="00D83D8E">
        <w:rPr>
          <w:rFonts w:ascii="Arial" w:hAnsi="Arial" w:cs="Arial"/>
          <w:color w:val="000000"/>
          <w:kern w:val="2"/>
        </w:rPr>
        <w:t xml:space="preserve">, se obtuvieron los resultados siguientes: </w:t>
      </w:r>
    </w:p>
    <w:p w:rsidR="005C3297" w:rsidRPr="00D83D8E" w:rsidRDefault="00917D71" w:rsidP="00D83D8E">
      <w:pPr>
        <w:tabs>
          <w:tab w:val="left" w:pos="1100"/>
        </w:tabs>
        <w:contextualSpacing/>
        <w:jc w:val="both"/>
        <w:rPr>
          <w:rFonts w:ascii="Arial" w:hAnsi="Arial" w:cs="Arial"/>
          <w:color w:val="000000"/>
          <w:kern w:val="2"/>
        </w:rPr>
      </w:pPr>
      <w:r w:rsidRPr="00D83D8E">
        <w:rPr>
          <w:rFonts w:ascii="Arial" w:hAnsi="Arial" w:cs="Arial"/>
          <w:color w:val="000000"/>
          <w:kern w:val="2"/>
        </w:rPr>
        <w:tab/>
      </w:r>
    </w:p>
    <w:p w:rsidR="008F7E60" w:rsidRPr="00D83D8E" w:rsidRDefault="008F7E60" w:rsidP="00D83D8E">
      <w:pPr>
        <w:contextualSpacing/>
        <w:jc w:val="both"/>
        <w:rPr>
          <w:rFonts w:ascii="Arial" w:hAnsi="Arial" w:cs="Arial"/>
          <w:color w:val="000000"/>
          <w:kern w:val="2"/>
        </w:rPr>
      </w:pPr>
      <w:r w:rsidRPr="00D83D8E">
        <w:rPr>
          <w:rFonts w:ascii="Arial" w:hAnsi="Arial" w:cs="Arial"/>
          <w:color w:val="000000"/>
          <w:kern w:val="2"/>
        </w:rPr>
        <w:t xml:space="preserve">La bancarización </w:t>
      </w:r>
      <w:r w:rsidR="00533160" w:rsidRPr="00D83D8E">
        <w:rPr>
          <w:rFonts w:ascii="Arial" w:hAnsi="Arial" w:cs="Arial"/>
          <w:color w:val="000000"/>
          <w:kern w:val="2"/>
        </w:rPr>
        <w:t xml:space="preserve">como </w:t>
      </w:r>
      <w:r w:rsidRPr="00D83D8E">
        <w:rPr>
          <w:rFonts w:ascii="Arial" w:hAnsi="Arial" w:cs="Arial"/>
          <w:color w:val="000000"/>
          <w:kern w:val="2"/>
        </w:rPr>
        <w:t>uno de los procesos más sólidos de la política de modernización de la hacienda pública lo</w:t>
      </w:r>
      <w:r w:rsidR="00533160" w:rsidRPr="00D83D8E">
        <w:rPr>
          <w:rFonts w:ascii="Arial" w:hAnsi="Arial" w:cs="Arial"/>
          <w:color w:val="000000"/>
          <w:kern w:val="2"/>
        </w:rPr>
        <w:t>cal, en relación a la captación de ingresos a través de las instituciones bancarias representa aproximadamente el 9</w:t>
      </w:r>
      <w:r w:rsidR="00F45E77" w:rsidRPr="00D83D8E">
        <w:rPr>
          <w:rFonts w:ascii="Arial" w:hAnsi="Arial" w:cs="Arial"/>
          <w:color w:val="000000"/>
          <w:kern w:val="2"/>
        </w:rPr>
        <w:t>6</w:t>
      </w:r>
      <w:r w:rsidR="00533160" w:rsidRPr="00D83D8E">
        <w:rPr>
          <w:rFonts w:ascii="Arial" w:hAnsi="Arial" w:cs="Arial"/>
          <w:color w:val="000000"/>
          <w:kern w:val="2"/>
        </w:rPr>
        <w:t>% respecto al total de los ingresos que recauda el Gobierno del Estado.</w:t>
      </w:r>
    </w:p>
    <w:p w:rsidR="00F45E77" w:rsidRPr="00D83D8E" w:rsidRDefault="00F45E77" w:rsidP="00D83D8E">
      <w:pPr>
        <w:contextualSpacing/>
        <w:jc w:val="both"/>
        <w:rPr>
          <w:rFonts w:ascii="Arial" w:hAnsi="Arial" w:cs="Arial"/>
          <w:color w:val="000000"/>
          <w:kern w:val="2"/>
        </w:rPr>
      </w:pPr>
    </w:p>
    <w:p w:rsidR="00F45E77" w:rsidRPr="00D83D8E" w:rsidRDefault="00F45E77" w:rsidP="00D83D8E">
      <w:pPr>
        <w:contextualSpacing/>
        <w:jc w:val="center"/>
        <w:rPr>
          <w:rFonts w:ascii="Arial" w:hAnsi="Arial" w:cs="Arial"/>
          <w:color w:val="000000"/>
          <w:kern w:val="2"/>
        </w:rPr>
      </w:pPr>
      <w:r w:rsidRPr="00D83D8E">
        <w:rPr>
          <w:noProof/>
          <w:kern w:val="2"/>
          <w:lang w:val="es-MX" w:eastAsia="es-MX"/>
        </w:rPr>
        <w:drawing>
          <wp:inline distT="0" distB="0" distL="0" distR="0">
            <wp:extent cx="4658265" cy="3752897"/>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9833" cy="3754160"/>
                    </a:xfrm>
                    <a:prstGeom prst="rect">
                      <a:avLst/>
                    </a:prstGeom>
                    <a:noFill/>
                    <a:ln>
                      <a:noFill/>
                    </a:ln>
                  </pic:spPr>
                </pic:pic>
              </a:graphicData>
            </a:graphic>
          </wp:inline>
        </w:drawing>
      </w:r>
    </w:p>
    <w:p w:rsidR="008F7E60" w:rsidRPr="00D83D8E" w:rsidRDefault="008F7E60" w:rsidP="00D83D8E">
      <w:pPr>
        <w:contextualSpacing/>
        <w:jc w:val="both"/>
        <w:rPr>
          <w:rFonts w:ascii="Arial" w:hAnsi="Arial" w:cs="Arial"/>
          <w:kern w:val="2"/>
        </w:rPr>
      </w:pPr>
    </w:p>
    <w:p w:rsidR="008F7E60" w:rsidRPr="00D83D8E" w:rsidRDefault="008F7E60" w:rsidP="00D83D8E">
      <w:pPr>
        <w:contextualSpacing/>
        <w:jc w:val="center"/>
        <w:rPr>
          <w:rFonts w:ascii="Arial" w:hAnsi="Arial" w:cs="Arial"/>
          <w:kern w:val="2"/>
        </w:rPr>
      </w:pPr>
    </w:p>
    <w:p w:rsidR="00917D71" w:rsidRPr="00D83D8E" w:rsidRDefault="00917D71" w:rsidP="00D83D8E">
      <w:pPr>
        <w:contextualSpacing/>
        <w:jc w:val="both"/>
        <w:rPr>
          <w:rFonts w:ascii="Arial" w:hAnsi="Arial" w:cs="Arial"/>
          <w:color w:val="000000"/>
          <w:kern w:val="2"/>
        </w:rPr>
      </w:pPr>
      <w:r w:rsidRPr="00D83D8E">
        <w:rPr>
          <w:rFonts w:ascii="Arial" w:hAnsi="Arial" w:cs="Arial"/>
          <w:color w:val="000000"/>
          <w:kern w:val="2"/>
        </w:rPr>
        <w:lastRenderedPageBreak/>
        <w:t>El portal de internet de la Secretaría de Finanzas, ofrece el servicio de pago en línea de importantes contribuciones como la Tenencia, el Impuesto Sobre Erogaciones por Remuneraciones al Trabajo Personal, el IEPS de Gasolinas y Diesel, entre otras, es decir, el contribuyente no tiene necesidad de salir de su casa u oficina; por lo que, para el cierre del ejercicio 2015, se recibieron 7,018 pagos bajo este esquema.</w:t>
      </w:r>
    </w:p>
    <w:p w:rsidR="00917D71" w:rsidRPr="00D83D8E" w:rsidRDefault="00917D71" w:rsidP="00D83D8E">
      <w:pPr>
        <w:contextualSpacing/>
        <w:jc w:val="both"/>
        <w:rPr>
          <w:rFonts w:ascii="Arial" w:hAnsi="Arial" w:cs="Arial"/>
          <w:color w:val="000000"/>
          <w:kern w:val="2"/>
        </w:rPr>
      </w:pPr>
    </w:p>
    <w:p w:rsidR="00917D71" w:rsidRPr="00D83D8E" w:rsidRDefault="00917D71" w:rsidP="00D83D8E">
      <w:pPr>
        <w:contextualSpacing/>
        <w:rPr>
          <w:kern w:val="2"/>
          <w:lang w:val="es-MX"/>
        </w:rPr>
      </w:pPr>
    </w:p>
    <w:p w:rsidR="00917D71" w:rsidRPr="00D83D8E" w:rsidRDefault="00917D71" w:rsidP="00D83D8E">
      <w:pPr>
        <w:contextualSpacing/>
        <w:rPr>
          <w:kern w:val="2"/>
          <w:lang w:val="es-MX"/>
        </w:rPr>
      </w:pPr>
    </w:p>
    <w:p w:rsidR="00917D71" w:rsidRPr="00D83D8E" w:rsidRDefault="00917D71" w:rsidP="00D83D8E">
      <w:pPr>
        <w:contextualSpacing/>
        <w:rPr>
          <w:kern w:val="2"/>
          <w:lang w:val="es-MX"/>
        </w:rPr>
      </w:pPr>
      <w:r w:rsidRPr="00D83D8E">
        <w:rPr>
          <w:noProof/>
          <w:kern w:val="2"/>
          <w:lang w:val="es-MX" w:eastAsia="es-MX"/>
        </w:rPr>
        <w:drawing>
          <wp:inline distT="0" distB="0" distL="0" distR="0">
            <wp:extent cx="5840187" cy="3960660"/>
            <wp:effectExtent l="0" t="0" r="8255" b="190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4528" cy="3963604"/>
                    </a:xfrm>
                    <a:prstGeom prst="rect">
                      <a:avLst/>
                    </a:prstGeom>
                    <a:noFill/>
                  </pic:spPr>
                </pic:pic>
              </a:graphicData>
            </a:graphic>
          </wp:inline>
        </w:drawing>
      </w:r>
    </w:p>
    <w:p w:rsidR="00917D71" w:rsidRPr="00D83D8E" w:rsidRDefault="00917D71" w:rsidP="00D83D8E">
      <w:pPr>
        <w:contextualSpacing/>
        <w:rPr>
          <w:kern w:val="2"/>
          <w:lang w:val="es-MX"/>
        </w:rPr>
      </w:pPr>
    </w:p>
    <w:p w:rsidR="00917D71" w:rsidRPr="00D83D8E" w:rsidRDefault="00917D71" w:rsidP="00D83D8E">
      <w:pPr>
        <w:contextualSpacing/>
        <w:rPr>
          <w:kern w:val="2"/>
          <w:lang w:val="es-MX"/>
        </w:rPr>
      </w:pPr>
    </w:p>
    <w:p w:rsidR="00917D71" w:rsidRPr="00D83D8E" w:rsidRDefault="00917D71" w:rsidP="00D83D8E">
      <w:pPr>
        <w:contextualSpacing/>
        <w:rPr>
          <w:kern w:val="2"/>
          <w:lang w:val="es-MX"/>
        </w:rPr>
      </w:pPr>
    </w:p>
    <w:p w:rsidR="00917D71" w:rsidRPr="00D83D8E" w:rsidRDefault="00917D71" w:rsidP="00D83D8E">
      <w:pPr>
        <w:contextualSpacing/>
        <w:jc w:val="both"/>
        <w:rPr>
          <w:rFonts w:cs="Calibri"/>
          <w:kern w:val="2"/>
        </w:rPr>
      </w:pPr>
    </w:p>
    <w:p w:rsidR="00917D71" w:rsidRPr="00D83D8E" w:rsidRDefault="00917D71" w:rsidP="00D83D8E">
      <w:pPr>
        <w:contextualSpacing/>
        <w:jc w:val="center"/>
        <w:rPr>
          <w:rFonts w:ascii="Arial" w:hAnsi="Arial" w:cs="Arial"/>
          <w:b/>
          <w:spacing w:val="20"/>
          <w:kern w:val="2"/>
        </w:rPr>
      </w:pPr>
    </w:p>
    <w:p w:rsidR="00917D71" w:rsidRPr="00D83D8E" w:rsidRDefault="00917D71" w:rsidP="00D83D8E">
      <w:pPr>
        <w:contextualSpacing/>
        <w:jc w:val="center"/>
        <w:rPr>
          <w:rFonts w:ascii="Arial" w:hAnsi="Arial" w:cs="Arial"/>
          <w:b/>
          <w:spacing w:val="20"/>
          <w:kern w:val="2"/>
        </w:rPr>
      </w:pPr>
    </w:p>
    <w:p w:rsidR="00917D71" w:rsidRPr="00D83D8E" w:rsidRDefault="00917D71" w:rsidP="00D83D8E">
      <w:pPr>
        <w:contextualSpacing/>
        <w:jc w:val="both"/>
        <w:rPr>
          <w:rFonts w:ascii="Arial" w:hAnsi="Arial" w:cs="Arial"/>
          <w:b/>
          <w:spacing w:val="20"/>
          <w:kern w:val="2"/>
        </w:rPr>
      </w:pPr>
    </w:p>
    <w:p w:rsidR="00917D71" w:rsidRPr="00D83D8E" w:rsidRDefault="00917D71" w:rsidP="00D83D8E">
      <w:pPr>
        <w:contextualSpacing/>
        <w:rPr>
          <w:rFonts w:ascii="Arial" w:hAnsi="Arial"/>
          <w:spacing w:val="20"/>
          <w:kern w:val="2"/>
          <w:szCs w:val="20"/>
          <w:lang w:val="es-MX"/>
        </w:rPr>
      </w:pPr>
      <w:r w:rsidRPr="00D83D8E">
        <w:rPr>
          <w:kern w:val="2"/>
        </w:rPr>
        <w:br w:type="page"/>
      </w:r>
    </w:p>
    <w:p w:rsidR="00917D71" w:rsidRPr="00D83D8E" w:rsidRDefault="00917D71" w:rsidP="00D83D8E">
      <w:pPr>
        <w:contextualSpacing/>
        <w:jc w:val="both"/>
        <w:rPr>
          <w:rFonts w:ascii="Arial" w:hAnsi="Arial" w:cs="Arial"/>
          <w:color w:val="000000"/>
          <w:kern w:val="2"/>
        </w:rPr>
      </w:pPr>
      <w:r w:rsidRPr="00D83D8E">
        <w:rPr>
          <w:rFonts w:ascii="Arial" w:hAnsi="Arial" w:cs="Arial"/>
          <w:color w:val="000000"/>
          <w:kern w:val="2"/>
        </w:rPr>
        <w:lastRenderedPageBreak/>
        <w:t>Con respecto a la atención a los contribuyentes vía telefónica, se atendieron 13 mil 932 llamadas durante el periodo enero - diciembre de 2015, de las cuales el 84 por ciento corresponden a orientación fiscal sobre trámites y servicios, y el 16 por ciento restante corresponde a la generación de líneas de captura para el cumplimiento de obligaciones fiscales en instituciones bancarias.</w:t>
      </w:r>
    </w:p>
    <w:p w:rsidR="00917D71" w:rsidRPr="00D83D8E" w:rsidRDefault="00917D71" w:rsidP="00D83D8E">
      <w:pPr>
        <w:contextualSpacing/>
        <w:jc w:val="both"/>
        <w:rPr>
          <w:rFonts w:ascii="Arial" w:hAnsi="Arial" w:cs="Arial"/>
          <w:color w:val="000000"/>
          <w:kern w:val="2"/>
        </w:rPr>
      </w:pPr>
    </w:p>
    <w:p w:rsidR="00917D71" w:rsidRPr="00D83D8E" w:rsidRDefault="00917D71" w:rsidP="00D83D8E">
      <w:pPr>
        <w:contextualSpacing/>
        <w:jc w:val="both"/>
        <w:rPr>
          <w:rFonts w:ascii="Arial" w:hAnsi="Arial" w:cs="Arial"/>
          <w:color w:val="000000"/>
          <w:kern w:val="2"/>
        </w:rPr>
      </w:pPr>
      <w:r w:rsidRPr="00D83D8E">
        <w:rPr>
          <w:rFonts w:ascii="Arial" w:hAnsi="Arial" w:cs="Arial"/>
          <w:color w:val="000000"/>
          <w:kern w:val="2"/>
        </w:rPr>
        <w:t>El pago con PINPAD (terminal bancaria), es reflejado al instante, agilizando así el trámite de los contribuyentes, esta herramienta tecnológica se ha  instalado en diferentes Dependencias y Entidades de la Administración Pública, por lo que a través de este medio se recibió durante el periodo enero-diciembre del ejercicio 2015 un ingreso de 4 millones 162 mil 654 pesos, que corresponden a 12,021 movimientos.</w:t>
      </w:r>
    </w:p>
    <w:p w:rsidR="005C3297" w:rsidRPr="00D83D8E" w:rsidRDefault="00917D71" w:rsidP="00D83D8E">
      <w:pPr>
        <w:contextualSpacing/>
        <w:jc w:val="both"/>
        <w:rPr>
          <w:rFonts w:ascii="Arial" w:hAnsi="Arial" w:cs="Arial"/>
          <w:spacing w:val="20"/>
          <w:kern w:val="2"/>
        </w:rPr>
      </w:pPr>
      <w:r w:rsidRPr="00D83D8E">
        <w:rPr>
          <w:rFonts w:ascii="Arial" w:hAnsi="Arial" w:cs="Arial"/>
          <w:color w:val="000000"/>
          <w:kern w:val="2"/>
        </w:rPr>
        <w:t xml:space="preserve"> </w:t>
      </w:r>
      <w:r w:rsidRPr="00D83D8E">
        <w:rPr>
          <w:rFonts w:ascii="Arial" w:hAnsi="Arial" w:cs="Arial"/>
          <w:color w:val="000000"/>
          <w:kern w:val="2"/>
        </w:rPr>
        <w:tab/>
      </w:r>
    </w:p>
    <w:p w:rsidR="007C4A3F" w:rsidRPr="00D83D8E" w:rsidRDefault="007C4A3F" w:rsidP="00D83D8E">
      <w:pPr>
        <w:contextualSpacing/>
        <w:jc w:val="both"/>
        <w:rPr>
          <w:rFonts w:ascii="Arial" w:hAnsi="Arial" w:cs="Arial"/>
          <w:color w:val="000000"/>
          <w:kern w:val="2"/>
        </w:rPr>
      </w:pPr>
      <w:r w:rsidRPr="00D83D8E">
        <w:rPr>
          <w:rFonts w:ascii="Arial" w:hAnsi="Arial" w:cs="Arial"/>
          <w:color w:val="000000"/>
          <w:kern w:val="2"/>
        </w:rPr>
        <w:t xml:space="preserve">En el ejercicio </w:t>
      </w:r>
      <w:r w:rsidR="00005292" w:rsidRPr="00D83D8E">
        <w:rPr>
          <w:rFonts w:ascii="Arial" w:hAnsi="Arial" w:cs="Arial"/>
          <w:color w:val="000000"/>
          <w:kern w:val="2"/>
        </w:rPr>
        <w:t>2015, se dio atención en las Delegaciones Fiscales  a los contribuyentes del Régimen de Incorporación Fiscal, en cumplimiento a lo establecido en el anexo 19, qu</w:t>
      </w:r>
      <w:r w:rsidR="006A0E8F" w:rsidRPr="00D83D8E">
        <w:rPr>
          <w:rFonts w:ascii="Arial" w:hAnsi="Arial" w:cs="Arial"/>
          <w:color w:val="000000"/>
          <w:kern w:val="2"/>
        </w:rPr>
        <w:t xml:space="preserve">e el Gobierno Estatal </w:t>
      </w:r>
      <w:r w:rsidR="00005292" w:rsidRPr="00D83D8E">
        <w:rPr>
          <w:rFonts w:ascii="Arial" w:hAnsi="Arial" w:cs="Arial"/>
          <w:color w:val="000000"/>
          <w:kern w:val="2"/>
        </w:rPr>
        <w:t>firmo con la Secretaría de Hacienda en el ejercicio 2014.</w:t>
      </w:r>
    </w:p>
    <w:p w:rsidR="007C4A3F" w:rsidRPr="00D83D8E" w:rsidRDefault="007C4A3F" w:rsidP="00D83D8E">
      <w:pPr>
        <w:contextualSpacing/>
        <w:jc w:val="both"/>
        <w:rPr>
          <w:rFonts w:ascii="Arial" w:hAnsi="Arial" w:cs="Arial"/>
          <w:color w:val="000000"/>
          <w:kern w:val="2"/>
        </w:rPr>
      </w:pPr>
    </w:p>
    <w:p w:rsidR="004A2F4D" w:rsidRPr="00D83D8E" w:rsidRDefault="007C4A3F" w:rsidP="00D83D8E">
      <w:pPr>
        <w:contextualSpacing/>
        <w:jc w:val="both"/>
        <w:rPr>
          <w:rFonts w:ascii="Arial" w:hAnsi="Arial" w:cs="Arial"/>
          <w:color w:val="000000"/>
          <w:kern w:val="2"/>
        </w:rPr>
      </w:pPr>
      <w:r w:rsidRPr="00D83D8E">
        <w:rPr>
          <w:rFonts w:ascii="Arial" w:hAnsi="Arial" w:cs="Arial"/>
          <w:color w:val="000000"/>
          <w:kern w:val="2"/>
        </w:rPr>
        <w:t xml:space="preserve">El servicio proporcionado a contribuyentes del RIF consiste en la inscripción ante el Registro Federal de Contribuyentes, la asignación de contraseñas, asesoría en la presentación de avisos, declaraciones, entre otros; emulando de ésta manera el mismo servicio que prestaba el Servicio de Administración Tributaria, lo que alcanzó mayor cobertura de contribuyentes clasificados en este Régimen. Adicionalmente se  realizaron reuniones y talleres en diferentes  lugares del estado con la finalidad de capacitar y fomentar el cumplimiento voluntario a los contribuyentes de este régimen. </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En materia de control de obligaciones fiscales, las estrategias establecidas para el presente ejercicio fiscal han sido derivadas de la firma de programas a través del Convenio de Colaboración Administrativa en Materia Fiscal Federal, para la emisión de requerimientos y de Cartas Invitación para contribuyentes omisos en sus Impuestos lo cual posteriormente nos permitirá continuar con la emisión de requerimientos.</w:t>
      </w:r>
    </w:p>
    <w:p w:rsidR="005C3297" w:rsidRPr="00D83D8E" w:rsidRDefault="005C3297" w:rsidP="00D83D8E">
      <w:pPr>
        <w:contextualSpacing/>
        <w:jc w:val="both"/>
        <w:rPr>
          <w:rFonts w:ascii="Arial" w:hAnsi="Arial" w:cs="Arial"/>
          <w:color w:val="000000"/>
          <w:kern w:val="2"/>
        </w:rPr>
      </w:pPr>
    </w:p>
    <w:p w:rsidR="00783485" w:rsidRDefault="00783485">
      <w:pPr>
        <w:rPr>
          <w:rFonts w:ascii="Arial" w:hAnsi="Arial" w:cs="Arial"/>
          <w:color w:val="000000"/>
          <w:kern w:val="2"/>
        </w:rPr>
      </w:pPr>
      <w:r>
        <w:rPr>
          <w:rFonts w:ascii="Arial" w:hAnsi="Arial" w:cs="Arial"/>
          <w:color w:val="000000"/>
          <w:kern w:val="2"/>
        </w:rPr>
        <w:br w:type="page"/>
      </w:r>
    </w:p>
    <w:p w:rsidR="004559F0"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lastRenderedPageBreak/>
        <w:t xml:space="preserve">Conforme al plan de trabajo de vigilancia de obligaciones, se emitieron </w:t>
      </w:r>
      <w:r w:rsidR="003A3241" w:rsidRPr="00D83D8E">
        <w:rPr>
          <w:rFonts w:ascii="Arial" w:hAnsi="Arial" w:cs="Arial"/>
          <w:color w:val="000000"/>
          <w:kern w:val="2"/>
        </w:rPr>
        <w:t>45,110</w:t>
      </w:r>
      <w:r w:rsidRPr="00D83D8E">
        <w:rPr>
          <w:rFonts w:ascii="Arial" w:hAnsi="Arial" w:cs="Arial"/>
          <w:color w:val="000000"/>
          <w:kern w:val="2"/>
        </w:rPr>
        <w:t xml:space="preserve"> requerimientos y </w:t>
      </w:r>
      <w:r w:rsidR="003A3241" w:rsidRPr="00D83D8E">
        <w:rPr>
          <w:rFonts w:ascii="Arial" w:hAnsi="Arial" w:cs="Arial"/>
          <w:color w:val="000000"/>
          <w:kern w:val="2"/>
        </w:rPr>
        <w:t>1,907</w:t>
      </w:r>
      <w:r w:rsidRPr="00D83D8E">
        <w:rPr>
          <w:rFonts w:ascii="Arial" w:hAnsi="Arial" w:cs="Arial"/>
          <w:color w:val="000000"/>
          <w:kern w:val="2"/>
        </w:rPr>
        <w:t xml:space="preserve"> cartas invitación, dirigidas a contribuyentes omisos. </w:t>
      </w:r>
    </w:p>
    <w:p w:rsidR="004559F0" w:rsidRPr="00D83D8E" w:rsidRDefault="004559F0" w:rsidP="00D83D8E">
      <w:pPr>
        <w:contextualSpacing/>
        <w:jc w:val="both"/>
        <w:rPr>
          <w:rFonts w:ascii="Arial" w:hAnsi="Arial" w:cs="Arial"/>
          <w:color w:val="000000"/>
          <w:kern w:val="2"/>
        </w:rPr>
      </w:pPr>
    </w:p>
    <w:p w:rsidR="00C22FAC"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Específicamente en materia del Impuesto sobre Tenencia o Uso de Vehículos </w:t>
      </w:r>
      <w:r w:rsidR="00976097" w:rsidRPr="00D83D8E">
        <w:rPr>
          <w:rFonts w:ascii="Arial" w:hAnsi="Arial" w:cs="Arial"/>
          <w:color w:val="000000"/>
          <w:kern w:val="2"/>
        </w:rPr>
        <w:t>se enviaron</w:t>
      </w:r>
      <w:r w:rsidR="003A3241" w:rsidRPr="00D83D8E">
        <w:rPr>
          <w:rFonts w:ascii="Arial" w:hAnsi="Arial" w:cs="Arial"/>
          <w:color w:val="000000"/>
          <w:kern w:val="2"/>
        </w:rPr>
        <w:t xml:space="preserve"> en total</w:t>
      </w:r>
      <w:r w:rsidR="00976097" w:rsidRPr="00D83D8E">
        <w:rPr>
          <w:rFonts w:ascii="Arial" w:hAnsi="Arial" w:cs="Arial"/>
          <w:color w:val="000000"/>
          <w:kern w:val="2"/>
        </w:rPr>
        <w:t xml:space="preserve"> </w:t>
      </w:r>
      <w:r w:rsidR="003A3241" w:rsidRPr="00D83D8E">
        <w:rPr>
          <w:rFonts w:ascii="Arial" w:hAnsi="Arial" w:cs="Arial"/>
          <w:color w:val="000000"/>
          <w:kern w:val="2"/>
        </w:rPr>
        <w:t>100,816</w:t>
      </w:r>
      <w:r w:rsidR="00976097" w:rsidRPr="00D83D8E">
        <w:rPr>
          <w:rFonts w:ascii="Arial" w:hAnsi="Arial" w:cs="Arial"/>
          <w:color w:val="000000"/>
          <w:kern w:val="2"/>
        </w:rPr>
        <w:t xml:space="preserve"> formularios de pago para el Impuesto Sobre Tenencia o Uso de </w:t>
      </w:r>
      <w:r w:rsidR="00FC7E78" w:rsidRPr="00D83D8E">
        <w:rPr>
          <w:rFonts w:ascii="Arial" w:hAnsi="Arial" w:cs="Arial"/>
          <w:color w:val="000000"/>
          <w:kern w:val="2"/>
        </w:rPr>
        <w:t>Vehículos</w:t>
      </w:r>
      <w:r w:rsidR="00976097" w:rsidRPr="00D83D8E">
        <w:rPr>
          <w:rFonts w:ascii="Arial" w:hAnsi="Arial" w:cs="Arial"/>
          <w:color w:val="000000"/>
          <w:kern w:val="2"/>
        </w:rPr>
        <w:t>, a</w:t>
      </w:r>
      <w:r w:rsidR="00FC7E78" w:rsidRPr="00D83D8E">
        <w:rPr>
          <w:rFonts w:ascii="Arial" w:hAnsi="Arial" w:cs="Arial"/>
          <w:color w:val="000000"/>
          <w:kern w:val="2"/>
        </w:rPr>
        <w:t>l domicilio de</w:t>
      </w:r>
      <w:r w:rsidR="00976097" w:rsidRPr="00D83D8E">
        <w:rPr>
          <w:rFonts w:ascii="Arial" w:hAnsi="Arial" w:cs="Arial"/>
          <w:color w:val="000000"/>
          <w:kern w:val="2"/>
        </w:rPr>
        <w:t xml:space="preserve"> </w:t>
      </w:r>
      <w:r w:rsidR="003A3241" w:rsidRPr="00D83D8E">
        <w:rPr>
          <w:rFonts w:ascii="Arial" w:hAnsi="Arial" w:cs="Arial"/>
          <w:color w:val="000000"/>
          <w:kern w:val="2"/>
        </w:rPr>
        <w:t xml:space="preserve">los </w:t>
      </w:r>
      <w:r w:rsidR="00976097" w:rsidRPr="00D83D8E">
        <w:rPr>
          <w:rFonts w:ascii="Arial" w:hAnsi="Arial" w:cs="Arial"/>
          <w:color w:val="000000"/>
          <w:kern w:val="2"/>
        </w:rPr>
        <w:t>contribuyentes</w:t>
      </w:r>
      <w:r w:rsidR="003A3241" w:rsidRPr="00D83D8E">
        <w:rPr>
          <w:rFonts w:ascii="Arial" w:hAnsi="Arial" w:cs="Arial"/>
          <w:color w:val="000000"/>
          <w:kern w:val="2"/>
        </w:rPr>
        <w:t xml:space="preserve">, de los cuales 76,147  fueron para contribuyentes </w:t>
      </w:r>
      <w:r w:rsidR="00976097" w:rsidRPr="00D83D8E">
        <w:rPr>
          <w:rFonts w:ascii="Arial" w:hAnsi="Arial" w:cs="Arial"/>
          <w:color w:val="000000"/>
          <w:kern w:val="2"/>
        </w:rPr>
        <w:t>cumplidos</w:t>
      </w:r>
      <w:r w:rsidR="003A3241" w:rsidRPr="00D83D8E">
        <w:rPr>
          <w:rFonts w:ascii="Arial" w:hAnsi="Arial" w:cs="Arial"/>
          <w:color w:val="000000"/>
          <w:kern w:val="2"/>
        </w:rPr>
        <w:t xml:space="preserve"> y 24,669 para contribuyentes con adeudos</w:t>
      </w:r>
      <w:r w:rsidR="00976097" w:rsidRPr="00D83D8E">
        <w:rPr>
          <w:rFonts w:ascii="Arial" w:hAnsi="Arial" w:cs="Arial"/>
          <w:color w:val="000000"/>
          <w:kern w:val="2"/>
        </w:rPr>
        <w:t>, de manera que c</w:t>
      </w:r>
      <w:r w:rsidR="00FC7E78" w:rsidRPr="00D83D8E">
        <w:rPr>
          <w:rFonts w:ascii="Arial" w:hAnsi="Arial" w:cs="Arial"/>
          <w:color w:val="000000"/>
          <w:kern w:val="2"/>
        </w:rPr>
        <w:t xml:space="preserve">ontaran con su documento para realizar </w:t>
      </w:r>
      <w:r w:rsidR="003A3241" w:rsidRPr="00D83D8E">
        <w:rPr>
          <w:rFonts w:ascii="Arial" w:hAnsi="Arial" w:cs="Arial"/>
          <w:color w:val="000000"/>
          <w:kern w:val="2"/>
        </w:rPr>
        <w:t>el</w:t>
      </w:r>
      <w:r w:rsidR="00FC7E78" w:rsidRPr="00D83D8E">
        <w:rPr>
          <w:rFonts w:ascii="Arial" w:hAnsi="Arial" w:cs="Arial"/>
          <w:color w:val="000000"/>
          <w:kern w:val="2"/>
        </w:rPr>
        <w:t xml:space="preserve"> pago</w:t>
      </w:r>
      <w:r w:rsidR="00E50FB5" w:rsidRPr="00D83D8E">
        <w:rPr>
          <w:rFonts w:ascii="Arial" w:hAnsi="Arial" w:cs="Arial"/>
          <w:color w:val="000000"/>
          <w:kern w:val="2"/>
        </w:rPr>
        <w:t xml:space="preserve">; así mismo </w:t>
      </w:r>
      <w:r w:rsidR="004559F0" w:rsidRPr="00D83D8E">
        <w:rPr>
          <w:rFonts w:ascii="Arial" w:hAnsi="Arial" w:cs="Arial"/>
          <w:color w:val="000000"/>
          <w:kern w:val="2"/>
        </w:rPr>
        <w:t xml:space="preserve">se emitieron </w:t>
      </w:r>
      <w:r w:rsidR="003A3241" w:rsidRPr="00D83D8E">
        <w:rPr>
          <w:rFonts w:ascii="Arial" w:hAnsi="Arial" w:cs="Arial"/>
          <w:color w:val="000000"/>
          <w:kern w:val="2"/>
        </w:rPr>
        <w:t>22,486</w:t>
      </w:r>
      <w:r w:rsidR="004559F0" w:rsidRPr="00D83D8E">
        <w:rPr>
          <w:rFonts w:ascii="Arial" w:hAnsi="Arial" w:cs="Arial"/>
          <w:color w:val="000000"/>
          <w:kern w:val="2"/>
        </w:rPr>
        <w:t xml:space="preserve"> </w:t>
      </w:r>
      <w:r w:rsidR="00E50FB5" w:rsidRPr="00D83D8E">
        <w:rPr>
          <w:rFonts w:ascii="Arial" w:hAnsi="Arial" w:cs="Arial"/>
          <w:color w:val="000000"/>
          <w:kern w:val="2"/>
        </w:rPr>
        <w:t>requerimientos</w:t>
      </w:r>
      <w:r w:rsidR="004559F0" w:rsidRPr="00D83D8E">
        <w:rPr>
          <w:rFonts w:ascii="Arial" w:hAnsi="Arial" w:cs="Arial"/>
          <w:color w:val="000000"/>
          <w:kern w:val="2"/>
        </w:rPr>
        <w:t xml:space="preserve"> a contribuyentes que no han efectuado el pago de su Tenencia</w:t>
      </w:r>
      <w:r w:rsidR="00E50FB5" w:rsidRPr="00D83D8E">
        <w:rPr>
          <w:rFonts w:ascii="Arial" w:hAnsi="Arial" w:cs="Arial"/>
          <w:color w:val="000000"/>
          <w:kern w:val="2"/>
        </w:rPr>
        <w:t>.</w:t>
      </w:r>
    </w:p>
    <w:p w:rsidR="00AA4883" w:rsidRPr="00D83D8E" w:rsidRDefault="00AA4883" w:rsidP="00D83D8E">
      <w:pPr>
        <w:contextualSpacing/>
        <w:jc w:val="both"/>
        <w:rPr>
          <w:rFonts w:ascii="Arial" w:hAnsi="Arial" w:cs="Arial"/>
          <w:color w:val="000000"/>
          <w:kern w:val="2"/>
        </w:rPr>
      </w:pPr>
    </w:p>
    <w:p w:rsidR="00A824D1"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En </w:t>
      </w:r>
      <w:r w:rsidR="00A824D1" w:rsidRPr="00D83D8E">
        <w:rPr>
          <w:rFonts w:ascii="Arial" w:hAnsi="Arial" w:cs="Arial"/>
          <w:color w:val="000000"/>
          <w:kern w:val="2"/>
        </w:rPr>
        <w:t>relación al Impuesto</w:t>
      </w:r>
      <w:r w:rsidRPr="00D83D8E">
        <w:rPr>
          <w:rFonts w:ascii="Arial" w:hAnsi="Arial" w:cs="Arial"/>
          <w:color w:val="000000"/>
          <w:kern w:val="2"/>
        </w:rPr>
        <w:t xml:space="preserve"> sobre Erogaciones por Remuneraciones al Trabajo Personal  se </w:t>
      </w:r>
      <w:r w:rsidR="00A824D1" w:rsidRPr="00D83D8E">
        <w:rPr>
          <w:rFonts w:ascii="Arial" w:hAnsi="Arial" w:cs="Arial"/>
          <w:color w:val="000000"/>
          <w:kern w:val="2"/>
        </w:rPr>
        <w:t xml:space="preserve">enviaron </w:t>
      </w:r>
      <w:r w:rsidR="003A3241" w:rsidRPr="00D83D8E">
        <w:rPr>
          <w:rFonts w:ascii="Arial" w:hAnsi="Arial" w:cs="Arial"/>
          <w:color w:val="000000"/>
          <w:kern w:val="2"/>
        </w:rPr>
        <w:t>6,478</w:t>
      </w:r>
      <w:r w:rsidR="00A824D1" w:rsidRPr="00D83D8E">
        <w:rPr>
          <w:rFonts w:ascii="Arial" w:hAnsi="Arial" w:cs="Arial"/>
          <w:color w:val="000000"/>
          <w:kern w:val="2"/>
        </w:rPr>
        <w:t xml:space="preserve"> requerimientos y 1,</w:t>
      </w:r>
      <w:r w:rsidR="003A3241" w:rsidRPr="00D83D8E">
        <w:rPr>
          <w:rFonts w:ascii="Arial" w:hAnsi="Arial" w:cs="Arial"/>
          <w:color w:val="000000"/>
          <w:kern w:val="2"/>
        </w:rPr>
        <w:t>907</w:t>
      </w:r>
      <w:r w:rsidR="00A824D1" w:rsidRPr="00D83D8E">
        <w:rPr>
          <w:rFonts w:ascii="Arial" w:hAnsi="Arial" w:cs="Arial"/>
          <w:color w:val="000000"/>
          <w:kern w:val="2"/>
        </w:rPr>
        <w:t xml:space="preserve"> cartas invitación para el pago de este </w:t>
      </w:r>
      <w:r w:rsidR="000C0F5D" w:rsidRPr="00D83D8E">
        <w:rPr>
          <w:rFonts w:ascii="Arial" w:hAnsi="Arial" w:cs="Arial"/>
          <w:color w:val="000000"/>
          <w:kern w:val="2"/>
        </w:rPr>
        <w:t>i</w:t>
      </w:r>
      <w:r w:rsidR="00A824D1" w:rsidRPr="00D83D8E">
        <w:rPr>
          <w:rFonts w:ascii="Arial" w:hAnsi="Arial" w:cs="Arial"/>
          <w:color w:val="000000"/>
          <w:kern w:val="2"/>
        </w:rPr>
        <w:t xml:space="preserve">mpuesto. </w:t>
      </w:r>
    </w:p>
    <w:p w:rsidR="000001E0" w:rsidRPr="00D83D8E" w:rsidRDefault="000001E0" w:rsidP="00D83D8E">
      <w:pPr>
        <w:contextualSpacing/>
        <w:jc w:val="both"/>
        <w:rPr>
          <w:rFonts w:ascii="Arial" w:hAnsi="Arial" w:cs="Arial"/>
          <w:color w:val="000000"/>
          <w:kern w:val="2"/>
        </w:rPr>
      </w:pPr>
    </w:p>
    <w:p w:rsidR="000001E0" w:rsidRPr="00D83D8E" w:rsidRDefault="000001E0" w:rsidP="00D83D8E">
      <w:pPr>
        <w:contextualSpacing/>
        <w:jc w:val="both"/>
        <w:rPr>
          <w:rFonts w:ascii="Arial" w:hAnsi="Arial" w:cs="Arial"/>
          <w:color w:val="000000"/>
          <w:kern w:val="2"/>
        </w:rPr>
      </w:pPr>
      <w:r w:rsidRPr="00D83D8E">
        <w:rPr>
          <w:rFonts w:ascii="Arial" w:hAnsi="Arial" w:cs="Arial"/>
          <w:color w:val="000000"/>
          <w:kern w:val="2"/>
        </w:rPr>
        <w:t>Respecto al Impuesto Cedular a los Ingresos por el Otorgamiento del Uso o Goce Temporal de Bienes Inmuebles en materia de vigilancia se emitieron 4,865 requerimientos y del Impuesto sobre la Prestación de Servicios de Hospedaje se emitieron 969 requerimientos.</w:t>
      </w:r>
    </w:p>
    <w:p w:rsidR="003A3241" w:rsidRPr="00D83D8E" w:rsidRDefault="003A3241"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En materia de Impuesto</w:t>
      </w:r>
      <w:r w:rsidR="000C0F5D" w:rsidRPr="00D83D8E">
        <w:rPr>
          <w:rFonts w:ascii="Arial" w:hAnsi="Arial" w:cs="Arial"/>
          <w:color w:val="000000"/>
          <w:kern w:val="2"/>
        </w:rPr>
        <w:t>s</w:t>
      </w:r>
      <w:r w:rsidRPr="00D83D8E">
        <w:rPr>
          <w:rFonts w:ascii="Arial" w:hAnsi="Arial" w:cs="Arial"/>
          <w:color w:val="000000"/>
          <w:kern w:val="2"/>
        </w:rPr>
        <w:t xml:space="preserve"> Federales</w:t>
      </w:r>
      <w:r w:rsidR="003A3241" w:rsidRPr="00D83D8E">
        <w:rPr>
          <w:rFonts w:ascii="Arial" w:hAnsi="Arial" w:cs="Arial"/>
          <w:color w:val="000000"/>
          <w:kern w:val="2"/>
        </w:rPr>
        <w:t xml:space="preserve"> como son:</w:t>
      </w:r>
      <w:r w:rsidR="004559F0" w:rsidRPr="00D83D8E">
        <w:rPr>
          <w:rFonts w:ascii="Arial" w:hAnsi="Arial" w:cs="Arial"/>
          <w:color w:val="000000"/>
          <w:kern w:val="2"/>
        </w:rPr>
        <w:t xml:space="preserve"> Programa de vigilancia Plus 2015,</w:t>
      </w:r>
      <w:r w:rsidRPr="00D83D8E">
        <w:rPr>
          <w:rFonts w:ascii="Arial" w:hAnsi="Arial" w:cs="Arial"/>
          <w:color w:val="000000"/>
          <w:kern w:val="2"/>
        </w:rPr>
        <w:t xml:space="preserve"> </w:t>
      </w:r>
      <w:r w:rsidR="003A3241" w:rsidRPr="00D83D8E">
        <w:rPr>
          <w:rFonts w:ascii="Arial" w:hAnsi="Arial" w:cs="Arial"/>
          <w:color w:val="000000"/>
          <w:kern w:val="2"/>
        </w:rPr>
        <w:t>Grupos de Interés y Régimen de Incorporación Fiscal</w:t>
      </w:r>
      <w:r w:rsidRPr="00D83D8E">
        <w:rPr>
          <w:rFonts w:ascii="Arial" w:hAnsi="Arial" w:cs="Arial"/>
          <w:color w:val="000000"/>
          <w:kern w:val="2"/>
        </w:rPr>
        <w:t xml:space="preserve"> se emitieron </w:t>
      </w:r>
      <w:r w:rsidR="003A3241" w:rsidRPr="00D83D8E">
        <w:rPr>
          <w:rFonts w:ascii="Arial" w:hAnsi="Arial" w:cs="Arial"/>
          <w:color w:val="000000"/>
          <w:kern w:val="2"/>
        </w:rPr>
        <w:t xml:space="preserve">10,312 </w:t>
      </w:r>
      <w:r w:rsidRPr="00D83D8E">
        <w:rPr>
          <w:rFonts w:ascii="Arial" w:hAnsi="Arial" w:cs="Arial"/>
          <w:color w:val="000000"/>
          <w:kern w:val="2"/>
        </w:rPr>
        <w:t>requerimientos.</w:t>
      </w:r>
    </w:p>
    <w:p w:rsidR="00AA4883" w:rsidRPr="00D83D8E" w:rsidRDefault="00AA4883" w:rsidP="00D83D8E">
      <w:pPr>
        <w:contextualSpacing/>
        <w:jc w:val="both"/>
        <w:rPr>
          <w:rFonts w:ascii="Arial" w:hAnsi="Arial" w:cs="Arial"/>
          <w:color w:val="000000"/>
          <w:kern w:val="2"/>
        </w:rPr>
      </w:pPr>
    </w:p>
    <w:p w:rsidR="00AA4883" w:rsidRPr="00D83D8E" w:rsidRDefault="00AA4883" w:rsidP="00D83D8E">
      <w:pPr>
        <w:contextualSpacing/>
        <w:jc w:val="both"/>
        <w:rPr>
          <w:rFonts w:ascii="Arial" w:hAnsi="Arial" w:cs="Arial"/>
          <w:color w:val="000000"/>
          <w:kern w:val="2"/>
        </w:rPr>
      </w:pPr>
    </w:p>
    <w:p w:rsidR="00AA4883" w:rsidRPr="00D83D8E" w:rsidRDefault="00AA4883" w:rsidP="00D83D8E">
      <w:pPr>
        <w:contextualSpacing/>
        <w:jc w:val="both"/>
        <w:rPr>
          <w:rFonts w:ascii="Arial" w:hAnsi="Arial" w:cs="Arial"/>
          <w:color w:val="000000"/>
          <w:kern w:val="2"/>
        </w:rPr>
      </w:pPr>
    </w:p>
    <w:p w:rsidR="00AA4883" w:rsidRPr="00D83D8E" w:rsidRDefault="00AA4883" w:rsidP="00D83D8E">
      <w:pPr>
        <w:contextualSpacing/>
        <w:jc w:val="both"/>
        <w:rPr>
          <w:rFonts w:ascii="Arial" w:hAnsi="Arial" w:cs="Arial"/>
          <w:color w:val="000000"/>
          <w:kern w:val="2"/>
        </w:rPr>
      </w:pPr>
    </w:p>
    <w:p w:rsidR="00AA4883" w:rsidRPr="00D83D8E" w:rsidRDefault="00AA4883" w:rsidP="00D83D8E">
      <w:pPr>
        <w:contextualSpacing/>
        <w:jc w:val="both"/>
        <w:rPr>
          <w:rFonts w:ascii="Arial" w:hAnsi="Arial" w:cs="Arial"/>
          <w:color w:val="000000"/>
          <w:kern w:val="2"/>
        </w:rPr>
      </w:pPr>
    </w:p>
    <w:p w:rsidR="00AA4883" w:rsidRPr="00D83D8E" w:rsidRDefault="00AA4883"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785848" w:rsidRPr="00D83D8E" w:rsidRDefault="00785848" w:rsidP="00D83D8E">
      <w:pPr>
        <w:contextualSpacing/>
        <w:jc w:val="both"/>
        <w:rPr>
          <w:rFonts w:ascii="Arial" w:hAnsi="Arial" w:cs="Arial"/>
          <w:color w:val="000000"/>
          <w:kern w:val="2"/>
        </w:rPr>
      </w:pPr>
    </w:p>
    <w:p w:rsidR="005C3297" w:rsidRPr="00D83D8E" w:rsidRDefault="005C3297" w:rsidP="00D83D8E">
      <w:pPr>
        <w:pStyle w:val="Default"/>
        <w:contextualSpacing/>
        <w:jc w:val="both"/>
        <w:rPr>
          <w:color w:val="auto"/>
          <w:kern w:val="2"/>
          <w:lang w:val="es-MX"/>
        </w:rPr>
      </w:pPr>
    </w:p>
    <w:p w:rsidR="007939DB" w:rsidRDefault="007939DB">
      <w:pPr>
        <w:rPr>
          <w:rFonts w:ascii="Arial" w:hAnsi="Arial"/>
          <w:b/>
          <w:bCs/>
          <w:spacing w:val="20"/>
          <w:kern w:val="2"/>
          <w:lang w:val="es-MX"/>
        </w:rPr>
      </w:pPr>
      <w:r>
        <w:rPr>
          <w:b/>
          <w:bCs/>
          <w:kern w:val="2"/>
        </w:rPr>
        <w:br w:type="page"/>
      </w:r>
    </w:p>
    <w:p w:rsidR="005C3297" w:rsidRPr="00D83D8E" w:rsidRDefault="005C3297" w:rsidP="00D83D8E">
      <w:pPr>
        <w:pStyle w:val="Textoindependiente"/>
        <w:spacing w:line="240" w:lineRule="auto"/>
        <w:contextualSpacing/>
        <w:rPr>
          <w:b/>
          <w:bCs/>
          <w:kern w:val="2"/>
          <w:szCs w:val="24"/>
        </w:rPr>
      </w:pPr>
      <w:r w:rsidRPr="00D83D8E">
        <w:rPr>
          <w:b/>
          <w:bCs/>
          <w:kern w:val="2"/>
          <w:szCs w:val="24"/>
        </w:rPr>
        <w:lastRenderedPageBreak/>
        <w:t>3.2.</w:t>
      </w:r>
      <w:r w:rsidR="007939DB">
        <w:rPr>
          <w:b/>
          <w:bCs/>
          <w:kern w:val="2"/>
          <w:szCs w:val="24"/>
        </w:rPr>
        <w:t>4</w:t>
      </w:r>
      <w:r w:rsidRPr="00D83D8E">
        <w:rPr>
          <w:b/>
          <w:bCs/>
          <w:kern w:val="2"/>
          <w:szCs w:val="24"/>
        </w:rPr>
        <w:t>.- INGRESOS PRESUPUESTARIOS</w:t>
      </w:r>
    </w:p>
    <w:p w:rsidR="005C3297" w:rsidRPr="00D83D8E" w:rsidRDefault="005C3297" w:rsidP="00D83D8E">
      <w:pPr>
        <w:pStyle w:val="Textoindependiente"/>
        <w:spacing w:line="240" w:lineRule="auto"/>
        <w:contextualSpacing/>
        <w:rPr>
          <w:b/>
          <w:bCs/>
          <w:kern w:val="2"/>
          <w:szCs w:val="24"/>
        </w:rPr>
      </w:pPr>
      <w:r w:rsidRPr="00D83D8E">
        <w:rPr>
          <w:b/>
          <w:bCs/>
          <w:kern w:val="2"/>
          <w:szCs w:val="24"/>
        </w:rPr>
        <w:t>(INFORMACIÓN PRESUPUESTARIA).</w:t>
      </w:r>
    </w:p>
    <w:p w:rsidR="005C3297" w:rsidRPr="00D83D8E" w:rsidRDefault="005C3297" w:rsidP="00D83D8E">
      <w:pPr>
        <w:pStyle w:val="Textoindependiente"/>
        <w:spacing w:line="240" w:lineRule="auto"/>
        <w:contextualSpacing/>
        <w:rPr>
          <w:b/>
          <w:bCs/>
          <w:kern w:val="2"/>
          <w:szCs w:val="24"/>
        </w:rPr>
      </w:pP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Durante el ejercicio fiscal 201</w:t>
      </w:r>
      <w:r w:rsidR="00783485">
        <w:rPr>
          <w:rFonts w:ascii="Arial" w:hAnsi="Arial" w:cs="Arial"/>
          <w:color w:val="000000"/>
          <w:kern w:val="2"/>
        </w:rPr>
        <w:t>5</w:t>
      </w:r>
      <w:r w:rsidRPr="00D83D8E">
        <w:rPr>
          <w:rFonts w:ascii="Arial" w:hAnsi="Arial" w:cs="Arial"/>
          <w:color w:val="000000"/>
          <w:kern w:val="2"/>
        </w:rPr>
        <w:t xml:space="preserve">, la Hacienda Pública del Estado obtuvo ingresos del orden de </w:t>
      </w:r>
      <w:r w:rsidR="008B7676" w:rsidRPr="00D83D8E">
        <w:rPr>
          <w:rFonts w:ascii="Arial" w:hAnsi="Arial" w:cs="Arial"/>
          <w:color w:val="000000"/>
          <w:kern w:val="2"/>
        </w:rPr>
        <w:t>6</w:t>
      </w:r>
      <w:r w:rsidR="00785848" w:rsidRPr="00D83D8E">
        <w:rPr>
          <w:rFonts w:ascii="Arial" w:hAnsi="Arial" w:cs="Arial"/>
          <w:color w:val="000000"/>
          <w:kern w:val="2"/>
        </w:rPr>
        <w:t>6</w:t>
      </w:r>
      <w:r w:rsidRPr="00D83D8E">
        <w:rPr>
          <w:rFonts w:ascii="Arial" w:hAnsi="Arial" w:cs="Arial"/>
          <w:color w:val="000000"/>
          <w:kern w:val="2"/>
        </w:rPr>
        <w:t xml:space="preserve"> mil </w:t>
      </w:r>
      <w:r w:rsidR="00785848" w:rsidRPr="00D83D8E">
        <w:rPr>
          <w:rFonts w:ascii="Arial" w:hAnsi="Arial" w:cs="Arial"/>
          <w:color w:val="000000"/>
          <w:kern w:val="2"/>
        </w:rPr>
        <w:t>802</w:t>
      </w:r>
      <w:r w:rsidRPr="00D83D8E">
        <w:rPr>
          <w:rFonts w:ascii="Arial" w:hAnsi="Arial" w:cs="Arial"/>
          <w:color w:val="000000"/>
          <w:kern w:val="2"/>
        </w:rPr>
        <w:t xml:space="preserve"> millones </w:t>
      </w:r>
      <w:r w:rsidR="00785848" w:rsidRPr="00D83D8E">
        <w:rPr>
          <w:rFonts w:ascii="Arial" w:hAnsi="Arial" w:cs="Arial"/>
          <w:color w:val="000000"/>
          <w:kern w:val="2"/>
        </w:rPr>
        <w:t>467</w:t>
      </w:r>
      <w:r w:rsidRPr="00D83D8E">
        <w:rPr>
          <w:rFonts w:ascii="Arial" w:hAnsi="Arial" w:cs="Arial"/>
          <w:color w:val="000000"/>
          <w:kern w:val="2"/>
        </w:rPr>
        <w:t xml:space="preserve"> mil pesos; cifra superior en </w:t>
      </w:r>
      <w:r w:rsidR="00785848" w:rsidRPr="00D83D8E">
        <w:rPr>
          <w:rFonts w:ascii="Arial" w:hAnsi="Arial" w:cs="Arial"/>
          <w:color w:val="000000"/>
          <w:kern w:val="2"/>
        </w:rPr>
        <w:t>16.82</w:t>
      </w:r>
      <w:r w:rsidRPr="00D83D8E">
        <w:rPr>
          <w:rFonts w:ascii="Arial" w:hAnsi="Arial" w:cs="Arial"/>
          <w:color w:val="000000"/>
          <w:kern w:val="2"/>
        </w:rPr>
        <w:t xml:space="preserve"> por ciento a la estimación establecida en la Ley de Ingresos; en relación con lo obtenido en el ejercicio 201</w:t>
      </w:r>
      <w:r w:rsidR="00785848" w:rsidRPr="00D83D8E">
        <w:rPr>
          <w:rFonts w:ascii="Arial" w:hAnsi="Arial" w:cs="Arial"/>
          <w:color w:val="000000"/>
          <w:kern w:val="2"/>
        </w:rPr>
        <w:t>4</w:t>
      </w:r>
      <w:r w:rsidRPr="00D83D8E">
        <w:rPr>
          <w:rFonts w:ascii="Arial" w:hAnsi="Arial" w:cs="Arial"/>
          <w:color w:val="000000"/>
          <w:kern w:val="2"/>
        </w:rPr>
        <w:t xml:space="preserve"> se observa un crecimiento real de </w:t>
      </w:r>
      <w:r w:rsidR="00785848" w:rsidRPr="00D83D8E">
        <w:rPr>
          <w:rFonts w:ascii="Arial" w:hAnsi="Arial" w:cs="Arial"/>
          <w:color w:val="000000"/>
          <w:kern w:val="2"/>
        </w:rPr>
        <w:t>3.32</w:t>
      </w:r>
      <w:r w:rsidR="00D66B17" w:rsidRPr="00D83D8E">
        <w:rPr>
          <w:rFonts w:ascii="Arial" w:hAnsi="Arial" w:cs="Arial"/>
          <w:color w:val="000000"/>
          <w:kern w:val="2"/>
        </w:rPr>
        <w:t xml:space="preserve"> </w:t>
      </w:r>
      <w:r w:rsidRPr="00D83D8E">
        <w:rPr>
          <w:rFonts w:ascii="Arial" w:hAnsi="Arial" w:cs="Arial"/>
          <w:color w:val="000000"/>
          <w:kern w:val="2"/>
        </w:rPr>
        <w:t>por ciento.</w:t>
      </w:r>
    </w:p>
    <w:p w:rsidR="005C3297" w:rsidRPr="00D83D8E" w:rsidRDefault="005C3297" w:rsidP="00D83D8E">
      <w:pPr>
        <w:contextualSpacing/>
        <w:jc w:val="both"/>
        <w:rPr>
          <w:rFonts w:ascii="Arial" w:hAnsi="Arial" w:cs="Arial"/>
          <w:color w:val="000000"/>
          <w:kern w:val="2"/>
        </w:rPr>
      </w:pPr>
    </w:p>
    <w:p w:rsidR="003A306A" w:rsidRPr="00D83D8E" w:rsidRDefault="00FB31CB" w:rsidP="00D83D8E">
      <w:pPr>
        <w:pStyle w:val="Textoindependiente"/>
        <w:spacing w:line="240" w:lineRule="auto"/>
        <w:contextualSpacing/>
        <w:jc w:val="center"/>
        <w:rPr>
          <w:bCs/>
          <w:color w:val="FF0000"/>
          <w:kern w:val="2"/>
          <w:szCs w:val="24"/>
        </w:rPr>
      </w:pPr>
      <w:r w:rsidRPr="00D83D8E">
        <w:rPr>
          <w:noProof/>
          <w:kern w:val="2"/>
          <w:shd w:val="clear" w:color="auto" w:fill="92D050"/>
          <w:lang w:eastAsia="es-MX"/>
        </w:rPr>
        <w:drawing>
          <wp:inline distT="0" distB="0" distL="0" distR="0">
            <wp:extent cx="5181600" cy="3762375"/>
            <wp:effectExtent l="0" t="0" r="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A306A" w:rsidRPr="00D83D8E" w:rsidRDefault="003A306A" w:rsidP="00D83D8E">
      <w:pPr>
        <w:pStyle w:val="Textoindependiente"/>
        <w:spacing w:line="240" w:lineRule="auto"/>
        <w:contextualSpacing/>
        <w:jc w:val="center"/>
        <w:rPr>
          <w:bCs/>
          <w:color w:val="FF0000"/>
          <w:kern w:val="2"/>
          <w:szCs w:val="24"/>
        </w:rPr>
      </w:pPr>
    </w:p>
    <w:p w:rsidR="00C661F2" w:rsidRPr="00D83D8E" w:rsidRDefault="00C661F2" w:rsidP="00D83D8E">
      <w:pPr>
        <w:pStyle w:val="Textoindependiente"/>
        <w:spacing w:line="240" w:lineRule="auto"/>
        <w:contextualSpacing/>
        <w:jc w:val="center"/>
        <w:rPr>
          <w:bCs/>
          <w:color w:val="FF0000"/>
          <w:kern w:val="2"/>
          <w:szCs w:val="24"/>
        </w:rPr>
      </w:pPr>
    </w:p>
    <w:p w:rsidR="00FC0B96" w:rsidRPr="00D83D8E" w:rsidRDefault="00FC0B96" w:rsidP="00D83D8E">
      <w:pPr>
        <w:pStyle w:val="Textoindependiente"/>
        <w:spacing w:line="240" w:lineRule="auto"/>
        <w:contextualSpacing/>
        <w:jc w:val="center"/>
        <w:rPr>
          <w:rFonts w:cs="Arial"/>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Los Ingresos de Gestión son los ingresos que recauda de manera directa el estado, superaron la meta establecida</w:t>
      </w:r>
      <w:r w:rsidR="00F63D3A" w:rsidRPr="00D83D8E">
        <w:rPr>
          <w:rFonts w:ascii="Arial" w:hAnsi="Arial" w:cs="Arial"/>
          <w:color w:val="000000"/>
          <w:kern w:val="2"/>
        </w:rPr>
        <w:t xml:space="preserve"> en la Ley de Ingresos 201</w:t>
      </w:r>
      <w:r w:rsidR="00C661F2" w:rsidRPr="00D83D8E">
        <w:rPr>
          <w:rFonts w:ascii="Arial" w:hAnsi="Arial" w:cs="Arial"/>
          <w:color w:val="000000"/>
          <w:kern w:val="2"/>
        </w:rPr>
        <w:t>5</w:t>
      </w:r>
      <w:r w:rsidR="008D3EBE" w:rsidRPr="00D83D8E">
        <w:rPr>
          <w:rFonts w:ascii="Arial" w:hAnsi="Arial" w:cs="Arial"/>
          <w:color w:val="000000"/>
          <w:kern w:val="2"/>
        </w:rPr>
        <w:t>,</w:t>
      </w:r>
      <w:r w:rsidRPr="00D83D8E">
        <w:rPr>
          <w:rFonts w:ascii="Arial" w:hAnsi="Arial" w:cs="Arial"/>
          <w:color w:val="000000"/>
          <w:kern w:val="2"/>
        </w:rPr>
        <w:t xml:space="preserve"> en </w:t>
      </w:r>
      <w:r w:rsidR="00C661F2" w:rsidRPr="00D83D8E">
        <w:rPr>
          <w:rFonts w:ascii="Arial" w:hAnsi="Arial" w:cs="Arial"/>
          <w:color w:val="000000"/>
          <w:kern w:val="2"/>
        </w:rPr>
        <w:t>50.31</w:t>
      </w:r>
      <w:r w:rsidRPr="00D83D8E">
        <w:rPr>
          <w:rFonts w:ascii="Arial" w:hAnsi="Arial" w:cs="Arial"/>
          <w:color w:val="000000"/>
          <w:kern w:val="2"/>
        </w:rPr>
        <w:t xml:space="preserve"> por ciento</w:t>
      </w:r>
      <w:r w:rsidR="00F63D3A" w:rsidRPr="00D83D8E">
        <w:rPr>
          <w:rFonts w:ascii="Arial" w:hAnsi="Arial" w:cs="Arial"/>
          <w:color w:val="000000"/>
          <w:kern w:val="2"/>
        </w:rPr>
        <w:t>.</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El resultado obedece principalmente al desempeño que registran los Impuestos, </w:t>
      </w:r>
      <w:r w:rsidR="002D44CE" w:rsidRPr="00D83D8E">
        <w:rPr>
          <w:rFonts w:ascii="Arial" w:hAnsi="Arial" w:cs="Arial"/>
          <w:color w:val="000000"/>
          <w:kern w:val="2"/>
        </w:rPr>
        <w:t xml:space="preserve">Derechos, </w:t>
      </w:r>
      <w:r w:rsidRPr="00D83D8E">
        <w:rPr>
          <w:rFonts w:ascii="Arial" w:hAnsi="Arial" w:cs="Arial"/>
          <w:color w:val="000000"/>
          <w:kern w:val="2"/>
        </w:rPr>
        <w:t>Productos y Aprovechamientos principalmente, cuyo crecimiento res</w:t>
      </w:r>
      <w:r w:rsidR="001853CF" w:rsidRPr="00D83D8E">
        <w:rPr>
          <w:rFonts w:ascii="Arial" w:hAnsi="Arial" w:cs="Arial"/>
          <w:color w:val="000000"/>
          <w:kern w:val="2"/>
        </w:rPr>
        <w:t>pecto a la meta estimada fue de</w:t>
      </w:r>
      <w:r w:rsidRPr="00D83D8E">
        <w:rPr>
          <w:rFonts w:ascii="Arial" w:hAnsi="Arial" w:cs="Arial"/>
          <w:color w:val="000000"/>
          <w:kern w:val="2"/>
        </w:rPr>
        <w:t xml:space="preserve"> </w:t>
      </w:r>
      <w:r w:rsidR="001853CF" w:rsidRPr="00D83D8E">
        <w:rPr>
          <w:rFonts w:ascii="Arial" w:hAnsi="Arial" w:cs="Arial"/>
          <w:color w:val="000000"/>
          <w:kern w:val="2"/>
        </w:rPr>
        <w:t>40.72</w:t>
      </w:r>
      <w:r w:rsidR="00DF27DF" w:rsidRPr="00D83D8E">
        <w:rPr>
          <w:rFonts w:ascii="Arial" w:hAnsi="Arial" w:cs="Arial"/>
          <w:color w:val="000000"/>
          <w:kern w:val="2"/>
        </w:rPr>
        <w:t>,</w:t>
      </w:r>
      <w:r w:rsidR="00233F79" w:rsidRPr="00D83D8E">
        <w:rPr>
          <w:rFonts w:ascii="Arial" w:hAnsi="Arial" w:cs="Arial"/>
          <w:color w:val="000000"/>
          <w:kern w:val="2"/>
        </w:rPr>
        <w:t xml:space="preserve"> </w:t>
      </w:r>
      <w:r w:rsidR="002D44CE" w:rsidRPr="00D83D8E">
        <w:rPr>
          <w:rFonts w:ascii="Arial" w:hAnsi="Arial" w:cs="Arial"/>
          <w:color w:val="000000"/>
          <w:kern w:val="2"/>
        </w:rPr>
        <w:t xml:space="preserve">3.07, </w:t>
      </w:r>
      <w:r w:rsidR="008E1C23" w:rsidRPr="00D83D8E">
        <w:rPr>
          <w:rFonts w:ascii="Arial" w:hAnsi="Arial" w:cs="Arial"/>
          <w:color w:val="000000"/>
          <w:kern w:val="2"/>
        </w:rPr>
        <w:t>5.76</w:t>
      </w:r>
      <w:r w:rsidR="00233F79" w:rsidRPr="00D83D8E">
        <w:rPr>
          <w:rFonts w:ascii="Arial" w:hAnsi="Arial" w:cs="Arial"/>
          <w:color w:val="000000"/>
          <w:kern w:val="2"/>
        </w:rPr>
        <w:t xml:space="preserve"> y </w:t>
      </w:r>
      <w:r w:rsidRPr="00D83D8E">
        <w:rPr>
          <w:rFonts w:ascii="Arial" w:hAnsi="Arial" w:cs="Arial"/>
          <w:color w:val="000000"/>
          <w:kern w:val="2"/>
        </w:rPr>
        <w:t>1</w:t>
      </w:r>
      <w:r w:rsidR="00233F79" w:rsidRPr="00D83D8E">
        <w:rPr>
          <w:rFonts w:ascii="Arial" w:hAnsi="Arial" w:cs="Arial"/>
          <w:color w:val="000000"/>
          <w:kern w:val="2"/>
        </w:rPr>
        <w:t>4</w:t>
      </w:r>
      <w:r w:rsidR="008E1C23" w:rsidRPr="00D83D8E">
        <w:rPr>
          <w:rFonts w:ascii="Arial" w:hAnsi="Arial" w:cs="Arial"/>
          <w:color w:val="000000"/>
          <w:kern w:val="2"/>
        </w:rPr>
        <w:t xml:space="preserve">4.94 </w:t>
      </w:r>
      <w:r w:rsidRPr="00D83D8E">
        <w:rPr>
          <w:rFonts w:ascii="Arial" w:hAnsi="Arial" w:cs="Arial"/>
          <w:color w:val="000000"/>
          <w:kern w:val="2"/>
        </w:rPr>
        <w:t>por ciento, respectivamente.</w:t>
      </w:r>
    </w:p>
    <w:p w:rsidR="005C3297" w:rsidRPr="00D83D8E" w:rsidRDefault="005C3297" w:rsidP="00D83D8E">
      <w:pPr>
        <w:contextualSpacing/>
        <w:jc w:val="both"/>
        <w:rPr>
          <w:noProof/>
          <w:kern w:val="2"/>
        </w:rPr>
      </w:pPr>
    </w:p>
    <w:p w:rsidR="005C3297" w:rsidRPr="00D83D8E" w:rsidRDefault="009B1A50" w:rsidP="00D83D8E">
      <w:pPr>
        <w:contextualSpacing/>
        <w:jc w:val="center"/>
        <w:rPr>
          <w:noProof/>
          <w:kern w:val="2"/>
        </w:rPr>
      </w:pPr>
      <w:r>
        <w:rPr>
          <w:noProof/>
          <w:kern w:val="2"/>
          <w:lang w:val="es-MX" w:eastAsia="es-MX"/>
        </w:rPr>
        <w:lastRenderedPageBreak/>
        <w:pict>
          <v:shape id="40 CuadroTexto" o:spid="_x0000_s1054" type="#_x0000_t202" style="position:absolute;left:0;text-align:left;margin-left:307.5pt;margin-top:50.65pt;width:113.3pt;height:154pt;z-index:251749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" fillcolor="white [3201]" stroked="f">
            <v:textbox style="mso-next-textbox:#40 CuadroTexto">
              <w:txbxContent>
                <w:p w:rsidR="00AD6037" w:rsidRPr="00A75E44" w:rsidRDefault="00AD6037" w:rsidP="006C4D74">
                  <w:pPr>
                    <w:pStyle w:val="NormalWeb"/>
                    <w:spacing w:before="0" w:beforeAutospacing="0" w:after="0" w:afterAutospacing="0"/>
                    <w:jc w:val="both"/>
                    <w:rPr>
                      <w:sz w:val="24"/>
                      <w:szCs w:val="24"/>
                    </w:rPr>
                  </w:pPr>
                  <w:r w:rsidRPr="00A75E44">
                    <w:rPr>
                      <w:rFonts w:asciiTheme="minorHAnsi" w:hAnsi="Calibri" w:cstheme="minorBidi"/>
                      <w:bCs/>
                      <w:color w:val="000000" w:themeColor="dark1"/>
                      <w:sz w:val="24"/>
                      <w:szCs w:val="24"/>
                    </w:rPr>
                    <w:t xml:space="preserve">Se superó la meta en </w:t>
                  </w:r>
                  <w:r w:rsidRPr="00A75E44">
                    <w:rPr>
                      <w:rFonts w:asciiTheme="minorHAnsi" w:hAnsi="Calibri" w:cstheme="minorBidi"/>
                      <w:b/>
                      <w:bCs/>
                      <w:color w:val="215868" w:themeColor="accent5" w:themeShade="80"/>
                      <w:sz w:val="24"/>
                      <w:szCs w:val="24"/>
                    </w:rPr>
                    <w:t>1,507</w:t>
                  </w:r>
                  <w:r w:rsidRPr="00A75E44">
                    <w:rPr>
                      <w:rFonts w:asciiTheme="minorHAnsi" w:hAnsi="Calibri" w:cstheme="minorBidi"/>
                      <w:bCs/>
                      <w:color w:val="000000" w:themeColor="dark1"/>
                      <w:sz w:val="24"/>
                      <w:szCs w:val="24"/>
                    </w:rPr>
                    <w:t xml:space="preserve"> millones de pesos adicionales, lo que significó un crecimiento de </w:t>
                  </w:r>
                  <w:r w:rsidRPr="00A75E44">
                    <w:rPr>
                      <w:rFonts w:asciiTheme="minorHAnsi" w:hAnsi="Calibri" w:cstheme="minorBidi"/>
                      <w:b/>
                      <w:bCs/>
                      <w:color w:val="215868" w:themeColor="accent5" w:themeShade="80"/>
                      <w:sz w:val="24"/>
                      <w:szCs w:val="24"/>
                    </w:rPr>
                    <w:t xml:space="preserve">50.31% </w:t>
                  </w:r>
                  <w:r w:rsidRPr="00A75E44">
                    <w:rPr>
                      <w:rFonts w:asciiTheme="minorHAnsi" w:hAnsi="Calibri" w:cstheme="minorBidi"/>
                      <w:bCs/>
                      <w:color w:val="000000" w:themeColor="dark1"/>
                      <w:sz w:val="24"/>
                      <w:szCs w:val="24"/>
                    </w:rPr>
                    <w:t>respecto a lo estimado en Ley de Ingresos.</w:t>
                  </w:r>
                </w:p>
              </w:txbxContent>
            </v:textbox>
          </v:shape>
        </w:pict>
      </w:r>
      <w:r w:rsidR="0042510F" w:rsidRPr="00D83D8E">
        <w:rPr>
          <w:noProof/>
          <w:kern w:val="2"/>
          <w:shd w:val="clear" w:color="auto" w:fill="76923C" w:themeFill="accent3" w:themeFillShade="BF"/>
          <w:lang w:val="es-MX" w:eastAsia="es-MX"/>
        </w:rPr>
        <w:drawing>
          <wp:inline distT="0" distB="0" distL="0" distR="0">
            <wp:extent cx="5533501" cy="3657600"/>
            <wp:effectExtent l="0" t="0" r="0" b="0"/>
            <wp:docPr id="229" name="Gráfico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C3297" w:rsidRPr="00D83D8E" w:rsidRDefault="005C3297" w:rsidP="00D83D8E">
      <w:pPr>
        <w:contextualSpacing/>
        <w:jc w:val="both"/>
        <w:rPr>
          <w:noProof/>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En las Participaciones y Aportaciones, cuya naturaleza jurídica se deriva de la Ley de Coordinación Fiscal y del Convenio de Colaboración suscrito con el Gobierno Federal, los ingresos obtenidos fueron superiores a los estimados en </w:t>
      </w:r>
      <w:r w:rsidR="000B496E" w:rsidRPr="00D83D8E">
        <w:rPr>
          <w:rFonts w:ascii="Arial" w:hAnsi="Arial" w:cs="Arial"/>
          <w:color w:val="000000"/>
          <w:kern w:val="2"/>
        </w:rPr>
        <w:t>14</w:t>
      </w:r>
      <w:r w:rsidR="00D43E9E" w:rsidRPr="00D83D8E">
        <w:rPr>
          <w:rFonts w:ascii="Arial" w:hAnsi="Arial" w:cs="Arial"/>
          <w:color w:val="000000"/>
          <w:kern w:val="2"/>
        </w:rPr>
        <w:t>.</w:t>
      </w:r>
      <w:r w:rsidR="000B496E" w:rsidRPr="00D83D8E">
        <w:rPr>
          <w:rFonts w:ascii="Arial" w:hAnsi="Arial" w:cs="Arial"/>
          <w:color w:val="000000"/>
          <w:kern w:val="2"/>
        </w:rPr>
        <w:t>71</w:t>
      </w:r>
      <w:r w:rsidRPr="00D83D8E">
        <w:rPr>
          <w:rFonts w:ascii="Arial" w:hAnsi="Arial" w:cs="Arial"/>
          <w:color w:val="000000"/>
          <w:kern w:val="2"/>
        </w:rPr>
        <w:t xml:space="preserve"> por ciento, mientras que en términos reales comparados con el ejercicio 201</w:t>
      </w:r>
      <w:r w:rsidR="006D4953" w:rsidRPr="00D83D8E">
        <w:rPr>
          <w:rFonts w:ascii="Arial" w:hAnsi="Arial" w:cs="Arial"/>
          <w:color w:val="000000"/>
          <w:kern w:val="2"/>
        </w:rPr>
        <w:t>4</w:t>
      </w:r>
      <w:r w:rsidRPr="00D83D8E">
        <w:rPr>
          <w:rFonts w:ascii="Arial" w:hAnsi="Arial" w:cs="Arial"/>
          <w:color w:val="000000"/>
          <w:kern w:val="2"/>
        </w:rPr>
        <w:t xml:space="preserve"> también presentan un crecimiento del </w:t>
      </w:r>
      <w:r w:rsidR="006D4953" w:rsidRPr="00D83D8E">
        <w:rPr>
          <w:rFonts w:ascii="Arial" w:hAnsi="Arial" w:cs="Arial"/>
          <w:color w:val="000000"/>
          <w:kern w:val="2"/>
        </w:rPr>
        <w:t>3.13</w:t>
      </w:r>
      <w:r w:rsidRPr="00D83D8E">
        <w:rPr>
          <w:rFonts w:ascii="Arial" w:hAnsi="Arial" w:cs="Arial"/>
          <w:color w:val="000000"/>
          <w:kern w:val="2"/>
        </w:rPr>
        <w:t xml:space="preserve"> por ciento. </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El rubro de Transferencias, Asignaciones, Subsidios y Otras Ayudas, presenta un comportamiento superior al estimado en Ley de Ingresos de </w:t>
      </w:r>
      <w:r w:rsidR="005941B7" w:rsidRPr="00D83D8E">
        <w:rPr>
          <w:rFonts w:ascii="Arial" w:hAnsi="Arial" w:cs="Arial"/>
          <w:color w:val="000000"/>
          <w:kern w:val="2"/>
        </w:rPr>
        <w:t>11.19</w:t>
      </w:r>
      <w:r w:rsidRPr="00D83D8E">
        <w:rPr>
          <w:rFonts w:ascii="Arial" w:hAnsi="Arial" w:cs="Arial"/>
          <w:color w:val="000000"/>
          <w:kern w:val="2"/>
        </w:rPr>
        <w:t xml:space="preserve"> por ciento, con ingresos del orden de los </w:t>
      </w:r>
      <w:r w:rsidR="003740A4" w:rsidRPr="00D83D8E">
        <w:rPr>
          <w:rFonts w:ascii="Arial" w:hAnsi="Arial" w:cs="Arial"/>
          <w:color w:val="000000"/>
          <w:kern w:val="2"/>
        </w:rPr>
        <w:t>2</w:t>
      </w:r>
      <w:r w:rsidRPr="00D83D8E">
        <w:rPr>
          <w:rFonts w:ascii="Arial" w:hAnsi="Arial" w:cs="Arial"/>
          <w:color w:val="000000"/>
          <w:kern w:val="2"/>
        </w:rPr>
        <w:t xml:space="preserve"> mil </w:t>
      </w:r>
      <w:r w:rsidR="003740A4" w:rsidRPr="00D83D8E">
        <w:rPr>
          <w:rFonts w:ascii="Arial" w:hAnsi="Arial" w:cs="Arial"/>
          <w:color w:val="000000"/>
          <w:kern w:val="2"/>
        </w:rPr>
        <w:t>209</w:t>
      </w:r>
      <w:r w:rsidRPr="00D83D8E">
        <w:rPr>
          <w:rFonts w:ascii="Arial" w:hAnsi="Arial" w:cs="Arial"/>
          <w:color w:val="000000"/>
          <w:kern w:val="2"/>
        </w:rPr>
        <w:t xml:space="preserve"> millones </w:t>
      </w:r>
      <w:r w:rsidR="003740A4" w:rsidRPr="00D83D8E">
        <w:rPr>
          <w:rFonts w:ascii="Arial" w:hAnsi="Arial" w:cs="Arial"/>
          <w:color w:val="000000"/>
          <w:kern w:val="2"/>
        </w:rPr>
        <w:t>747</w:t>
      </w:r>
      <w:r w:rsidRPr="00D83D8E">
        <w:rPr>
          <w:rFonts w:ascii="Arial" w:hAnsi="Arial" w:cs="Arial"/>
          <w:color w:val="000000"/>
          <w:kern w:val="2"/>
        </w:rPr>
        <w:t xml:space="preserve"> mil pesos</w:t>
      </w:r>
      <w:r w:rsidR="0056250E" w:rsidRPr="00D83D8E">
        <w:rPr>
          <w:rFonts w:ascii="Arial" w:hAnsi="Arial" w:cs="Arial"/>
          <w:color w:val="000000"/>
          <w:kern w:val="2"/>
        </w:rPr>
        <w:t>.</w:t>
      </w:r>
    </w:p>
    <w:p w:rsidR="0056250E" w:rsidRPr="00D83D8E" w:rsidRDefault="0056250E" w:rsidP="00D83D8E">
      <w:pPr>
        <w:pStyle w:val="Default"/>
        <w:contextualSpacing/>
        <w:jc w:val="both"/>
        <w:rPr>
          <w:color w:val="auto"/>
          <w:kern w:val="2"/>
          <w:lang w:val="es-MX"/>
        </w:rPr>
      </w:pPr>
    </w:p>
    <w:p w:rsidR="005C3297" w:rsidRPr="00D83D8E" w:rsidRDefault="005C3297" w:rsidP="00D83D8E">
      <w:pPr>
        <w:contextualSpacing/>
        <w:jc w:val="both"/>
        <w:rPr>
          <w:rFonts w:ascii="Arial" w:hAnsi="Arial" w:cs="Arial"/>
          <w:kern w:val="2"/>
          <w:lang w:val="es-MX"/>
        </w:rPr>
      </w:pPr>
      <w:r w:rsidRPr="00D83D8E">
        <w:rPr>
          <w:rFonts w:ascii="Arial" w:hAnsi="Arial" w:cs="Arial"/>
          <w:kern w:val="2"/>
          <w:lang w:val="es-MX"/>
        </w:rPr>
        <w:t xml:space="preserve">Por concepto de Otros Ingresos, se obtuvieron </w:t>
      </w:r>
      <w:r w:rsidR="003740A4" w:rsidRPr="00D83D8E">
        <w:rPr>
          <w:rFonts w:ascii="Arial" w:hAnsi="Arial" w:cs="Arial"/>
          <w:kern w:val="2"/>
          <w:lang w:val="es-MX"/>
        </w:rPr>
        <w:t>442</w:t>
      </w:r>
      <w:r w:rsidRPr="00D83D8E">
        <w:rPr>
          <w:rFonts w:ascii="Arial" w:hAnsi="Arial" w:cs="Arial"/>
          <w:kern w:val="2"/>
          <w:lang w:val="es-MX"/>
        </w:rPr>
        <w:t xml:space="preserve"> millones </w:t>
      </w:r>
      <w:r w:rsidR="003740A4" w:rsidRPr="00D83D8E">
        <w:rPr>
          <w:rFonts w:ascii="Arial" w:hAnsi="Arial" w:cs="Arial"/>
          <w:kern w:val="2"/>
          <w:lang w:val="es-MX"/>
        </w:rPr>
        <w:t>134</w:t>
      </w:r>
      <w:r w:rsidRPr="00D83D8E">
        <w:rPr>
          <w:rFonts w:ascii="Arial" w:hAnsi="Arial" w:cs="Arial"/>
          <w:kern w:val="2"/>
          <w:lang w:val="es-MX"/>
        </w:rPr>
        <w:t xml:space="preserve"> mil pesos.</w:t>
      </w:r>
    </w:p>
    <w:p w:rsidR="005800DE" w:rsidRPr="00D83D8E" w:rsidRDefault="005800DE" w:rsidP="00D83D8E">
      <w:pPr>
        <w:contextualSpacing/>
        <w:jc w:val="both"/>
        <w:rPr>
          <w:rFonts w:ascii="Arial" w:hAnsi="Arial" w:cs="Arial"/>
          <w:kern w:val="2"/>
          <w:lang w:val="es-MX"/>
        </w:rPr>
      </w:pPr>
    </w:p>
    <w:p w:rsidR="009164DD" w:rsidRPr="00D83D8E" w:rsidRDefault="009164DD" w:rsidP="00D83D8E">
      <w:pPr>
        <w:contextualSpacing/>
        <w:jc w:val="both"/>
        <w:rPr>
          <w:rFonts w:ascii="Arial" w:hAnsi="Arial" w:cs="Arial"/>
          <w:kern w:val="2"/>
          <w:lang w:val="es-MX"/>
        </w:rPr>
      </w:pPr>
    </w:p>
    <w:p w:rsidR="009164DD" w:rsidRPr="00D83D8E" w:rsidRDefault="009164DD" w:rsidP="00D83D8E">
      <w:pPr>
        <w:contextualSpacing/>
        <w:jc w:val="both"/>
        <w:rPr>
          <w:rFonts w:ascii="Arial" w:hAnsi="Arial" w:cs="Arial"/>
          <w:kern w:val="2"/>
          <w:lang w:val="es-MX"/>
        </w:rPr>
      </w:pPr>
      <w:r w:rsidRPr="00D83D8E">
        <w:rPr>
          <w:noProof/>
          <w:kern w:val="2"/>
          <w:lang w:val="es-MX" w:eastAsia="es-MX"/>
        </w:rPr>
        <w:lastRenderedPageBreak/>
        <w:drawing>
          <wp:inline distT="0" distB="0" distL="0" distR="0">
            <wp:extent cx="5882005" cy="6017902"/>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6017902"/>
                    </a:xfrm>
                    <a:prstGeom prst="rect">
                      <a:avLst/>
                    </a:prstGeom>
                    <a:noFill/>
                    <a:ln>
                      <a:noFill/>
                    </a:ln>
                  </pic:spPr>
                </pic:pic>
              </a:graphicData>
            </a:graphic>
          </wp:inline>
        </w:drawing>
      </w:r>
    </w:p>
    <w:p w:rsidR="009164DD" w:rsidRPr="00D83D8E" w:rsidRDefault="009164DD" w:rsidP="00D83D8E">
      <w:pPr>
        <w:contextualSpacing/>
        <w:jc w:val="both"/>
        <w:rPr>
          <w:rFonts w:ascii="Arial" w:hAnsi="Arial" w:cs="Arial"/>
          <w:kern w:val="2"/>
          <w:lang w:val="es-MX"/>
        </w:rPr>
      </w:pPr>
    </w:p>
    <w:p w:rsidR="009164DD" w:rsidRPr="00D83D8E" w:rsidRDefault="009164DD" w:rsidP="00D83D8E">
      <w:pPr>
        <w:contextualSpacing/>
        <w:jc w:val="both"/>
        <w:rPr>
          <w:rFonts w:ascii="Arial" w:hAnsi="Arial" w:cs="Arial"/>
          <w:kern w:val="2"/>
          <w:lang w:val="es-MX"/>
        </w:rPr>
      </w:pPr>
    </w:p>
    <w:p w:rsidR="009164DD" w:rsidRPr="00D83D8E" w:rsidRDefault="009164DD" w:rsidP="00D83D8E">
      <w:pPr>
        <w:contextualSpacing/>
        <w:jc w:val="both"/>
        <w:rPr>
          <w:rFonts w:ascii="Arial" w:hAnsi="Arial" w:cs="Arial"/>
          <w:kern w:val="2"/>
          <w:lang w:val="es-MX"/>
        </w:rPr>
      </w:pPr>
    </w:p>
    <w:p w:rsidR="009164DD" w:rsidRPr="00D83D8E" w:rsidRDefault="009164DD" w:rsidP="00D83D8E">
      <w:pPr>
        <w:contextualSpacing/>
        <w:jc w:val="both"/>
        <w:rPr>
          <w:rFonts w:ascii="Arial" w:hAnsi="Arial" w:cs="Arial"/>
          <w:kern w:val="2"/>
          <w:lang w:val="es-MX"/>
        </w:rPr>
      </w:pPr>
    </w:p>
    <w:p w:rsidR="009164DD" w:rsidRPr="00D83D8E" w:rsidRDefault="009164DD" w:rsidP="00D83D8E">
      <w:pPr>
        <w:contextualSpacing/>
        <w:jc w:val="both"/>
        <w:rPr>
          <w:rFonts w:ascii="Arial" w:hAnsi="Arial" w:cs="Arial"/>
          <w:kern w:val="2"/>
          <w:lang w:val="es-MX"/>
        </w:rPr>
      </w:pPr>
    </w:p>
    <w:p w:rsidR="005800DE" w:rsidRPr="00D83D8E" w:rsidRDefault="005800DE" w:rsidP="00D83D8E">
      <w:pPr>
        <w:contextualSpacing/>
        <w:jc w:val="both"/>
        <w:rPr>
          <w:rFonts w:ascii="Arial" w:hAnsi="Arial" w:cs="Arial"/>
          <w:kern w:val="2"/>
          <w:lang w:val="es-MX"/>
        </w:rPr>
      </w:pPr>
    </w:p>
    <w:p w:rsidR="005C3297" w:rsidRPr="00D83D8E" w:rsidRDefault="005C3297" w:rsidP="00D83D8E">
      <w:pPr>
        <w:contextualSpacing/>
        <w:jc w:val="both"/>
        <w:rPr>
          <w:rFonts w:ascii="Arial" w:hAnsi="Arial" w:cs="Arial"/>
          <w:kern w:val="2"/>
          <w:lang w:val="es-MX"/>
        </w:rPr>
      </w:pPr>
    </w:p>
    <w:p w:rsidR="005C3297" w:rsidRPr="00D83D8E" w:rsidRDefault="005C3297" w:rsidP="00D83D8E">
      <w:pPr>
        <w:contextualSpacing/>
        <w:jc w:val="both"/>
        <w:rPr>
          <w:rFonts w:ascii="Arial" w:hAnsi="Arial" w:cs="Arial"/>
          <w:b/>
          <w:color w:val="FF0000"/>
          <w:spacing w:val="20"/>
          <w:kern w:val="2"/>
        </w:rPr>
      </w:pPr>
    </w:p>
    <w:p w:rsidR="009164DD" w:rsidRPr="00D83D8E" w:rsidRDefault="009164DD" w:rsidP="00D83D8E">
      <w:pPr>
        <w:contextualSpacing/>
        <w:jc w:val="both"/>
        <w:rPr>
          <w:rFonts w:ascii="Arial" w:hAnsi="Arial" w:cs="Arial"/>
          <w:b/>
          <w:color w:val="FF0000"/>
          <w:spacing w:val="20"/>
          <w:kern w:val="2"/>
        </w:rPr>
      </w:pPr>
      <w:r w:rsidRPr="00D83D8E">
        <w:rPr>
          <w:noProof/>
          <w:kern w:val="2"/>
          <w:lang w:val="es-MX" w:eastAsia="es-MX"/>
        </w:rPr>
        <w:drawing>
          <wp:inline distT="0" distB="0" distL="0" distR="0">
            <wp:extent cx="5469255" cy="2466975"/>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9255" cy="2466975"/>
                    </a:xfrm>
                    <a:prstGeom prst="rect">
                      <a:avLst/>
                    </a:prstGeom>
                    <a:noFill/>
                    <a:ln>
                      <a:noFill/>
                    </a:ln>
                  </pic:spPr>
                </pic:pic>
              </a:graphicData>
            </a:graphic>
          </wp:inline>
        </w:drawing>
      </w:r>
    </w:p>
    <w:p w:rsidR="009164DD" w:rsidRPr="00D83D8E" w:rsidRDefault="009164DD" w:rsidP="00D83D8E">
      <w:pPr>
        <w:contextualSpacing/>
        <w:jc w:val="both"/>
        <w:rPr>
          <w:rFonts w:ascii="Arial" w:hAnsi="Arial" w:cs="Arial"/>
          <w:b/>
          <w:color w:val="FF0000"/>
          <w:spacing w:val="20"/>
          <w:kern w:val="2"/>
        </w:rPr>
      </w:pPr>
    </w:p>
    <w:p w:rsidR="009164DD" w:rsidRPr="00D83D8E" w:rsidRDefault="009164DD" w:rsidP="00D83D8E">
      <w:pPr>
        <w:contextualSpacing/>
        <w:jc w:val="both"/>
        <w:rPr>
          <w:rFonts w:ascii="Arial" w:hAnsi="Arial" w:cs="Arial"/>
          <w:b/>
          <w:color w:val="FF0000"/>
          <w:spacing w:val="20"/>
          <w:kern w:val="2"/>
        </w:rPr>
      </w:pPr>
    </w:p>
    <w:p w:rsidR="009164DD" w:rsidRPr="00D83D8E" w:rsidRDefault="009164DD" w:rsidP="00D83D8E">
      <w:pPr>
        <w:contextualSpacing/>
        <w:jc w:val="both"/>
        <w:rPr>
          <w:rFonts w:ascii="Arial" w:hAnsi="Arial" w:cs="Arial"/>
          <w:b/>
          <w:color w:val="FF0000"/>
          <w:spacing w:val="20"/>
          <w:kern w:val="2"/>
        </w:rPr>
      </w:pPr>
    </w:p>
    <w:p w:rsidR="00DD7813" w:rsidRPr="00D83D8E" w:rsidRDefault="00DD7813" w:rsidP="00D83D8E">
      <w:pPr>
        <w:contextualSpacing/>
        <w:jc w:val="both"/>
        <w:rPr>
          <w:rFonts w:ascii="Arial" w:hAnsi="Arial" w:cs="Arial"/>
          <w:b/>
          <w:color w:val="FF0000"/>
          <w:spacing w:val="20"/>
          <w:kern w:val="2"/>
        </w:rPr>
      </w:pPr>
    </w:p>
    <w:p w:rsidR="00DD7813" w:rsidRPr="00D83D8E" w:rsidRDefault="00DD7813" w:rsidP="00D83D8E">
      <w:pPr>
        <w:contextualSpacing/>
        <w:jc w:val="both"/>
        <w:rPr>
          <w:rFonts w:ascii="Arial" w:hAnsi="Arial" w:cs="Arial"/>
          <w:b/>
          <w:color w:val="FF0000"/>
          <w:spacing w:val="20"/>
          <w:kern w:val="2"/>
        </w:rPr>
      </w:pPr>
    </w:p>
    <w:p w:rsidR="00DD7813" w:rsidRPr="00D83D8E" w:rsidRDefault="00DD7813" w:rsidP="00D83D8E">
      <w:pPr>
        <w:contextualSpacing/>
        <w:jc w:val="both"/>
        <w:rPr>
          <w:rFonts w:ascii="Arial" w:hAnsi="Arial" w:cs="Arial"/>
          <w:b/>
          <w:color w:val="FF0000"/>
          <w:spacing w:val="20"/>
          <w:kern w:val="2"/>
        </w:rPr>
      </w:pPr>
    </w:p>
    <w:p w:rsidR="005C3297" w:rsidRPr="00D83D8E" w:rsidRDefault="005C3297" w:rsidP="00D83D8E">
      <w:pPr>
        <w:contextualSpacing/>
        <w:jc w:val="center"/>
        <w:rPr>
          <w:rFonts w:ascii="Arial" w:hAnsi="Arial" w:cs="Arial"/>
          <w:b/>
          <w:color w:val="FF0000"/>
          <w:spacing w:val="20"/>
          <w:kern w:val="2"/>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DD7813" w:rsidRPr="00D83D8E" w:rsidRDefault="00DD7813"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DD7813" w:rsidRPr="00D83D8E" w:rsidRDefault="00DD7813"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5C3297" w:rsidRPr="00D83D8E" w:rsidRDefault="005C3297" w:rsidP="00D83D8E">
      <w:pPr>
        <w:contextualSpacing/>
        <w:jc w:val="both"/>
        <w:rPr>
          <w:rFonts w:ascii="Arial" w:hAnsi="Arial" w:cs="Arial"/>
          <w:spacing w:val="20"/>
          <w:kern w:val="2"/>
        </w:rPr>
      </w:pPr>
    </w:p>
    <w:p w:rsidR="005C3297" w:rsidRPr="00D83D8E" w:rsidRDefault="005C3297" w:rsidP="00D83D8E">
      <w:pPr>
        <w:contextualSpacing/>
        <w:jc w:val="both"/>
        <w:rPr>
          <w:rFonts w:ascii="Arial" w:hAnsi="Arial" w:cs="Arial"/>
          <w:spacing w:val="20"/>
          <w:kern w:val="2"/>
        </w:rPr>
      </w:pPr>
    </w:p>
    <w:p w:rsidR="005C3297" w:rsidRPr="00D83D8E" w:rsidRDefault="005C3297" w:rsidP="00D83D8E">
      <w:pPr>
        <w:contextualSpacing/>
        <w:jc w:val="both"/>
        <w:rPr>
          <w:rFonts w:ascii="Arial" w:hAnsi="Arial" w:cs="Arial"/>
          <w:b/>
          <w:bCs/>
          <w:spacing w:val="20"/>
          <w:kern w:val="2"/>
        </w:rPr>
      </w:pPr>
      <w:r w:rsidRPr="00D83D8E">
        <w:rPr>
          <w:rFonts w:ascii="Arial" w:hAnsi="Arial" w:cs="Arial"/>
          <w:spacing w:val="20"/>
          <w:kern w:val="2"/>
        </w:rPr>
        <w:br w:type="page"/>
      </w:r>
      <w:r w:rsidRPr="00D83D8E">
        <w:rPr>
          <w:rFonts w:ascii="Arial" w:hAnsi="Arial" w:cs="Arial"/>
          <w:b/>
          <w:bCs/>
          <w:spacing w:val="20"/>
          <w:kern w:val="2"/>
        </w:rPr>
        <w:lastRenderedPageBreak/>
        <w:t>3.2.</w:t>
      </w:r>
      <w:r w:rsidR="00DA4A1B">
        <w:rPr>
          <w:rFonts w:ascii="Arial" w:hAnsi="Arial" w:cs="Arial"/>
          <w:b/>
          <w:bCs/>
          <w:spacing w:val="20"/>
          <w:kern w:val="2"/>
        </w:rPr>
        <w:t>4</w:t>
      </w:r>
      <w:r w:rsidRPr="00D83D8E">
        <w:rPr>
          <w:rFonts w:ascii="Arial" w:hAnsi="Arial" w:cs="Arial"/>
          <w:b/>
          <w:bCs/>
          <w:spacing w:val="20"/>
          <w:kern w:val="2"/>
        </w:rPr>
        <w:t>.1.- INGRESOS DE GESTIÓN</w:t>
      </w:r>
    </w:p>
    <w:p w:rsidR="005C3297" w:rsidRPr="00D83D8E" w:rsidRDefault="005C3297" w:rsidP="00D83D8E">
      <w:pPr>
        <w:contextualSpacing/>
        <w:jc w:val="both"/>
        <w:rPr>
          <w:rFonts w:ascii="Arial" w:hAnsi="Arial" w:cs="Arial"/>
          <w:b/>
          <w:bCs/>
          <w:spacing w:val="20"/>
          <w:kern w:val="2"/>
        </w:rPr>
      </w:pPr>
    </w:p>
    <w:p w:rsidR="005C3297" w:rsidRPr="00D83D8E" w:rsidRDefault="005C3297" w:rsidP="00D83D8E">
      <w:pPr>
        <w:contextualSpacing/>
        <w:jc w:val="both"/>
        <w:rPr>
          <w:rFonts w:ascii="Arial" w:hAnsi="Arial" w:cs="Arial"/>
          <w:b/>
          <w:bCs/>
          <w:spacing w:val="20"/>
          <w:kern w:val="2"/>
        </w:rPr>
      </w:pPr>
    </w:p>
    <w:p w:rsidR="005C3297" w:rsidRPr="00D83D8E" w:rsidRDefault="005C3297" w:rsidP="00D83D8E">
      <w:pPr>
        <w:contextualSpacing/>
        <w:jc w:val="both"/>
        <w:rPr>
          <w:rFonts w:ascii="Arial" w:hAnsi="Arial" w:cs="Arial"/>
          <w:b/>
          <w:kern w:val="2"/>
          <w:lang w:val="es-MX"/>
        </w:rPr>
      </w:pPr>
      <w:r w:rsidRPr="00D83D8E">
        <w:rPr>
          <w:rFonts w:ascii="Arial" w:hAnsi="Arial" w:cs="Arial"/>
          <w:b/>
          <w:kern w:val="2"/>
          <w:lang w:val="es-MX"/>
        </w:rPr>
        <w:t>Impuestos</w:t>
      </w:r>
    </w:p>
    <w:p w:rsidR="005C3297" w:rsidRPr="00D83D8E" w:rsidRDefault="005C3297" w:rsidP="00D83D8E">
      <w:pPr>
        <w:contextualSpacing/>
        <w:jc w:val="both"/>
        <w:rPr>
          <w:rFonts w:ascii="Arial" w:hAnsi="Arial" w:cs="Arial"/>
          <w:b/>
          <w:bCs/>
          <w:spacing w:val="2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La entidad ha realizado un esfuerzo permanente para mejorar el sistema tributario, lo que se ha reflejado en el crecimiento en </w:t>
      </w:r>
      <w:r w:rsidR="00D1290D" w:rsidRPr="00D83D8E">
        <w:rPr>
          <w:rFonts w:ascii="Arial" w:hAnsi="Arial" w:cs="Arial"/>
          <w:color w:val="000000"/>
          <w:kern w:val="2"/>
        </w:rPr>
        <w:t>los</w:t>
      </w:r>
      <w:r w:rsidRPr="00D83D8E">
        <w:rPr>
          <w:rFonts w:ascii="Arial" w:hAnsi="Arial" w:cs="Arial"/>
          <w:color w:val="000000"/>
          <w:kern w:val="2"/>
        </w:rPr>
        <w:t xml:space="preserve"> ingresos</w:t>
      </w:r>
      <w:r w:rsidR="0065742F" w:rsidRPr="00D83D8E">
        <w:rPr>
          <w:rFonts w:ascii="Arial" w:hAnsi="Arial" w:cs="Arial"/>
          <w:color w:val="000000"/>
          <w:kern w:val="2"/>
        </w:rPr>
        <w:t xml:space="preserve"> </w:t>
      </w:r>
      <w:r w:rsidR="00D1290D" w:rsidRPr="00D83D8E">
        <w:rPr>
          <w:rFonts w:ascii="Arial" w:hAnsi="Arial" w:cs="Arial"/>
          <w:color w:val="000000"/>
          <w:kern w:val="2"/>
        </w:rPr>
        <w:t>en la presente administración.</w:t>
      </w:r>
    </w:p>
    <w:p w:rsidR="00D90AE5" w:rsidRPr="00D83D8E" w:rsidRDefault="00D90AE5" w:rsidP="00D83D8E">
      <w:pPr>
        <w:contextualSpacing/>
        <w:jc w:val="both"/>
        <w:rPr>
          <w:rFonts w:ascii="Arial" w:hAnsi="Arial" w:cs="Arial"/>
          <w:color w:val="000000"/>
          <w:kern w:val="2"/>
        </w:rPr>
      </w:pPr>
    </w:p>
    <w:p w:rsidR="005800DE" w:rsidRPr="00D83D8E" w:rsidRDefault="00D90AE5" w:rsidP="00D83D8E">
      <w:pPr>
        <w:contextualSpacing/>
        <w:jc w:val="center"/>
        <w:rPr>
          <w:rFonts w:ascii="Arial" w:hAnsi="Arial" w:cs="Arial"/>
          <w:color w:val="000000"/>
          <w:kern w:val="2"/>
        </w:rPr>
      </w:pPr>
      <w:r w:rsidRPr="00D83D8E">
        <w:rPr>
          <w:noProof/>
          <w:kern w:val="2"/>
          <w:lang w:val="es-MX" w:eastAsia="es-MX"/>
        </w:rPr>
        <w:drawing>
          <wp:inline distT="0" distB="0" distL="0" distR="0">
            <wp:extent cx="5226445" cy="35641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6403" cy="3564162"/>
                    </a:xfrm>
                    <a:prstGeom prst="rect">
                      <a:avLst/>
                    </a:prstGeom>
                    <a:noFill/>
                    <a:ln>
                      <a:noFill/>
                    </a:ln>
                  </pic:spPr>
                </pic:pic>
              </a:graphicData>
            </a:graphic>
          </wp:inline>
        </w:drawing>
      </w:r>
    </w:p>
    <w:p w:rsidR="005800DE" w:rsidRPr="00D83D8E" w:rsidRDefault="005800DE" w:rsidP="00D83D8E">
      <w:pPr>
        <w:contextualSpacing/>
        <w:jc w:val="both"/>
        <w:rPr>
          <w:rFonts w:ascii="Arial" w:hAnsi="Arial" w:cs="Arial"/>
          <w:kern w:val="2"/>
          <w:lang w:val="es-MX"/>
        </w:rPr>
      </w:pPr>
    </w:p>
    <w:p w:rsidR="005800DE" w:rsidRPr="00D83D8E" w:rsidRDefault="005800DE" w:rsidP="00D83D8E">
      <w:pPr>
        <w:contextualSpacing/>
        <w:jc w:val="center"/>
        <w:rPr>
          <w:rFonts w:ascii="Arial" w:hAnsi="Arial" w:cs="Arial"/>
          <w:kern w:val="2"/>
          <w:lang w:val="es-MX"/>
        </w:rPr>
      </w:pPr>
    </w:p>
    <w:p w:rsidR="005C3297" w:rsidRPr="00D83D8E" w:rsidRDefault="005C3297" w:rsidP="00D83D8E">
      <w:pPr>
        <w:contextualSpacing/>
        <w:jc w:val="both"/>
        <w:rPr>
          <w:rFonts w:ascii="Arial" w:hAnsi="Arial" w:cs="Arial"/>
          <w:spacing w:val="20"/>
          <w:kern w:val="2"/>
        </w:rPr>
      </w:pPr>
    </w:p>
    <w:p w:rsidR="005C3297" w:rsidRPr="00D83D8E" w:rsidRDefault="005C3297" w:rsidP="00D83D8E">
      <w:pPr>
        <w:pStyle w:val="Default"/>
        <w:contextualSpacing/>
        <w:jc w:val="both"/>
        <w:rPr>
          <w:color w:val="auto"/>
          <w:spacing w:val="2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En el Impuesto Sobre Diversiones y Espectáculos Públicos, el resultado obtenido refleja un incremento de </w:t>
      </w:r>
      <w:r w:rsidR="000A53F6" w:rsidRPr="00D83D8E">
        <w:rPr>
          <w:rFonts w:ascii="Arial" w:hAnsi="Arial" w:cs="Arial"/>
          <w:color w:val="000000"/>
          <w:kern w:val="2"/>
        </w:rPr>
        <w:t>22.71</w:t>
      </w:r>
      <w:r w:rsidRPr="00D83D8E">
        <w:rPr>
          <w:rFonts w:ascii="Arial" w:hAnsi="Arial" w:cs="Arial"/>
          <w:color w:val="000000"/>
          <w:kern w:val="2"/>
        </w:rPr>
        <w:t xml:space="preserve"> por ciento en relación con lo estimado en Ley de Ingresos, obteniendo una recaudación mayor por </w:t>
      </w:r>
      <w:r w:rsidR="000A53F6" w:rsidRPr="00D83D8E">
        <w:rPr>
          <w:rFonts w:ascii="Arial" w:hAnsi="Arial" w:cs="Arial"/>
          <w:color w:val="000000"/>
          <w:kern w:val="2"/>
        </w:rPr>
        <w:t>717</w:t>
      </w:r>
      <w:r w:rsidRPr="00D83D8E">
        <w:rPr>
          <w:rFonts w:ascii="Arial" w:hAnsi="Arial" w:cs="Arial"/>
          <w:color w:val="000000"/>
          <w:kern w:val="2"/>
        </w:rPr>
        <w:t xml:space="preserve"> mil pesos; esto como resultado de la presencia fiscal a través de intervenciones en los eventos realizados. </w:t>
      </w:r>
    </w:p>
    <w:p w:rsidR="005C3297" w:rsidRPr="00D83D8E" w:rsidRDefault="005C3297" w:rsidP="00D83D8E">
      <w:pPr>
        <w:contextualSpacing/>
        <w:jc w:val="both"/>
        <w:rPr>
          <w:rFonts w:ascii="Arial" w:hAnsi="Arial" w:cs="Arial"/>
          <w:color w:val="000000"/>
          <w:kern w:val="2"/>
        </w:rPr>
      </w:pPr>
    </w:p>
    <w:p w:rsidR="00A0185F" w:rsidRPr="00D83D8E" w:rsidRDefault="00A0185F" w:rsidP="00D83D8E">
      <w:pPr>
        <w:contextualSpacing/>
        <w:jc w:val="both"/>
        <w:rPr>
          <w:rFonts w:ascii="Arial" w:hAnsi="Arial" w:cs="Arial"/>
          <w:color w:val="000000"/>
          <w:kern w:val="2"/>
        </w:rPr>
      </w:pPr>
    </w:p>
    <w:p w:rsidR="00A0185F" w:rsidRPr="00D83D8E" w:rsidRDefault="00A0185F" w:rsidP="00D83D8E">
      <w:pPr>
        <w:contextualSpacing/>
        <w:jc w:val="both"/>
        <w:rPr>
          <w:rFonts w:ascii="Arial" w:hAnsi="Arial" w:cs="Arial"/>
          <w:color w:val="000000"/>
          <w:kern w:val="2"/>
        </w:rPr>
      </w:pPr>
    </w:p>
    <w:p w:rsidR="00A0185F" w:rsidRPr="00D83D8E" w:rsidRDefault="00A0185F"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lastRenderedPageBreak/>
        <w:t xml:space="preserve">Con respecto al Impuesto Sobre Tenencia o Uso de Vehículos, se observa un comportamiento positivo del </w:t>
      </w:r>
      <w:r w:rsidR="000A53F6" w:rsidRPr="00D83D8E">
        <w:rPr>
          <w:rFonts w:ascii="Arial" w:hAnsi="Arial" w:cs="Arial"/>
          <w:color w:val="000000"/>
          <w:kern w:val="2"/>
        </w:rPr>
        <w:t>5.51</w:t>
      </w:r>
      <w:r w:rsidRPr="00D83D8E">
        <w:rPr>
          <w:rFonts w:ascii="Arial" w:hAnsi="Arial" w:cs="Arial"/>
          <w:color w:val="000000"/>
          <w:kern w:val="2"/>
        </w:rPr>
        <w:t xml:space="preserve"> por ciento respecto a lo estimado en Ley de Ingresos</w:t>
      </w:r>
      <w:r w:rsidR="000A172C" w:rsidRPr="00D83D8E">
        <w:rPr>
          <w:rFonts w:ascii="Arial" w:hAnsi="Arial" w:cs="Arial"/>
          <w:color w:val="000000"/>
          <w:kern w:val="2"/>
        </w:rPr>
        <w:t>.</w:t>
      </w:r>
    </w:p>
    <w:p w:rsidR="000A172C" w:rsidRPr="00D83D8E" w:rsidRDefault="000A172C" w:rsidP="00D83D8E">
      <w:pPr>
        <w:pStyle w:val="Sinespaciado1"/>
        <w:contextualSpacing/>
        <w:jc w:val="both"/>
        <w:rPr>
          <w:rFonts w:ascii="Arial" w:hAnsi="Arial" w:cs="Arial"/>
          <w:spacing w:val="20"/>
          <w:kern w:val="2"/>
          <w:sz w:val="24"/>
          <w:szCs w:val="24"/>
          <w:lang w:eastAsia="es-ES"/>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Los ingresos obtenidos en el Impuesto sobre Erogaciones por Remuneraciones al Trabajo Personal fueron de </w:t>
      </w:r>
      <w:r w:rsidR="000A53F6" w:rsidRPr="00D83D8E">
        <w:rPr>
          <w:rFonts w:ascii="Arial" w:hAnsi="Arial" w:cs="Arial"/>
          <w:color w:val="000000"/>
          <w:kern w:val="2"/>
        </w:rPr>
        <w:t>860</w:t>
      </w:r>
      <w:r w:rsidRPr="00D83D8E">
        <w:rPr>
          <w:rFonts w:ascii="Arial" w:hAnsi="Arial" w:cs="Arial"/>
          <w:color w:val="000000"/>
          <w:kern w:val="2"/>
        </w:rPr>
        <w:t xml:space="preserve"> millones </w:t>
      </w:r>
      <w:r w:rsidR="000A53F6" w:rsidRPr="00D83D8E">
        <w:rPr>
          <w:rFonts w:ascii="Arial" w:hAnsi="Arial" w:cs="Arial"/>
          <w:color w:val="000000"/>
          <w:kern w:val="2"/>
        </w:rPr>
        <w:t>950</w:t>
      </w:r>
      <w:r w:rsidRPr="00D83D8E">
        <w:rPr>
          <w:rFonts w:ascii="Arial" w:hAnsi="Arial" w:cs="Arial"/>
          <w:color w:val="000000"/>
          <w:kern w:val="2"/>
        </w:rPr>
        <w:t xml:space="preserve"> mil pesos. El comportamiento respecto a lo estimado en Ley de Ingresos presenta un crecimiento de </w:t>
      </w:r>
      <w:r w:rsidR="000A53F6" w:rsidRPr="00D83D8E">
        <w:rPr>
          <w:rFonts w:ascii="Arial" w:hAnsi="Arial" w:cs="Arial"/>
          <w:color w:val="000000"/>
          <w:kern w:val="2"/>
        </w:rPr>
        <w:t>75.72</w:t>
      </w:r>
      <w:r w:rsidRPr="00D83D8E">
        <w:rPr>
          <w:rFonts w:ascii="Arial" w:hAnsi="Arial" w:cs="Arial"/>
          <w:color w:val="000000"/>
          <w:kern w:val="2"/>
        </w:rPr>
        <w:t xml:space="preserve"> por ciento. Dentro de las acciones que permitieron obtener este resultado, fue la modificación a la legislación estatal lo que permitió incrementar el padrón de contribuyentes.</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En el Impuesto Sobre la Prestación de Servicios de Hospedaje, los ingresos obtenidos se ubicaron con un crecimiento respecto a la Ley de Ingresos en </w:t>
      </w:r>
      <w:r w:rsidR="006B1F2F" w:rsidRPr="00D83D8E">
        <w:rPr>
          <w:rFonts w:ascii="Arial" w:hAnsi="Arial" w:cs="Arial"/>
          <w:color w:val="000000"/>
          <w:kern w:val="2"/>
        </w:rPr>
        <w:t>15.38</w:t>
      </w:r>
      <w:r w:rsidRPr="00D83D8E">
        <w:rPr>
          <w:rFonts w:ascii="Arial" w:hAnsi="Arial" w:cs="Arial"/>
          <w:color w:val="000000"/>
          <w:kern w:val="2"/>
        </w:rPr>
        <w:t xml:space="preserve"> por ciento, observándose el mismo comportamiento con lo registrado en el ejercicio 201</w:t>
      </w:r>
      <w:r w:rsidR="006B1F2F" w:rsidRPr="00D83D8E">
        <w:rPr>
          <w:rFonts w:ascii="Arial" w:hAnsi="Arial" w:cs="Arial"/>
          <w:color w:val="000000"/>
          <w:kern w:val="2"/>
        </w:rPr>
        <w:t>4</w:t>
      </w:r>
      <w:r w:rsidRPr="00D83D8E">
        <w:rPr>
          <w:rFonts w:ascii="Arial" w:hAnsi="Arial" w:cs="Arial"/>
          <w:color w:val="000000"/>
          <w:kern w:val="2"/>
        </w:rPr>
        <w:t xml:space="preserve"> en</w:t>
      </w:r>
      <w:r w:rsidR="006B1F2F" w:rsidRPr="00D83D8E">
        <w:rPr>
          <w:rFonts w:ascii="Arial" w:hAnsi="Arial" w:cs="Arial"/>
          <w:color w:val="000000"/>
          <w:kern w:val="2"/>
        </w:rPr>
        <w:t xml:space="preserve"> 17.63</w:t>
      </w:r>
      <w:r w:rsidRPr="00D83D8E">
        <w:rPr>
          <w:rFonts w:ascii="Arial" w:hAnsi="Arial" w:cs="Arial"/>
          <w:color w:val="000000"/>
          <w:kern w:val="2"/>
        </w:rPr>
        <w:t xml:space="preserve"> por ciento en términos reales.</w:t>
      </w:r>
    </w:p>
    <w:p w:rsidR="00775528" w:rsidRPr="00D83D8E" w:rsidRDefault="00775528" w:rsidP="00D83D8E">
      <w:pPr>
        <w:contextualSpacing/>
        <w:jc w:val="both"/>
        <w:rPr>
          <w:rFonts w:ascii="Arial" w:hAnsi="Arial" w:cs="Arial"/>
          <w:color w:val="000000"/>
          <w:kern w:val="2"/>
        </w:rPr>
      </w:pPr>
    </w:p>
    <w:p w:rsidR="00671BFE" w:rsidRPr="00D83D8E" w:rsidRDefault="00775528" w:rsidP="00D83D8E">
      <w:pPr>
        <w:contextualSpacing/>
        <w:jc w:val="both"/>
        <w:rPr>
          <w:rFonts w:ascii="Arial" w:hAnsi="Arial" w:cs="Arial"/>
          <w:spacing w:val="20"/>
          <w:kern w:val="2"/>
        </w:rPr>
      </w:pPr>
      <w:r w:rsidRPr="00D83D8E">
        <w:rPr>
          <w:noProof/>
          <w:kern w:val="2"/>
          <w:lang w:val="es-MX" w:eastAsia="es-MX"/>
        </w:rPr>
        <w:lastRenderedPageBreak/>
        <w:drawing>
          <wp:inline distT="0" distB="0" distL="0" distR="0">
            <wp:extent cx="5598543" cy="5062733"/>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5604" cy="5069119"/>
                    </a:xfrm>
                    <a:prstGeom prst="rect">
                      <a:avLst/>
                    </a:prstGeom>
                    <a:noFill/>
                    <a:ln>
                      <a:noFill/>
                    </a:ln>
                  </pic:spPr>
                </pic:pic>
              </a:graphicData>
            </a:graphic>
          </wp:inline>
        </w:drawing>
      </w:r>
    </w:p>
    <w:p w:rsidR="00775528" w:rsidRPr="00D83D8E" w:rsidRDefault="00775528"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9C21C0" w:rsidRPr="00D83D8E" w:rsidRDefault="009C21C0" w:rsidP="00D83D8E">
      <w:pPr>
        <w:contextualSpacing/>
        <w:jc w:val="both"/>
        <w:rPr>
          <w:rFonts w:ascii="Arial" w:hAnsi="Arial" w:cs="Arial"/>
          <w:b/>
          <w:bCs/>
          <w:spacing w:val="20"/>
          <w:kern w:val="2"/>
        </w:rPr>
      </w:pPr>
    </w:p>
    <w:p w:rsidR="005C3297" w:rsidRPr="00D83D8E" w:rsidRDefault="00DA4A1B" w:rsidP="00D83D8E">
      <w:pPr>
        <w:contextualSpacing/>
        <w:jc w:val="both"/>
        <w:rPr>
          <w:rFonts w:ascii="Arial" w:hAnsi="Arial" w:cs="Arial"/>
          <w:b/>
          <w:bCs/>
          <w:spacing w:val="20"/>
          <w:kern w:val="2"/>
        </w:rPr>
      </w:pPr>
      <w:r>
        <w:rPr>
          <w:rFonts w:ascii="Arial" w:hAnsi="Arial" w:cs="Arial"/>
          <w:b/>
          <w:bCs/>
          <w:spacing w:val="20"/>
          <w:kern w:val="2"/>
        </w:rPr>
        <w:lastRenderedPageBreak/>
        <w:t>3.2.4.1.1.-</w:t>
      </w:r>
      <w:r w:rsidR="00E91C2E" w:rsidRPr="00D83D8E">
        <w:rPr>
          <w:rFonts w:ascii="Arial" w:hAnsi="Arial" w:cs="Arial"/>
          <w:b/>
          <w:bCs/>
          <w:spacing w:val="20"/>
          <w:kern w:val="2"/>
        </w:rPr>
        <w:t xml:space="preserve">OTROS INGRESOS DE GESTIÓN </w:t>
      </w:r>
    </w:p>
    <w:p w:rsidR="005C3297" w:rsidRPr="00D83D8E" w:rsidRDefault="005C3297" w:rsidP="00D83D8E">
      <w:pPr>
        <w:pStyle w:val="xl35"/>
        <w:pBdr>
          <w:left w:val="none" w:sz="0" w:space="0" w:color="auto"/>
          <w:right w:val="none" w:sz="0" w:space="0" w:color="auto"/>
        </w:pBdr>
        <w:tabs>
          <w:tab w:val="left" w:pos="3779"/>
        </w:tabs>
        <w:spacing w:before="0" w:beforeAutospacing="0" w:after="0" w:afterAutospacing="0"/>
        <w:contextualSpacing/>
        <w:jc w:val="both"/>
        <w:rPr>
          <w:rFonts w:ascii="Arial" w:hAnsi="Arial" w:cs="Arial"/>
          <w:spacing w:val="20"/>
          <w:kern w:val="2"/>
          <w:lang w:val="es-ES"/>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Los derechos constituyen los ingresos que se obtienen por la prestación de servicios que proporcionan las dependencias y entidades de la administración pública, así como por el uso, goce y aprovechamiento de los bienes de dominio público del Estado.</w:t>
      </w:r>
    </w:p>
    <w:p w:rsidR="008E766E" w:rsidRPr="00D83D8E" w:rsidRDefault="008E766E" w:rsidP="00D83D8E">
      <w:pPr>
        <w:contextualSpacing/>
        <w:jc w:val="both"/>
        <w:rPr>
          <w:rFonts w:ascii="Arial" w:hAnsi="Arial" w:cs="Arial"/>
          <w:color w:val="000000"/>
          <w:kern w:val="2"/>
        </w:rPr>
      </w:pPr>
    </w:p>
    <w:p w:rsidR="00D1290D" w:rsidRPr="00D83D8E" w:rsidRDefault="00D1290D" w:rsidP="00D83D8E">
      <w:pPr>
        <w:contextualSpacing/>
        <w:jc w:val="both"/>
        <w:rPr>
          <w:rFonts w:ascii="Arial" w:hAnsi="Arial" w:cs="Arial"/>
          <w:color w:val="000000"/>
          <w:kern w:val="2"/>
        </w:rPr>
      </w:pPr>
    </w:p>
    <w:p w:rsidR="00D1290D" w:rsidRPr="00D83D8E" w:rsidRDefault="00D1290D" w:rsidP="00D83D8E">
      <w:pPr>
        <w:contextualSpacing/>
        <w:jc w:val="center"/>
        <w:rPr>
          <w:rFonts w:ascii="Arial" w:hAnsi="Arial" w:cs="Arial"/>
          <w:color w:val="000000"/>
          <w:kern w:val="2"/>
        </w:rPr>
      </w:pPr>
      <w:r w:rsidRPr="00D83D8E">
        <w:rPr>
          <w:noProof/>
          <w:kern w:val="2"/>
          <w:lang w:val="es-MX" w:eastAsia="es-MX"/>
        </w:rPr>
        <w:drawing>
          <wp:inline distT="0" distB="0" distL="0" distR="0">
            <wp:extent cx="4221862" cy="340785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6750" cy="3411803"/>
                    </a:xfrm>
                    <a:prstGeom prst="rect">
                      <a:avLst/>
                    </a:prstGeom>
                    <a:noFill/>
                    <a:ln>
                      <a:noFill/>
                    </a:ln>
                  </pic:spPr>
                </pic:pic>
              </a:graphicData>
            </a:graphic>
          </wp:inline>
        </w:drawing>
      </w:r>
    </w:p>
    <w:p w:rsidR="00D1290D" w:rsidRPr="00D83D8E" w:rsidRDefault="00D1290D" w:rsidP="00D83D8E">
      <w:pPr>
        <w:contextualSpacing/>
        <w:jc w:val="both"/>
        <w:rPr>
          <w:rFonts w:ascii="Arial" w:hAnsi="Arial" w:cs="Arial"/>
          <w:color w:val="000000"/>
          <w:kern w:val="2"/>
        </w:rPr>
      </w:pPr>
    </w:p>
    <w:p w:rsidR="00D1290D" w:rsidRPr="00D83D8E" w:rsidRDefault="00D1290D"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spacing w:val="20"/>
          <w:kern w:val="2"/>
        </w:rPr>
      </w:pPr>
    </w:p>
    <w:p w:rsidR="00F9460E"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En el ejercicio 201</w:t>
      </w:r>
      <w:r w:rsidR="008E766E" w:rsidRPr="00D83D8E">
        <w:rPr>
          <w:rFonts w:ascii="Arial" w:hAnsi="Arial" w:cs="Arial"/>
          <w:color w:val="000000"/>
          <w:kern w:val="2"/>
        </w:rPr>
        <w:t>5</w:t>
      </w:r>
      <w:r w:rsidRPr="00D83D8E">
        <w:rPr>
          <w:rFonts w:ascii="Arial" w:hAnsi="Arial" w:cs="Arial"/>
          <w:color w:val="000000"/>
          <w:kern w:val="2"/>
        </w:rPr>
        <w:t xml:space="preserve">, se obtuvieron por concepto de Derechos 1 mil </w:t>
      </w:r>
      <w:r w:rsidR="008E766E" w:rsidRPr="00D83D8E">
        <w:rPr>
          <w:rFonts w:ascii="Arial" w:hAnsi="Arial" w:cs="Arial"/>
          <w:color w:val="000000"/>
          <w:kern w:val="2"/>
        </w:rPr>
        <w:t>330</w:t>
      </w:r>
      <w:r w:rsidR="00AA4F51" w:rsidRPr="00D83D8E">
        <w:rPr>
          <w:rFonts w:ascii="Arial" w:hAnsi="Arial" w:cs="Arial"/>
          <w:color w:val="000000"/>
          <w:kern w:val="2"/>
        </w:rPr>
        <w:t xml:space="preserve"> </w:t>
      </w:r>
      <w:r w:rsidRPr="00D83D8E">
        <w:rPr>
          <w:rFonts w:ascii="Arial" w:hAnsi="Arial" w:cs="Arial"/>
          <w:color w:val="000000"/>
          <w:kern w:val="2"/>
        </w:rPr>
        <w:t xml:space="preserve">millones  </w:t>
      </w:r>
      <w:r w:rsidR="00D1290D" w:rsidRPr="00D83D8E">
        <w:rPr>
          <w:rFonts w:ascii="Arial" w:hAnsi="Arial" w:cs="Arial"/>
          <w:color w:val="000000"/>
          <w:kern w:val="2"/>
        </w:rPr>
        <w:t xml:space="preserve">153 </w:t>
      </w:r>
      <w:r w:rsidRPr="00D83D8E">
        <w:rPr>
          <w:rFonts w:ascii="Arial" w:hAnsi="Arial" w:cs="Arial"/>
          <w:color w:val="000000"/>
          <w:kern w:val="2"/>
        </w:rPr>
        <w:t xml:space="preserve">mil pesos, cifra superior a la meta establecida por </w:t>
      </w:r>
      <w:r w:rsidR="00D1290D" w:rsidRPr="00D83D8E">
        <w:rPr>
          <w:rFonts w:ascii="Arial" w:hAnsi="Arial" w:cs="Arial"/>
          <w:color w:val="000000"/>
          <w:kern w:val="2"/>
        </w:rPr>
        <w:t>3.07</w:t>
      </w:r>
      <w:r w:rsidRPr="00D83D8E">
        <w:rPr>
          <w:rFonts w:ascii="Arial" w:hAnsi="Arial" w:cs="Arial"/>
          <w:color w:val="000000"/>
          <w:kern w:val="2"/>
        </w:rPr>
        <w:t xml:space="preserve"> por ciento</w:t>
      </w:r>
      <w:r w:rsidR="00E31D79" w:rsidRPr="00D83D8E">
        <w:rPr>
          <w:rFonts w:ascii="Arial" w:hAnsi="Arial" w:cs="Arial"/>
          <w:color w:val="000000"/>
          <w:kern w:val="2"/>
        </w:rPr>
        <w:t>.</w:t>
      </w:r>
    </w:p>
    <w:p w:rsidR="00F9460E" w:rsidRPr="00D83D8E" w:rsidRDefault="00F9460E" w:rsidP="00D83D8E">
      <w:pPr>
        <w:contextualSpacing/>
        <w:jc w:val="both"/>
        <w:rPr>
          <w:rFonts w:ascii="Arial" w:hAnsi="Arial" w:cs="Arial"/>
          <w:color w:val="000000"/>
          <w:kern w:val="2"/>
        </w:rPr>
      </w:pPr>
    </w:p>
    <w:p w:rsidR="00F9460E" w:rsidRPr="00D83D8E" w:rsidRDefault="00F9460E" w:rsidP="00D83D8E">
      <w:pPr>
        <w:contextualSpacing/>
        <w:jc w:val="both"/>
        <w:rPr>
          <w:rFonts w:ascii="Arial" w:hAnsi="Arial" w:cs="Arial"/>
          <w:color w:val="000000"/>
          <w:kern w:val="2"/>
        </w:rPr>
      </w:pPr>
      <w:r w:rsidRPr="00D83D8E">
        <w:rPr>
          <w:rFonts w:ascii="Arial" w:hAnsi="Arial" w:cs="Arial"/>
          <w:color w:val="000000"/>
          <w:kern w:val="2"/>
        </w:rPr>
        <w:t>Los ingresos por Productos obtenidos en el ejercicio 201</w:t>
      </w:r>
      <w:r w:rsidR="00322707" w:rsidRPr="00D83D8E">
        <w:rPr>
          <w:rFonts w:ascii="Arial" w:hAnsi="Arial" w:cs="Arial"/>
          <w:color w:val="000000"/>
          <w:kern w:val="2"/>
        </w:rPr>
        <w:t>5 ascienden a 38</w:t>
      </w:r>
      <w:r w:rsidRPr="00D83D8E">
        <w:rPr>
          <w:rFonts w:ascii="Arial" w:hAnsi="Arial" w:cs="Arial"/>
          <w:color w:val="000000"/>
          <w:kern w:val="2"/>
        </w:rPr>
        <w:t xml:space="preserve"> millones </w:t>
      </w:r>
      <w:r w:rsidR="00322707" w:rsidRPr="00D83D8E">
        <w:rPr>
          <w:rFonts w:ascii="Arial" w:hAnsi="Arial" w:cs="Arial"/>
          <w:color w:val="000000"/>
          <w:kern w:val="2"/>
        </w:rPr>
        <w:t>190</w:t>
      </w:r>
      <w:r w:rsidRPr="00D83D8E">
        <w:rPr>
          <w:rFonts w:ascii="Arial" w:hAnsi="Arial" w:cs="Arial"/>
          <w:color w:val="000000"/>
          <w:kern w:val="2"/>
        </w:rPr>
        <w:t xml:space="preserve"> mil pesos presentando un comportamiento positivo respecto a lo estimado en Ley de Ingresos de </w:t>
      </w:r>
      <w:r w:rsidR="00322707" w:rsidRPr="00D83D8E">
        <w:rPr>
          <w:rFonts w:ascii="Arial" w:hAnsi="Arial" w:cs="Arial"/>
          <w:color w:val="000000"/>
          <w:kern w:val="2"/>
        </w:rPr>
        <w:t>5.76 por ciento.</w:t>
      </w:r>
    </w:p>
    <w:p w:rsidR="005C3297" w:rsidRPr="00D83D8E" w:rsidRDefault="005C3297" w:rsidP="00D83D8E">
      <w:pPr>
        <w:contextualSpacing/>
        <w:jc w:val="both"/>
        <w:rPr>
          <w:rFonts w:ascii="Arial" w:hAnsi="Arial" w:cs="Arial"/>
          <w:color w:val="000000"/>
          <w:kern w:val="2"/>
        </w:rPr>
      </w:pPr>
    </w:p>
    <w:p w:rsidR="00D62889" w:rsidRPr="00D83D8E" w:rsidRDefault="00D62889" w:rsidP="00D83D8E">
      <w:pPr>
        <w:contextualSpacing/>
        <w:jc w:val="both"/>
        <w:rPr>
          <w:rFonts w:ascii="Arial" w:hAnsi="Arial" w:cs="Arial"/>
          <w:color w:val="000000"/>
          <w:kern w:val="2"/>
        </w:rPr>
      </w:pPr>
    </w:p>
    <w:p w:rsidR="00783485" w:rsidRDefault="00783485">
      <w:pPr>
        <w:rPr>
          <w:rFonts w:ascii="Arial" w:hAnsi="Arial" w:cs="Arial"/>
          <w:color w:val="000000"/>
          <w:kern w:val="2"/>
        </w:rPr>
      </w:pPr>
      <w:r>
        <w:rPr>
          <w:rFonts w:ascii="Arial" w:hAnsi="Arial" w:cs="Arial"/>
          <w:color w:val="000000"/>
          <w:kern w:val="2"/>
        </w:rPr>
        <w:br w:type="page"/>
      </w: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lastRenderedPageBreak/>
        <w:t>Los Aprovechamientos por su parte, generaron en 201</w:t>
      </w:r>
      <w:r w:rsidR="009C21C0" w:rsidRPr="00D83D8E">
        <w:rPr>
          <w:rFonts w:ascii="Arial" w:hAnsi="Arial" w:cs="Arial"/>
          <w:color w:val="000000"/>
          <w:kern w:val="2"/>
        </w:rPr>
        <w:t>5</w:t>
      </w:r>
      <w:r w:rsidR="00490CB9" w:rsidRPr="00D83D8E">
        <w:rPr>
          <w:rFonts w:ascii="Arial" w:hAnsi="Arial" w:cs="Arial"/>
          <w:color w:val="000000"/>
          <w:kern w:val="2"/>
        </w:rPr>
        <w:t xml:space="preserve"> ingresos del orden de 1 mil </w:t>
      </w:r>
      <w:r w:rsidR="009C21C0" w:rsidRPr="00D83D8E">
        <w:rPr>
          <w:rFonts w:ascii="Arial" w:hAnsi="Arial" w:cs="Arial"/>
          <w:color w:val="000000"/>
          <w:kern w:val="2"/>
        </w:rPr>
        <w:t>890</w:t>
      </w:r>
      <w:r w:rsidRPr="00D83D8E">
        <w:rPr>
          <w:rFonts w:ascii="Arial" w:hAnsi="Arial" w:cs="Arial"/>
          <w:color w:val="000000"/>
          <w:kern w:val="2"/>
        </w:rPr>
        <w:t xml:space="preserve"> millones </w:t>
      </w:r>
      <w:r w:rsidR="009C21C0" w:rsidRPr="00D83D8E">
        <w:rPr>
          <w:rFonts w:ascii="Arial" w:hAnsi="Arial" w:cs="Arial"/>
          <w:color w:val="000000"/>
          <w:kern w:val="2"/>
        </w:rPr>
        <w:t>899</w:t>
      </w:r>
      <w:r w:rsidRPr="00D83D8E">
        <w:rPr>
          <w:rFonts w:ascii="Arial" w:hAnsi="Arial" w:cs="Arial"/>
          <w:color w:val="000000"/>
          <w:kern w:val="2"/>
        </w:rPr>
        <w:t xml:space="preserve"> mil pesos, superando en </w:t>
      </w:r>
      <w:r w:rsidR="0049263C" w:rsidRPr="00D83D8E">
        <w:rPr>
          <w:rFonts w:ascii="Arial" w:hAnsi="Arial" w:cs="Arial"/>
          <w:color w:val="000000"/>
          <w:kern w:val="2"/>
        </w:rPr>
        <w:t>14</w:t>
      </w:r>
      <w:r w:rsidR="009C21C0" w:rsidRPr="00D83D8E">
        <w:rPr>
          <w:rFonts w:ascii="Arial" w:hAnsi="Arial" w:cs="Arial"/>
          <w:color w:val="000000"/>
          <w:kern w:val="2"/>
        </w:rPr>
        <w:t>4.94</w:t>
      </w:r>
      <w:r w:rsidRPr="00D83D8E">
        <w:rPr>
          <w:rFonts w:ascii="Arial" w:hAnsi="Arial" w:cs="Arial"/>
          <w:color w:val="000000"/>
          <w:kern w:val="2"/>
        </w:rPr>
        <w:t xml:space="preserve"> por ciento a la meta establecida en la Ley de Ingreso</w:t>
      </w:r>
      <w:r w:rsidR="003809F6" w:rsidRPr="00D83D8E">
        <w:rPr>
          <w:rFonts w:ascii="Arial" w:hAnsi="Arial" w:cs="Arial"/>
          <w:color w:val="000000"/>
          <w:kern w:val="2"/>
        </w:rPr>
        <w:t>s.</w:t>
      </w:r>
      <w:r w:rsidRPr="00D83D8E">
        <w:rPr>
          <w:rFonts w:ascii="Arial" w:hAnsi="Arial" w:cs="Arial"/>
          <w:color w:val="000000"/>
          <w:kern w:val="2"/>
        </w:rPr>
        <w:t xml:space="preserve"> Es importante señalar que en este rubro se registran los incentivos que derivan del Convenio de Colaboración Administrativa en Materia Fiscal Federal, las aportaciones o donativos que recibe el Estado ya sea en efectivo o en especie, retardos e inasistencias originados por el personal, que son concentrados por las entidades y dependencias del gobierno,  así como estímulos fiscales de ISR.</w:t>
      </w:r>
    </w:p>
    <w:p w:rsidR="005C3297" w:rsidRPr="00D83D8E" w:rsidRDefault="005C3297" w:rsidP="00D83D8E">
      <w:pPr>
        <w:contextualSpacing/>
        <w:jc w:val="both"/>
        <w:rPr>
          <w:rFonts w:ascii="Arial" w:hAnsi="Arial" w:cs="Arial"/>
          <w:color w:val="000000"/>
          <w:kern w:val="2"/>
        </w:rPr>
      </w:pPr>
    </w:p>
    <w:p w:rsidR="005C3297" w:rsidRDefault="005C3297" w:rsidP="00D83D8E">
      <w:pPr>
        <w:contextualSpacing/>
        <w:jc w:val="both"/>
        <w:rPr>
          <w:rFonts w:ascii="Arial" w:hAnsi="Arial" w:cs="Arial"/>
          <w:color w:val="000000"/>
          <w:kern w:val="2"/>
        </w:rPr>
      </w:pPr>
      <w:r w:rsidRPr="00D83D8E">
        <w:rPr>
          <w:rFonts w:ascii="Arial" w:hAnsi="Arial" w:cs="Arial"/>
          <w:color w:val="000000"/>
          <w:kern w:val="2"/>
        </w:rPr>
        <w:t>Contribuciones no comprendías en las fracciones de la Ley de Ingresos causados en ejercicio</w:t>
      </w:r>
      <w:r w:rsidR="009C50DE" w:rsidRPr="00D83D8E">
        <w:rPr>
          <w:rFonts w:ascii="Arial" w:hAnsi="Arial" w:cs="Arial"/>
          <w:color w:val="000000"/>
          <w:kern w:val="2"/>
        </w:rPr>
        <w:t>s</w:t>
      </w:r>
      <w:r w:rsidRPr="00D83D8E">
        <w:rPr>
          <w:rFonts w:ascii="Arial" w:hAnsi="Arial" w:cs="Arial"/>
          <w:color w:val="000000"/>
          <w:kern w:val="2"/>
        </w:rPr>
        <w:t xml:space="preserve"> fiscales anteriores pendiente de liquidación o pago, por este concepto se recaudaron </w:t>
      </w:r>
      <w:r w:rsidR="009C21C0" w:rsidRPr="00D83D8E">
        <w:rPr>
          <w:rFonts w:ascii="Arial" w:hAnsi="Arial" w:cs="Arial"/>
          <w:color w:val="000000"/>
          <w:kern w:val="2"/>
        </w:rPr>
        <w:t>6</w:t>
      </w:r>
      <w:r w:rsidRPr="00D83D8E">
        <w:rPr>
          <w:rFonts w:ascii="Arial" w:hAnsi="Arial" w:cs="Arial"/>
          <w:color w:val="000000"/>
          <w:kern w:val="2"/>
        </w:rPr>
        <w:t xml:space="preserve"> millones </w:t>
      </w:r>
      <w:r w:rsidR="009C21C0" w:rsidRPr="00D83D8E">
        <w:rPr>
          <w:rFonts w:ascii="Arial" w:hAnsi="Arial" w:cs="Arial"/>
          <w:color w:val="000000"/>
          <w:kern w:val="2"/>
        </w:rPr>
        <w:t>127</w:t>
      </w:r>
      <w:r w:rsidRPr="00D83D8E">
        <w:rPr>
          <w:rFonts w:ascii="Arial" w:hAnsi="Arial" w:cs="Arial"/>
          <w:color w:val="000000"/>
          <w:kern w:val="2"/>
        </w:rPr>
        <w:t xml:space="preserve"> mil pesos y</w:t>
      </w:r>
      <w:r w:rsidR="009C21C0" w:rsidRPr="00D83D8E">
        <w:rPr>
          <w:rFonts w:ascii="Arial" w:hAnsi="Arial" w:cs="Arial"/>
          <w:color w:val="000000"/>
          <w:kern w:val="2"/>
        </w:rPr>
        <w:t xml:space="preserve"> corresponde a la recuperación</w:t>
      </w:r>
      <w:r w:rsidR="00833DD2" w:rsidRPr="00D83D8E">
        <w:rPr>
          <w:rFonts w:ascii="Arial" w:hAnsi="Arial" w:cs="Arial"/>
          <w:color w:val="000000"/>
          <w:kern w:val="2"/>
        </w:rPr>
        <w:t xml:space="preserve"> </w:t>
      </w:r>
      <w:r w:rsidRPr="00D83D8E">
        <w:rPr>
          <w:rFonts w:ascii="Arial" w:hAnsi="Arial" w:cs="Arial"/>
          <w:color w:val="000000"/>
          <w:kern w:val="2"/>
        </w:rPr>
        <w:t>adeudos</w:t>
      </w:r>
      <w:r w:rsidR="00674C01" w:rsidRPr="00D83D8E">
        <w:rPr>
          <w:rFonts w:ascii="Arial" w:hAnsi="Arial" w:cs="Arial"/>
          <w:color w:val="000000"/>
          <w:kern w:val="2"/>
        </w:rPr>
        <w:t xml:space="preserve"> de ejercicios anteriores </w:t>
      </w:r>
      <w:r w:rsidRPr="00D83D8E">
        <w:rPr>
          <w:rFonts w:ascii="Arial" w:hAnsi="Arial" w:cs="Arial"/>
          <w:color w:val="000000"/>
          <w:kern w:val="2"/>
        </w:rPr>
        <w:t>del Impuesto sobr</w:t>
      </w:r>
      <w:r w:rsidR="00833DD2" w:rsidRPr="00D83D8E">
        <w:rPr>
          <w:rFonts w:ascii="Arial" w:hAnsi="Arial" w:cs="Arial"/>
          <w:color w:val="000000"/>
          <w:kern w:val="2"/>
        </w:rPr>
        <w:t>e Tenencia Federal, del Régimen de Pequeños Contribuyentes y Régimen Intermedio de las Personas Físicas con Actividades Empresariale</w:t>
      </w:r>
      <w:r w:rsidR="00674C01" w:rsidRPr="00D83D8E">
        <w:rPr>
          <w:rFonts w:ascii="Arial" w:hAnsi="Arial" w:cs="Arial"/>
          <w:color w:val="000000"/>
          <w:kern w:val="2"/>
        </w:rPr>
        <w:t>s.</w:t>
      </w:r>
    </w:p>
    <w:p w:rsidR="00783485" w:rsidRPr="00D83D8E" w:rsidRDefault="00783485" w:rsidP="00D83D8E">
      <w:pPr>
        <w:contextualSpacing/>
        <w:jc w:val="both"/>
        <w:rPr>
          <w:rFonts w:ascii="Arial" w:hAnsi="Arial" w:cs="Arial"/>
          <w:color w:val="000000"/>
          <w:kern w:val="2"/>
        </w:rPr>
      </w:pPr>
    </w:p>
    <w:p w:rsidR="009C21C0" w:rsidRPr="00D83D8E" w:rsidRDefault="009C21C0" w:rsidP="00D83D8E">
      <w:pPr>
        <w:contextualSpacing/>
        <w:jc w:val="both"/>
        <w:rPr>
          <w:rFonts w:ascii="Arial" w:hAnsi="Arial" w:cs="Arial"/>
          <w:color w:val="000000"/>
          <w:kern w:val="2"/>
        </w:rPr>
      </w:pPr>
    </w:p>
    <w:p w:rsidR="009C21C0" w:rsidRPr="00D83D8E" w:rsidRDefault="009C21C0" w:rsidP="00D83D8E">
      <w:pPr>
        <w:contextualSpacing/>
        <w:jc w:val="both"/>
        <w:rPr>
          <w:rFonts w:ascii="Arial" w:hAnsi="Arial" w:cs="Arial"/>
          <w:color w:val="000000"/>
          <w:kern w:val="2"/>
        </w:rPr>
      </w:pPr>
      <w:r w:rsidRPr="00D83D8E">
        <w:rPr>
          <w:noProof/>
          <w:kern w:val="2"/>
          <w:lang w:val="es-MX" w:eastAsia="es-MX"/>
        </w:rPr>
        <w:drawing>
          <wp:inline distT="0" distB="0" distL="0" distR="0">
            <wp:extent cx="5882005" cy="374598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3745985"/>
                    </a:xfrm>
                    <a:prstGeom prst="rect">
                      <a:avLst/>
                    </a:prstGeom>
                    <a:noFill/>
                    <a:ln>
                      <a:noFill/>
                    </a:ln>
                  </pic:spPr>
                </pic:pic>
              </a:graphicData>
            </a:graphic>
          </wp:inline>
        </w:drawing>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p>
    <w:p w:rsidR="004468FA" w:rsidRPr="00D83D8E" w:rsidRDefault="004468FA" w:rsidP="00D83D8E">
      <w:pPr>
        <w:contextualSpacing/>
        <w:jc w:val="both"/>
        <w:rPr>
          <w:rFonts w:ascii="Arial" w:hAnsi="Arial" w:cs="Arial"/>
          <w:color w:val="000000"/>
          <w:kern w:val="2"/>
        </w:rPr>
      </w:pPr>
    </w:p>
    <w:p w:rsidR="00A2576A" w:rsidRDefault="00A2576A">
      <w:pPr>
        <w:rPr>
          <w:rFonts w:ascii="Arial" w:hAnsi="Arial" w:cs="Arial"/>
          <w:b/>
          <w:bCs/>
          <w:spacing w:val="20"/>
          <w:kern w:val="2"/>
        </w:rPr>
      </w:pPr>
    </w:p>
    <w:tbl>
      <w:tblPr>
        <w:tblW w:w="8244" w:type="dxa"/>
        <w:jc w:val="center"/>
        <w:tblInd w:w="56" w:type="dxa"/>
        <w:tblCellMar>
          <w:left w:w="70" w:type="dxa"/>
          <w:right w:w="70" w:type="dxa"/>
        </w:tblCellMar>
        <w:tblLook w:val="04A0"/>
      </w:tblPr>
      <w:tblGrid>
        <w:gridCol w:w="185"/>
        <w:gridCol w:w="6350"/>
        <w:gridCol w:w="185"/>
        <w:gridCol w:w="1339"/>
        <w:gridCol w:w="185"/>
      </w:tblGrid>
      <w:tr w:rsidR="00A2576A" w:rsidRPr="00A2576A" w:rsidTr="00A2576A">
        <w:trPr>
          <w:trHeight w:val="225"/>
          <w:jc w:val="center"/>
        </w:trPr>
        <w:tc>
          <w:tcPr>
            <w:tcW w:w="8244" w:type="dxa"/>
            <w:gridSpan w:val="5"/>
            <w:tcBorders>
              <w:top w:val="single" w:sz="8" w:space="0" w:color="000000"/>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bookmarkStart w:id="0" w:name="RANGE!A1:E66"/>
            <w:r w:rsidRPr="00A2576A">
              <w:rPr>
                <w:rFonts w:ascii="Arial" w:hAnsi="Arial" w:cs="Arial"/>
                <w:b/>
                <w:bCs/>
                <w:sz w:val="16"/>
                <w:szCs w:val="16"/>
                <w:lang w:val="es-MX" w:eastAsia="es-MX"/>
              </w:rPr>
              <w:t>OTROS INGRESOS DE GESTIÓN</w:t>
            </w:r>
            <w:bookmarkEnd w:id="0"/>
          </w:p>
        </w:tc>
      </w:tr>
      <w:tr w:rsidR="00A2576A" w:rsidRPr="00A2576A" w:rsidTr="00A2576A">
        <w:trPr>
          <w:trHeight w:val="225"/>
          <w:jc w:val="center"/>
        </w:trPr>
        <w:tc>
          <w:tcPr>
            <w:tcW w:w="8244" w:type="dxa"/>
            <w:gridSpan w:val="5"/>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DEL 1 DE ENERO AL 31 DE DICIEMBRE DE 2015</w:t>
            </w:r>
          </w:p>
        </w:tc>
      </w:tr>
      <w:tr w:rsidR="00A2576A" w:rsidRPr="00A2576A" w:rsidTr="00A2576A">
        <w:trPr>
          <w:trHeight w:val="240"/>
          <w:jc w:val="center"/>
        </w:trPr>
        <w:tc>
          <w:tcPr>
            <w:tcW w:w="8244" w:type="dxa"/>
            <w:gridSpan w:val="5"/>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sz w:val="16"/>
                <w:szCs w:val="16"/>
                <w:lang w:val="es-MX" w:eastAsia="es-MX"/>
              </w:rPr>
            </w:pPr>
            <w:r w:rsidRPr="00A2576A">
              <w:rPr>
                <w:rFonts w:ascii="Arial" w:hAnsi="Arial" w:cs="Arial"/>
                <w:sz w:val="16"/>
                <w:szCs w:val="16"/>
                <w:lang w:val="es-MX" w:eastAsia="es-MX"/>
              </w:rPr>
              <w:t>( Pesos )</w:t>
            </w:r>
          </w:p>
        </w:tc>
      </w:tr>
      <w:tr w:rsidR="00A2576A" w:rsidRPr="00A2576A" w:rsidTr="00A2576A">
        <w:trPr>
          <w:trHeight w:val="225"/>
          <w:jc w:val="center"/>
        </w:trPr>
        <w:tc>
          <w:tcPr>
            <w:tcW w:w="8244" w:type="dxa"/>
            <w:gridSpan w:val="5"/>
            <w:tcBorders>
              <w:top w:val="single" w:sz="8" w:space="0" w:color="auto"/>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DERECHOS</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IMPORTE</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DERECHOS POR EL USO, GOCE, APROVECHAMIENTO O EXPLOTACIÓN DE BIENES DE DOMINIO PÚBLICO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Secretaría de las Culturas  y Artes de Oaxaca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3,223,567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Secretaría de Administración</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1,223,806</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Casa de la Cultura Oaxaqueña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1,928</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Jardín </w:t>
            </w:r>
            <w:proofErr w:type="spellStart"/>
            <w:r w:rsidRPr="00A2576A">
              <w:rPr>
                <w:rFonts w:ascii="Arial" w:hAnsi="Arial" w:cs="Arial"/>
                <w:sz w:val="16"/>
                <w:szCs w:val="16"/>
                <w:lang w:val="es-MX" w:eastAsia="es-MX"/>
              </w:rPr>
              <w:t>Etnobotánico</w:t>
            </w:r>
            <w:proofErr w:type="spellEnd"/>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1,944,516</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Centro de las Artes de San Agustín</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116,321</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DERECHOS POR PRESTACIÓN DE SERVICIOS PÚBLICOS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Administración Pública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Comunes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67,924</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Transparencia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2,634</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General de Gobierno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Legalización y Registro de Documentos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2,499,661</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Registro Civil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78,360,361</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Registro Público de la Propiedad y del Comercio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96,261,609</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Protección Civil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1,614,724</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Regularización de la Tenencia de la Tierra Urbana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436,779</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Control y Confianza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5,670,000</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Consejería Jurídica del Gobierno del Estado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Ejercicio Notarial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3,144,905</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Publicaciones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8,249,829</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de Seguridad Pública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Servicios que presta la Secretaría de Seguridad Pública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289,419,699</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de Vialidad y Transporte</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Servicio Público de Transporte y Control Vehicular</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313,463,783</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de Salud y Servicios Coordinados de Salud</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Atención en Salud</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1,151</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Vigilancia y Control Sanitario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1,133,491</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xml:space="preserve">Secretaría de las </w:t>
            </w:r>
            <w:proofErr w:type="spellStart"/>
            <w:r w:rsidRPr="00A2576A">
              <w:rPr>
                <w:rFonts w:ascii="Arial" w:hAnsi="Arial" w:cs="Arial"/>
                <w:b/>
                <w:bCs/>
                <w:sz w:val="16"/>
                <w:szCs w:val="16"/>
                <w:lang w:val="es-MX" w:eastAsia="es-MX"/>
              </w:rPr>
              <w:t>Infraestructruras</w:t>
            </w:r>
            <w:proofErr w:type="spellEnd"/>
            <w:r w:rsidRPr="00A2576A">
              <w:rPr>
                <w:rFonts w:ascii="Arial" w:hAnsi="Arial" w:cs="Arial"/>
                <w:b/>
                <w:bCs/>
                <w:sz w:val="16"/>
                <w:szCs w:val="16"/>
                <w:lang w:val="es-MX" w:eastAsia="es-MX"/>
              </w:rPr>
              <w:t xml:space="preserve"> y el Ordenamiento Territorial Sustentable</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Servicios relacionados con  Obra Pública y Protección Ambiental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98,438,630</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de Turismo y Desarrollo Económico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Eventos Lunes del Cerro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20,038,117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de las Culturas y Artes de Oaxaca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Casa de la Cultura Oaxaqueña </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3,673,180</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Artes Plásticas Rufino Tamayo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74,447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Centro de Iniciación Musical de Oaxaca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268,355</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de Finanzas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Relacionados con la Hacienda Pública Estatal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1,176,601</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Servicios Catastrales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64,351,777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de Administración</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Relacionados con el Registro, Adquisiciones y Permisos</w:t>
            </w:r>
          </w:p>
        </w:tc>
        <w:tc>
          <w:tcPr>
            <w:tcW w:w="185" w:type="dxa"/>
            <w:tcBorders>
              <w:top w:val="nil"/>
              <w:left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130,815,355</w:t>
            </w:r>
          </w:p>
        </w:tc>
        <w:tc>
          <w:tcPr>
            <w:tcW w:w="185" w:type="dxa"/>
            <w:tcBorders>
              <w:top w:val="nil"/>
              <w:left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single" w:sz="8" w:space="0" w:color="auto"/>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Archivo del Poder Ejecutivo </w:t>
            </w:r>
          </w:p>
        </w:tc>
        <w:tc>
          <w:tcPr>
            <w:tcW w:w="185" w:type="dxa"/>
            <w:tcBorders>
              <w:top w:val="nil"/>
              <w:left w:val="nil"/>
              <w:bottom w:val="single" w:sz="8" w:space="0" w:color="auto"/>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single" w:sz="8" w:space="0" w:color="auto"/>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32,453</w:t>
            </w:r>
          </w:p>
        </w:tc>
        <w:tc>
          <w:tcPr>
            <w:tcW w:w="185" w:type="dxa"/>
            <w:tcBorders>
              <w:top w:val="nil"/>
              <w:left w:val="nil"/>
              <w:bottom w:val="single" w:sz="8" w:space="0" w:color="auto"/>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bl>
    <w:p w:rsidR="00A2576A" w:rsidRPr="00A2576A" w:rsidRDefault="00A2576A" w:rsidP="00A2576A">
      <w:pPr>
        <w:jc w:val="right"/>
        <w:rPr>
          <w:sz w:val="16"/>
        </w:rPr>
      </w:pPr>
      <w:r w:rsidRPr="00A2576A">
        <w:rPr>
          <w:sz w:val="16"/>
        </w:rPr>
        <w:t>Continua…</w:t>
      </w:r>
      <w:proofErr w:type="gramStart"/>
      <w:r w:rsidRPr="00A2576A">
        <w:rPr>
          <w:sz w:val="16"/>
        </w:rPr>
        <w:t>..</w:t>
      </w:r>
      <w:proofErr w:type="gramEnd"/>
    </w:p>
    <w:p w:rsidR="00A2576A" w:rsidRDefault="00A2576A"/>
    <w:p w:rsidR="00A2576A" w:rsidRDefault="00A2576A"/>
    <w:p w:rsidR="00A2576A" w:rsidRDefault="00A2576A"/>
    <w:p w:rsidR="00A2576A" w:rsidRDefault="00A2576A"/>
    <w:p w:rsidR="00A2576A" w:rsidRDefault="00A2576A"/>
    <w:tbl>
      <w:tblPr>
        <w:tblW w:w="8244" w:type="dxa"/>
        <w:jc w:val="center"/>
        <w:tblInd w:w="56" w:type="dxa"/>
        <w:tblCellMar>
          <w:left w:w="70" w:type="dxa"/>
          <w:right w:w="70" w:type="dxa"/>
        </w:tblCellMar>
        <w:tblLook w:val="04A0"/>
      </w:tblPr>
      <w:tblGrid>
        <w:gridCol w:w="185"/>
        <w:gridCol w:w="6350"/>
        <w:gridCol w:w="185"/>
        <w:gridCol w:w="1339"/>
        <w:gridCol w:w="185"/>
      </w:tblGrid>
      <w:tr w:rsidR="00783485" w:rsidRPr="00A2576A" w:rsidTr="00DF05A6">
        <w:trPr>
          <w:trHeight w:val="225"/>
          <w:jc w:val="center"/>
        </w:trPr>
        <w:tc>
          <w:tcPr>
            <w:tcW w:w="8244" w:type="dxa"/>
            <w:gridSpan w:val="5"/>
            <w:tcBorders>
              <w:top w:val="single" w:sz="8" w:space="0" w:color="000000"/>
              <w:left w:val="single" w:sz="8" w:space="0" w:color="auto"/>
              <w:bottom w:val="nil"/>
              <w:right w:val="single" w:sz="8" w:space="0" w:color="000000"/>
            </w:tcBorders>
            <w:shd w:val="clear" w:color="auto" w:fill="auto"/>
            <w:noWrap/>
            <w:vAlign w:val="bottom"/>
            <w:hideMark/>
          </w:tcPr>
          <w:p w:rsidR="00783485" w:rsidRPr="00A2576A" w:rsidRDefault="00783485" w:rsidP="00DF05A6">
            <w:pPr>
              <w:jc w:val="center"/>
              <w:rPr>
                <w:rFonts w:ascii="Arial" w:hAnsi="Arial" w:cs="Arial"/>
                <w:b/>
                <w:bCs/>
                <w:sz w:val="16"/>
                <w:szCs w:val="16"/>
                <w:lang w:val="es-MX" w:eastAsia="es-MX"/>
              </w:rPr>
            </w:pPr>
            <w:r w:rsidRPr="00A2576A">
              <w:rPr>
                <w:rFonts w:ascii="Arial" w:hAnsi="Arial" w:cs="Arial"/>
                <w:b/>
                <w:bCs/>
                <w:sz w:val="16"/>
                <w:szCs w:val="16"/>
                <w:lang w:val="es-MX" w:eastAsia="es-MX"/>
              </w:rPr>
              <w:t>OTROS INGRESOS DE GESTIÓN</w:t>
            </w:r>
          </w:p>
        </w:tc>
      </w:tr>
      <w:tr w:rsidR="00783485" w:rsidRPr="00A2576A" w:rsidTr="00DF05A6">
        <w:trPr>
          <w:trHeight w:val="225"/>
          <w:jc w:val="center"/>
        </w:trPr>
        <w:tc>
          <w:tcPr>
            <w:tcW w:w="8244" w:type="dxa"/>
            <w:gridSpan w:val="5"/>
            <w:tcBorders>
              <w:top w:val="nil"/>
              <w:left w:val="single" w:sz="8" w:space="0" w:color="auto"/>
              <w:bottom w:val="nil"/>
              <w:right w:val="single" w:sz="8" w:space="0" w:color="000000"/>
            </w:tcBorders>
            <w:shd w:val="clear" w:color="auto" w:fill="auto"/>
            <w:noWrap/>
            <w:vAlign w:val="bottom"/>
            <w:hideMark/>
          </w:tcPr>
          <w:p w:rsidR="00783485" w:rsidRPr="00A2576A" w:rsidRDefault="00783485" w:rsidP="00DF05A6">
            <w:pPr>
              <w:jc w:val="center"/>
              <w:rPr>
                <w:rFonts w:ascii="Arial" w:hAnsi="Arial" w:cs="Arial"/>
                <w:b/>
                <w:bCs/>
                <w:sz w:val="16"/>
                <w:szCs w:val="16"/>
                <w:lang w:val="es-MX" w:eastAsia="es-MX"/>
              </w:rPr>
            </w:pPr>
            <w:r w:rsidRPr="00A2576A">
              <w:rPr>
                <w:rFonts w:ascii="Arial" w:hAnsi="Arial" w:cs="Arial"/>
                <w:b/>
                <w:bCs/>
                <w:sz w:val="16"/>
                <w:szCs w:val="16"/>
                <w:lang w:val="es-MX" w:eastAsia="es-MX"/>
              </w:rPr>
              <w:t>DEL 1 DE ENERO AL 31 DE DICIEMBRE DE 2015</w:t>
            </w:r>
          </w:p>
        </w:tc>
      </w:tr>
      <w:tr w:rsidR="00783485" w:rsidRPr="00A2576A" w:rsidTr="00DF05A6">
        <w:trPr>
          <w:trHeight w:val="240"/>
          <w:jc w:val="center"/>
        </w:trPr>
        <w:tc>
          <w:tcPr>
            <w:tcW w:w="8244" w:type="dxa"/>
            <w:gridSpan w:val="5"/>
            <w:tcBorders>
              <w:top w:val="nil"/>
              <w:left w:val="single" w:sz="8" w:space="0" w:color="auto"/>
              <w:bottom w:val="nil"/>
              <w:right w:val="single" w:sz="8" w:space="0" w:color="000000"/>
            </w:tcBorders>
            <w:shd w:val="clear" w:color="auto" w:fill="auto"/>
            <w:noWrap/>
            <w:vAlign w:val="bottom"/>
            <w:hideMark/>
          </w:tcPr>
          <w:p w:rsidR="00783485" w:rsidRPr="00A2576A" w:rsidRDefault="00783485" w:rsidP="00DF05A6">
            <w:pPr>
              <w:jc w:val="center"/>
              <w:rPr>
                <w:rFonts w:ascii="Arial" w:hAnsi="Arial" w:cs="Arial"/>
                <w:sz w:val="16"/>
                <w:szCs w:val="16"/>
                <w:lang w:val="es-MX" w:eastAsia="es-MX"/>
              </w:rPr>
            </w:pPr>
            <w:r w:rsidRPr="00A2576A">
              <w:rPr>
                <w:rFonts w:ascii="Arial" w:hAnsi="Arial" w:cs="Arial"/>
                <w:sz w:val="16"/>
                <w:szCs w:val="16"/>
                <w:lang w:val="es-MX" w:eastAsia="es-MX"/>
              </w:rPr>
              <w:t>( Pesos )</w:t>
            </w:r>
          </w:p>
        </w:tc>
      </w:tr>
      <w:tr w:rsidR="00A2576A" w:rsidRPr="00A2576A" w:rsidTr="00A2576A">
        <w:trPr>
          <w:trHeight w:val="225"/>
          <w:jc w:val="center"/>
        </w:trPr>
        <w:tc>
          <w:tcPr>
            <w:tcW w:w="6535" w:type="dxa"/>
            <w:gridSpan w:val="2"/>
            <w:tcBorders>
              <w:top w:val="single" w:sz="8" w:space="0" w:color="auto"/>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Secretaría de la Contraloría y Transparencia Gubernamental</w:t>
            </w:r>
          </w:p>
        </w:tc>
        <w:tc>
          <w:tcPr>
            <w:tcW w:w="185" w:type="dxa"/>
            <w:tcBorders>
              <w:top w:val="single" w:sz="8" w:space="0" w:color="auto"/>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single" w:sz="8" w:space="0" w:color="auto"/>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single" w:sz="8" w:space="0" w:color="auto"/>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Servicios que presta la Secretaría de Contraloría y Transparencia Gubernamental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3,917,165</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xml:space="preserve"> POR LOS SERVICIOS QUE SE PRESTAN EN MATERIA EDUCATIVA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118,943,997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DERECHOS POR PRESTACIÓN DE SERVICIOS RELACIONADOS DE AGUA, ALCANTARILLADO Y DRENAJE</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Comisión Estatal del Agua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22,513,555</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Suministro de Agua Potable</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41,805,411</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DERECHOS POR PRESTACIÓN DE SERVICIOS A CARGO DEL SISTEMA PARA EL DESARROLLO INTEGRAL DE LA FAMILIA</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Sistema DIF</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13,365,355</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OTROS DERECHOS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0</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653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ACCESORIOS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3,902,374</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339"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TOTAL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p>
        </w:tc>
        <w:tc>
          <w:tcPr>
            <w:tcW w:w="1339" w:type="dxa"/>
            <w:tcBorders>
              <w:top w:val="single" w:sz="4" w:space="0" w:color="auto"/>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1,330,153,460</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40"/>
          <w:jc w:val="center"/>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339" w:type="dxa"/>
            <w:tcBorders>
              <w:top w:val="nil"/>
              <w:left w:val="nil"/>
              <w:bottom w:val="double" w:sz="6" w:space="0" w:color="auto"/>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55"/>
          <w:jc w:val="center"/>
        </w:trPr>
        <w:tc>
          <w:tcPr>
            <w:tcW w:w="185" w:type="dxa"/>
            <w:tcBorders>
              <w:top w:val="nil"/>
              <w:left w:val="single" w:sz="8" w:space="0" w:color="auto"/>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350"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85"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339"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85" w:type="dxa"/>
            <w:tcBorders>
              <w:top w:val="nil"/>
              <w:left w:val="nil"/>
              <w:bottom w:val="single" w:sz="8" w:space="0" w:color="auto"/>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bl>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p w:rsidR="00A2576A" w:rsidRDefault="00A2576A">
      <w:pPr>
        <w:rPr>
          <w:rFonts w:ascii="Arial" w:hAnsi="Arial" w:cs="Arial"/>
          <w:b/>
          <w:bCs/>
          <w:spacing w:val="20"/>
          <w:kern w:val="2"/>
        </w:rPr>
      </w:pPr>
    </w:p>
    <w:tbl>
      <w:tblPr>
        <w:tblW w:w="8872" w:type="dxa"/>
        <w:tblInd w:w="53" w:type="dxa"/>
        <w:tblCellMar>
          <w:left w:w="70" w:type="dxa"/>
          <w:right w:w="70" w:type="dxa"/>
        </w:tblCellMar>
        <w:tblLook w:val="04A0"/>
      </w:tblPr>
      <w:tblGrid>
        <w:gridCol w:w="185"/>
        <w:gridCol w:w="7372"/>
        <w:gridCol w:w="1237"/>
        <w:gridCol w:w="185"/>
      </w:tblGrid>
      <w:tr w:rsidR="00A2576A" w:rsidRPr="00A2576A" w:rsidTr="00A2576A">
        <w:trPr>
          <w:trHeight w:val="225"/>
        </w:trPr>
        <w:tc>
          <w:tcPr>
            <w:tcW w:w="8872" w:type="dxa"/>
            <w:gridSpan w:val="4"/>
            <w:tcBorders>
              <w:top w:val="single" w:sz="8" w:space="0" w:color="auto"/>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r>
      <w:tr w:rsidR="00A2576A" w:rsidRPr="00A2576A" w:rsidTr="00A2576A">
        <w:trPr>
          <w:trHeight w:val="225"/>
        </w:trPr>
        <w:tc>
          <w:tcPr>
            <w:tcW w:w="8872" w:type="dxa"/>
            <w:gridSpan w:val="4"/>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OTROS INGRESOS DE GESTIÓN</w:t>
            </w:r>
          </w:p>
        </w:tc>
      </w:tr>
      <w:tr w:rsidR="00A2576A" w:rsidRPr="00A2576A" w:rsidTr="00A2576A">
        <w:trPr>
          <w:trHeight w:val="225"/>
        </w:trPr>
        <w:tc>
          <w:tcPr>
            <w:tcW w:w="8872" w:type="dxa"/>
            <w:gridSpan w:val="4"/>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DEL 1 DE ENERO AL 31 DE DICIEMBRE DE 2015</w:t>
            </w:r>
          </w:p>
        </w:tc>
      </w:tr>
      <w:tr w:rsidR="00A2576A" w:rsidRPr="00A2576A" w:rsidTr="00A2576A">
        <w:trPr>
          <w:trHeight w:val="240"/>
        </w:trPr>
        <w:tc>
          <w:tcPr>
            <w:tcW w:w="8872" w:type="dxa"/>
            <w:gridSpan w:val="4"/>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sz w:val="16"/>
                <w:szCs w:val="16"/>
                <w:lang w:val="es-MX" w:eastAsia="es-MX"/>
              </w:rPr>
            </w:pPr>
            <w:r w:rsidRPr="00A2576A">
              <w:rPr>
                <w:rFonts w:ascii="Arial" w:hAnsi="Arial" w:cs="Arial"/>
                <w:sz w:val="16"/>
                <w:szCs w:val="16"/>
                <w:lang w:val="es-MX" w:eastAsia="es-MX"/>
              </w:rPr>
              <w:t>( Pesos )</w:t>
            </w:r>
          </w:p>
        </w:tc>
      </w:tr>
      <w:tr w:rsidR="00A2576A" w:rsidRPr="00A2576A" w:rsidTr="00A2576A">
        <w:trPr>
          <w:trHeight w:val="225"/>
        </w:trPr>
        <w:tc>
          <w:tcPr>
            <w:tcW w:w="8872" w:type="dxa"/>
            <w:gridSpan w:val="4"/>
            <w:tcBorders>
              <w:top w:val="single" w:sz="8" w:space="0" w:color="auto"/>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r>
      <w:tr w:rsidR="00A2576A" w:rsidRPr="00A2576A" w:rsidTr="00A2576A">
        <w:trPr>
          <w:trHeight w:val="225"/>
        </w:trPr>
        <w:tc>
          <w:tcPr>
            <w:tcW w:w="8752" w:type="dxa"/>
            <w:gridSpan w:val="3"/>
            <w:tcBorders>
              <w:top w:val="nil"/>
              <w:left w:val="single" w:sz="8" w:space="0" w:color="auto"/>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8872" w:type="dxa"/>
            <w:gridSpan w:val="4"/>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PRODUCTOS</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CONCEPTO</w:t>
            </w: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IMPORTE</w:t>
            </w: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540"/>
        </w:trPr>
        <w:tc>
          <w:tcPr>
            <w:tcW w:w="751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jc w:val="both"/>
              <w:rPr>
                <w:rFonts w:ascii="Arial" w:hAnsi="Arial" w:cs="Arial"/>
                <w:b/>
                <w:bCs/>
                <w:sz w:val="16"/>
                <w:szCs w:val="16"/>
                <w:lang w:val="es-MX" w:eastAsia="es-MX"/>
              </w:rPr>
            </w:pPr>
            <w:r w:rsidRPr="00A2576A">
              <w:rPr>
                <w:rFonts w:ascii="Arial" w:hAnsi="Arial" w:cs="Arial"/>
                <w:b/>
                <w:bCs/>
                <w:sz w:val="16"/>
                <w:szCs w:val="16"/>
                <w:lang w:val="es-MX" w:eastAsia="es-MX"/>
              </w:rPr>
              <w:t>Productos Derivados de Uso, Goce y  Aprovechamiento de Bienes no Sujetos a Régimen de Dominio Público</w:t>
            </w: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Productos Financieros Estatales</w:t>
            </w: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37,199,689</w:t>
            </w: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751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Enajenación de Bienes Muebles e Inmuebles</w:t>
            </w: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943,735</w:t>
            </w: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7515"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Otros Productos que Generen Ingresos Corrientes</w:t>
            </w:r>
          </w:p>
        </w:tc>
        <w:tc>
          <w:tcPr>
            <w:tcW w:w="1237"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47,064</w:t>
            </w: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single" w:sz="4"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40"/>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TOTAL</w:t>
            </w:r>
          </w:p>
        </w:tc>
        <w:tc>
          <w:tcPr>
            <w:tcW w:w="1237" w:type="dxa"/>
            <w:tcBorders>
              <w:top w:val="nil"/>
              <w:left w:val="nil"/>
              <w:bottom w:val="double" w:sz="6" w:space="0" w:color="auto"/>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38,190,488</w:t>
            </w: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40"/>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43"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37"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20"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40"/>
        </w:trPr>
        <w:tc>
          <w:tcPr>
            <w:tcW w:w="143" w:type="dxa"/>
            <w:tcBorders>
              <w:top w:val="nil"/>
              <w:left w:val="single" w:sz="8" w:space="0" w:color="auto"/>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7372"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237"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20" w:type="dxa"/>
            <w:tcBorders>
              <w:top w:val="nil"/>
              <w:left w:val="nil"/>
              <w:bottom w:val="single" w:sz="8" w:space="0" w:color="auto"/>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bl>
    <w:p w:rsidR="00A2576A" w:rsidRDefault="00A2576A">
      <w:pPr>
        <w:rPr>
          <w:rFonts w:ascii="Arial" w:hAnsi="Arial" w:cs="Arial"/>
          <w:b/>
          <w:bCs/>
          <w:spacing w:val="20"/>
          <w:kern w:val="2"/>
        </w:rPr>
      </w:pPr>
    </w:p>
    <w:p w:rsidR="00A2576A" w:rsidRDefault="00A2576A">
      <w:pPr>
        <w:rPr>
          <w:rFonts w:ascii="Arial" w:hAnsi="Arial" w:cs="Arial"/>
          <w:b/>
          <w:bCs/>
          <w:spacing w:val="20"/>
          <w:kern w:val="2"/>
        </w:rPr>
      </w:pPr>
      <w:r>
        <w:rPr>
          <w:rFonts w:ascii="Arial" w:hAnsi="Arial" w:cs="Arial"/>
          <w:b/>
          <w:bCs/>
          <w:spacing w:val="20"/>
          <w:kern w:val="2"/>
        </w:rPr>
        <w:br w:type="page"/>
      </w:r>
    </w:p>
    <w:p w:rsidR="00A2576A" w:rsidRDefault="00A2576A">
      <w:pPr>
        <w:rPr>
          <w:rFonts w:ascii="Arial" w:hAnsi="Arial" w:cs="Arial"/>
          <w:b/>
          <w:bCs/>
          <w:spacing w:val="20"/>
          <w:kern w:val="2"/>
        </w:rPr>
      </w:pPr>
    </w:p>
    <w:tbl>
      <w:tblPr>
        <w:tblW w:w="8849" w:type="dxa"/>
        <w:tblInd w:w="53" w:type="dxa"/>
        <w:tblCellMar>
          <w:left w:w="70" w:type="dxa"/>
          <w:right w:w="70" w:type="dxa"/>
        </w:tblCellMar>
        <w:tblLook w:val="04A0"/>
      </w:tblPr>
      <w:tblGrid>
        <w:gridCol w:w="185"/>
        <w:gridCol w:w="6495"/>
        <w:gridCol w:w="185"/>
        <w:gridCol w:w="1799"/>
        <w:gridCol w:w="185"/>
      </w:tblGrid>
      <w:tr w:rsidR="00A2576A" w:rsidRPr="00A2576A" w:rsidTr="00A2576A">
        <w:trPr>
          <w:trHeight w:val="225"/>
        </w:trPr>
        <w:tc>
          <w:tcPr>
            <w:tcW w:w="8849" w:type="dxa"/>
            <w:gridSpan w:val="5"/>
            <w:tcBorders>
              <w:top w:val="single" w:sz="8" w:space="0" w:color="auto"/>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r>
      <w:tr w:rsidR="00A2576A" w:rsidRPr="00A2576A" w:rsidTr="00A2576A">
        <w:trPr>
          <w:trHeight w:val="225"/>
        </w:trPr>
        <w:tc>
          <w:tcPr>
            <w:tcW w:w="8849" w:type="dxa"/>
            <w:gridSpan w:val="5"/>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OTROS INGRESOS DE GESTIÓN</w:t>
            </w:r>
          </w:p>
        </w:tc>
      </w:tr>
      <w:tr w:rsidR="00A2576A" w:rsidRPr="00A2576A" w:rsidTr="00A2576A">
        <w:trPr>
          <w:trHeight w:val="225"/>
        </w:trPr>
        <w:tc>
          <w:tcPr>
            <w:tcW w:w="8849" w:type="dxa"/>
            <w:gridSpan w:val="5"/>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DEL 1 DE ENERO AL 31 DE DICIEMBRE DE 2015</w:t>
            </w:r>
          </w:p>
        </w:tc>
      </w:tr>
      <w:tr w:rsidR="00A2576A" w:rsidRPr="00A2576A" w:rsidTr="00A2576A">
        <w:trPr>
          <w:trHeight w:val="225"/>
        </w:trPr>
        <w:tc>
          <w:tcPr>
            <w:tcW w:w="8849" w:type="dxa"/>
            <w:gridSpan w:val="5"/>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sz w:val="16"/>
                <w:szCs w:val="16"/>
                <w:lang w:val="es-MX" w:eastAsia="es-MX"/>
              </w:rPr>
            </w:pPr>
            <w:r w:rsidRPr="00A2576A">
              <w:rPr>
                <w:rFonts w:ascii="Arial" w:hAnsi="Arial" w:cs="Arial"/>
                <w:sz w:val="16"/>
                <w:szCs w:val="16"/>
                <w:lang w:val="es-MX" w:eastAsia="es-MX"/>
              </w:rPr>
              <w:t>(  Pesos )</w:t>
            </w:r>
          </w:p>
        </w:tc>
      </w:tr>
      <w:tr w:rsidR="00A2576A" w:rsidRPr="00A2576A" w:rsidTr="00A2576A">
        <w:trPr>
          <w:trHeight w:val="240"/>
        </w:trPr>
        <w:tc>
          <w:tcPr>
            <w:tcW w:w="8849" w:type="dxa"/>
            <w:gridSpan w:val="5"/>
            <w:tcBorders>
              <w:top w:val="nil"/>
              <w:left w:val="single" w:sz="8" w:space="0" w:color="auto"/>
              <w:bottom w:val="single" w:sz="8" w:space="0" w:color="auto"/>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r>
      <w:tr w:rsidR="00A2576A" w:rsidRPr="00A2576A" w:rsidTr="00A2576A">
        <w:trPr>
          <w:trHeight w:val="225"/>
        </w:trPr>
        <w:tc>
          <w:tcPr>
            <w:tcW w:w="8664" w:type="dxa"/>
            <w:gridSpan w:val="4"/>
            <w:tcBorders>
              <w:top w:val="single" w:sz="8" w:space="0" w:color="auto"/>
              <w:left w:val="single" w:sz="8" w:space="0" w:color="auto"/>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8849" w:type="dxa"/>
            <w:gridSpan w:val="5"/>
            <w:tcBorders>
              <w:top w:val="nil"/>
              <w:left w:val="single" w:sz="8" w:space="0" w:color="auto"/>
              <w:bottom w:val="nil"/>
              <w:right w:val="single" w:sz="8" w:space="0" w:color="000000"/>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APROVECHAMIENTOS</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r w:rsidRPr="00A2576A">
              <w:rPr>
                <w:rFonts w:ascii="Arial" w:hAnsi="Arial" w:cs="Arial"/>
                <w:b/>
                <w:bCs/>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CONCEPTO</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IMPORTE</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6680"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INCENTIVOS DERIVADOS DE COLABORACIÓN FISCAL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Impuesto sobre Automóviles Nuevos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73,180,973</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Actos de Fiscalización </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98,218,487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Otros Incentivos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u w:val="single"/>
                <w:lang w:val="es-MX" w:eastAsia="es-MX"/>
              </w:rPr>
            </w:pPr>
            <w:r w:rsidRPr="00A2576A">
              <w:rPr>
                <w:rFonts w:ascii="Arial" w:hAnsi="Arial" w:cs="Arial"/>
                <w:sz w:val="16"/>
                <w:szCs w:val="16"/>
                <w:u w:val="single"/>
                <w:lang w:val="es-MX" w:eastAsia="es-MX"/>
              </w:rPr>
              <w:t>21,431,461</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ind w:firstLineChars="400" w:firstLine="640"/>
              <w:rPr>
                <w:rFonts w:ascii="Arial" w:hAnsi="Arial" w:cs="Arial"/>
                <w:sz w:val="16"/>
                <w:szCs w:val="16"/>
                <w:lang w:val="es-MX" w:eastAsia="es-MX"/>
              </w:rPr>
            </w:pPr>
            <w:r w:rsidRPr="00A2576A">
              <w:rPr>
                <w:rFonts w:ascii="Arial" w:hAnsi="Arial" w:cs="Arial"/>
                <w:sz w:val="16"/>
                <w:szCs w:val="16"/>
                <w:lang w:val="es-MX" w:eastAsia="es-MX"/>
              </w:rPr>
              <w:t xml:space="preserve">Retenciones  de  5  al Millar </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sz w:val="16"/>
                <w:szCs w:val="16"/>
                <w:lang w:val="es-MX" w:eastAsia="es-MX"/>
              </w:rPr>
            </w:pPr>
            <w:r w:rsidRPr="00A2576A">
              <w:rPr>
                <w:rFonts w:ascii="Arial" w:hAnsi="Arial" w:cs="Arial"/>
                <w:sz w:val="16"/>
                <w:szCs w:val="16"/>
                <w:lang w:val="es-MX" w:eastAsia="es-MX"/>
              </w:rPr>
              <w:t xml:space="preserve">                 20,377,175 </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ind w:firstLineChars="400" w:firstLine="640"/>
              <w:rPr>
                <w:rFonts w:ascii="Arial" w:hAnsi="Arial" w:cs="Arial"/>
                <w:sz w:val="16"/>
                <w:szCs w:val="16"/>
                <w:lang w:val="es-MX" w:eastAsia="es-MX"/>
              </w:rPr>
            </w:pPr>
            <w:r w:rsidRPr="00A2576A">
              <w:rPr>
                <w:rFonts w:ascii="Arial" w:hAnsi="Arial" w:cs="Arial"/>
                <w:sz w:val="16"/>
                <w:szCs w:val="16"/>
                <w:lang w:val="es-MX" w:eastAsia="es-MX"/>
              </w:rPr>
              <w:t>ZOFEMAT</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sz w:val="16"/>
                <w:szCs w:val="16"/>
                <w:lang w:val="es-MX" w:eastAsia="es-MX"/>
              </w:rPr>
            </w:pPr>
            <w:r w:rsidRPr="00A2576A">
              <w:rPr>
                <w:rFonts w:ascii="Arial" w:hAnsi="Arial" w:cs="Arial"/>
                <w:sz w:val="16"/>
                <w:szCs w:val="16"/>
                <w:lang w:val="es-MX" w:eastAsia="es-MX"/>
              </w:rPr>
              <w:t xml:space="preserve">                   1,054,286 </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450"/>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De los Ingresos por la Enajenación de Terrenos, construcciones o terrenos y construcciones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12,098,932</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Impuestos a las Ventas Finales de Gasolinas y Diesel</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427,454,067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Incentivo Régimen de Incorporación Fiscal </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24,025,177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Incentivo derivado del Impuesto sobre la Renta </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325,515,127</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Fondo Resarcitorio del Impuesto sobre Automóviles Nuevos </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27,657,948</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450"/>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Fondo de Compensación del Régimen de Pequeños Contribuyentes y Régimen de Intermedios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jc w:val="center"/>
              <w:rPr>
                <w:rFonts w:ascii="Arial" w:hAnsi="Arial" w:cs="Arial"/>
                <w:b/>
                <w:bCs/>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10,270,360</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6680"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MULTAS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24,528,913</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6680" w:type="dxa"/>
            <w:gridSpan w:val="2"/>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b/>
                <w:bCs/>
                <w:sz w:val="16"/>
                <w:szCs w:val="16"/>
                <w:lang w:val="es-MX" w:eastAsia="es-MX"/>
              </w:rPr>
            </w:pPr>
            <w:r w:rsidRPr="00A2576A">
              <w:rPr>
                <w:rFonts w:ascii="Arial" w:hAnsi="Arial" w:cs="Arial"/>
                <w:b/>
                <w:bCs/>
                <w:sz w:val="16"/>
                <w:szCs w:val="16"/>
                <w:lang w:val="es-MX" w:eastAsia="es-MX"/>
              </w:rPr>
              <w:t>OTROS APROVECHAMIENTOS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Otros Aprovechamientos (Administración de</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xml:space="preserve">Contribuciones Municipales, Fianzas, </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Retardos e Inasistencias, entre otros)</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r w:rsidRPr="00A2576A">
              <w:rPr>
                <w:rFonts w:ascii="Arial" w:hAnsi="Arial" w:cs="Arial"/>
                <w:sz w:val="16"/>
                <w:szCs w:val="16"/>
                <w:lang w:val="es-MX" w:eastAsia="es-MX"/>
              </w:rPr>
              <w:t>846,518,314</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25"/>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jc w:val="right"/>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40"/>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 xml:space="preserve"> TOTAL                                                                                   </w:t>
            </w: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single" w:sz="4" w:space="0" w:color="auto"/>
              <w:left w:val="nil"/>
              <w:bottom w:val="double" w:sz="6" w:space="0" w:color="auto"/>
              <w:right w:val="nil"/>
            </w:tcBorders>
            <w:shd w:val="clear" w:color="auto" w:fill="auto"/>
            <w:noWrap/>
            <w:vAlign w:val="bottom"/>
            <w:hideMark/>
          </w:tcPr>
          <w:p w:rsidR="00A2576A" w:rsidRPr="00A2576A" w:rsidRDefault="00A2576A" w:rsidP="00A2576A">
            <w:pPr>
              <w:jc w:val="right"/>
              <w:rPr>
                <w:rFonts w:ascii="Arial" w:hAnsi="Arial" w:cs="Arial"/>
                <w:b/>
                <w:bCs/>
                <w:sz w:val="16"/>
                <w:szCs w:val="16"/>
                <w:lang w:val="es-MX" w:eastAsia="es-MX"/>
              </w:rPr>
            </w:pPr>
            <w:r w:rsidRPr="00A2576A">
              <w:rPr>
                <w:rFonts w:ascii="Arial" w:hAnsi="Arial" w:cs="Arial"/>
                <w:b/>
                <w:bCs/>
                <w:sz w:val="16"/>
                <w:szCs w:val="16"/>
                <w:lang w:val="es-MX" w:eastAsia="es-MX"/>
              </w:rPr>
              <w:t>1,890,899,759</w:t>
            </w: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40"/>
        </w:trPr>
        <w:tc>
          <w:tcPr>
            <w:tcW w:w="185" w:type="dxa"/>
            <w:tcBorders>
              <w:top w:val="nil"/>
              <w:left w:val="single" w:sz="8" w:space="0" w:color="auto"/>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nil"/>
              <w:right w:val="nil"/>
            </w:tcBorders>
            <w:shd w:val="clear" w:color="auto" w:fill="auto"/>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799" w:type="dxa"/>
            <w:tcBorders>
              <w:top w:val="nil"/>
              <w:left w:val="nil"/>
              <w:bottom w:val="nil"/>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p>
        </w:tc>
        <w:tc>
          <w:tcPr>
            <w:tcW w:w="185" w:type="dxa"/>
            <w:tcBorders>
              <w:top w:val="nil"/>
              <w:left w:val="nil"/>
              <w:bottom w:val="nil"/>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r w:rsidR="00A2576A" w:rsidRPr="00A2576A" w:rsidTr="00A2576A">
        <w:trPr>
          <w:trHeight w:val="240"/>
        </w:trPr>
        <w:tc>
          <w:tcPr>
            <w:tcW w:w="185" w:type="dxa"/>
            <w:tcBorders>
              <w:top w:val="nil"/>
              <w:left w:val="single" w:sz="8" w:space="0" w:color="auto"/>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6495"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85"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799" w:type="dxa"/>
            <w:tcBorders>
              <w:top w:val="nil"/>
              <w:left w:val="nil"/>
              <w:bottom w:val="single" w:sz="8" w:space="0" w:color="auto"/>
              <w:right w:val="nil"/>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c>
          <w:tcPr>
            <w:tcW w:w="185" w:type="dxa"/>
            <w:tcBorders>
              <w:top w:val="nil"/>
              <w:left w:val="nil"/>
              <w:bottom w:val="single" w:sz="8" w:space="0" w:color="auto"/>
              <w:right w:val="single" w:sz="8" w:space="0" w:color="auto"/>
            </w:tcBorders>
            <w:shd w:val="clear" w:color="auto" w:fill="auto"/>
            <w:noWrap/>
            <w:vAlign w:val="bottom"/>
            <w:hideMark/>
          </w:tcPr>
          <w:p w:rsidR="00A2576A" w:rsidRPr="00A2576A" w:rsidRDefault="00A2576A" w:rsidP="00A2576A">
            <w:pPr>
              <w:rPr>
                <w:rFonts w:ascii="Arial" w:hAnsi="Arial" w:cs="Arial"/>
                <w:sz w:val="16"/>
                <w:szCs w:val="16"/>
                <w:lang w:val="es-MX" w:eastAsia="es-MX"/>
              </w:rPr>
            </w:pPr>
            <w:r w:rsidRPr="00A2576A">
              <w:rPr>
                <w:rFonts w:ascii="Arial" w:hAnsi="Arial" w:cs="Arial"/>
                <w:sz w:val="16"/>
                <w:szCs w:val="16"/>
                <w:lang w:val="es-MX" w:eastAsia="es-MX"/>
              </w:rPr>
              <w:t> </w:t>
            </w:r>
          </w:p>
        </w:tc>
      </w:tr>
    </w:tbl>
    <w:p w:rsidR="00A2576A" w:rsidRDefault="00A2576A">
      <w:pPr>
        <w:rPr>
          <w:rFonts w:ascii="Arial" w:hAnsi="Arial" w:cs="Arial"/>
          <w:b/>
          <w:bCs/>
          <w:spacing w:val="20"/>
          <w:kern w:val="2"/>
        </w:rPr>
      </w:pPr>
    </w:p>
    <w:p w:rsidR="00783485" w:rsidRDefault="00783485">
      <w:pPr>
        <w:rPr>
          <w:rFonts w:ascii="Arial" w:hAnsi="Arial" w:cs="Arial"/>
          <w:b/>
          <w:bCs/>
          <w:spacing w:val="20"/>
          <w:kern w:val="2"/>
        </w:rPr>
      </w:pPr>
    </w:p>
    <w:p w:rsidR="00783485" w:rsidRDefault="00783485">
      <w:pPr>
        <w:rPr>
          <w:rFonts w:ascii="Arial" w:hAnsi="Arial" w:cs="Arial"/>
          <w:b/>
          <w:bCs/>
          <w:spacing w:val="20"/>
          <w:kern w:val="2"/>
        </w:rPr>
      </w:pPr>
    </w:p>
    <w:p w:rsidR="00783485" w:rsidRDefault="00783485">
      <w:pPr>
        <w:rPr>
          <w:rFonts w:ascii="Arial" w:hAnsi="Arial" w:cs="Arial"/>
          <w:b/>
          <w:bCs/>
          <w:spacing w:val="20"/>
          <w:kern w:val="2"/>
        </w:rPr>
      </w:pPr>
    </w:p>
    <w:p w:rsidR="00A2576A" w:rsidRDefault="00A2576A">
      <w:pPr>
        <w:rPr>
          <w:rFonts w:ascii="Arial" w:hAnsi="Arial" w:cs="Arial"/>
          <w:b/>
          <w:bCs/>
          <w:spacing w:val="20"/>
          <w:kern w:val="2"/>
        </w:rPr>
      </w:pPr>
    </w:p>
    <w:p w:rsidR="00783485" w:rsidRDefault="00783485" w:rsidP="00783485">
      <w:pPr>
        <w:rPr>
          <w:rFonts w:ascii="Arial" w:hAnsi="Arial" w:cs="Arial"/>
          <w:b/>
          <w:bCs/>
          <w:spacing w:val="20"/>
          <w:kern w:val="2"/>
        </w:rPr>
      </w:pPr>
    </w:p>
    <w:tbl>
      <w:tblPr>
        <w:tblW w:w="8804" w:type="dxa"/>
        <w:tblInd w:w="55" w:type="dxa"/>
        <w:tblCellMar>
          <w:left w:w="70" w:type="dxa"/>
          <w:right w:w="70" w:type="dxa"/>
        </w:tblCellMar>
        <w:tblLook w:val="04A0"/>
      </w:tblPr>
      <w:tblGrid>
        <w:gridCol w:w="256"/>
        <w:gridCol w:w="6280"/>
        <w:gridCol w:w="280"/>
        <w:gridCol w:w="1052"/>
        <w:gridCol w:w="936"/>
      </w:tblGrid>
      <w:tr w:rsidR="00783485" w:rsidRPr="00783485" w:rsidTr="00783485">
        <w:trPr>
          <w:trHeight w:val="315"/>
        </w:trPr>
        <w:tc>
          <w:tcPr>
            <w:tcW w:w="8804" w:type="dxa"/>
            <w:gridSpan w:val="5"/>
            <w:tcBorders>
              <w:top w:val="single" w:sz="8" w:space="0" w:color="auto"/>
              <w:left w:val="single" w:sz="8" w:space="0" w:color="auto"/>
              <w:bottom w:val="nil"/>
              <w:right w:val="single" w:sz="8" w:space="0" w:color="000000"/>
            </w:tcBorders>
            <w:shd w:val="clear" w:color="auto" w:fill="auto"/>
            <w:noWrap/>
            <w:vAlign w:val="bottom"/>
            <w:hideMark/>
          </w:tcPr>
          <w:p w:rsidR="00783485" w:rsidRPr="00783485" w:rsidRDefault="00783485" w:rsidP="00783485">
            <w:pPr>
              <w:jc w:val="center"/>
              <w:rPr>
                <w:rFonts w:ascii="Arial" w:hAnsi="Arial" w:cs="Arial"/>
                <w:b/>
                <w:bCs/>
                <w:lang w:val="es-MX" w:eastAsia="es-MX"/>
              </w:rPr>
            </w:pPr>
            <w:r w:rsidRPr="00783485">
              <w:rPr>
                <w:rFonts w:ascii="Arial" w:hAnsi="Arial" w:cs="Arial"/>
                <w:b/>
                <w:bCs/>
                <w:lang w:val="es-MX" w:eastAsia="es-MX"/>
              </w:rPr>
              <w:t> </w:t>
            </w:r>
          </w:p>
        </w:tc>
      </w:tr>
      <w:tr w:rsidR="00783485" w:rsidRPr="00783485" w:rsidTr="00783485">
        <w:trPr>
          <w:trHeight w:val="255"/>
        </w:trPr>
        <w:tc>
          <w:tcPr>
            <w:tcW w:w="8804" w:type="dxa"/>
            <w:gridSpan w:val="5"/>
            <w:tcBorders>
              <w:top w:val="nil"/>
              <w:left w:val="single" w:sz="8" w:space="0" w:color="auto"/>
              <w:bottom w:val="nil"/>
              <w:right w:val="single" w:sz="8" w:space="0" w:color="000000"/>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r w:rsidRPr="00783485">
              <w:rPr>
                <w:rFonts w:ascii="Arial" w:hAnsi="Arial" w:cs="Arial"/>
                <w:b/>
                <w:bCs/>
                <w:sz w:val="20"/>
                <w:szCs w:val="20"/>
                <w:lang w:val="es-MX" w:eastAsia="es-MX"/>
              </w:rPr>
              <w:t>OTROS INGRESOS DE GESTIÓN</w:t>
            </w:r>
          </w:p>
        </w:tc>
      </w:tr>
      <w:tr w:rsidR="00783485" w:rsidRPr="00783485" w:rsidTr="00783485">
        <w:trPr>
          <w:trHeight w:val="255"/>
        </w:trPr>
        <w:tc>
          <w:tcPr>
            <w:tcW w:w="8804" w:type="dxa"/>
            <w:gridSpan w:val="5"/>
            <w:tcBorders>
              <w:top w:val="nil"/>
              <w:left w:val="single" w:sz="8" w:space="0" w:color="auto"/>
              <w:bottom w:val="nil"/>
              <w:right w:val="single" w:sz="8" w:space="0" w:color="000000"/>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r w:rsidRPr="00783485">
              <w:rPr>
                <w:rFonts w:ascii="Arial" w:hAnsi="Arial" w:cs="Arial"/>
                <w:b/>
                <w:bCs/>
                <w:sz w:val="20"/>
                <w:szCs w:val="20"/>
                <w:lang w:val="es-MX" w:eastAsia="es-MX"/>
              </w:rPr>
              <w:t>DEL 1 DE ENERO AL 31 DE DICIEMBRE DE 2015</w:t>
            </w:r>
          </w:p>
        </w:tc>
      </w:tr>
      <w:tr w:rsidR="00783485" w:rsidRPr="00783485" w:rsidTr="00783485">
        <w:trPr>
          <w:trHeight w:val="255"/>
        </w:trPr>
        <w:tc>
          <w:tcPr>
            <w:tcW w:w="8804" w:type="dxa"/>
            <w:gridSpan w:val="5"/>
            <w:tcBorders>
              <w:top w:val="nil"/>
              <w:left w:val="single" w:sz="8" w:space="0" w:color="auto"/>
              <w:bottom w:val="nil"/>
              <w:right w:val="single" w:sz="8" w:space="0" w:color="000000"/>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r w:rsidRPr="00783485">
              <w:rPr>
                <w:rFonts w:ascii="Arial" w:hAnsi="Arial" w:cs="Arial"/>
                <w:sz w:val="20"/>
                <w:szCs w:val="20"/>
                <w:lang w:val="es-MX" w:eastAsia="es-MX"/>
              </w:rPr>
              <w:t>( Pesos )</w:t>
            </w:r>
          </w:p>
        </w:tc>
      </w:tr>
      <w:tr w:rsidR="00783485" w:rsidRPr="00783485" w:rsidTr="00783485">
        <w:trPr>
          <w:trHeight w:val="270"/>
        </w:trPr>
        <w:tc>
          <w:tcPr>
            <w:tcW w:w="8804" w:type="dxa"/>
            <w:gridSpan w:val="5"/>
            <w:tcBorders>
              <w:top w:val="nil"/>
              <w:left w:val="single" w:sz="8" w:space="0" w:color="auto"/>
              <w:bottom w:val="single" w:sz="8" w:space="0" w:color="auto"/>
              <w:right w:val="single" w:sz="8" w:space="0" w:color="000000"/>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r w:rsidRPr="00783485">
              <w:rPr>
                <w:rFonts w:ascii="Arial" w:hAnsi="Arial" w:cs="Arial"/>
                <w:b/>
                <w:bCs/>
                <w:sz w:val="20"/>
                <w:szCs w:val="20"/>
                <w:lang w:val="es-MX" w:eastAsia="es-MX"/>
              </w:rPr>
              <w:t> </w:t>
            </w:r>
          </w:p>
        </w:tc>
      </w:tr>
      <w:tr w:rsidR="00783485" w:rsidRPr="00783485" w:rsidTr="00783485">
        <w:trPr>
          <w:trHeight w:val="255"/>
        </w:trPr>
        <w:tc>
          <w:tcPr>
            <w:tcW w:w="7868" w:type="dxa"/>
            <w:gridSpan w:val="4"/>
            <w:tcBorders>
              <w:top w:val="single" w:sz="8" w:space="0" w:color="auto"/>
              <w:left w:val="single" w:sz="8" w:space="0" w:color="auto"/>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r w:rsidRPr="00783485">
              <w:rPr>
                <w:rFonts w:ascii="Arial" w:hAnsi="Arial" w:cs="Arial"/>
                <w:b/>
                <w:bCs/>
                <w:sz w:val="20"/>
                <w:szCs w:val="20"/>
                <w:lang w:val="es-MX" w:eastAsia="es-MX"/>
              </w:rPr>
              <w:t> </w:t>
            </w: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570"/>
        </w:trPr>
        <w:tc>
          <w:tcPr>
            <w:tcW w:w="8804" w:type="dxa"/>
            <w:gridSpan w:val="5"/>
            <w:tcBorders>
              <w:top w:val="nil"/>
              <w:left w:val="single" w:sz="8" w:space="0" w:color="auto"/>
              <w:bottom w:val="nil"/>
              <w:right w:val="single" w:sz="8" w:space="0" w:color="000000"/>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r w:rsidRPr="00783485">
              <w:rPr>
                <w:rFonts w:ascii="Arial" w:hAnsi="Arial" w:cs="Arial"/>
                <w:b/>
                <w:bCs/>
                <w:sz w:val="20"/>
                <w:szCs w:val="20"/>
                <w:lang w:val="es-MX" w:eastAsia="es-MX"/>
              </w:rPr>
              <w:t>CONTRIBUCIONES NO COMPRENDIDAS EN LAS FRACCIONES DE LA LEY DE INGRESOS CAUSADOS EN EJERCICIOS FISCALES ANTERIORES PENDIENTES DE LIQUIDACIÓN O PAGO</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r w:rsidRPr="00783485">
              <w:rPr>
                <w:rFonts w:ascii="Arial" w:hAnsi="Arial" w:cs="Arial"/>
                <w:b/>
                <w:bCs/>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b/>
                <w:bCs/>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r w:rsidRPr="00783485">
              <w:rPr>
                <w:rFonts w:ascii="Arial" w:hAnsi="Arial" w:cs="Arial"/>
                <w:b/>
                <w:bCs/>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r w:rsidRPr="00783485">
              <w:rPr>
                <w:rFonts w:ascii="Arial" w:hAnsi="Arial" w:cs="Arial"/>
                <w:b/>
                <w:bCs/>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b/>
                <w:bCs/>
                <w:sz w:val="20"/>
                <w:szCs w:val="20"/>
                <w:lang w:val="es-MX" w:eastAsia="es-MX"/>
              </w:rPr>
            </w:pPr>
            <w:r w:rsidRPr="00783485">
              <w:rPr>
                <w:rFonts w:ascii="Arial" w:hAnsi="Arial" w:cs="Arial"/>
                <w:b/>
                <w:bCs/>
                <w:sz w:val="20"/>
                <w:szCs w:val="20"/>
                <w:lang w:val="es-MX" w:eastAsia="es-MX"/>
              </w:rPr>
              <w:t>CONCEPTO</w:t>
            </w: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b/>
                <w:bCs/>
                <w:sz w:val="20"/>
                <w:szCs w:val="20"/>
                <w:lang w:val="es-MX" w:eastAsia="es-MX"/>
              </w:rPr>
            </w:pPr>
            <w:r w:rsidRPr="00783485">
              <w:rPr>
                <w:rFonts w:ascii="Arial" w:hAnsi="Arial" w:cs="Arial"/>
                <w:b/>
                <w:bCs/>
                <w:sz w:val="20"/>
                <w:szCs w:val="20"/>
                <w:lang w:val="es-MX" w:eastAsia="es-MX"/>
              </w:rPr>
              <w:t>IMPORTE</w:t>
            </w: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76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560" w:type="dxa"/>
            <w:gridSpan w:val="2"/>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xml:space="preserve">Contribuciones no Comprendidas en las </w:t>
            </w:r>
            <w:proofErr w:type="spellStart"/>
            <w:r w:rsidRPr="00783485">
              <w:rPr>
                <w:rFonts w:ascii="Arial" w:hAnsi="Arial" w:cs="Arial"/>
                <w:sz w:val="20"/>
                <w:szCs w:val="20"/>
                <w:lang w:val="es-MX" w:eastAsia="es-MX"/>
              </w:rPr>
              <w:t>Fraccciones</w:t>
            </w:r>
            <w:proofErr w:type="spellEnd"/>
            <w:r w:rsidRPr="00783485">
              <w:rPr>
                <w:rFonts w:ascii="Arial" w:hAnsi="Arial" w:cs="Arial"/>
                <w:sz w:val="20"/>
                <w:szCs w:val="20"/>
                <w:lang w:val="es-MX" w:eastAsia="es-MX"/>
              </w:rPr>
              <w:t xml:space="preserve"> de la Ley de Ingresos Causados en Ejercicios Fiscales Anteriores Pendientes de Liquidación o Pago</w:t>
            </w: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xml:space="preserve">            6,127,095 </w:t>
            </w: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b/>
                <w:bCs/>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jc w:val="center"/>
              <w:rPr>
                <w:rFonts w:ascii="Arial" w:hAnsi="Arial" w:cs="Arial"/>
                <w:b/>
                <w:bCs/>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jc w:val="right"/>
              <w:rPr>
                <w:rFonts w:ascii="Arial" w:hAnsi="Arial" w:cs="Arial"/>
                <w:b/>
                <w:bCs/>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70"/>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vAlign w:val="bottom"/>
            <w:hideMark/>
          </w:tcPr>
          <w:p w:rsidR="00783485" w:rsidRPr="00783485" w:rsidRDefault="00783485" w:rsidP="00783485">
            <w:pPr>
              <w:jc w:val="right"/>
              <w:rPr>
                <w:rFonts w:ascii="Arial" w:hAnsi="Arial" w:cs="Arial"/>
                <w:b/>
                <w:bCs/>
                <w:sz w:val="20"/>
                <w:szCs w:val="20"/>
                <w:lang w:val="es-MX" w:eastAsia="es-MX"/>
              </w:rPr>
            </w:pPr>
            <w:r w:rsidRPr="00783485">
              <w:rPr>
                <w:rFonts w:ascii="Arial" w:hAnsi="Arial" w:cs="Arial"/>
                <w:b/>
                <w:bCs/>
                <w:sz w:val="20"/>
                <w:szCs w:val="20"/>
                <w:lang w:val="es-MX" w:eastAsia="es-MX"/>
              </w:rPr>
              <w:t xml:space="preserve"> TOTAL                                                                                   </w:t>
            </w:r>
          </w:p>
        </w:tc>
        <w:tc>
          <w:tcPr>
            <w:tcW w:w="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1052" w:type="dxa"/>
            <w:tcBorders>
              <w:top w:val="single" w:sz="4" w:space="0" w:color="auto"/>
              <w:left w:val="nil"/>
              <w:bottom w:val="double" w:sz="6" w:space="0" w:color="auto"/>
              <w:right w:val="nil"/>
            </w:tcBorders>
            <w:shd w:val="clear" w:color="auto" w:fill="auto"/>
            <w:noWrap/>
            <w:vAlign w:val="bottom"/>
            <w:hideMark/>
          </w:tcPr>
          <w:p w:rsidR="00783485" w:rsidRPr="00783485" w:rsidRDefault="00783485" w:rsidP="00783485">
            <w:pPr>
              <w:jc w:val="right"/>
              <w:rPr>
                <w:rFonts w:ascii="Arial" w:hAnsi="Arial" w:cs="Arial"/>
                <w:b/>
                <w:bCs/>
                <w:sz w:val="20"/>
                <w:szCs w:val="20"/>
                <w:lang w:val="es-MX" w:eastAsia="es-MX"/>
              </w:rPr>
            </w:pPr>
            <w:r w:rsidRPr="00783485">
              <w:rPr>
                <w:rFonts w:ascii="Arial" w:hAnsi="Arial" w:cs="Arial"/>
                <w:b/>
                <w:bCs/>
                <w:sz w:val="20"/>
                <w:szCs w:val="20"/>
                <w:lang w:val="es-MX" w:eastAsia="es-MX"/>
              </w:rPr>
              <w:t>6,127,095</w:t>
            </w: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70"/>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vAlign w:val="bottom"/>
            <w:hideMark/>
          </w:tcPr>
          <w:p w:rsidR="00783485" w:rsidRPr="00783485" w:rsidRDefault="00783485" w:rsidP="00783485">
            <w:pPr>
              <w:rPr>
                <w:rFonts w:ascii="Arial" w:hAnsi="Arial" w:cs="Arial"/>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55"/>
        </w:trPr>
        <w:tc>
          <w:tcPr>
            <w:tcW w:w="256" w:type="dxa"/>
            <w:tcBorders>
              <w:top w:val="nil"/>
              <w:left w:val="single" w:sz="8" w:space="0" w:color="auto"/>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nil"/>
              <w:right w:val="nil"/>
            </w:tcBorders>
            <w:shd w:val="clear" w:color="auto" w:fill="auto"/>
            <w:vAlign w:val="bottom"/>
            <w:hideMark/>
          </w:tcPr>
          <w:p w:rsidR="00783485" w:rsidRPr="00783485" w:rsidRDefault="00783485" w:rsidP="00783485">
            <w:pPr>
              <w:jc w:val="right"/>
              <w:rPr>
                <w:rFonts w:ascii="Arial" w:hAnsi="Arial" w:cs="Arial"/>
                <w:b/>
                <w:bCs/>
                <w:sz w:val="20"/>
                <w:szCs w:val="20"/>
                <w:lang w:val="es-MX" w:eastAsia="es-MX"/>
              </w:rPr>
            </w:pPr>
          </w:p>
        </w:tc>
        <w:tc>
          <w:tcPr>
            <w:tcW w:w="280"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1052" w:type="dxa"/>
            <w:tcBorders>
              <w:top w:val="nil"/>
              <w:left w:val="nil"/>
              <w:bottom w:val="nil"/>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p>
        </w:tc>
        <w:tc>
          <w:tcPr>
            <w:tcW w:w="936" w:type="dxa"/>
            <w:tcBorders>
              <w:top w:val="nil"/>
              <w:left w:val="nil"/>
              <w:bottom w:val="nil"/>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r w:rsidR="00783485" w:rsidRPr="00783485" w:rsidTr="00783485">
        <w:trPr>
          <w:trHeight w:val="270"/>
        </w:trPr>
        <w:tc>
          <w:tcPr>
            <w:tcW w:w="256" w:type="dxa"/>
            <w:tcBorders>
              <w:top w:val="nil"/>
              <w:left w:val="single" w:sz="8" w:space="0" w:color="auto"/>
              <w:bottom w:val="single" w:sz="8" w:space="0" w:color="auto"/>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6280" w:type="dxa"/>
            <w:tcBorders>
              <w:top w:val="nil"/>
              <w:left w:val="nil"/>
              <w:bottom w:val="single" w:sz="8" w:space="0" w:color="auto"/>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280" w:type="dxa"/>
            <w:tcBorders>
              <w:top w:val="nil"/>
              <w:left w:val="nil"/>
              <w:bottom w:val="single" w:sz="8" w:space="0" w:color="auto"/>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1052" w:type="dxa"/>
            <w:tcBorders>
              <w:top w:val="nil"/>
              <w:left w:val="nil"/>
              <w:bottom w:val="single" w:sz="8" w:space="0" w:color="auto"/>
              <w:right w:val="nil"/>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c>
          <w:tcPr>
            <w:tcW w:w="936" w:type="dxa"/>
            <w:tcBorders>
              <w:top w:val="nil"/>
              <w:left w:val="nil"/>
              <w:bottom w:val="single" w:sz="8" w:space="0" w:color="auto"/>
              <w:right w:val="single" w:sz="8" w:space="0" w:color="auto"/>
            </w:tcBorders>
            <w:shd w:val="clear" w:color="auto" w:fill="auto"/>
            <w:noWrap/>
            <w:vAlign w:val="bottom"/>
            <w:hideMark/>
          </w:tcPr>
          <w:p w:rsidR="00783485" w:rsidRPr="00783485" w:rsidRDefault="00783485" w:rsidP="00783485">
            <w:pPr>
              <w:rPr>
                <w:rFonts w:ascii="Arial" w:hAnsi="Arial" w:cs="Arial"/>
                <w:sz w:val="20"/>
                <w:szCs w:val="20"/>
                <w:lang w:val="es-MX" w:eastAsia="es-MX"/>
              </w:rPr>
            </w:pPr>
            <w:r w:rsidRPr="00783485">
              <w:rPr>
                <w:rFonts w:ascii="Arial" w:hAnsi="Arial" w:cs="Arial"/>
                <w:sz w:val="20"/>
                <w:szCs w:val="20"/>
                <w:lang w:val="es-MX" w:eastAsia="es-MX"/>
              </w:rPr>
              <w:t> </w:t>
            </w:r>
          </w:p>
        </w:tc>
      </w:tr>
    </w:tbl>
    <w:p w:rsidR="00A2576A" w:rsidRDefault="00A2576A" w:rsidP="00783485">
      <w:pPr>
        <w:rPr>
          <w:rFonts w:ascii="Arial" w:hAnsi="Arial" w:cs="Arial"/>
          <w:b/>
          <w:bCs/>
          <w:spacing w:val="20"/>
          <w:kern w:val="2"/>
        </w:rPr>
      </w:pPr>
    </w:p>
    <w:p w:rsidR="00A2576A" w:rsidRDefault="00A2576A">
      <w:pPr>
        <w:rPr>
          <w:rFonts w:ascii="Arial" w:hAnsi="Arial" w:cs="Arial"/>
          <w:b/>
          <w:bCs/>
          <w:spacing w:val="20"/>
          <w:kern w:val="2"/>
        </w:rPr>
      </w:pPr>
    </w:p>
    <w:p w:rsidR="00783485" w:rsidRDefault="00783485">
      <w:pPr>
        <w:rPr>
          <w:rFonts w:ascii="Arial" w:hAnsi="Arial" w:cs="Arial"/>
          <w:b/>
          <w:bCs/>
          <w:spacing w:val="20"/>
          <w:kern w:val="2"/>
        </w:rPr>
      </w:pPr>
      <w:r>
        <w:rPr>
          <w:rFonts w:ascii="Arial" w:hAnsi="Arial" w:cs="Arial"/>
          <w:b/>
          <w:bCs/>
          <w:spacing w:val="20"/>
          <w:kern w:val="2"/>
        </w:rPr>
        <w:br w:type="page"/>
      </w:r>
    </w:p>
    <w:p w:rsidR="005C3297" w:rsidRPr="00D83D8E" w:rsidRDefault="005C3297" w:rsidP="00D83D8E">
      <w:pPr>
        <w:contextualSpacing/>
        <w:jc w:val="both"/>
        <w:rPr>
          <w:rFonts w:ascii="Arial" w:hAnsi="Arial" w:cs="Arial"/>
          <w:b/>
          <w:bCs/>
          <w:spacing w:val="20"/>
          <w:kern w:val="2"/>
        </w:rPr>
      </w:pPr>
      <w:r w:rsidRPr="00D83D8E">
        <w:rPr>
          <w:rFonts w:ascii="Arial" w:hAnsi="Arial" w:cs="Arial"/>
          <w:b/>
          <w:bCs/>
          <w:spacing w:val="20"/>
          <w:kern w:val="2"/>
        </w:rPr>
        <w:lastRenderedPageBreak/>
        <w:t>3.2.</w:t>
      </w:r>
      <w:r w:rsidR="00DA4A1B">
        <w:rPr>
          <w:rFonts w:ascii="Arial" w:hAnsi="Arial" w:cs="Arial"/>
          <w:b/>
          <w:bCs/>
          <w:spacing w:val="20"/>
          <w:kern w:val="2"/>
        </w:rPr>
        <w:t>4</w:t>
      </w:r>
      <w:r w:rsidRPr="00D83D8E">
        <w:rPr>
          <w:rFonts w:ascii="Arial" w:hAnsi="Arial" w:cs="Arial"/>
          <w:b/>
          <w:bCs/>
          <w:spacing w:val="20"/>
          <w:kern w:val="2"/>
        </w:rPr>
        <w:t>.</w:t>
      </w:r>
      <w:r w:rsidR="00DA4A1B">
        <w:rPr>
          <w:rFonts w:ascii="Arial" w:hAnsi="Arial" w:cs="Arial"/>
          <w:b/>
          <w:bCs/>
          <w:spacing w:val="20"/>
          <w:kern w:val="2"/>
        </w:rPr>
        <w:t>2</w:t>
      </w:r>
      <w:r w:rsidRPr="00D83D8E">
        <w:rPr>
          <w:rFonts w:ascii="Arial" w:hAnsi="Arial" w:cs="Arial"/>
          <w:b/>
          <w:bCs/>
          <w:spacing w:val="20"/>
          <w:kern w:val="2"/>
        </w:rPr>
        <w:t>.- PARTICIPACIONES, APORTACIONES, TRANSFERENCIAS, ASIGNACIONES, SUBSIDIOS Y OTRAS AYUDAS.</w:t>
      </w:r>
    </w:p>
    <w:p w:rsidR="005C3297" w:rsidRPr="00D83D8E" w:rsidRDefault="005C3297" w:rsidP="00D83D8E">
      <w:pPr>
        <w:contextualSpacing/>
        <w:jc w:val="both"/>
        <w:rPr>
          <w:rFonts w:ascii="Arial" w:hAnsi="Arial" w:cs="Arial"/>
          <w:b/>
          <w:bCs/>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Los ingresos que la Federación transfiere al Estado y que derivan de lo establecido en la Ley de Coordinación Fiscal, el Convenio de Adhesión al Sistema Nacional de Coordinación Fiscal, el Presupuesto de Egresos de la Federación 201</w:t>
      </w:r>
      <w:r w:rsidR="00C9672D" w:rsidRPr="00D83D8E">
        <w:rPr>
          <w:rFonts w:ascii="Arial" w:hAnsi="Arial" w:cs="Arial"/>
          <w:color w:val="000000"/>
          <w:kern w:val="2"/>
        </w:rPr>
        <w:t>5</w:t>
      </w:r>
      <w:r w:rsidRPr="00D83D8E">
        <w:rPr>
          <w:rFonts w:ascii="Arial" w:hAnsi="Arial" w:cs="Arial"/>
          <w:color w:val="000000"/>
          <w:kern w:val="2"/>
        </w:rPr>
        <w:t xml:space="preserve"> y los convenios suscritos con Dependencias y Entidades Federales para programas específicos; muestran un aumento del </w:t>
      </w:r>
      <w:r w:rsidR="005F60AC" w:rsidRPr="00D83D8E">
        <w:rPr>
          <w:rFonts w:ascii="Arial" w:hAnsi="Arial" w:cs="Arial"/>
          <w:color w:val="000000"/>
          <w:kern w:val="2"/>
        </w:rPr>
        <w:t>1</w:t>
      </w:r>
      <w:r w:rsidR="00C9672D" w:rsidRPr="00D83D8E">
        <w:rPr>
          <w:rFonts w:ascii="Arial" w:hAnsi="Arial" w:cs="Arial"/>
          <w:color w:val="000000"/>
          <w:kern w:val="2"/>
        </w:rPr>
        <w:t>4.58</w:t>
      </w:r>
      <w:r w:rsidRPr="00D83D8E">
        <w:rPr>
          <w:rFonts w:ascii="Arial" w:hAnsi="Arial" w:cs="Arial"/>
          <w:color w:val="000000"/>
          <w:kern w:val="2"/>
        </w:rPr>
        <w:t xml:space="preserve"> por ciento respecto a lo estimado en Ley, y un crecimiento en términos reales del</w:t>
      </w:r>
      <w:r w:rsidR="00C9672D" w:rsidRPr="00D83D8E">
        <w:rPr>
          <w:rFonts w:ascii="Arial" w:hAnsi="Arial" w:cs="Arial"/>
          <w:color w:val="000000"/>
          <w:kern w:val="2"/>
        </w:rPr>
        <w:t xml:space="preserve"> 3.47</w:t>
      </w:r>
      <w:r w:rsidRPr="00D83D8E">
        <w:rPr>
          <w:rFonts w:ascii="Arial" w:hAnsi="Arial" w:cs="Arial"/>
          <w:color w:val="000000"/>
          <w:kern w:val="2"/>
        </w:rPr>
        <w:t xml:space="preserve"> por ciento en relación al ejercicio 201</w:t>
      </w:r>
      <w:r w:rsidR="00C9672D" w:rsidRPr="00D83D8E">
        <w:rPr>
          <w:rFonts w:ascii="Arial" w:hAnsi="Arial" w:cs="Arial"/>
          <w:color w:val="000000"/>
          <w:kern w:val="2"/>
        </w:rPr>
        <w:t>4</w:t>
      </w:r>
      <w:r w:rsidRPr="00D83D8E">
        <w:rPr>
          <w:rFonts w:ascii="Arial" w:hAnsi="Arial" w:cs="Arial"/>
          <w:color w:val="000000"/>
          <w:kern w:val="2"/>
        </w:rPr>
        <w:t>.</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Estos ingresos se clasifican en cuatro grandes rubros, clasificación que depende de la disposición legal y de las reglas de operación aplicables en cada caso.</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 xml:space="preserve">El primer rubro de los recursos provenientes de la Federación lo constituyen las Participaciones Federales; estos recursos una vez disminuidas las participaciones municipales, adicionados a sus ingresos de gestión, son los recursos con los que dispone el Gobierno del Estado para sufragar sus gastos de operación y sus programas estatales de inversión; su monto depende de la Recaudación Federal Participable (RFP), que obtenga la Secretaría de Hacienda y Crédito Público (SHCP), siendo indispensable por ello darle seguimiento permanente a las cifras y al procedimiento de cálculo distributivo en estos conceptos. En el ejercicio que se informa los ingresos obtenidos ascienden a </w:t>
      </w:r>
      <w:r w:rsidR="005F60AC" w:rsidRPr="00D83D8E">
        <w:rPr>
          <w:rFonts w:ascii="Arial" w:hAnsi="Arial" w:cs="Arial"/>
          <w:color w:val="000000"/>
          <w:kern w:val="2"/>
        </w:rPr>
        <w:t>15</w:t>
      </w:r>
      <w:r w:rsidRPr="00D83D8E">
        <w:rPr>
          <w:rFonts w:ascii="Arial" w:hAnsi="Arial" w:cs="Arial"/>
          <w:color w:val="000000"/>
          <w:kern w:val="2"/>
        </w:rPr>
        <w:t xml:space="preserve"> mil </w:t>
      </w:r>
      <w:r w:rsidR="00B72B70" w:rsidRPr="00D83D8E">
        <w:rPr>
          <w:rFonts w:ascii="Arial" w:hAnsi="Arial" w:cs="Arial"/>
          <w:color w:val="000000"/>
          <w:kern w:val="2"/>
        </w:rPr>
        <w:t>146</w:t>
      </w:r>
      <w:r w:rsidRPr="00D83D8E">
        <w:rPr>
          <w:rFonts w:ascii="Arial" w:hAnsi="Arial" w:cs="Arial"/>
          <w:color w:val="000000"/>
          <w:kern w:val="2"/>
        </w:rPr>
        <w:t xml:space="preserve"> millones </w:t>
      </w:r>
      <w:r w:rsidR="00B72B70" w:rsidRPr="00D83D8E">
        <w:rPr>
          <w:rFonts w:ascii="Arial" w:hAnsi="Arial" w:cs="Arial"/>
          <w:color w:val="000000"/>
          <w:kern w:val="2"/>
        </w:rPr>
        <w:t>351</w:t>
      </w:r>
      <w:r w:rsidR="00051A91" w:rsidRPr="00D83D8E">
        <w:rPr>
          <w:rFonts w:ascii="Arial" w:hAnsi="Arial" w:cs="Arial"/>
          <w:color w:val="000000"/>
          <w:kern w:val="2"/>
        </w:rPr>
        <w:t xml:space="preserve"> </w:t>
      </w:r>
      <w:r w:rsidR="00B72B70" w:rsidRPr="00D83D8E">
        <w:rPr>
          <w:rFonts w:ascii="Arial" w:hAnsi="Arial" w:cs="Arial"/>
          <w:color w:val="000000"/>
          <w:kern w:val="2"/>
        </w:rPr>
        <w:t>mil pesos, observándose una disminución del 0.75</w:t>
      </w:r>
      <w:r w:rsidRPr="00D83D8E">
        <w:rPr>
          <w:rFonts w:ascii="Arial" w:hAnsi="Arial" w:cs="Arial"/>
          <w:color w:val="000000"/>
          <w:kern w:val="2"/>
        </w:rPr>
        <w:t xml:space="preserve"> por ciento, respecto a lo estimado en Ley de Ingresos, y un comportamiento </w:t>
      </w:r>
      <w:r w:rsidR="00B72B70" w:rsidRPr="00D83D8E">
        <w:rPr>
          <w:rFonts w:ascii="Arial" w:hAnsi="Arial" w:cs="Arial"/>
          <w:color w:val="000000"/>
          <w:kern w:val="2"/>
        </w:rPr>
        <w:t>negativo</w:t>
      </w:r>
      <w:r w:rsidRPr="00D83D8E">
        <w:rPr>
          <w:rFonts w:ascii="Arial" w:hAnsi="Arial" w:cs="Arial"/>
          <w:color w:val="000000"/>
          <w:kern w:val="2"/>
        </w:rPr>
        <w:t xml:space="preserve"> en términos reales respecto del ejercicio de 201</w:t>
      </w:r>
      <w:r w:rsidR="00B72B70" w:rsidRPr="00D83D8E">
        <w:rPr>
          <w:rFonts w:ascii="Arial" w:hAnsi="Arial" w:cs="Arial"/>
          <w:color w:val="000000"/>
          <w:kern w:val="2"/>
        </w:rPr>
        <w:t>4</w:t>
      </w:r>
      <w:r w:rsidRPr="00D83D8E">
        <w:rPr>
          <w:rFonts w:ascii="Arial" w:hAnsi="Arial" w:cs="Arial"/>
          <w:color w:val="000000"/>
          <w:kern w:val="2"/>
        </w:rPr>
        <w:t xml:space="preserve"> del </w:t>
      </w:r>
      <w:r w:rsidR="00B72B70" w:rsidRPr="00D83D8E">
        <w:rPr>
          <w:rFonts w:ascii="Arial" w:hAnsi="Arial" w:cs="Arial"/>
          <w:color w:val="000000"/>
          <w:kern w:val="2"/>
        </w:rPr>
        <w:t>4.56</w:t>
      </w:r>
      <w:r w:rsidRPr="00D83D8E">
        <w:rPr>
          <w:rFonts w:ascii="Arial" w:hAnsi="Arial" w:cs="Arial"/>
          <w:color w:val="000000"/>
          <w:kern w:val="2"/>
        </w:rPr>
        <w:t xml:space="preserve"> por ciento.</w:t>
      </w: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r w:rsidRPr="00D83D8E">
        <w:rPr>
          <w:rFonts w:ascii="Arial" w:hAnsi="Arial" w:cs="Arial"/>
          <w:color w:val="000000"/>
          <w:kern w:val="2"/>
        </w:rPr>
        <w:t>El segundo rubro lo integran los ocho fondos que componen</w:t>
      </w:r>
      <w:r w:rsidR="00B72B70" w:rsidRPr="00D83D8E">
        <w:rPr>
          <w:rFonts w:ascii="Arial" w:hAnsi="Arial" w:cs="Arial"/>
          <w:color w:val="000000"/>
          <w:kern w:val="2"/>
        </w:rPr>
        <w:t xml:space="preserve"> el Ramo 33, con un importe de 34</w:t>
      </w:r>
      <w:r w:rsidRPr="00D83D8E">
        <w:rPr>
          <w:rFonts w:ascii="Arial" w:hAnsi="Arial" w:cs="Arial"/>
          <w:color w:val="000000"/>
          <w:kern w:val="2"/>
        </w:rPr>
        <w:t xml:space="preserve"> mil </w:t>
      </w:r>
      <w:r w:rsidR="00B72B70" w:rsidRPr="00D83D8E">
        <w:rPr>
          <w:rFonts w:ascii="Arial" w:hAnsi="Arial" w:cs="Arial"/>
          <w:color w:val="000000"/>
          <w:kern w:val="2"/>
        </w:rPr>
        <w:t>594</w:t>
      </w:r>
      <w:r w:rsidRPr="00D83D8E">
        <w:rPr>
          <w:rFonts w:ascii="Arial" w:hAnsi="Arial" w:cs="Arial"/>
          <w:color w:val="000000"/>
          <w:kern w:val="2"/>
        </w:rPr>
        <w:t xml:space="preserve"> millones </w:t>
      </w:r>
      <w:r w:rsidR="00B72B70" w:rsidRPr="00D83D8E">
        <w:rPr>
          <w:rFonts w:ascii="Arial" w:hAnsi="Arial" w:cs="Arial"/>
          <w:color w:val="000000"/>
          <w:kern w:val="2"/>
        </w:rPr>
        <w:t>756</w:t>
      </w:r>
      <w:r w:rsidRPr="00D83D8E">
        <w:rPr>
          <w:rFonts w:ascii="Arial" w:hAnsi="Arial" w:cs="Arial"/>
          <w:color w:val="000000"/>
          <w:kern w:val="2"/>
        </w:rPr>
        <w:t xml:space="preserve"> mil pesos, contenidos en el Capítulo V de la Ley de Coordinación Fiscal, los cuales, no obstante que por disposición de la propia ley se registran como ingresos propios y se aplican y controlan de acuerdo con las leyes locales, cada uno de estos fondos tiene un fin específico, también preestablecido, recursos que nunca son suficientes para atender todas las necesidades de la colectividad, sobre todo en materia de educación y salud; los fondos en comento son: </w:t>
      </w:r>
    </w:p>
    <w:p w:rsidR="005C3297" w:rsidRPr="00D83D8E" w:rsidRDefault="005C3297" w:rsidP="00D83D8E">
      <w:pPr>
        <w:contextualSpacing/>
        <w:jc w:val="both"/>
        <w:rPr>
          <w:rFonts w:ascii="Arial" w:hAnsi="Arial" w:cs="Arial"/>
          <w:color w:val="000000"/>
          <w:kern w:val="2"/>
        </w:rPr>
      </w:pPr>
    </w:p>
    <w:p w:rsidR="005C3297" w:rsidRPr="00D83D8E" w:rsidRDefault="00B72B70" w:rsidP="00D83D8E">
      <w:pPr>
        <w:pStyle w:val="Default"/>
        <w:numPr>
          <w:ilvl w:val="0"/>
          <w:numId w:val="1"/>
        </w:numPr>
        <w:contextualSpacing/>
        <w:jc w:val="both"/>
        <w:rPr>
          <w:kern w:val="2"/>
        </w:rPr>
      </w:pPr>
      <w:r w:rsidRPr="00D83D8E">
        <w:rPr>
          <w:kern w:val="2"/>
        </w:rPr>
        <w:t>Fondo de Aportaciones para la Nómina Educativa y Gasto operativo.</w:t>
      </w:r>
    </w:p>
    <w:p w:rsidR="005C3297" w:rsidRPr="00D83D8E" w:rsidRDefault="005C3297" w:rsidP="00D83D8E">
      <w:pPr>
        <w:pStyle w:val="Default"/>
        <w:ind w:left="360"/>
        <w:contextualSpacing/>
        <w:jc w:val="both"/>
        <w:rPr>
          <w:kern w:val="2"/>
        </w:rPr>
      </w:pPr>
    </w:p>
    <w:p w:rsidR="00783485" w:rsidRDefault="005C3297" w:rsidP="00D83D8E">
      <w:pPr>
        <w:pStyle w:val="Default"/>
        <w:numPr>
          <w:ilvl w:val="0"/>
          <w:numId w:val="1"/>
        </w:numPr>
        <w:contextualSpacing/>
        <w:jc w:val="both"/>
        <w:rPr>
          <w:kern w:val="2"/>
        </w:rPr>
      </w:pPr>
      <w:r w:rsidRPr="00D83D8E">
        <w:rPr>
          <w:kern w:val="2"/>
        </w:rPr>
        <w:t>Fondo de Aportaciones para los Servicios de Salud.</w:t>
      </w:r>
    </w:p>
    <w:p w:rsidR="00783485" w:rsidRDefault="00783485">
      <w:pPr>
        <w:rPr>
          <w:rFonts w:ascii="Arial" w:hAnsi="Arial" w:cs="Arial"/>
          <w:color w:val="000000"/>
          <w:kern w:val="2"/>
        </w:rPr>
      </w:pPr>
      <w:r>
        <w:rPr>
          <w:kern w:val="2"/>
        </w:rPr>
        <w:br w:type="page"/>
      </w:r>
    </w:p>
    <w:p w:rsidR="005C3297" w:rsidRPr="00D83D8E" w:rsidRDefault="005C3297" w:rsidP="00783485">
      <w:pPr>
        <w:pStyle w:val="Default"/>
        <w:ind w:left="360"/>
        <w:contextualSpacing/>
        <w:jc w:val="both"/>
        <w:rPr>
          <w:kern w:val="2"/>
        </w:rPr>
      </w:pPr>
    </w:p>
    <w:p w:rsidR="005C3297" w:rsidRPr="00D83D8E" w:rsidRDefault="005C3297" w:rsidP="00D83D8E">
      <w:pPr>
        <w:pStyle w:val="Prrafodelista"/>
        <w:contextualSpacing/>
        <w:jc w:val="both"/>
        <w:rPr>
          <w:rFonts w:ascii="Arial" w:hAnsi="Arial" w:cs="Arial"/>
          <w:color w:val="000000"/>
          <w:kern w:val="2"/>
          <w:sz w:val="24"/>
          <w:szCs w:val="24"/>
          <w:lang w:val="es-ES"/>
        </w:rPr>
      </w:pPr>
    </w:p>
    <w:p w:rsidR="005C3297" w:rsidRPr="00D83D8E" w:rsidRDefault="005C3297" w:rsidP="00D83D8E">
      <w:pPr>
        <w:pStyle w:val="Default"/>
        <w:numPr>
          <w:ilvl w:val="0"/>
          <w:numId w:val="1"/>
        </w:numPr>
        <w:contextualSpacing/>
        <w:jc w:val="both"/>
        <w:rPr>
          <w:kern w:val="2"/>
        </w:rPr>
      </w:pPr>
      <w:r w:rsidRPr="00D83D8E">
        <w:rPr>
          <w:kern w:val="2"/>
        </w:rPr>
        <w:t xml:space="preserve">Fondo de Aportaciones para la Infraestructura Social. </w:t>
      </w:r>
    </w:p>
    <w:p w:rsidR="005C3297" w:rsidRPr="00D83D8E" w:rsidRDefault="005C3297" w:rsidP="00D83D8E">
      <w:pPr>
        <w:pStyle w:val="Default"/>
        <w:ind w:left="720"/>
        <w:contextualSpacing/>
        <w:jc w:val="both"/>
        <w:rPr>
          <w:kern w:val="2"/>
        </w:rPr>
      </w:pPr>
    </w:p>
    <w:p w:rsidR="005C3297" w:rsidRPr="00D83D8E" w:rsidRDefault="005C3297" w:rsidP="00D83D8E">
      <w:pPr>
        <w:pStyle w:val="Default"/>
        <w:numPr>
          <w:ilvl w:val="0"/>
          <w:numId w:val="1"/>
        </w:numPr>
        <w:contextualSpacing/>
        <w:jc w:val="both"/>
        <w:rPr>
          <w:kern w:val="2"/>
        </w:rPr>
      </w:pPr>
      <w:r w:rsidRPr="00D83D8E">
        <w:rPr>
          <w:kern w:val="2"/>
        </w:rPr>
        <w:t xml:space="preserve">Fondo de Aportaciones para el Fortalecimiento de los Municipios y de las Demarcaciones Territoriales del Distrito Federal. </w:t>
      </w:r>
    </w:p>
    <w:p w:rsidR="005C3297" w:rsidRPr="00D83D8E" w:rsidRDefault="005C3297" w:rsidP="00D83D8E">
      <w:pPr>
        <w:pStyle w:val="Default"/>
        <w:ind w:left="720"/>
        <w:contextualSpacing/>
        <w:jc w:val="both"/>
        <w:rPr>
          <w:kern w:val="2"/>
        </w:rPr>
      </w:pPr>
    </w:p>
    <w:p w:rsidR="005C3297" w:rsidRPr="00D83D8E" w:rsidRDefault="005C3297" w:rsidP="00D83D8E">
      <w:pPr>
        <w:pStyle w:val="Default"/>
        <w:numPr>
          <w:ilvl w:val="0"/>
          <w:numId w:val="1"/>
        </w:numPr>
        <w:contextualSpacing/>
        <w:jc w:val="both"/>
        <w:rPr>
          <w:kern w:val="2"/>
        </w:rPr>
      </w:pPr>
      <w:r w:rsidRPr="00D83D8E">
        <w:rPr>
          <w:kern w:val="2"/>
        </w:rPr>
        <w:t xml:space="preserve">Fondo de Aportaciones Múltiples. </w:t>
      </w:r>
    </w:p>
    <w:p w:rsidR="005C3297" w:rsidRPr="00D83D8E" w:rsidRDefault="005C3297" w:rsidP="00D83D8E">
      <w:pPr>
        <w:pStyle w:val="Default"/>
        <w:ind w:left="720"/>
        <w:contextualSpacing/>
        <w:jc w:val="both"/>
        <w:rPr>
          <w:kern w:val="2"/>
        </w:rPr>
      </w:pPr>
    </w:p>
    <w:p w:rsidR="005C3297" w:rsidRPr="00D83D8E" w:rsidRDefault="005C3297" w:rsidP="00D83D8E">
      <w:pPr>
        <w:pStyle w:val="Default"/>
        <w:numPr>
          <w:ilvl w:val="0"/>
          <w:numId w:val="1"/>
        </w:numPr>
        <w:contextualSpacing/>
        <w:jc w:val="both"/>
        <w:rPr>
          <w:kern w:val="2"/>
        </w:rPr>
      </w:pPr>
      <w:r w:rsidRPr="00D83D8E">
        <w:rPr>
          <w:kern w:val="2"/>
        </w:rPr>
        <w:t xml:space="preserve">Fondo de Aportaciones para la Educación Tecnológica y de Adultos. </w:t>
      </w:r>
    </w:p>
    <w:p w:rsidR="005C3297" w:rsidRPr="00D83D8E" w:rsidRDefault="005C3297" w:rsidP="00D83D8E">
      <w:pPr>
        <w:pStyle w:val="Default"/>
        <w:ind w:left="720"/>
        <w:contextualSpacing/>
        <w:jc w:val="both"/>
        <w:rPr>
          <w:kern w:val="2"/>
        </w:rPr>
      </w:pPr>
    </w:p>
    <w:p w:rsidR="005C3297" w:rsidRPr="00D83D8E" w:rsidRDefault="005C3297" w:rsidP="00D83D8E">
      <w:pPr>
        <w:pStyle w:val="Default"/>
        <w:numPr>
          <w:ilvl w:val="0"/>
          <w:numId w:val="1"/>
        </w:numPr>
        <w:contextualSpacing/>
        <w:jc w:val="both"/>
        <w:rPr>
          <w:kern w:val="2"/>
        </w:rPr>
      </w:pPr>
      <w:r w:rsidRPr="00D83D8E">
        <w:rPr>
          <w:kern w:val="2"/>
        </w:rPr>
        <w:t xml:space="preserve">Fondo de Aportaciones para la Seguridad Pública de los Estados y del Distrito Federal. </w:t>
      </w:r>
    </w:p>
    <w:p w:rsidR="005C3297" w:rsidRPr="00D83D8E" w:rsidRDefault="005C3297" w:rsidP="00D83D8E">
      <w:pPr>
        <w:pStyle w:val="Default"/>
        <w:ind w:left="720"/>
        <w:contextualSpacing/>
        <w:jc w:val="both"/>
        <w:rPr>
          <w:kern w:val="2"/>
        </w:rPr>
      </w:pPr>
    </w:p>
    <w:p w:rsidR="005C3297" w:rsidRPr="00D83D8E" w:rsidRDefault="005C3297" w:rsidP="00D83D8E">
      <w:pPr>
        <w:pStyle w:val="Default"/>
        <w:numPr>
          <w:ilvl w:val="0"/>
          <w:numId w:val="1"/>
        </w:numPr>
        <w:contextualSpacing/>
        <w:jc w:val="both"/>
        <w:rPr>
          <w:kern w:val="2"/>
        </w:rPr>
      </w:pPr>
      <w:r w:rsidRPr="00D83D8E">
        <w:rPr>
          <w:kern w:val="2"/>
        </w:rPr>
        <w:t>Fondo de Aportaciones para el Fortalecimiento de las Entidades Federativas</w:t>
      </w:r>
      <w:r w:rsidR="00BB43F0" w:rsidRPr="00D83D8E">
        <w:rPr>
          <w:kern w:val="2"/>
        </w:rPr>
        <w:t>.</w:t>
      </w:r>
      <w:r w:rsidRPr="00D83D8E">
        <w:rPr>
          <w:kern w:val="2"/>
        </w:rPr>
        <w:t xml:space="preserve"> </w:t>
      </w:r>
    </w:p>
    <w:p w:rsidR="008D296C" w:rsidRPr="00D83D8E" w:rsidRDefault="008D296C" w:rsidP="00D83D8E">
      <w:pPr>
        <w:pStyle w:val="Default"/>
        <w:ind w:left="720"/>
        <w:contextualSpacing/>
        <w:jc w:val="both"/>
        <w:rPr>
          <w:kern w:val="2"/>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r w:rsidRPr="00D83D8E">
        <w:rPr>
          <w:rFonts w:ascii="Arial" w:hAnsi="Arial" w:cs="Arial"/>
          <w:color w:val="000000"/>
          <w:kern w:val="2"/>
          <w:lang w:val="es-ES"/>
        </w:rPr>
        <w:t>En el tercer y cuarto rubro se encuentra</w:t>
      </w:r>
      <w:r w:rsidR="00D6366C" w:rsidRPr="00D83D8E">
        <w:rPr>
          <w:rFonts w:ascii="Arial" w:hAnsi="Arial" w:cs="Arial"/>
          <w:color w:val="000000"/>
          <w:kern w:val="2"/>
          <w:lang w:val="es-ES"/>
        </w:rPr>
        <w:t>n</w:t>
      </w:r>
      <w:r w:rsidRPr="00D83D8E">
        <w:rPr>
          <w:rFonts w:ascii="Arial" w:hAnsi="Arial" w:cs="Arial"/>
          <w:color w:val="000000"/>
          <w:kern w:val="2"/>
          <w:lang w:val="es-ES"/>
        </w:rPr>
        <w:t xml:space="preserve"> los Convenios y las Transferencias, Asignaciones, Subsidios y Otras Ayudas los cuales se establecen por acuerdos entre Dependencias y Entidades Federales y Estatales para su aplicación en obras o programas específicos regulados por reglas de operación dictadas para cada caso en particular. El Estado por concepto de concepto de convenios y Transferencias, Asignaciones, Subsidios y Otras Ayudas, se allegó en el ejercicio que se informa de recursos por </w:t>
      </w:r>
      <w:r w:rsidR="00225EC5" w:rsidRPr="00D83D8E">
        <w:rPr>
          <w:rFonts w:ascii="Arial" w:hAnsi="Arial" w:cs="Arial"/>
          <w:color w:val="000000"/>
          <w:kern w:val="2"/>
          <w:lang w:val="es-ES"/>
        </w:rPr>
        <w:t>12</w:t>
      </w:r>
      <w:r w:rsidRPr="00D83D8E">
        <w:rPr>
          <w:rFonts w:ascii="Arial" w:hAnsi="Arial" w:cs="Arial"/>
          <w:color w:val="000000"/>
          <w:kern w:val="2"/>
          <w:lang w:val="es-ES"/>
        </w:rPr>
        <w:t xml:space="preserve"> mil </w:t>
      </w:r>
      <w:r w:rsidR="00225EC5" w:rsidRPr="00D83D8E">
        <w:rPr>
          <w:rFonts w:ascii="Arial" w:hAnsi="Arial" w:cs="Arial"/>
          <w:color w:val="000000"/>
          <w:kern w:val="2"/>
          <w:lang w:val="es-ES"/>
        </w:rPr>
        <w:t>117</w:t>
      </w:r>
      <w:r w:rsidRPr="00D83D8E">
        <w:rPr>
          <w:rFonts w:ascii="Arial" w:hAnsi="Arial" w:cs="Arial"/>
          <w:color w:val="000000"/>
          <w:kern w:val="2"/>
          <w:lang w:val="es-ES"/>
        </w:rPr>
        <w:t xml:space="preserve"> millones </w:t>
      </w:r>
      <w:r w:rsidR="00225EC5" w:rsidRPr="00D83D8E">
        <w:rPr>
          <w:rFonts w:ascii="Arial" w:hAnsi="Arial" w:cs="Arial"/>
          <w:color w:val="000000"/>
          <w:kern w:val="2"/>
          <w:lang w:val="es-ES"/>
        </w:rPr>
        <w:t>171</w:t>
      </w:r>
      <w:r w:rsidR="009F4514" w:rsidRPr="00D83D8E">
        <w:rPr>
          <w:rFonts w:ascii="Arial" w:hAnsi="Arial" w:cs="Arial"/>
          <w:color w:val="000000"/>
          <w:kern w:val="2"/>
          <w:lang w:val="es-ES"/>
        </w:rPr>
        <w:t xml:space="preserve"> </w:t>
      </w:r>
      <w:r w:rsidRPr="00D83D8E">
        <w:rPr>
          <w:rFonts w:ascii="Arial" w:hAnsi="Arial" w:cs="Arial"/>
          <w:color w:val="000000"/>
          <w:kern w:val="2"/>
          <w:lang w:val="es-ES"/>
        </w:rPr>
        <w:t xml:space="preserve">mil pesos, presentando un comportamiento del </w:t>
      </w:r>
      <w:r w:rsidR="00225EC5" w:rsidRPr="00D83D8E">
        <w:rPr>
          <w:rFonts w:ascii="Arial" w:hAnsi="Arial" w:cs="Arial"/>
          <w:color w:val="000000"/>
          <w:kern w:val="2"/>
          <w:lang w:val="es-ES"/>
        </w:rPr>
        <w:t>62.42</w:t>
      </w:r>
      <w:r w:rsidRPr="00D83D8E">
        <w:rPr>
          <w:rFonts w:ascii="Arial" w:hAnsi="Arial" w:cs="Arial"/>
          <w:color w:val="000000"/>
          <w:kern w:val="2"/>
          <w:lang w:val="es-ES"/>
        </w:rPr>
        <w:t xml:space="preserve"> por ciento superior a lo estimado en la Ley de Ingresos</w:t>
      </w:r>
      <w:r w:rsidR="00225EC5" w:rsidRPr="00D83D8E">
        <w:rPr>
          <w:rFonts w:ascii="Arial" w:hAnsi="Arial" w:cs="Arial"/>
          <w:color w:val="000000"/>
          <w:kern w:val="2"/>
          <w:lang w:val="es-ES"/>
        </w:rPr>
        <w:t>.</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B575F4" w:rsidRPr="00D83D8E" w:rsidRDefault="00B575F4"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r w:rsidRPr="00D83D8E">
        <w:rPr>
          <w:noProof/>
          <w:kern w:val="2"/>
          <w:lang w:eastAsia="es-MX"/>
        </w:rPr>
        <w:lastRenderedPageBreak/>
        <w:drawing>
          <wp:inline distT="0" distB="0" distL="0" distR="0">
            <wp:extent cx="5882005" cy="605799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6057998"/>
                    </a:xfrm>
                    <a:prstGeom prst="rect">
                      <a:avLst/>
                    </a:prstGeom>
                    <a:noFill/>
                    <a:ln>
                      <a:noFill/>
                    </a:ln>
                  </pic:spPr>
                </pic:pic>
              </a:graphicData>
            </a:graphic>
          </wp:inline>
        </w:drawing>
      </w: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4659A2" w:rsidRPr="00D83D8E" w:rsidRDefault="004659A2"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b/>
          <w:bCs/>
          <w:spacing w:val="20"/>
          <w:kern w:val="2"/>
        </w:rPr>
      </w:pPr>
      <w:r w:rsidRPr="00D83D8E">
        <w:rPr>
          <w:rFonts w:ascii="Arial" w:hAnsi="Arial" w:cs="Arial"/>
          <w:b/>
          <w:bCs/>
          <w:spacing w:val="20"/>
          <w:kern w:val="2"/>
        </w:rPr>
        <w:lastRenderedPageBreak/>
        <w:t>3.2.</w:t>
      </w:r>
      <w:r w:rsidR="00DA4A1B">
        <w:rPr>
          <w:rFonts w:ascii="Arial" w:hAnsi="Arial" w:cs="Arial"/>
          <w:b/>
          <w:bCs/>
          <w:spacing w:val="20"/>
          <w:kern w:val="2"/>
        </w:rPr>
        <w:t>4</w:t>
      </w:r>
      <w:r w:rsidRPr="00D83D8E">
        <w:rPr>
          <w:rFonts w:ascii="Arial" w:hAnsi="Arial" w:cs="Arial"/>
          <w:b/>
          <w:bCs/>
          <w:spacing w:val="20"/>
          <w:kern w:val="2"/>
        </w:rPr>
        <w:t>.2.1.- PARTICIPACIONES</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El ingreso total por este concepto alcanzó durante el ejercicio que se informa un monto de </w:t>
      </w:r>
      <w:r w:rsidR="00667CE2" w:rsidRPr="00D83D8E">
        <w:rPr>
          <w:rFonts w:ascii="Arial" w:hAnsi="Arial" w:cs="Arial"/>
          <w:color w:val="000000"/>
          <w:kern w:val="2"/>
          <w:lang w:val="es-ES"/>
        </w:rPr>
        <w:t>15</w:t>
      </w:r>
      <w:r w:rsidRPr="00D83D8E">
        <w:rPr>
          <w:rFonts w:ascii="Arial" w:hAnsi="Arial" w:cs="Arial"/>
          <w:color w:val="000000"/>
          <w:kern w:val="2"/>
          <w:lang w:val="es-ES"/>
        </w:rPr>
        <w:t xml:space="preserve"> mil </w:t>
      </w:r>
      <w:r w:rsidR="007A4AE1" w:rsidRPr="00D83D8E">
        <w:rPr>
          <w:rFonts w:ascii="Arial" w:hAnsi="Arial" w:cs="Arial"/>
          <w:color w:val="000000"/>
          <w:kern w:val="2"/>
          <w:lang w:val="es-ES"/>
        </w:rPr>
        <w:t>146</w:t>
      </w:r>
      <w:r w:rsidR="00667CE2" w:rsidRPr="00D83D8E">
        <w:rPr>
          <w:rFonts w:ascii="Arial" w:hAnsi="Arial" w:cs="Arial"/>
          <w:color w:val="000000"/>
          <w:kern w:val="2"/>
          <w:lang w:val="es-ES"/>
        </w:rPr>
        <w:t xml:space="preserve"> millones 1</w:t>
      </w:r>
      <w:r w:rsidR="007A4AE1" w:rsidRPr="00D83D8E">
        <w:rPr>
          <w:rFonts w:ascii="Arial" w:hAnsi="Arial" w:cs="Arial"/>
          <w:color w:val="000000"/>
          <w:kern w:val="2"/>
          <w:lang w:val="es-ES"/>
        </w:rPr>
        <w:t>45</w:t>
      </w:r>
      <w:r w:rsidRPr="00D83D8E">
        <w:rPr>
          <w:rFonts w:ascii="Arial" w:hAnsi="Arial" w:cs="Arial"/>
          <w:color w:val="000000"/>
          <w:kern w:val="2"/>
          <w:lang w:val="es-ES"/>
        </w:rPr>
        <w:t xml:space="preserve"> mil pesos, importe que representó un</w:t>
      </w:r>
      <w:r w:rsidR="007A4AE1" w:rsidRPr="00D83D8E">
        <w:rPr>
          <w:rFonts w:ascii="Arial" w:hAnsi="Arial" w:cs="Arial"/>
          <w:color w:val="000000"/>
          <w:kern w:val="2"/>
          <w:lang w:val="es-ES"/>
        </w:rPr>
        <w:t>a disminución del 0.75</w:t>
      </w:r>
      <w:r w:rsidRPr="00D83D8E">
        <w:rPr>
          <w:rFonts w:ascii="Arial" w:hAnsi="Arial" w:cs="Arial"/>
          <w:color w:val="000000"/>
          <w:kern w:val="2"/>
          <w:lang w:val="es-ES"/>
        </w:rPr>
        <w:t xml:space="preserve"> por ciento respecto a la Ley de Ingresos y respecto al mismo periodo del ejercicio 201</w:t>
      </w:r>
      <w:r w:rsidR="002E2C51" w:rsidRPr="00D83D8E">
        <w:rPr>
          <w:rFonts w:ascii="Arial" w:hAnsi="Arial" w:cs="Arial"/>
          <w:color w:val="000000"/>
          <w:kern w:val="2"/>
          <w:lang w:val="es-ES"/>
        </w:rPr>
        <w:t>4</w:t>
      </w:r>
      <w:r w:rsidRPr="00D83D8E">
        <w:rPr>
          <w:rFonts w:ascii="Arial" w:hAnsi="Arial" w:cs="Arial"/>
          <w:color w:val="000000"/>
          <w:kern w:val="2"/>
          <w:lang w:val="es-ES"/>
        </w:rPr>
        <w:t>, se observa un</w:t>
      </w:r>
      <w:r w:rsidR="002E2C51" w:rsidRPr="00D83D8E">
        <w:rPr>
          <w:rFonts w:ascii="Arial" w:hAnsi="Arial" w:cs="Arial"/>
          <w:color w:val="000000"/>
          <w:kern w:val="2"/>
          <w:lang w:val="es-ES"/>
        </w:rPr>
        <w:t>a</w:t>
      </w:r>
      <w:r w:rsidRPr="00D83D8E">
        <w:rPr>
          <w:rFonts w:ascii="Arial" w:hAnsi="Arial" w:cs="Arial"/>
          <w:color w:val="000000"/>
          <w:kern w:val="2"/>
          <w:lang w:val="es-ES"/>
        </w:rPr>
        <w:t xml:space="preserve"> </w:t>
      </w:r>
      <w:r w:rsidR="002E2C51" w:rsidRPr="00D83D8E">
        <w:rPr>
          <w:rFonts w:ascii="Arial" w:hAnsi="Arial" w:cs="Arial"/>
          <w:color w:val="000000"/>
          <w:kern w:val="2"/>
          <w:lang w:val="es-ES"/>
        </w:rPr>
        <w:t>disminución del 4.56</w:t>
      </w:r>
      <w:r w:rsidRPr="00D83D8E">
        <w:rPr>
          <w:rFonts w:ascii="Arial" w:hAnsi="Arial" w:cs="Arial"/>
          <w:color w:val="000000"/>
          <w:kern w:val="2"/>
          <w:lang w:val="es-ES"/>
        </w:rPr>
        <w:t xml:space="preserve"> por ciento en términos reales.</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2E2C51"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Por concepto del</w:t>
      </w:r>
      <w:r w:rsidR="005C3297" w:rsidRPr="00D83D8E">
        <w:rPr>
          <w:rFonts w:ascii="Arial" w:hAnsi="Arial" w:cs="Arial"/>
          <w:color w:val="000000"/>
          <w:kern w:val="2"/>
          <w:lang w:val="es-ES"/>
        </w:rPr>
        <w:t xml:space="preserve"> Fondo General de Participaciones </w:t>
      </w:r>
      <w:r w:rsidRPr="00D83D8E">
        <w:rPr>
          <w:rFonts w:ascii="Arial" w:hAnsi="Arial" w:cs="Arial"/>
          <w:color w:val="000000"/>
          <w:kern w:val="2"/>
          <w:lang w:val="es-ES"/>
        </w:rPr>
        <w:t xml:space="preserve"> se recibieron ingresos por la cantidad de 12 mil 506 millones 351 mil pesos, lo que represento una disminución </w:t>
      </w:r>
      <w:r w:rsidR="005C3297" w:rsidRPr="00D83D8E">
        <w:rPr>
          <w:rFonts w:ascii="Arial" w:hAnsi="Arial" w:cs="Arial"/>
          <w:color w:val="000000"/>
          <w:kern w:val="2"/>
          <w:lang w:val="es-ES"/>
        </w:rPr>
        <w:t>de</w:t>
      </w:r>
      <w:r w:rsidRPr="00D83D8E">
        <w:rPr>
          <w:rFonts w:ascii="Arial" w:hAnsi="Arial" w:cs="Arial"/>
          <w:color w:val="000000"/>
          <w:kern w:val="2"/>
          <w:lang w:val="es-ES"/>
        </w:rPr>
        <w:t xml:space="preserve">l </w:t>
      </w:r>
      <w:r w:rsidR="00D6366C" w:rsidRPr="00D83D8E">
        <w:rPr>
          <w:rFonts w:ascii="Arial" w:hAnsi="Arial" w:cs="Arial"/>
          <w:color w:val="000000"/>
          <w:kern w:val="2"/>
          <w:lang w:val="es-ES"/>
        </w:rPr>
        <w:t>1.79</w:t>
      </w:r>
      <w:r w:rsidR="005C3297" w:rsidRPr="00D83D8E">
        <w:rPr>
          <w:rFonts w:ascii="Arial" w:hAnsi="Arial" w:cs="Arial"/>
          <w:color w:val="000000"/>
          <w:kern w:val="2"/>
          <w:lang w:val="es-ES"/>
        </w:rPr>
        <w:t xml:space="preserve"> por ciento con relación a lo estimado en la Ley de Ingresos y respecto de lo obtenido en el ejercicio 201</w:t>
      </w:r>
      <w:r w:rsidR="00D6366C" w:rsidRPr="00D83D8E">
        <w:rPr>
          <w:rFonts w:ascii="Arial" w:hAnsi="Arial" w:cs="Arial"/>
          <w:color w:val="000000"/>
          <w:kern w:val="2"/>
          <w:lang w:val="es-ES"/>
        </w:rPr>
        <w:t>4 la disminución fue de 5.03</w:t>
      </w:r>
      <w:r w:rsidR="005C3297" w:rsidRPr="00D83D8E">
        <w:rPr>
          <w:rFonts w:ascii="Arial" w:hAnsi="Arial" w:cs="Arial"/>
          <w:color w:val="000000"/>
          <w:kern w:val="2"/>
          <w:lang w:val="es-ES"/>
        </w:rPr>
        <w:t xml:space="preserve"> por ciento en términos reales.</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En el ejercicio 201</w:t>
      </w:r>
      <w:r w:rsidR="002C4D45" w:rsidRPr="00D83D8E">
        <w:rPr>
          <w:rFonts w:ascii="Arial" w:hAnsi="Arial" w:cs="Arial"/>
          <w:color w:val="000000"/>
          <w:kern w:val="2"/>
          <w:lang w:val="es-ES"/>
        </w:rPr>
        <w:t>5</w:t>
      </w:r>
      <w:r w:rsidRPr="00D83D8E">
        <w:rPr>
          <w:rFonts w:ascii="Arial" w:hAnsi="Arial" w:cs="Arial"/>
          <w:color w:val="000000"/>
          <w:kern w:val="2"/>
          <w:lang w:val="es-ES"/>
        </w:rPr>
        <w:t xml:space="preserve">, </w:t>
      </w:r>
      <w:r w:rsidR="002C4D45" w:rsidRPr="00D83D8E">
        <w:rPr>
          <w:rFonts w:ascii="Arial" w:hAnsi="Arial" w:cs="Arial"/>
          <w:color w:val="000000"/>
          <w:kern w:val="2"/>
          <w:lang w:val="es-ES"/>
        </w:rPr>
        <w:t xml:space="preserve"> </w:t>
      </w:r>
      <w:r w:rsidRPr="00D83D8E">
        <w:rPr>
          <w:rFonts w:ascii="Arial" w:hAnsi="Arial" w:cs="Arial"/>
          <w:color w:val="000000"/>
          <w:kern w:val="2"/>
          <w:lang w:val="es-ES"/>
        </w:rPr>
        <w:t xml:space="preserve">el Fondo de Fomento Municipal mostró un crecimiento del </w:t>
      </w:r>
      <w:r w:rsidR="002C4D45" w:rsidRPr="00D83D8E">
        <w:rPr>
          <w:rFonts w:ascii="Arial" w:hAnsi="Arial" w:cs="Arial"/>
          <w:color w:val="000000"/>
          <w:kern w:val="2"/>
          <w:lang w:val="es-ES"/>
        </w:rPr>
        <w:t>0.72</w:t>
      </w:r>
      <w:r w:rsidRPr="00D83D8E">
        <w:rPr>
          <w:rFonts w:ascii="Arial" w:hAnsi="Arial" w:cs="Arial"/>
          <w:color w:val="000000"/>
          <w:kern w:val="2"/>
          <w:lang w:val="es-ES"/>
        </w:rPr>
        <w:t xml:space="preserve"> por ciento con relación a lo estimado en la Ley de Ingresos, observándose </w:t>
      </w:r>
      <w:r w:rsidR="002C4D45" w:rsidRPr="00D83D8E">
        <w:rPr>
          <w:rFonts w:ascii="Arial" w:hAnsi="Arial" w:cs="Arial"/>
          <w:color w:val="000000"/>
          <w:kern w:val="2"/>
          <w:lang w:val="es-ES"/>
        </w:rPr>
        <w:t xml:space="preserve"> una disminución </w:t>
      </w:r>
      <w:r w:rsidRPr="00D83D8E">
        <w:rPr>
          <w:rFonts w:ascii="Arial" w:hAnsi="Arial" w:cs="Arial"/>
          <w:color w:val="000000"/>
          <w:kern w:val="2"/>
          <w:lang w:val="es-ES"/>
        </w:rPr>
        <w:t>respecto al ejercicio 201</w:t>
      </w:r>
      <w:r w:rsidR="002C4D45" w:rsidRPr="00D83D8E">
        <w:rPr>
          <w:rFonts w:ascii="Arial" w:hAnsi="Arial" w:cs="Arial"/>
          <w:color w:val="000000"/>
          <w:kern w:val="2"/>
          <w:lang w:val="es-ES"/>
        </w:rPr>
        <w:t>4</w:t>
      </w:r>
      <w:r w:rsidR="003B4168" w:rsidRPr="00D83D8E">
        <w:rPr>
          <w:rFonts w:ascii="Arial" w:hAnsi="Arial" w:cs="Arial"/>
          <w:color w:val="000000"/>
          <w:kern w:val="2"/>
          <w:lang w:val="es-ES"/>
        </w:rPr>
        <w:t xml:space="preserve"> </w:t>
      </w:r>
      <w:r w:rsidRPr="00D83D8E">
        <w:rPr>
          <w:rFonts w:ascii="Arial" w:hAnsi="Arial" w:cs="Arial"/>
          <w:color w:val="000000"/>
          <w:kern w:val="2"/>
          <w:lang w:val="es-ES"/>
        </w:rPr>
        <w:t xml:space="preserve"> del </w:t>
      </w:r>
      <w:r w:rsidR="002C4D45" w:rsidRPr="00D83D8E">
        <w:rPr>
          <w:rFonts w:ascii="Arial" w:hAnsi="Arial" w:cs="Arial"/>
          <w:color w:val="000000"/>
          <w:kern w:val="2"/>
          <w:lang w:val="es-ES"/>
        </w:rPr>
        <w:t>3.21</w:t>
      </w:r>
      <w:r w:rsidRPr="00D83D8E">
        <w:rPr>
          <w:rFonts w:ascii="Arial" w:hAnsi="Arial" w:cs="Arial"/>
          <w:color w:val="000000"/>
          <w:kern w:val="2"/>
          <w:lang w:val="es-ES"/>
        </w:rPr>
        <w:t xml:space="preserve"> por ciento en términos reales.</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El comportamiento registrado por las Participaciones en Impuestos Especiales refleja un crecimiento respecto a Ley de Ingresos del </w:t>
      </w:r>
      <w:r w:rsidR="00952020" w:rsidRPr="00D83D8E">
        <w:rPr>
          <w:rFonts w:ascii="Arial" w:hAnsi="Arial" w:cs="Arial"/>
          <w:color w:val="000000"/>
          <w:kern w:val="2"/>
          <w:lang w:val="es-ES"/>
        </w:rPr>
        <w:t>6.60</w:t>
      </w:r>
      <w:r w:rsidRPr="00D83D8E">
        <w:rPr>
          <w:rFonts w:ascii="Arial" w:hAnsi="Arial" w:cs="Arial"/>
          <w:color w:val="000000"/>
          <w:kern w:val="2"/>
          <w:lang w:val="es-ES"/>
        </w:rPr>
        <w:t xml:space="preserve"> por ciento y del </w:t>
      </w:r>
      <w:r w:rsidR="00952020" w:rsidRPr="00D83D8E">
        <w:rPr>
          <w:rFonts w:ascii="Arial" w:hAnsi="Arial" w:cs="Arial"/>
          <w:color w:val="000000"/>
          <w:kern w:val="2"/>
          <w:lang w:val="es-ES"/>
        </w:rPr>
        <w:t>8.72</w:t>
      </w:r>
      <w:r w:rsidRPr="00D83D8E">
        <w:rPr>
          <w:rFonts w:ascii="Arial" w:hAnsi="Arial" w:cs="Arial"/>
          <w:color w:val="000000"/>
          <w:kern w:val="2"/>
          <w:lang w:val="es-ES"/>
        </w:rPr>
        <w:t xml:space="preserve"> por ciento en términos reales respecto al ejercicio 201</w:t>
      </w:r>
      <w:r w:rsidR="00952020" w:rsidRPr="00D83D8E">
        <w:rPr>
          <w:rFonts w:ascii="Arial" w:hAnsi="Arial" w:cs="Arial"/>
          <w:color w:val="000000"/>
          <w:kern w:val="2"/>
          <w:lang w:val="es-ES"/>
        </w:rPr>
        <w:t>4</w:t>
      </w:r>
      <w:r w:rsidRPr="00D83D8E">
        <w:rPr>
          <w:rFonts w:ascii="Arial" w:hAnsi="Arial" w:cs="Arial"/>
          <w:color w:val="000000"/>
          <w:kern w:val="2"/>
          <w:lang w:val="es-ES"/>
        </w:rPr>
        <w:t>.</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El Fondo de Fiscalización presenta un comportamiento </w:t>
      </w:r>
      <w:r w:rsidR="00C70069" w:rsidRPr="00D83D8E">
        <w:rPr>
          <w:rFonts w:ascii="Arial" w:hAnsi="Arial" w:cs="Arial"/>
          <w:color w:val="000000"/>
          <w:kern w:val="2"/>
          <w:lang w:val="es-ES"/>
        </w:rPr>
        <w:t>positivo</w:t>
      </w:r>
      <w:r w:rsidRPr="00D83D8E">
        <w:rPr>
          <w:rFonts w:ascii="Arial" w:hAnsi="Arial" w:cs="Arial"/>
          <w:color w:val="000000"/>
          <w:kern w:val="2"/>
          <w:lang w:val="es-ES"/>
        </w:rPr>
        <w:t xml:space="preserve"> del </w:t>
      </w:r>
      <w:r w:rsidR="003E19FA" w:rsidRPr="00D83D8E">
        <w:rPr>
          <w:rFonts w:ascii="Arial" w:hAnsi="Arial" w:cs="Arial"/>
          <w:color w:val="000000"/>
          <w:kern w:val="2"/>
          <w:lang w:val="es-ES"/>
        </w:rPr>
        <w:t>3.25</w:t>
      </w:r>
      <w:r w:rsidRPr="00D83D8E">
        <w:rPr>
          <w:rFonts w:ascii="Arial" w:hAnsi="Arial" w:cs="Arial"/>
          <w:color w:val="000000"/>
          <w:kern w:val="2"/>
          <w:lang w:val="es-ES"/>
        </w:rPr>
        <w:t xml:space="preserve"> por ciento </w:t>
      </w:r>
      <w:r w:rsidR="003E19FA" w:rsidRPr="00D83D8E">
        <w:rPr>
          <w:rFonts w:ascii="Arial" w:hAnsi="Arial" w:cs="Arial"/>
          <w:color w:val="000000"/>
          <w:kern w:val="2"/>
          <w:lang w:val="es-ES"/>
        </w:rPr>
        <w:t xml:space="preserve">con relación a lo estimado en la Ley de Ingresos  y en relación al </w:t>
      </w:r>
      <w:r w:rsidRPr="00D83D8E">
        <w:rPr>
          <w:rFonts w:ascii="Arial" w:hAnsi="Arial" w:cs="Arial"/>
          <w:color w:val="000000"/>
          <w:kern w:val="2"/>
          <w:lang w:val="es-ES"/>
        </w:rPr>
        <w:t>ejercicio 201</w:t>
      </w:r>
      <w:r w:rsidR="00DF740A" w:rsidRPr="00D83D8E">
        <w:rPr>
          <w:rFonts w:ascii="Arial" w:hAnsi="Arial" w:cs="Arial"/>
          <w:color w:val="000000"/>
          <w:kern w:val="2"/>
          <w:lang w:val="es-ES"/>
        </w:rPr>
        <w:t>4</w:t>
      </w:r>
      <w:r w:rsidR="003E19FA" w:rsidRPr="00D83D8E">
        <w:rPr>
          <w:rFonts w:ascii="Arial" w:hAnsi="Arial" w:cs="Arial"/>
          <w:color w:val="000000"/>
          <w:kern w:val="2"/>
          <w:lang w:val="es-ES"/>
        </w:rPr>
        <w:t xml:space="preserve"> el comportamiento es negativo por 6.35 por ciento en términos reales.</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El Fondo de Compensación </w:t>
      </w:r>
      <w:r w:rsidR="003E297F" w:rsidRPr="00D83D8E">
        <w:rPr>
          <w:rFonts w:ascii="Arial" w:hAnsi="Arial" w:cs="Arial"/>
          <w:color w:val="000000"/>
          <w:kern w:val="2"/>
          <w:lang w:val="es-ES"/>
        </w:rPr>
        <w:t xml:space="preserve">reflejó un resultado positivo </w:t>
      </w:r>
      <w:r w:rsidRPr="00D83D8E">
        <w:rPr>
          <w:rFonts w:ascii="Arial" w:hAnsi="Arial" w:cs="Arial"/>
          <w:color w:val="000000"/>
          <w:kern w:val="2"/>
          <w:lang w:val="es-ES"/>
        </w:rPr>
        <w:t xml:space="preserve">del </w:t>
      </w:r>
      <w:r w:rsidR="003E19FA" w:rsidRPr="00D83D8E">
        <w:rPr>
          <w:rFonts w:ascii="Arial" w:hAnsi="Arial" w:cs="Arial"/>
          <w:color w:val="000000"/>
          <w:kern w:val="2"/>
          <w:lang w:val="es-ES"/>
        </w:rPr>
        <w:t xml:space="preserve">14.21 </w:t>
      </w:r>
      <w:r w:rsidRPr="00D83D8E">
        <w:rPr>
          <w:rFonts w:ascii="Arial" w:hAnsi="Arial" w:cs="Arial"/>
          <w:color w:val="000000"/>
          <w:kern w:val="2"/>
          <w:lang w:val="es-ES"/>
        </w:rPr>
        <w:t>por ciento con relación a lo estimado en la Ley de Ingresos, y respecto al ejercicio 201</w:t>
      </w:r>
      <w:r w:rsidR="003E19FA" w:rsidRPr="00D83D8E">
        <w:rPr>
          <w:rFonts w:ascii="Arial" w:hAnsi="Arial" w:cs="Arial"/>
          <w:color w:val="000000"/>
          <w:kern w:val="2"/>
          <w:lang w:val="es-ES"/>
        </w:rPr>
        <w:t>4</w:t>
      </w:r>
      <w:r w:rsidRPr="00D83D8E">
        <w:rPr>
          <w:rFonts w:ascii="Arial" w:hAnsi="Arial" w:cs="Arial"/>
          <w:color w:val="000000"/>
          <w:kern w:val="2"/>
          <w:lang w:val="es-ES"/>
        </w:rPr>
        <w:t xml:space="preserve">, </w:t>
      </w:r>
      <w:r w:rsidR="003E297F" w:rsidRPr="00D83D8E">
        <w:rPr>
          <w:rFonts w:ascii="Arial" w:hAnsi="Arial" w:cs="Arial"/>
          <w:color w:val="000000"/>
          <w:kern w:val="2"/>
          <w:lang w:val="es-ES"/>
        </w:rPr>
        <w:t xml:space="preserve">el crecimiento </w:t>
      </w:r>
      <w:r w:rsidRPr="00D83D8E">
        <w:rPr>
          <w:rFonts w:ascii="Arial" w:hAnsi="Arial" w:cs="Arial"/>
          <w:color w:val="000000"/>
          <w:kern w:val="2"/>
          <w:lang w:val="es-ES"/>
        </w:rPr>
        <w:t xml:space="preserve"> fue del </w:t>
      </w:r>
      <w:r w:rsidR="003E19FA" w:rsidRPr="00D83D8E">
        <w:rPr>
          <w:rFonts w:ascii="Arial" w:hAnsi="Arial" w:cs="Arial"/>
          <w:color w:val="000000"/>
          <w:kern w:val="2"/>
          <w:lang w:val="es-ES"/>
        </w:rPr>
        <w:t>1.23</w:t>
      </w:r>
      <w:r w:rsidRPr="00D83D8E">
        <w:rPr>
          <w:rFonts w:ascii="Arial" w:hAnsi="Arial" w:cs="Arial"/>
          <w:color w:val="000000"/>
          <w:kern w:val="2"/>
          <w:lang w:val="es-ES"/>
        </w:rPr>
        <w:t xml:space="preserve"> por ciento en términos reales. </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contextualSpacing/>
        <w:jc w:val="both"/>
        <w:rPr>
          <w:rFonts w:ascii="Arial" w:hAnsi="Arial" w:cs="Arial"/>
          <w:spacing w:val="20"/>
          <w:kern w:val="2"/>
        </w:rPr>
      </w:pPr>
    </w:p>
    <w:p w:rsidR="005C3297" w:rsidRPr="00D83D8E" w:rsidRDefault="005C3297" w:rsidP="00D83D8E">
      <w:pPr>
        <w:contextualSpacing/>
        <w:jc w:val="both"/>
        <w:rPr>
          <w:rFonts w:ascii="Arial" w:hAnsi="Arial" w:cs="Arial"/>
          <w:spacing w:val="20"/>
          <w:kern w:val="2"/>
        </w:rPr>
      </w:pPr>
    </w:p>
    <w:p w:rsidR="00F1207C" w:rsidRPr="00D83D8E" w:rsidRDefault="00F1207C" w:rsidP="00D83D8E">
      <w:pPr>
        <w:contextualSpacing/>
        <w:jc w:val="both"/>
        <w:rPr>
          <w:rFonts w:ascii="Arial" w:hAnsi="Arial" w:cs="Arial"/>
          <w:spacing w:val="20"/>
          <w:kern w:val="2"/>
        </w:rPr>
      </w:pPr>
    </w:p>
    <w:p w:rsidR="003E19FA" w:rsidRPr="00D83D8E" w:rsidRDefault="003E19FA" w:rsidP="00D83D8E">
      <w:pPr>
        <w:contextualSpacing/>
        <w:jc w:val="both"/>
        <w:rPr>
          <w:rFonts w:ascii="Arial" w:hAnsi="Arial" w:cs="Arial"/>
          <w:spacing w:val="20"/>
          <w:kern w:val="2"/>
        </w:rPr>
      </w:pPr>
    </w:p>
    <w:p w:rsidR="003E19FA" w:rsidRPr="00D83D8E" w:rsidRDefault="003E19FA" w:rsidP="00D83D8E">
      <w:pPr>
        <w:contextualSpacing/>
        <w:jc w:val="both"/>
        <w:rPr>
          <w:rFonts w:ascii="Arial" w:hAnsi="Arial" w:cs="Arial"/>
          <w:spacing w:val="20"/>
          <w:kern w:val="2"/>
        </w:rPr>
      </w:pPr>
    </w:p>
    <w:p w:rsidR="00F1207C" w:rsidRPr="00D83D8E" w:rsidRDefault="003E19FA" w:rsidP="00D83D8E">
      <w:pPr>
        <w:contextualSpacing/>
        <w:jc w:val="both"/>
        <w:rPr>
          <w:rFonts w:ascii="Arial" w:hAnsi="Arial" w:cs="Arial"/>
          <w:spacing w:val="20"/>
          <w:kern w:val="2"/>
        </w:rPr>
      </w:pPr>
      <w:r w:rsidRPr="00D83D8E">
        <w:rPr>
          <w:noProof/>
          <w:kern w:val="2"/>
          <w:lang w:val="es-MX" w:eastAsia="es-MX"/>
        </w:rPr>
        <w:lastRenderedPageBreak/>
        <w:drawing>
          <wp:inline distT="0" distB="0" distL="0" distR="0">
            <wp:extent cx="5882005" cy="254928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2549283"/>
                    </a:xfrm>
                    <a:prstGeom prst="rect">
                      <a:avLst/>
                    </a:prstGeom>
                    <a:noFill/>
                    <a:ln>
                      <a:noFill/>
                    </a:ln>
                  </pic:spPr>
                </pic:pic>
              </a:graphicData>
            </a:graphic>
          </wp:inline>
        </w:drawing>
      </w:r>
    </w:p>
    <w:p w:rsidR="00F1207C" w:rsidRPr="00D83D8E" w:rsidRDefault="00F1207C" w:rsidP="00D83D8E">
      <w:pPr>
        <w:contextualSpacing/>
        <w:jc w:val="both"/>
        <w:rPr>
          <w:rFonts w:ascii="Arial" w:hAnsi="Arial" w:cs="Arial"/>
          <w:spacing w:val="20"/>
          <w:kern w:val="2"/>
        </w:rPr>
      </w:pPr>
    </w:p>
    <w:p w:rsidR="00F1207C" w:rsidRPr="00D83D8E" w:rsidRDefault="00F1207C" w:rsidP="00D83D8E">
      <w:pPr>
        <w:contextualSpacing/>
        <w:jc w:val="both"/>
        <w:rPr>
          <w:rFonts w:ascii="Arial" w:hAnsi="Arial" w:cs="Arial"/>
          <w:spacing w:val="20"/>
          <w:kern w:val="2"/>
        </w:rPr>
      </w:pPr>
    </w:p>
    <w:p w:rsidR="00F1207C" w:rsidRPr="00D83D8E" w:rsidRDefault="00F1207C" w:rsidP="00D83D8E">
      <w:pPr>
        <w:contextualSpacing/>
        <w:jc w:val="both"/>
        <w:rPr>
          <w:rFonts w:ascii="Arial" w:hAnsi="Arial" w:cs="Arial"/>
          <w:spacing w:val="20"/>
          <w:kern w:val="2"/>
        </w:rPr>
      </w:pPr>
    </w:p>
    <w:p w:rsidR="00F1207C" w:rsidRPr="00D83D8E" w:rsidRDefault="00F1207C" w:rsidP="00D83D8E">
      <w:pPr>
        <w:contextualSpacing/>
        <w:jc w:val="both"/>
        <w:rPr>
          <w:rFonts w:ascii="Arial" w:hAnsi="Arial" w:cs="Arial"/>
          <w:spacing w:val="20"/>
          <w:kern w:val="2"/>
        </w:rPr>
      </w:pPr>
    </w:p>
    <w:p w:rsidR="005C3297" w:rsidRPr="00D83D8E" w:rsidRDefault="005C3297" w:rsidP="00D83D8E">
      <w:pPr>
        <w:contextualSpacing/>
        <w:jc w:val="both"/>
        <w:rPr>
          <w:rFonts w:ascii="Arial" w:hAnsi="Arial" w:cs="Arial"/>
          <w:spacing w:val="20"/>
          <w:kern w:val="2"/>
        </w:rPr>
      </w:pPr>
    </w:p>
    <w:p w:rsidR="00E91881" w:rsidRPr="00D83D8E" w:rsidRDefault="00E91881" w:rsidP="00D83D8E">
      <w:pPr>
        <w:contextualSpacing/>
        <w:jc w:val="both"/>
        <w:rPr>
          <w:rFonts w:ascii="Arial" w:hAnsi="Arial" w:cs="Arial"/>
          <w:spacing w:val="20"/>
          <w:kern w:val="2"/>
        </w:rPr>
      </w:pPr>
    </w:p>
    <w:p w:rsidR="00E91881" w:rsidRPr="00D83D8E" w:rsidRDefault="00E91881" w:rsidP="00D83D8E">
      <w:pPr>
        <w:contextualSpacing/>
        <w:jc w:val="both"/>
        <w:rPr>
          <w:rFonts w:ascii="Arial" w:hAnsi="Arial" w:cs="Arial"/>
          <w:spacing w:val="20"/>
          <w:kern w:val="2"/>
        </w:rPr>
      </w:pPr>
      <w:r w:rsidRPr="00D83D8E">
        <w:rPr>
          <w:rFonts w:ascii="Arial" w:hAnsi="Arial" w:cs="Arial"/>
          <w:spacing w:val="20"/>
          <w:kern w:val="2"/>
        </w:rPr>
        <w:br w:type="page"/>
      </w:r>
    </w:p>
    <w:p w:rsidR="005C3297" w:rsidRPr="00D83D8E" w:rsidRDefault="005C3297" w:rsidP="00D83D8E">
      <w:pPr>
        <w:contextualSpacing/>
        <w:jc w:val="both"/>
        <w:rPr>
          <w:rFonts w:ascii="Arial" w:hAnsi="Arial" w:cs="Arial"/>
          <w:b/>
          <w:bCs/>
          <w:spacing w:val="20"/>
          <w:kern w:val="2"/>
        </w:rPr>
      </w:pPr>
      <w:r w:rsidRPr="00D83D8E">
        <w:rPr>
          <w:rFonts w:ascii="Arial" w:hAnsi="Arial" w:cs="Arial"/>
          <w:b/>
          <w:bCs/>
          <w:spacing w:val="20"/>
          <w:kern w:val="2"/>
        </w:rPr>
        <w:lastRenderedPageBreak/>
        <w:t>3.2.</w:t>
      </w:r>
      <w:r w:rsidR="00DA4A1B">
        <w:rPr>
          <w:rFonts w:ascii="Arial" w:hAnsi="Arial" w:cs="Arial"/>
          <w:b/>
          <w:bCs/>
          <w:spacing w:val="20"/>
          <w:kern w:val="2"/>
        </w:rPr>
        <w:t>4</w:t>
      </w:r>
      <w:r w:rsidRPr="00D83D8E">
        <w:rPr>
          <w:rFonts w:ascii="Arial" w:hAnsi="Arial" w:cs="Arial"/>
          <w:b/>
          <w:bCs/>
          <w:spacing w:val="20"/>
          <w:kern w:val="2"/>
        </w:rPr>
        <w:t>.2.2.- APORTACIONES</w:t>
      </w:r>
    </w:p>
    <w:p w:rsidR="005C3297" w:rsidRPr="00D83D8E" w:rsidRDefault="005C3297" w:rsidP="00D83D8E">
      <w:pPr>
        <w:contextualSpacing/>
        <w:jc w:val="both"/>
        <w:rPr>
          <w:rFonts w:ascii="Arial" w:hAnsi="Arial" w:cs="Arial"/>
          <w:b/>
          <w:bCs/>
          <w:spacing w:val="20"/>
          <w:kern w:val="2"/>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El Gobierno Federal a través de la Secretaría de Hacienda y Crédito Público, transfirió recursos de Fondos de Aportaciones Federales del Ramo 33 al Gobierno del Estado de Oaxaca por </w:t>
      </w:r>
      <w:r w:rsidR="002B0C8B" w:rsidRPr="00D83D8E">
        <w:rPr>
          <w:rFonts w:ascii="Arial" w:hAnsi="Arial" w:cs="Arial"/>
          <w:color w:val="000000"/>
          <w:kern w:val="2"/>
          <w:lang w:val="es-ES"/>
        </w:rPr>
        <w:t>34</w:t>
      </w:r>
      <w:r w:rsidRPr="00D83D8E">
        <w:rPr>
          <w:rFonts w:ascii="Arial" w:hAnsi="Arial" w:cs="Arial"/>
          <w:color w:val="000000"/>
          <w:kern w:val="2"/>
          <w:lang w:val="es-ES"/>
        </w:rPr>
        <w:t xml:space="preserve"> mil </w:t>
      </w:r>
      <w:r w:rsidR="002B0C8B" w:rsidRPr="00D83D8E">
        <w:rPr>
          <w:rFonts w:ascii="Arial" w:hAnsi="Arial" w:cs="Arial"/>
          <w:color w:val="000000"/>
          <w:kern w:val="2"/>
          <w:lang w:val="es-ES"/>
        </w:rPr>
        <w:t>594</w:t>
      </w:r>
      <w:r w:rsidRPr="00D83D8E">
        <w:rPr>
          <w:rFonts w:ascii="Arial" w:hAnsi="Arial" w:cs="Arial"/>
          <w:color w:val="000000"/>
          <w:kern w:val="2"/>
          <w:lang w:val="es-ES"/>
        </w:rPr>
        <w:t xml:space="preserve"> millones </w:t>
      </w:r>
      <w:r w:rsidR="002B0C8B" w:rsidRPr="00D83D8E">
        <w:rPr>
          <w:rFonts w:ascii="Arial" w:hAnsi="Arial" w:cs="Arial"/>
          <w:color w:val="000000"/>
          <w:kern w:val="2"/>
          <w:lang w:val="es-ES"/>
        </w:rPr>
        <w:t>756</w:t>
      </w:r>
      <w:r w:rsidRPr="00D83D8E">
        <w:rPr>
          <w:rFonts w:ascii="Arial" w:hAnsi="Arial" w:cs="Arial"/>
          <w:color w:val="000000"/>
          <w:kern w:val="2"/>
          <w:lang w:val="es-ES"/>
        </w:rPr>
        <w:t xml:space="preserve"> mil pesos, durante el ejercicio fiscal 201</w:t>
      </w:r>
      <w:r w:rsidR="002B0C8B" w:rsidRPr="00D83D8E">
        <w:rPr>
          <w:rFonts w:ascii="Arial" w:hAnsi="Arial" w:cs="Arial"/>
          <w:color w:val="000000"/>
          <w:kern w:val="2"/>
          <w:lang w:val="es-ES"/>
        </w:rPr>
        <w:t>5</w:t>
      </w:r>
      <w:r w:rsidRPr="00D83D8E">
        <w:rPr>
          <w:rFonts w:ascii="Arial" w:hAnsi="Arial" w:cs="Arial"/>
          <w:color w:val="000000"/>
          <w:kern w:val="2"/>
          <w:lang w:val="es-ES"/>
        </w:rPr>
        <w:t xml:space="preserve">, monto superior en </w:t>
      </w:r>
      <w:r w:rsidR="002B0C8B" w:rsidRPr="00D83D8E">
        <w:rPr>
          <w:rFonts w:ascii="Arial" w:hAnsi="Arial" w:cs="Arial"/>
          <w:color w:val="000000"/>
          <w:kern w:val="2"/>
          <w:lang w:val="es-ES"/>
        </w:rPr>
        <w:t>10.65</w:t>
      </w:r>
      <w:r w:rsidRPr="00D83D8E">
        <w:rPr>
          <w:rFonts w:ascii="Arial" w:hAnsi="Arial" w:cs="Arial"/>
          <w:color w:val="000000"/>
          <w:kern w:val="2"/>
          <w:lang w:val="es-ES"/>
        </w:rPr>
        <w:t xml:space="preserve"> por ciento respecto de lo estimado en Ley de Ingresos, así mismo presenta un crecimiento en términos reales respecto al monto obtenido durante el ejercicio 201</w:t>
      </w:r>
      <w:r w:rsidR="002B0C8B" w:rsidRPr="00D83D8E">
        <w:rPr>
          <w:rFonts w:ascii="Arial" w:hAnsi="Arial" w:cs="Arial"/>
          <w:color w:val="000000"/>
          <w:kern w:val="2"/>
          <w:lang w:val="es-ES"/>
        </w:rPr>
        <w:t>4</w:t>
      </w:r>
      <w:r w:rsidRPr="00D83D8E">
        <w:rPr>
          <w:rFonts w:ascii="Arial" w:hAnsi="Arial" w:cs="Arial"/>
          <w:color w:val="000000"/>
          <w:kern w:val="2"/>
          <w:lang w:val="es-ES"/>
        </w:rPr>
        <w:t xml:space="preserve"> del </w:t>
      </w:r>
      <w:r w:rsidR="002B0C8B" w:rsidRPr="00D83D8E">
        <w:rPr>
          <w:rFonts w:ascii="Arial" w:hAnsi="Arial" w:cs="Arial"/>
          <w:color w:val="000000"/>
          <w:kern w:val="2"/>
          <w:lang w:val="es-ES"/>
        </w:rPr>
        <w:t>19.71</w:t>
      </w:r>
      <w:r w:rsidRPr="00D83D8E">
        <w:rPr>
          <w:rFonts w:ascii="Arial" w:hAnsi="Arial" w:cs="Arial"/>
          <w:color w:val="000000"/>
          <w:kern w:val="2"/>
          <w:lang w:val="es-ES"/>
        </w:rPr>
        <w:t xml:space="preserve"> por ciento.</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2B0C8B"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Fondo</w:t>
      </w:r>
      <w:r w:rsidR="002B0C8B" w:rsidRPr="00D83D8E">
        <w:rPr>
          <w:rFonts w:ascii="Arial" w:hAnsi="Arial" w:cs="Arial"/>
          <w:color w:val="000000"/>
          <w:kern w:val="2"/>
          <w:lang w:val="es-ES"/>
        </w:rPr>
        <w:t xml:space="preserve"> de Aportaciones para la Nómina Educativa y Gasto </w:t>
      </w:r>
      <w:r w:rsidR="00F20DA3" w:rsidRPr="00D83D8E">
        <w:rPr>
          <w:rFonts w:ascii="Arial" w:hAnsi="Arial" w:cs="Arial"/>
          <w:color w:val="000000"/>
          <w:kern w:val="2"/>
          <w:lang w:val="es-ES"/>
        </w:rPr>
        <w:t>O</w:t>
      </w:r>
      <w:r w:rsidR="002B0C8B" w:rsidRPr="00D83D8E">
        <w:rPr>
          <w:rFonts w:ascii="Arial" w:hAnsi="Arial" w:cs="Arial"/>
          <w:color w:val="000000"/>
          <w:kern w:val="2"/>
          <w:lang w:val="es-ES"/>
        </w:rPr>
        <w:t>perativo</w:t>
      </w:r>
      <w:r w:rsidR="00F20DA3" w:rsidRPr="00D83D8E">
        <w:rPr>
          <w:rFonts w:ascii="Arial" w:hAnsi="Arial" w:cs="Arial"/>
          <w:color w:val="000000"/>
          <w:kern w:val="2"/>
          <w:lang w:val="es-ES"/>
        </w:rPr>
        <w:t xml:space="preserve"> </w:t>
      </w:r>
      <w:r w:rsidR="002B0C8B" w:rsidRPr="00D83D8E">
        <w:rPr>
          <w:rFonts w:ascii="Arial" w:hAnsi="Arial" w:cs="Arial"/>
          <w:color w:val="000000"/>
          <w:kern w:val="2"/>
          <w:lang w:val="es-ES"/>
        </w:rPr>
        <w:t xml:space="preserve">(FONE), </w:t>
      </w:r>
      <w:r w:rsidRPr="00D83D8E">
        <w:rPr>
          <w:rFonts w:ascii="Arial" w:hAnsi="Arial" w:cs="Arial"/>
          <w:color w:val="000000"/>
          <w:kern w:val="2"/>
          <w:lang w:val="es-ES"/>
        </w:rPr>
        <w:t xml:space="preserve">se obtuvieron </w:t>
      </w:r>
      <w:r w:rsidR="002B0C8B" w:rsidRPr="00D83D8E">
        <w:rPr>
          <w:rFonts w:ascii="Arial" w:hAnsi="Arial" w:cs="Arial"/>
          <w:color w:val="000000"/>
          <w:kern w:val="2"/>
          <w:lang w:val="es-ES"/>
        </w:rPr>
        <w:t>20</w:t>
      </w:r>
      <w:r w:rsidRPr="00D83D8E">
        <w:rPr>
          <w:rFonts w:ascii="Arial" w:hAnsi="Arial" w:cs="Arial"/>
          <w:color w:val="000000"/>
          <w:kern w:val="2"/>
          <w:lang w:val="es-ES"/>
        </w:rPr>
        <w:t xml:space="preserve"> mil </w:t>
      </w:r>
      <w:r w:rsidR="002B0C8B" w:rsidRPr="00D83D8E">
        <w:rPr>
          <w:rFonts w:ascii="Arial" w:hAnsi="Arial" w:cs="Arial"/>
          <w:color w:val="000000"/>
          <w:kern w:val="2"/>
          <w:lang w:val="es-ES"/>
        </w:rPr>
        <w:t>894 millones 476</w:t>
      </w:r>
      <w:r w:rsidRPr="00D83D8E">
        <w:rPr>
          <w:rFonts w:ascii="Arial" w:hAnsi="Arial" w:cs="Arial"/>
          <w:color w:val="000000"/>
          <w:kern w:val="2"/>
          <w:lang w:val="es-ES"/>
        </w:rPr>
        <w:t xml:space="preserve"> mil pesos, superando en </w:t>
      </w:r>
      <w:r w:rsidR="002B0C8B" w:rsidRPr="00D83D8E">
        <w:rPr>
          <w:rFonts w:ascii="Arial" w:hAnsi="Arial" w:cs="Arial"/>
          <w:color w:val="000000"/>
          <w:kern w:val="2"/>
          <w:lang w:val="es-ES"/>
        </w:rPr>
        <w:t>17.46</w:t>
      </w:r>
      <w:r w:rsidRPr="00D83D8E">
        <w:rPr>
          <w:rFonts w:ascii="Arial" w:hAnsi="Arial" w:cs="Arial"/>
          <w:color w:val="000000"/>
          <w:kern w:val="2"/>
          <w:lang w:val="es-ES"/>
        </w:rPr>
        <w:t xml:space="preserve"> por ciento los ingresos estimados en Ley y </w:t>
      </w:r>
      <w:r w:rsidR="004A6136" w:rsidRPr="00D83D8E">
        <w:rPr>
          <w:rFonts w:ascii="Arial" w:hAnsi="Arial" w:cs="Arial"/>
          <w:color w:val="000000"/>
          <w:kern w:val="2"/>
          <w:lang w:val="es-ES"/>
        </w:rPr>
        <w:t>un crecimiento</w:t>
      </w:r>
      <w:r w:rsidRPr="00D83D8E">
        <w:rPr>
          <w:rFonts w:ascii="Arial" w:hAnsi="Arial" w:cs="Arial"/>
          <w:color w:val="000000"/>
          <w:kern w:val="2"/>
          <w:lang w:val="es-ES"/>
        </w:rPr>
        <w:t xml:space="preserve"> en términos reales de </w:t>
      </w:r>
      <w:r w:rsidR="002B0C8B" w:rsidRPr="00D83D8E">
        <w:rPr>
          <w:rFonts w:ascii="Arial" w:hAnsi="Arial" w:cs="Arial"/>
          <w:color w:val="000000"/>
          <w:kern w:val="2"/>
          <w:lang w:val="es-ES"/>
        </w:rPr>
        <w:t>35.65</w:t>
      </w:r>
      <w:r w:rsidRPr="00D83D8E">
        <w:rPr>
          <w:rFonts w:ascii="Arial" w:hAnsi="Arial" w:cs="Arial"/>
          <w:color w:val="000000"/>
          <w:kern w:val="2"/>
          <w:lang w:val="es-ES"/>
        </w:rPr>
        <w:t xml:space="preserve"> por ciento respecto </w:t>
      </w:r>
      <w:r w:rsidR="004A6136" w:rsidRPr="00D83D8E">
        <w:rPr>
          <w:rFonts w:ascii="Arial" w:hAnsi="Arial" w:cs="Arial"/>
          <w:color w:val="000000"/>
          <w:kern w:val="2"/>
          <w:lang w:val="es-ES"/>
        </w:rPr>
        <w:t>del ejercicio de 201</w:t>
      </w:r>
      <w:r w:rsidR="002B0C8B" w:rsidRPr="00D83D8E">
        <w:rPr>
          <w:rFonts w:ascii="Arial" w:hAnsi="Arial" w:cs="Arial"/>
          <w:color w:val="000000"/>
          <w:kern w:val="2"/>
          <w:lang w:val="es-ES"/>
        </w:rPr>
        <w:t>4; Son los recursos económicos que se destinarán únicamente al cumplimiento de los objetivos del sector educativo de acuerdo a la Ley General de Educación y la legislación estatal aplicable. El Fondo de Aportaciones para la Nómina Educativa y Gasto Operativo será administrado  por la Secretaría de Hacienda y Crédito Público y la transferencia de los recursos de realizará conforme al artículo  26-A de la Ley de Coordinación Fiscal</w:t>
      </w:r>
    </w:p>
    <w:p w:rsidR="002B0C8B" w:rsidRPr="00D83D8E" w:rsidRDefault="002B0C8B"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Respecto al Fondo de Aportaciones para los Servicios de Salud (FASSA), se recibieron recursos por un monto total de </w:t>
      </w:r>
      <w:r w:rsidR="00286207" w:rsidRPr="00D83D8E">
        <w:rPr>
          <w:rFonts w:ascii="Arial" w:hAnsi="Arial" w:cs="Arial"/>
          <w:color w:val="000000"/>
          <w:kern w:val="2"/>
          <w:lang w:val="es-ES"/>
        </w:rPr>
        <w:t>3</w:t>
      </w:r>
      <w:r w:rsidRPr="00D83D8E">
        <w:rPr>
          <w:rFonts w:ascii="Arial" w:hAnsi="Arial" w:cs="Arial"/>
          <w:color w:val="000000"/>
          <w:kern w:val="2"/>
          <w:lang w:val="es-ES"/>
        </w:rPr>
        <w:t xml:space="preserve"> mil </w:t>
      </w:r>
      <w:r w:rsidR="002B0C8B" w:rsidRPr="00D83D8E">
        <w:rPr>
          <w:rFonts w:ascii="Arial" w:hAnsi="Arial" w:cs="Arial"/>
          <w:color w:val="000000"/>
          <w:kern w:val="2"/>
          <w:lang w:val="es-ES"/>
        </w:rPr>
        <w:t>534</w:t>
      </w:r>
      <w:r w:rsidRPr="00D83D8E">
        <w:rPr>
          <w:rFonts w:ascii="Arial" w:hAnsi="Arial" w:cs="Arial"/>
          <w:color w:val="000000"/>
          <w:kern w:val="2"/>
          <w:lang w:val="es-ES"/>
        </w:rPr>
        <w:t xml:space="preserve"> millones </w:t>
      </w:r>
      <w:r w:rsidR="002B0C8B" w:rsidRPr="00D83D8E">
        <w:rPr>
          <w:rFonts w:ascii="Arial" w:hAnsi="Arial" w:cs="Arial"/>
          <w:color w:val="000000"/>
          <w:kern w:val="2"/>
          <w:lang w:val="es-ES"/>
        </w:rPr>
        <w:t>283</w:t>
      </w:r>
      <w:r w:rsidRPr="00D83D8E">
        <w:rPr>
          <w:rFonts w:ascii="Arial" w:hAnsi="Arial" w:cs="Arial"/>
          <w:color w:val="000000"/>
          <w:kern w:val="2"/>
          <w:lang w:val="es-ES"/>
        </w:rPr>
        <w:t xml:space="preserve"> mil pesos, cantidad mayor a la estimada en la Ley de ingresos por </w:t>
      </w:r>
      <w:r w:rsidR="002B0C8B" w:rsidRPr="00D83D8E">
        <w:rPr>
          <w:rFonts w:ascii="Arial" w:hAnsi="Arial" w:cs="Arial"/>
          <w:color w:val="000000"/>
          <w:kern w:val="2"/>
          <w:lang w:val="es-ES"/>
        </w:rPr>
        <w:t>9.45</w:t>
      </w:r>
      <w:r w:rsidRPr="00D83D8E">
        <w:rPr>
          <w:rFonts w:ascii="Arial" w:hAnsi="Arial" w:cs="Arial"/>
          <w:color w:val="000000"/>
          <w:kern w:val="2"/>
          <w:lang w:val="es-ES"/>
        </w:rPr>
        <w:t xml:space="preserve"> por ciento, mostrando en términos reales un crecimiento del </w:t>
      </w:r>
      <w:r w:rsidR="002B0C8B" w:rsidRPr="00D83D8E">
        <w:rPr>
          <w:rFonts w:ascii="Arial" w:hAnsi="Arial" w:cs="Arial"/>
          <w:color w:val="000000"/>
          <w:kern w:val="2"/>
          <w:lang w:val="es-ES"/>
        </w:rPr>
        <w:t>11.77</w:t>
      </w:r>
      <w:r w:rsidRPr="00D83D8E">
        <w:rPr>
          <w:rFonts w:ascii="Arial" w:hAnsi="Arial" w:cs="Arial"/>
          <w:color w:val="000000"/>
          <w:kern w:val="2"/>
          <w:lang w:val="es-ES"/>
        </w:rPr>
        <w:t xml:space="preserve"> por ciento respecto de lo obtenido en el ejercicio de 201</w:t>
      </w:r>
      <w:r w:rsidR="002B0C8B" w:rsidRPr="00D83D8E">
        <w:rPr>
          <w:rFonts w:ascii="Arial" w:hAnsi="Arial" w:cs="Arial"/>
          <w:color w:val="000000"/>
          <w:kern w:val="2"/>
          <w:lang w:val="es-ES"/>
        </w:rPr>
        <w:t>4</w:t>
      </w:r>
      <w:r w:rsidRPr="00D83D8E">
        <w:rPr>
          <w:rFonts w:ascii="Arial" w:hAnsi="Arial" w:cs="Arial"/>
          <w:color w:val="000000"/>
          <w:kern w:val="2"/>
          <w:lang w:val="es-ES"/>
        </w:rPr>
        <w:t xml:space="preserve">. </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Para el Fondo de Aportaciones para la Infraestructura Social (FAIS), durante el periodo que se informa, se obtuvieron recursos por un monto total de 5 mil </w:t>
      </w:r>
      <w:r w:rsidR="002B0C8B" w:rsidRPr="00D83D8E">
        <w:rPr>
          <w:rFonts w:ascii="Arial" w:hAnsi="Arial" w:cs="Arial"/>
          <w:color w:val="000000"/>
          <w:kern w:val="2"/>
          <w:lang w:val="es-ES"/>
        </w:rPr>
        <w:t>693</w:t>
      </w:r>
      <w:r w:rsidRPr="00D83D8E">
        <w:rPr>
          <w:rFonts w:ascii="Arial" w:hAnsi="Arial" w:cs="Arial"/>
          <w:color w:val="000000"/>
          <w:kern w:val="2"/>
          <w:lang w:val="es-ES"/>
        </w:rPr>
        <w:t xml:space="preserve"> millones </w:t>
      </w:r>
      <w:r w:rsidR="002C69FA" w:rsidRPr="00D83D8E">
        <w:rPr>
          <w:rFonts w:ascii="Arial" w:hAnsi="Arial" w:cs="Arial"/>
          <w:color w:val="000000"/>
          <w:kern w:val="2"/>
          <w:lang w:val="es-ES"/>
        </w:rPr>
        <w:t>9</w:t>
      </w:r>
      <w:r w:rsidR="002B0C8B" w:rsidRPr="00D83D8E">
        <w:rPr>
          <w:rFonts w:ascii="Arial" w:hAnsi="Arial" w:cs="Arial"/>
          <w:color w:val="000000"/>
          <w:kern w:val="2"/>
          <w:lang w:val="es-ES"/>
        </w:rPr>
        <w:t>67 mil pesos, monto superior a la estimación de Ley de Ingresos por 0.15 por ciento.</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El Fondo de Aportaciones para el Fortalecimiento de los Municipios y de las Demarcaciones Territoriales del Distrito Federal (FORTA</w:t>
      </w:r>
      <w:r w:rsidR="00912A6D" w:rsidRPr="00D83D8E">
        <w:rPr>
          <w:rFonts w:ascii="Arial" w:hAnsi="Arial" w:cs="Arial"/>
          <w:color w:val="000000"/>
          <w:kern w:val="2"/>
          <w:lang w:val="es-ES"/>
        </w:rPr>
        <w:t xml:space="preserve">MUN), observó un crecimiento </w:t>
      </w:r>
      <w:r w:rsidRPr="00D83D8E">
        <w:rPr>
          <w:rFonts w:ascii="Arial" w:hAnsi="Arial" w:cs="Arial"/>
          <w:color w:val="000000"/>
          <w:kern w:val="2"/>
          <w:lang w:val="es-ES"/>
        </w:rPr>
        <w:t xml:space="preserve">del </w:t>
      </w:r>
      <w:r w:rsidR="002B0C8B" w:rsidRPr="00D83D8E">
        <w:rPr>
          <w:rFonts w:ascii="Arial" w:hAnsi="Arial" w:cs="Arial"/>
          <w:color w:val="000000"/>
          <w:kern w:val="2"/>
          <w:lang w:val="es-ES"/>
        </w:rPr>
        <w:t>0.07</w:t>
      </w:r>
      <w:r w:rsidRPr="00D83D8E">
        <w:rPr>
          <w:rFonts w:ascii="Arial" w:hAnsi="Arial" w:cs="Arial"/>
          <w:color w:val="000000"/>
          <w:kern w:val="2"/>
          <w:lang w:val="es-ES"/>
        </w:rPr>
        <w:t xml:space="preserve"> por ciento respecto </w:t>
      </w:r>
      <w:r w:rsidR="002B0C8B" w:rsidRPr="00D83D8E">
        <w:rPr>
          <w:rFonts w:ascii="Arial" w:hAnsi="Arial" w:cs="Arial"/>
          <w:color w:val="000000"/>
          <w:kern w:val="2"/>
          <w:lang w:val="es-ES"/>
        </w:rPr>
        <w:t xml:space="preserve"> a la Ley de Ingresos</w:t>
      </w:r>
      <w:r w:rsidRPr="00D83D8E">
        <w:rPr>
          <w:rFonts w:ascii="Arial" w:hAnsi="Arial" w:cs="Arial"/>
          <w:color w:val="000000"/>
          <w:kern w:val="2"/>
          <w:lang w:val="es-ES"/>
        </w:rPr>
        <w:t xml:space="preserve">; en este fondo se obtuvieron recursos por un monto total de un mil </w:t>
      </w:r>
      <w:r w:rsidR="00AE31A5" w:rsidRPr="00D83D8E">
        <w:rPr>
          <w:rFonts w:ascii="Arial" w:hAnsi="Arial" w:cs="Arial"/>
          <w:color w:val="000000"/>
          <w:kern w:val="2"/>
          <w:lang w:val="es-ES"/>
        </w:rPr>
        <w:t>9</w:t>
      </w:r>
      <w:r w:rsidR="002B0C8B" w:rsidRPr="00D83D8E">
        <w:rPr>
          <w:rFonts w:ascii="Arial" w:hAnsi="Arial" w:cs="Arial"/>
          <w:color w:val="000000"/>
          <w:kern w:val="2"/>
          <w:lang w:val="es-ES"/>
        </w:rPr>
        <w:t>53</w:t>
      </w:r>
      <w:r w:rsidRPr="00D83D8E">
        <w:rPr>
          <w:rFonts w:ascii="Arial" w:hAnsi="Arial" w:cs="Arial"/>
          <w:color w:val="000000"/>
          <w:kern w:val="2"/>
          <w:lang w:val="es-ES"/>
        </w:rPr>
        <w:t xml:space="preserve"> millones </w:t>
      </w:r>
      <w:r w:rsidR="002B0C8B" w:rsidRPr="00D83D8E">
        <w:rPr>
          <w:rFonts w:ascii="Arial" w:hAnsi="Arial" w:cs="Arial"/>
          <w:color w:val="000000"/>
          <w:kern w:val="2"/>
          <w:lang w:val="es-ES"/>
        </w:rPr>
        <w:t>440</w:t>
      </w:r>
      <w:r w:rsidRPr="00D83D8E">
        <w:rPr>
          <w:rFonts w:ascii="Arial" w:hAnsi="Arial" w:cs="Arial"/>
          <w:color w:val="000000"/>
          <w:kern w:val="2"/>
          <w:lang w:val="es-ES"/>
        </w:rPr>
        <w:t xml:space="preserve"> mil pesos. Cabe señalar que</w:t>
      </w:r>
      <w:r w:rsidR="00912A6D" w:rsidRPr="00D83D8E">
        <w:rPr>
          <w:rFonts w:ascii="Arial" w:hAnsi="Arial" w:cs="Arial"/>
          <w:color w:val="000000"/>
          <w:kern w:val="2"/>
          <w:lang w:val="es-ES"/>
        </w:rPr>
        <w:t xml:space="preserve"> el monto total de este fondo se destina</w:t>
      </w:r>
      <w:r w:rsidRPr="00D83D8E">
        <w:rPr>
          <w:rFonts w:ascii="Arial" w:hAnsi="Arial" w:cs="Arial"/>
          <w:color w:val="000000"/>
          <w:kern w:val="2"/>
          <w:lang w:val="es-ES"/>
        </w:rPr>
        <w:t xml:space="preserve"> a los 570 municipios que integran el Estado.</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El Fondo de Aportaciones Múltiples (FAM), éste se subdivide en tres fondos con destinos específicos: el primero corresponde al Fondo de Aportaciones para la Asistencia Social (FAAS), el segundo al Fondo de Aportaciones para la Infraestructura Educativa Básica (FAIEB) y el tercero al Fondo de Aportación para la Infraestructura Educativa Superior (FAIES); el total recibido en este fondo fue de </w:t>
      </w:r>
      <w:r w:rsidR="001F524B" w:rsidRPr="00D83D8E">
        <w:rPr>
          <w:rFonts w:ascii="Arial" w:hAnsi="Arial" w:cs="Arial"/>
          <w:color w:val="000000"/>
          <w:kern w:val="2"/>
          <w:lang w:val="es-ES"/>
        </w:rPr>
        <w:t>888</w:t>
      </w:r>
      <w:r w:rsidRPr="00D83D8E">
        <w:rPr>
          <w:rFonts w:ascii="Arial" w:hAnsi="Arial" w:cs="Arial"/>
          <w:color w:val="000000"/>
          <w:kern w:val="2"/>
          <w:lang w:val="es-ES"/>
        </w:rPr>
        <w:t xml:space="preserve"> millones </w:t>
      </w:r>
      <w:r w:rsidR="001F524B" w:rsidRPr="00D83D8E">
        <w:rPr>
          <w:rFonts w:ascii="Arial" w:hAnsi="Arial" w:cs="Arial"/>
          <w:color w:val="000000"/>
          <w:kern w:val="2"/>
          <w:lang w:val="es-ES"/>
        </w:rPr>
        <w:t>670 mil pesos.</w:t>
      </w:r>
    </w:p>
    <w:p w:rsidR="001F524B" w:rsidRPr="00D83D8E" w:rsidRDefault="001F524B"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lastRenderedPageBreak/>
        <w:t xml:space="preserve">La asignación del Fondo de Aportaciones para la Educación Tecnológica y de Adultos (FAETA), ascendió a </w:t>
      </w:r>
      <w:r w:rsidR="003115C4" w:rsidRPr="00D83D8E">
        <w:rPr>
          <w:rFonts w:ascii="Arial" w:hAnsi="Arial" w:cs="Arial"/>
          <w:color w:val="000000"/>
          <w:kern w:val="2"/>
          <w:lang w:val="es-ES"/>
        </w:rPr>
        <w:t>12</w:t>
      </w:r>
      <w:r w:rsidR="001F524B" w:rsidRPr="00D83D8E">
        <w:rPr>
          <w:rFonts w:ascii="Arial" w:hAnsi="Arial" w:cs="Arial"/>
          <w:color w:val="000000"/>
          <w:kern w:val="2"/>
          <w:lang w:val="es-ES"/>
        </w:rPr>
        <w:t>5</w:t>
      </w:r>
      <w:r w:rsidRPr="00D83D8E">
        <w:rPr>
          <w:rFonts w:ascii="Arial" w:hAnsi="Arial" w:cs="Arial"/>
          <w:color w:val="000000"/>
          <w:kern w:val="2"/>
          <w:lang w:val="es-ES"/>
        </w:rPr>
        <w:t xml:space="preserve"> millones </w:t>
      </w:r>
      <w:r w:rsidR="001F524B" w:rsidRPr="00D83D8E">
        <w:rPr>
          <w:rFonts w:ascii="Arial" w:hAnsi="Arial" w:cs="Arial"/>
          <w:color w:val="000000"/>
          <w:kern w:val="2"/>
          <w:lang w:val="es-ES"/>
        </w:rPr>
        <w:t xml:space="preserve">415 </w:t>
      </w:r>
      <w:r w:rsidRPr="00D83D8E">
        <w:rPr>
          <w:rFonts w:ascii="Arial" w:hAnsi="Arial" w:cs="Arial"/>
          <w:color w:val="000000"/>
          <w:kern w:val="2"/>
          <w:lang w:val="es-ES"/>
        </w:rPr>
        <w:t xml:space="preserve">mil pesos, monto superior en </w:t>
      </w:r>
      <w:r w:rsidR="001F524B" w:rsidRPr="00D83D8E">
        <w:rPr>
          <w:rFonts w:ascii="Arial" w:hAnsi="Arial" w:cs="Arial"/>
          <w:color w:val="000000"/>
          <w:kern w:val="2"/>
          <w:lang w:val="es-ES"/>
        </w:rPr>
        <w:t>1.88</w:t>
      </w:r>
      <w:r w:rsidRPr="00D83D8E">
        <w:rPr>
          <w:rFonts w:ascii="Arial" w:hAnsi="Arial" w:cs="Arial"/>
          <w:color w:val="000000"/>
          <w:kern w:val="2"/>
          <w:lang w:val="es-ES"/>
        </w:rPr>
        <w:t xml:space="preserve"> por ciento a lo estimado en la </w:t>
      </w:r>
      <w:r w:rsidR="001F524B" w:rsidRPr="00D83D8E">
        <w:rPr>
          <w:rFonts w:ascii="Arial" w:hAnsi="Arial" w:cs="Arial"/>
          <w:color w:val="000000"/>
          <w:kern w:val="2"/>
          <w:lang w:val="es-ES"/>
        </w:rPr>
        <w:t xml:space="preserve">Ley de Ingresos, presentando un crecimiento del </w:t>
      </w:r>
      <w:r w:rsidRPr="00D83D8E">
        <w:rPr>
          <w:rFonts w:ascii="Arial" w:hAnsi="Arial" w:cs="Arial"/>
          <w:color w:val="000000"/>
          <w:kern w:val="2"/>
          <w:lang w:val="es-ES"/>
        </w:rPr>
        <w:t xml:space="preserve"> </w:t>
      </w:r>
      <w:r w:rsidR="001F524B" w:rsidRPr="00D83D8E">
        <w:rPr>
          <w:rFonts w:ascii="Arial" w:hAnsi="Arial" w:cs="Arial"/>
          <w:color w:val="000000"/>
          <w:kern w:val="2"/>
          <w:lang w:val="es-ES"/>
        </w:rPr>
        <w:t>0.37</w:t>
      </w:r>
      <w:r w:rsidRPr="00D83D8E">
        <w:rPr>
          <w:rFonts w:ascii="Arial" w:hAnsi="Arial" w:cs="Arial"/>
          <w:color w:val="000000"/>
          <w:kern w:val="2"/>
          <w:lang w:val="es-ES"/>
        </w:rPr>
        <w:t xml:space="preserve"> por ciento real con relación a</w:t>
      </w:r>
      <w:r w:rsidR="003115C4" w:rsidRPr="00D83D8E">
        <w:rPr>
          <w:rFonts w:ascii="Arial" w:hAnsi="Arial" w:cs="Arial"/>
          <w:color w:val="000000"/>
          <w:kern w:val="2"/>
          <w:lang w:val="es-ES"/>
        </w:rPr>
        <w:t xml:space="preserve"> los ingresos del ejercicio 201</w:t>
      </w:r>
      <w:r w:rsidR="001F524B" w:rsidRPr="00D83D8E">
        <w:rPr>
          <w:rFonts w:ascii="Arial" w:hAnsi="Arial" w:cs="Arial"/>
          <w:color w:val="000000"/>
          <w:kern w:val="2"/>
          <w:lang w:val="es-ES"/>
        </w:rPr>
        <w:t>4</w:t>
      </w:r>
      <w:r w:rsidRPr="00D83D8E">
        <w:rPr>
          <w:rFonts w:ascii="Arial" w:hAnsi="Arial" w:cs="Arial"/>
          <w:color w:val="000000"/>
          <w:kern w:val="2"/>
          <w:lang w:val="es-ES"/>
        </w:rPr>
        <w:t>. El Estado de Oaxaca únicamente recibe recursos para la Educación de Adultos que se destinan en su aplicación a través del Instituto Estatal para la Educación de Adultos.</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Fondo de Aportaciones para la Seguridad Pública de los Estados y del Distrito Federal (FASP), durante el ejercicio que se informa, se obtuvieron recursos por la cantidad de </w:t>
      </w:r>
      <w:r w:rsidR="00EC3CD5" w:rsidRPr="00D83D8E">
        <w:rPr>
          <w:rFonts w:ascii="Arial" w:hAnsi="Arial" w:cs="Arial"/>
          <w:color w:val="000000"/>
          <w:kern w:val="2"/>
          <w:lang w:val="es-ES"/>
        </w:rPr>
        <w:t>260</w:t>
      </w:r>
      <w:r w:rsidRPr="00D83D8E">
        <w:rPr>
          <w:rFonts w:ascii="Arial" w:hAnsi="Arial" w:cs="Arial"/>
          <w:color w:val="000000"/>
          <w:kern w:val="2"/>
          <w:lang w:val="es-ES"/>
        </w:rPr>
        <w:t xml:space="preserve"> millones </w:t>
      </w:r>
      <w:r w:rsidR="00EC3CD5" w:rsidRPr="00D83D8E">
        <w:rPr>
          <w:rFonts w:ascii="Arial" w:hAnsi="Arial" w:cs="Arial"/>
          <w:color w:val="000000"/>
          <w:kern w:val="2"/>
          <w:lang w:val="es-ES"/>
        </w:rPr>
        <w:t>79</w:t>
      </w:r>
      <w:r w:rsidRPr="00D83D8E">
        <w:rPr>
          <w:rFonts w:ascii="Arial" w:hAnsi="Arial" w:cs="Arial"/>
          <w:color w:val="000000"/>
          <w:kern w:val="2"/>
          <w:lang w:val="es-ES"/>
        </w:rPr>
        <w:t xml:space="preserve"> mil pesos, cantidad superior en </w:t>
      </w:r>
      <w:r w:rsidR="003115C4" w:rsidRPr="00D83D8E">
        <w:rPr>
          <w:rFonts w:ascii="Arial" w:hAnsi="Arial" w:cs="Arial"/>
          <w:color w:val="000000"/>
          <w:kern w:val="2"/>
          <w:lang w:val="es-ES"/>
        </w:rPr>
        <w:t>0.3</w:t>
      </w:r>
      <w:r w:rsidR="00EC3CD5" w:rsidRPr="00D83D8E">
        <w:rPr>
          <w:rFonts w:ascii="Arial" w:hAnsi="Arial" w:cs="Arial"/>
          <w:color w:val="000000"/>
          <w:kern w:val="2"/>
          <w:lang w:val="es-ES"/>
        </w:rPr>
        <w:t>0</w:t>
      </w:r>
      <w:r w:rsidRPr="00D83D8E">
        <w:rPr>
          <w:rFonts w:ascii="Arial" w:hAnsi="Arial" w:cs="Arial"/>
          <w:color w:val="000000"/>
          <w:kern w:val="2"/>
          <w:lang w:val="es-ES"/>
        </w:rPr>
        <w:t xml:space="preserve"> por ciento en términos reales respecto al ejercicio 201</w:t>
      </w:r>
      <w:r w:rsidR="00EC3CD5" w:rsidRPr="00D83D8E">
        <w:rPr>
          <w:rFonts w:ascii="Arial" w:hAnsi="Arial" w:cs="Arial"/>
          <w:color w:val="000000"/>
          <w:kern w:val="2"/>
          <w:lang w:val="es-ES"/>
        </w:rPr>
        <w:t>4</w:t>
      </w:r>
      <w:r w:rsidRPr="00D83D8E">
        <w:rPr>
          <w:rFonts w:ascii="Arial" w:hAnsi="Arial" w:cs="Arial"/>
          <w:color w:val="000000"/>
          <w:kern w:val="2"/>
          <w:lang w:val="es-ES"/>
        </w:rPr>
        <w:t>.</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Respecto al Fondo de Aportaciones para el Fortalecimiento de las Entidades Federativas (FAFEF), se recibieron recursos por un mil </w:t>
      </w:r>
      <w:r w:rsidR="00EC3CD5" w:rsidRPr="00D83D8E">
        <w:rPr>
          <w:rFonts w:ascii="Arial" w:hAnsi="Arial" w:cs="Arial"/>
          <w:color w:val="000000"/>
          <w:kern w:val="2"/>
          <w:lang w:val="es-ES"/>
        </w:rPr>
        <w:t>244</w:t>
      </w:r>
      <w:r w:rsidRPr="00D83D8E">
        <w:rPr>
          <w:rFonts w:ascii="Arial" w:hAnsi="Arial" w:cs="Arial"/>
          <w:color w:val="000000"/>
          <w:kern w:val="2"/>
          <w:lang w:val="es-ES"/>
        </w:rPr>
        <w:t xml:space="preserve"> millones </w:t>
      </w:r>
      <w:r w:rsidR="00EC3CD5" w:rsidRPr="00D83D8E">
        <w:rPr>
          <w:rFonts w:ascii="Arial" w:hAnsi="Arial" w:cs="Arial"/>
          <w:color w:val="000000"/>
          <w:kern w:val="2"/>
          <w:lang w:val="es-ES"/>
        </w:rPr>
        <w:t>422</w:t>
      </w:r>
      <w:r w:rsidRPr="00D83D8E">
        <w:rPr>
          <w:rFonts w:ascii="Arial" w:hAnsi="Arial" w:cs="Arial"/>
          <w:color w:val="000000"/>
          <w:kern w:val="2"/>
          <w:lang w:val="es-ES"/>
        </w:rPr>
        <w:t xml:space="preserve"> mil pesos, mismo que representa un crecimiento en términos reales del </w:t>
      </w:r>
      <w:r w:rsidR="00EC3CD5" w:rsidRPr="00D83D8E">
        <w:rPr>
          <w:rFonts w:ascii="Arial" w:hAnsi="Arial" w:cs="Arial"/>
          <w:color w:val="000000"/>
          <w:kern w:val="2"/>
          <w:lang w:val="es-ES"/>
        </w:rPr>
        <w:t>1.15</w:t>
      </w:r>
      <w:r w:rsidRPr="00D83D8E">
        <w:rPr>
          <w:rFonts w:ascii="Arial" w:hAnsi="Arial" w:cs="Arial"/>
          <w:color w:val="000000"/>
          <w:kern w:val="2"/>
          <w:lang w:val="es-ES"/>
        </w:rPr>
        <w:t xml:space="preserve"> por ciento respecto al ejercicio 201</w:t>
      </w:r>
      <w:r w:rsidR="00F20DA3" w:rsidRPr="00D83D8E">
        <w:rPr>
          <w:rFonts w:ascii="Arial" w:hAnsi="Arial" w:cs="Arial"/>
          <w:color w:val="000000"/>
          <w:kern w:val="2"/>
          <w:lang w:val="es-ES"/>
        </w:rPr>
        <w:t>4</w:t>
      </w:r>
      <w:r w:rsidR="00EC3CD5" w:rsidRPr="00D83D8E">
        <w:rPr>
          <w:rFonts w:ascii="Arial" w:hAnsi="Arial" w:cs="Arial"/>
          <w:color w:val="000000"/>
          <w:kern w:val="2"/>
          <w:lang w:val="es-ES"/>
        </w:rPr>
        <w:t xml:space="preserve"> y  con relación  a la Ley de Ingresos el crecimiento es del 2.19 por ciento.</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color w:val="000000"/>
          <w:kern w:val="2"/>
        </w:rPr>
      </w:pPr>
    </w:p>
    <w:p w:rsidR="005C3297" w:rsidRPr="00D83D8E" w:rsidRDefault="005C3297" w:rsidP="00D83D8E">
      <w:pPr>
        <w:contextualSpacing/>
        <w:jc w:val="both"/>
        <w:rPr>
          <w:rFonts w:ascii="Arial" w:hAnsi="Arial" w:cs="Arial"/>
          <w:b/>
          <w:bCs/>
          <w:spacing w:val="20"/>
          <w:kern w:val="2"/>
        </w:rPr>
      </w:pPr>
    </w:p>
    <w:p w:rsidR="004004B2" w:rsidRPr="00D83D8E" w:rsidRDefault="004004B2" w:rsidP="00D83D8E">
      <w:pPr>
        <w:contextualSpacing/>
        <w:jc w:val="both"/>
        <w:rPr>
          <w:rFonts w:ascii="Arial" w:hAnsi="Arial" w:cs="Arial"/>
          <w:b/>
          <w:bCs/>
          <w:spacing w:val="20"/>
          <w:kern w:val="2"/>
        </w:rPr>
      </w:pPr>
    </w:p>
    <w:p w:rsidR="004004B2" w:rsidRPr="00D83D8E" w:rsidRDefault="004004B2" w:rsidP="00D83D8E">
      <w:pPr>
        <w:contextualSpacing/>
        <w:jc w:val="both"/>
        <w:rPr>
          <w:rFonts w:ascii="Arial" w:hAnsi="Arial" w:cs="Arial"/>
          <w:b/>
          <w:bCs/>
          <w:spacing w:val="20"/>
          <w:kern w:val="2"/>
        </w:rPr>
      </w:pPr>
    </w:p>
    <w:p w:rsidR="001326A4" w:rsidRPr="00D83D8E" w:rsidRDefault="004004B2" w:rsidP="00D83D8E">
      <w:pPr>
        <w:contextualSpacing/>
        <w:jc w:val="both"/>
        <w:rPr>
          <w:rFonts w:ascii="Arial" w:hAnsi="Arial" w:cs="Arial"/>
          <w:b/>
          <w:bCs/>
          <w:spacing w:val="20"/>
          <w:kern w:val="2"/>
        </w:rPr>
      </w:pPr>
      <w:r w:rsidRPr="00D83D8E">
        <w:rPr>
          <w:noProof/>
          <w:kern w:val="2"/>
          <w:lang w:val="es-MX" w:eastAsia="es-MX"/>
        </w:rPr>
        <w:lastRenderedPageBreak/>
        <w:drawing>
          <wp:inline distT="0" distB="0" distL="0" distR="0">
            <wp:extent cx="5882005" cy="481489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4814897"/>
                    </a:xfrm>
                    <a:prstGeom prst="rect">
                      <a:avLst/>
                    </a:prstGeom>
                    <a:noFill/>
                    <a:ln>
                      <a:noFill/>
                    </a:ln>
                  </pic:spPr>
                </pic:pic>
              </a:graphicData>
            </a:graphic>
          </wp:inline>
        </w:drawing>
      </w:r>
    </w:p>
    <w:p w:rsidR="001326A4" w:rsidRPr="00D83D8E" w:rsidRDefault="001326A4" w:rsidP="00D83D8E">
      <w:pPr>
        <w:contextualSpacing/>
        <w:jc w:val="both"/>
        <w:rPr>
          <w:rFonts w:ascii="Arial" w:hAnsi="Arial" w:cs="Arial"/>
          <w:b/>
          <w:bCs/>
          <w:spacing w:val="20"/>
          <w:kern w:val="2"/>
        </w:rPr>
      </w:pPr>
    </w:p>
    <w:p w:rsidR="001326A4" w:rsidRPr="00D83D8E" w:rsidRDefault="001326A4" w:rsidP="00D83D8E">
      <w:pPr>
        <w:contextualSpacing/>
        <w:jc w:val="both"/>
        <w:rPr>
          <w:rFonts w:ascii="Arial" w:hAnsi="Arial" w:cs="Arial"/>
          <w:b/>
          <w:bCs/>
          <w:spacing w:val="20"/>
          <w:kern w:val="2"/>
        </w:rPr>
      </w:pPr>
    </w:p>
    <w:p w:rsidR="001326A4" w:rsidRPr="00D83D8E" w:rsidRDefault="001326A4" w:rsidP="00D83D8E">
      <w:pPr>
        <w:contextualSpacing/>
        <w:jc w:val="both"/>
        <w:rPr>
          <w:rFonts w:ascii="Arial" w:hAnsi="Arial" w:cs="Arial"/>
          <w:b/>
          <w:bCs/>
          <w:spacing w:val="20"/>
          <w:kern w:val="2"/>
        </w:rPr>
      </w:pPr>
    </w:p>
    <w:p w:rsidR="001326A4" w:rsidRPr="00D83D8E" w:rsidRDefault="001326A4" w:rsidP="00D83D8E">
      <w:pPr>
        <w:contextualSpacing/>
        <w:jc w:val="both"/>
        <w:rPr>
          <w:rFonts w:ascii="Arial" w:hAnsi="Arial" w:cs="Arial"/>
          <w:b/>
          <w:bCs/>
          <w:spacing w:val="20"/>
          <w:kern w:val="2"/>
        </w:rPr>
      </w:pPr>
    </w:p>
    <w:p w:rsidR="001326A4" w:rsidRPr="00D83D8E" w:rsidRDefault="001326A4" w:rsidP="00D83D8E">
      <w:pPr>
        <w:contextualSpacing/>
        <w:jc w:val="both"/>
        <w:rPr>
          <w:rFonts w:ascii="Arial" w:hAnsi="Arial" w:cs="Arial"/>
          <w:b/>
          <w:bCs/>
          <w:spacing w:val="20"/>
          <w:kern w:val="2"/>
        </w:rPr>
      </w:pPr>
    </w:p>
    <w:p w:rsidR="001326A4" w:rsidRPr="00D83D8E" w:rsidRDefault="001326A4" w:rsidP="00D83D8E">
      <w:pPr>
        <w:contextualSpacing/>
        <w:jc w:val="both"/>
        <w:rPr>
          <w:rFonts w:ascii="Arial" w:hAnsi="Arial" w:cs="Arial"/>
          <w:b/>
          <w:bCs/>
          <w:spacing w:val="20"/>
          <w:kern w:val="2"/>
        </w:rPr>
      </w:pPr>
    </w:p>
    <w:p w:rsidR="001326A4" w:rsidRPr="00D83D8E" w:rsidRDefault="001326A4" w:rsidP="00D83D8E">
      <w:pPr>
        <w:contextualSpacing/>
        <w:jc w:val="both"/>
        <w:rPr>
          <w:rFonts w:ascii="Arial" w:hAnsi="Arial" w:cs="Arial"/>
          <w:b/>
          <w:bCs/>
          <w:spacing w:val="20"/>
          <w:kern w:val="2"/>
        </w:rPr>
      </w:pPr>
    </w:p>
    <w:p w:rsidR="001326A4" w:rsidRPr="00D83D8E" w:rsidRDefault="001326A4" w:rsidP="00D83D8E">
      <w:pPr>
        <w:contextualSpacing/>
        <w:jc w:val="both"/>
        <w:rPr>
          <w:rFonts w:ascii="Arial" w:hAnsi="Arial" w:cs="Arial"/>
          <w:b/>
          <w:bCs/>
          <w:spacing w:val="20"/>
          <w:kern w:val="2"/>
        </w:rPr>
      </w:pPr>
    </w:p>
    <w:p w:rsidR="001326A4" w:rsidRPr="00D83D8E" w:rsidRDefault="001326A4" w:rsidP="00D83D8E">
      <w:pPr>
        <w:contextualSpacing/>
        <w:jc w:val="both"/>
        <w:rPr>
          <w:rFonts w:ascii="Arial" w:hAnsi="Arial" w:cs="Arial"/>
          <w:b/>
          <w:bCs/>
          <w:spacing w:val="20"/>
          <w:kern w:val="2"/>
        </w:rPr>
      </w:pPr>
    </w:p>
    <w:p w:rsidR="005C3297" w:rsidRPr="00D83D8E" w:rsidRDefault="005C3297" w:rsidP="00D83D8E">
      <w:pPr>
        <w:contextualSpacing/>
        <w:jc w:val="both"/>
        <w:rPr>
          <w:rFonts w:ascii="Arial" w:hAnsi="Arial" w:cs="Arial"/>
          <w:b/>
          <w:bCs/>
          <w:spacing w:val="20"/>
          <w:kern w:val="2"/>
        </w:rPr>
      </w:pPr>
    </w:p>
    <w:p w:rsidR="005C3297" w:rsidRPr="00D83D8E" w:rsidRDefault="005C3297" w:rsidP="00D83D8E">
      <w:pPr>
        <w:contextualSpacing/>
        <w:jc w:val="both"/>
        <w:rPr>
          <w:rFonts w:ascii="Arial" w:hAnsi="Arial" w:cs="Arial"/>
          <w:b/>
          <w:bCs/>
          <w:spacing w:val="20"/>
          <w:kern w:val="2"/>
        </w:rPr>
      </w:pPr>
    </w:p>
    <w:p w:rsidR="005C3297" w:rsidRPr="00D83D8E" w:rsidRDefault="005C3297" w:rsidP="00D83D8E">
      <w:pPr>
        <w:contextualSpacing/>
        <w:jc w:val="both"/>
        <w:rPr>
          <w:rFonts w:ascii="Arial" w:hAnsi="Arial" w:cs="Arial"/>
          <w:b/>
          <w:bCs/>
          <w:spacing w:val="20"/>
          <w:kern w:val="2"/>
        </w:rPr>
      </w:pPr>
    </w:p>
    <w:p w:rsidR="005C3297" w:rsidRPr="00D83D8E" w:rsidRDefault="005C3297" w:rsidP="00D83D8E">
      <w:pPr>
        <w:contextualSpacing/>
        <w:jc w:val="both"/>
        <w:rPr>
          <w:rFonts w:ascii="Arial" w:hAnsi="Arial" w:cs="Arial"/>
          <w:b/>
          <w:bCs/>
          <w:spacing w:val="20"/>
          <w:kern w:val="2"/>
        </w:rPr>
      </w:pPr>
    </w:p>
    <w:p w:rsidR="005C3297" w:rsidRPr="00D83D8E" w:rsidRDefault="00E91881" w:rsidP="00D83D8E">
      <w:pPr>
        <w:contextualSpacing/>
        <w:jc w:val="both"/>
        <w:rPr>
          <w:rFonts w:ascii="Arial" w:hAnsi="Arial" w:cs="Arial"/>
          <w:b/>
          <w:bCs/>
          <w:spacing w:val="20"/>
          <w:kern w:val="2"/>
        </w:rPr>
      </w:pPr>
      <w:r w:rsidRPr="00D83D8E">
        <w:rPr>
          <w:rFonts w:ascii="Arial" w:hAnsi="Arial" w:cs="Arial"/>
          <w:b/>
          <w:bCs/>
          <w:spacing w:val="20"/>
          <w:kern w:val="2"/>
        </w:rPr>
        <w:br w:type="page"/>
      </w:r>
      <w:r w:rsidR="005C3297" w:rsidRPr="00D83D8E">
        <w:rPr>
          <w:rFonts w:ascii="Arial" w:hAnsi="Arial" w:cs="Arial"/>
          <w:b/>
          <w:bCs/>
          <w:spacing w:val="20"/>
          <w:kern w:val="2"/>
        </w:rPr>
        <w:lastRenderedPageBreak/>
        <w:t>3.2.</w:t>
      </w:r>
      <w:r w:rsidR="00DA4A1B">
        <w:rPr>
          <w:rFonts w:ascii="Arial" w:hAnsi="Arial" w:cs="Arial"/>
          <w:b/>
          <w:bCs/>
          <w:spacing w:val="20"/>
          <w:kern w:val="2"/>
        </w:rPr>
        <w:t>4</w:t>
      </w:r>
      <w:r w:rsidR="005C3297" w:rsidRPr="00D83D8E">
        <w:rPr>
          <w:rFonts w:ascii="Arial" w:hAnsi="Arial" w:cs="Arial"/>
          <w:b/>
          <w:bCs/>
          <w:spacing w:val="20"/>
          <w:kern w:val="2"/>
        </w:rPr>
        <w:t>.2.3- CONVENIOS.</w:t>
      </w:r>
    </w:p>
    <w:p w:rsidR="005C3297" w:rsidRPr="00D83D8E" w:rsidRDefault="005C3297" w:rsidP="00D83D8E">
      <w:pPr>
        <w:contextualSpacing/>
        <w:jc w:val="both"/>
        <w:rPr>
          <w:rFonts w:ascii="Arial" w:hAnsi="Arial" w:cs="Arial"/>
          <w:b/>
          <w:bCs/>
          <w:spacing w:val="20"/>
          <w:kern w:val="2"/>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El Decreto de Presupuesto de Egresos de la Federación para el ejercicio fiscal 201</w:t>
      </w:r>
      <w:r w:rsidR="004004B2" w:rsidRPr="00D83D8E">
        <w:rPr>
          <w:rFonts w:ascii="Arial" w:hAnsi="Arial" w:cs="Arial"/>
          <w:color w:val="000000"/>
          <w:kern w:val="2"/>
          <w:lang w:val="es-ES"/>
        </w:rPr>
        <w:t>5</w:t>
      </w:r>
      <w:r w:rsidRPr="00D83D8E">
        <w:rPr>
          <w:rFonts w:ascii="Arial" w:hAnsi="Arial" w:cs="Arial"/>
          <w:color w:val="000000"/>
          <w:kern w:val="2"/>
          <w:lang w:val="es-ES"/>
        </w:rPr>
        <w:t xml:space="preserve">, autoriza a las dependencias y entidades federales para que con cargo a sus respectivos presupuestos y por medio de convenios específicos con las dependencias y entidades de los gobiernos, puedan reasignar recursos a las entidades federativas para la atención de programas de beneficencia social. </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Durante el ejercicio que se informa fueron reasignados recursos para Oaxaca por </w:t>
      </w:r>
      <w:r w:rsidR="004004B2" w:rsidRPr="00D83D8E">
        <w:rPr>
          <w:rFonts w:ascii="Arial" w:hAnsi="Arial" w:cs="Arial"/>
          <w:color w:val="000000"/>
          <w:kern w:val="2"/>
          <w:lang w:val="es-ES"/>
        </w:rPr>
        <w:t>9</w:t>
      </w:r>
      <w:r w:rsidRPr="00D83D8E">
        <w:rPr>
          <w:rFonts w:ascii="Arial" w:hAnsi="Arial" w:cs="Arial"/>
          <w:color w:val="000000"/>
          <w:kern w:val="2"/>
          <w:lang w:val="es-ES"/>
        </w:rPr>
        <w:t xml:space="preserve"> mil </w:t>
      </w:r>
      <w:r w:rsidR="004004B2" w:rsidRPr="00D83D8E">
        <w:rPr>
          <w:rFonts w:ascii="Arial" w:hAnsi="Arial" w:cs="Arial"/>
          <w:color w:val="000000"/>
          <w:kern w:val="2"/>
          <w:lang w:val="es-ES"/>
        </w:rPr>
        <w:t>907</w:t>
      </w:r>
      <w:r w:rsidR="00ED786F" w:rsidRPr="00D83D8E">
        <w:rPr>
          <w:rFonts w:ascii="Arial" w:hAnsi="Arial" w:cs="Arial"/>
          <w:color w:val="000000"/>
          <w:kern w:val="2"/>
          <w:lang w:val="es-ES"/>
        </w:rPr>
        <w:t xml:space="preserve"> millones </w:t>
      </w:r>
      <w:r w:rsidR="00287D74" w:rsidRPr="00D83D8E">
        <w:rPr>
          <w:rFonts w:ascii="Arial" w:hAnsi="Arial" w:cs="Arial"/>
          <w:color w:val="000000"/>
          <w:kern w:val="2"/>
          <w:lang w:val="es-ES"/>
        </w:rPr>
        <w:t>4</w:t>
      </w:r>
      <w:r w:rsidR="004004B2" w:rsidRPr="00D83D8E">
        <w:rPr>
          <w:rFonts w:ascii="Arial" w:hAnsi="Arial" w:cs="Arial"/>
          <w:color w:val="000000"/>
          <w:kern w:val="2"/>
          <w:lang w:val="es-ES"/>
        </w:rPr>
        <w:t>23</w:t>
      </w:r>
      <w:r w:rsidR="00ED786F" w:rsidRPr="00D83D8E">
        <w:rPr>
          <w:rFonts w:ascii="Arial" w:hAnsi="Arial" w:cs="Arial"/>
          <w:color w:val="000000"/>
          <w:kern w:val="2"/>
          <w:lang w:val="es-ES"/>
        </w:rPr>
        <w:t xml:space="preserve"> mil</w:t>
      </w:r>
      <w:r w:rsidRPr="00D83D8E">
        <w:rPr>
          <w:rFonts w:ascii="Arial" w:hAnsi="Arial" w:cs="Arial"/>
          <w:color w:val="000000"/>
          <w:kern w:val="2"/>
          <w:lang w:val="es-ES"/>
        </w:rPr>
        <w:t xml:space="preserve"> pesos, cantidad superior en </w:t>
      </w:r>
      <w:r w:rsidR="004004B2" w:rsidRPr="00D83D8E">
        <w:rPr>
          <w:rFonts w:ascii="Arial" w:hAnsi="Arial" w:cs="Arial"/>
          <w:color w:val="000000"/>
          <w:kern w:val="2"/>
          <w:lang w:val="es-ES"/>
        </w:rPr>
        <w:t>81.04</w:t>
      </w:r>
      <w:r w:rsidRPr="00D83D8E">
        <w:rPr>
          <w:rFonts w:ascii="Arial" w:hAnsi="Arial" w:cs="Arial"/>
          <w:color w:val="000000"/>
          <w:kern w:val="2"/>
          <w:lang w:val="es-ES"/>
        </w:rPr>
        <w:t xml:space="preserve"> por ciento a lo estimado en la Ley de Ingresos.</w:t>
      </w:r>
    </w:p>
    <w:p w:rsidR="0087154B" w:rsidRPr="00D83D8E" w:rsidRDefault="0087154B" w:rsidP="00D83D8E">
      <w:pPr>
        <w:contextualSpacing/>
        <w:jc w:val="both"/>
        <w:rPr>
          <w:rFonts w:ascii="Arial" w:hAnsi="Arial" w:cs="Arial"/>
          <w:kern w:val="2"/>
          <w:sz w:val="16"/>
          <w:szCs w:val="16"/>
        </w:rPr>
      </w:pPr>
    </w:p>
    <w:p w:rsidR="00745868" w:rsidRPr="00D83D8E" w:rsidRDefault="00745868" w:rsidP="00D83D8E">
      <w:pPr>
        <w:contextualSpacing/>
        <w:jc w:val="both"/>
        <w:rPr>
          <w:rFonts w:ascii="Arial" w:hAnsi="Arial" w:cs="Arial"/>
          <w:kern w:val="2"/>
          <w:sz w:val="16"/>
          <w:szCs w:val="16"/>
        </w:rPr>
      </w:pPr>
    </w:p>
    <w:p w:rsidR="00745868" w:rsidRPr="00D83D8E" w:rsidRDefault="00745868" w:rsidP="00D83D8E">
      <w:pPr>
        <w:contextualSpacing/>
        <w:jc w:val="both"/>
        <w:rPr>
          <w:rFonts w:ascii="Arial" w:hAnsi="Arial" w:cs="Arial"/>
          <w:kern w:val="2"/>
          <w:sz w:val="16"/>
          <w:szCs w:val="16"/>
        </w:rPr>
      </w:pPr>
    </w:p>
    <w:p w:rsidR="00745868" w:rsidRPr="00D83D8E" w:rsidRDefault="00745868" w:rsidP="00D83D8E">
      <w:pPr>
        <w:contextualSpacing/>
        <w:jc w:val="both"/>
        <w:rPr>
          <w:rFonts w:ascii="Arial" w:hAnsi="Arial" w:cs="Arial"/>
          <w:kern w:val="2"/>
          <w:sz w:val="16"/>
          <w:szCs w:val="16"/>
        </w:rPr>
      </w:pPr>
      <w:r w:rsidRPr="00D83D8E">
        <w:rPr>
          <w:noProof/>
          <w:kern w:val="2"/>
          <w:lang w:val="es-MX" w:eastAsia="es-MX"/>
        </w:rPr>
        <w:drawing>
          <wp:inline distT="0" distB="0" distL="0" distR="0">
            <wp:extent cx="5882005" cy="4198128"/>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4198128"/>
                    </a:xfrm>
                    <a:prstGeom prst="rect">
                      <a:avLst/>
                    </a:prstGeom>
                    <a:noFill/>
                    <a:ln>
                      <a:noFill/>
                    </a:ln>
                  </pic:spPr>
                </pic:pic>
              </a:graphicData>
            </a:graphic>
          </wp:inline>
        </w:drawing>
      </w:r>
    </w:p>
    <w:p w:rsidR="006B7082" w:rsidRPr="00D83D8E" w:rsidRDefault="006B7082" w:rsidP="00D83D8E">
      <w:pPr>
        <w:contextualSpacing/>
        <w:jc w:val="both"/>
        <w:rPr>
          <w:noProof/>
          <w:kern w:val="2"/>
          <w:lang w:val="es-MX" w:eastAsia="es-MX"/>
        </w:rPr>
      </w:pPr>
    </w:p>
    <w:p w:rsidR="008C18CA" w:rsidRPr="00D83D8E" w:rsidRDefault="00A24F77" w:rsidP="00D83D8E">
      <w:pPr>
        <w:contextualSpacing/>
        <w:jc w:val="both"/>
        <w:rPr>
          <w:rFonts w:ascii="Arial" w:hAnsi="Arial" w:cs="Arial"/>
          <w:kern w:val="2"/>
          <w:sz w:val="16"/>
          <w:szCs w:val="16"/>
        </w:rPr>
      </w:pPr>
      <w:r w:rsidRPr="00D83D8E">
        <w:rPr>
          <w:rFonts w:ascii="Arial" w:hAnsi="Arial" w:cs="Arial"/>
          <w:kern w:val="2"/>
          <w:sz w:val="16"/>
          <w:szCs w:val="16"/>
        </w:rPr>
        <w:t xml:space="preserve">Continúa. . . </w:t>
      </w:r>
    </w:p>
    <w:p w:rsidR="006B7082" w:rsidRPr="00D83D8E" w:rsidRDefault="00F50407" w:rsidP="00D83D8E">
      <w:pPr>
        <w:tabs>
          <w:tab w:val="left" w:pos="2667"/>
        </w:tabs>
        <w:contextualSpacing/>
        <w:jc w:val="both"/>
        <w:rPr>
          <w:rFonts w:ascii="Arial" w:hAnsi="Arial" w:cs="Arial"/>
          <w:kern w:val="2"/>
          <w:sz w:val="16"/>
          <w:szCs w:val="16"/>
        </w:rPr>
      </w:pPr>
      <w:r w:rsidRPr="00D83D8E">
        <w:rPr>
          <w:rFonts w:ascii="Arial" w:hAnsi="Arial" w:cs="Arial"/>
          <w:kern w:val="2"/>
          <w:sz w:val="16"/>
          <w:szCs w:val="16"/>
        </w:rPr>
        <w:tab/>
      </w:r>
    </w:p>
    <w:p w:rsidR="006B7082" w:rsidRPr="00D83D8E" w:rsidRDefault="006B7082" w:rsidP="00D83D8E">
      <w:pPr>
        <w:contextualSpacing/>
        <w:jc w:val="both"/>
        <w:rPr>
          <w:rFonts w:ascii="Arial" w:hAnsi="Arial" w:cs="Arial"/>
          <w:kern w:val="2"/>
          <w:sz w:val="16"/>
          <w:szCs w:val="16"/>
        </w:rPr>
      </w:pPr>
    </w:p>
    <w:p w:rsidR="006B7082" w:rsidRPr="00D83D8E" w:rsidRDefault="006B7082" w:rsidP="00D83D8E">
      <w:pPr>
        <w:contextualSpacing/>
        <w:jc w:val="both"/>
        <w:rPr>
          <w:rFonts w:ascii="Arial" w:hAnsi="Arial" w:cs="Arial"/>
          <w:kern w:val="2"/>
          <w:sz w:val="16"/>
          <w:szCs w:val="16"/>
        </w:rPr>
      </w:pPr>
    </w:p>
    <w:p w:rsidR="0078075A" w:rsidRPr="00D83D8E" w:rsidRDefault="00447B96" w:rsidP="00D83D8E">
      <w:pPr>
        <w:contextualSpacing/>
        <w:jc w:val="both"/>
        <w:rPr>
          <w:noProof/>
          <w:kern w:val="2"/>
          <w:lang w:val="es-MX" w:eastAsia="es-MX"/>
        </w:rPr>
      </w:pPr>
      <w:r w:rsidRPr="00D83D8E">
        <w:rPr>
          <w:noProof/>
          <w:kern w:val="2"/>
          <w:lang w:val="es-MX" w:eastAsia="es-MX"/>
        </w:rPr>
        <w:lastRenderedPageBreak/>
        <w:drawing>
          <wp:inline distT="0" distB="0" distL="0" distR="0">
            <wp:extent cx="5882005" cy="7138834"/>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7138834"/>
                    </a:xfrm>
                    <a:prstGeom prst="rect">
                      <a:avLst/>
                    </a:prstGeom>
                    <a:noFill/>
                    <a:ln>
                      <a:noFill/>
                    </a:ln>
                  </pic:spPr>
                </pic:pic>
              </a:graphicData>
            </a:graphic>
          </wp:inline>
        </w:drawing>
      </w:r>
    </w:p>
    <w:p w:rsidR="0087154B" w:rsidRPr="00D83D8E" w:rsidRDefault="0087154B" w:rsidP="00D83D8E">
      <w:pPr>
        <w:contextualSpacing/>
        <w:jc w:val="both"/>
        <w:rPr>
          <w:rFonts w:ascii="Arial" w:hAnsi="Arial" w:cs="Arial"/>
          <w:kern w:val="2"/>
          <w:sz w:val="16"/>
          <w:szCs w:val="16"/>
        </w:rPr>
      </w:pPr>
    </w:p>
    <w:p w:rsidR="00B65A85" w:rsidRPr="00D83D8E" w:rsidRDefault="00A24F77" w:rsidP="00D83D8E">
      <w:pPr>
        <w:contextualSpacing/>
        <w:jc w:val="both"/>
        <w:rPr>
          <w:rFonts w:ascii="Arial" w:hAnsi="Arial" w:cs="Arial"/>
          <w:kern w:val="2"/>
          <w:sz w:val="16"/>
          <w:szCs w:val="16"/>
        </w:rPr>
      </w:pPr>
      <w:r w:rsidRPr="00D83D8E">
        <w:rPr>
          <w:rFonts w:ascii="Arial" w:hAnsi="Arial" w:cs="Arial"/>
          <w:kern w:val="2"/>
          <w:sz w:val="16"/>
          <w:szCs w:val="16"/>
        </w:rPr>
        <w:lastRenderedPageBreak/>
        <w:t xml:space="preserve">Continúa. . . </w:t>
      </w:r>
    </w:p>
    <w:p w:rsidR="0087154B" w:rsidRPr="00D83D8E" w:rsidRDefault="00447B96" w:rsidP="00D83D8E">
      <w:pPr>
        <w:contextualSpacing/>
        <w:rPr>
          <w:rFonts w:ascii="Arial" w:hAnsi="Arial" w:cs="Arial"/>
          <w:kern w:val="2"/>
          <w:sz w:val="16"/>
          <w:szCs w:val="16"/>
        </w:rPr>
      </w:pPr>
      <w:r w:rsidRPr="00D83D8E">
        <w:rPr>
          <w:noProof/>
          <w:kern w:val="2"/>
          <w:lang w:val="es-MX" w:eastAsia="es-MX"/>
        </w:rPr>
        <w:drawing>
          <wp:inline distT="0" distB="0" distL="0" distR="0">
            <wp:extent cx="5882005" cy="6607395"/>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6607395"/>
                    </a:xfrm>
                    <a:prstGeom prst="rect">
                      <a:avLst/>
                    </a:prstGeom>
                    <a:noFill/>
                    <a:ln>
                      <a:noFill/>
                    </a:ln>
                  </pic:spPr>
                </pic:pic>
              </a:graphicData>
            </a:graphic>
          </wp:inline>
        </w:drawing>
      </w:r>
    </w:p>
    <w:p w:rsidR="00286EFA" w:rsidRPr="00D83D8E" w:rsidRDefault="00286EFA" w:rsidP="00D83D8E">
      <w:pPr>
        <w:contextualSpacing/>
        <w:jc w:val="both"/>
        <w:rPr>
          <w:noProof/>
          <w:kern w:val="2"/>
          <w:lang w:val="es-MX" w:eastAsia="es-MX"/>
        </w:rPr>
      </w:pPr>
    </w:p>
    <w:p w:rsidR="00286EFA" w:rsidRPr="00D83D8E" w:rsidRDefault="00286EFA" w:rsidP="00D83D8E">
      <w:pPr>
        <w:contextualSpacing/>
        <w:jc w:val="both"/>
        <w:rPr>
          <w:rFonts w:ascii="Arial" w:hAnsi="Arial" w:cs="Arial"/>
          <w:kern w:val="2"/>
          <w:sz w:val="16"/>
          <w:szCs w:val="16"/>
        </w:rPr>
      </w:pPr>
      <w:r w:rsidRPr="00D83D8E">
        <w:rPr>
          <w:rFonts w:ascii="Arial" w:hAnsi="Arial" w:cs="Arial"/>
          <w:kern w:val="2"/>
          <w:sz w:val="16"/>
          <w:szCs w:val="16"/>
        </w:rPr>
        <w:t xml:space="preserve">Continúa. . . </w:t>
      </w:r>
    </w:p>
    <w:p w:rsidR="00286EFA" w:rsidRPr="00D83D8E" w:rsidRDefault="00286EFA" w:rsidP="00D83D8E">
      <w:pPr>
        <w:contextualSpacing/>
        <w:rPr>
          <w:rFonts w:ascii="Arial" w:hAnsi="Arial" w:cs="Arial"/>
          <w:kern w:val="2"/>
          <w:sz w:val="16"/>
          <w:szCs w:val="16"/>
        </w:rPr>
      </w:pPr>
      <w:r w:rsidRPr="00D83D8E">
        <w:rPr>
          <w:rFonts w:ascii="Arial" w:hAnsi="Arial" w:cs="Arial"/>
          <w:kern w:val="2"/>
          <w:sz w:val="16"/>
          <w:szCs w:val="16"/>
        </w:rPr>
        <w:br w:type="page"/>
      </w:r>
    </w:p>
    <w:p w:rsidR="00286EFA" w:rsidRPr="00D83D8E" w:rsidRDefault="00447B96" w:rsidP="00D83D8E">
      <w:pPr>
        <w:contextualSpacing/>
        <w:jc w:val="both"/>
        <w:rPr>
          <w:noProof/>
          <w:kern w:val="2"/>
          <w:lang w:val="es-MX" w:eastAsia="es-MX"/>
        </w:rPr>
      </w:pPr>
      <w:r w:rsidRPr="00D83D8E">
        <w:rPr>
          <w:noProof/>
          <w:kern w:val="2"/>
          <w:lang w:val="es-MX" w:eastAsia="es-MX"/>
        </w:rPr>
        <w:lastRenderedPageBreak/>
        <w:drawing>
          <wp:inline distT="0" distB="0" distL="0" distR="0">
            <wp:extent cx="5882005" cy="6397429"/>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6397429"/>
                    </a:xfrm>
                    <a:prstGeom prst="rect">
                      <a:avLst/>
                    </a:prstGeom>
                    <a:noFill/>
                    <a:ln>
                      <a:noFill/>
                    </a:ln>
                  </pic:spPr>
                </pic:pic>
              </a:graphicData>
            </a:graphic>
          </wp:inline>
        </w:drawing>
      </w:r>
    </w:p>
    <w:p w:rsidR="00447B96" w:rsidRPr="00D83D8E" w:rsidRDefault="00447B96" w:rsidP="00D83D8E">
      <w:pPr>
        <w:contextualSpacing/>
        <w:jc w:val="both"/>
        <w:rPr>
          <w:noProof/>
          <w:kern w:val="2"/>
          <w:lang w:val="es-MX" w:eastAsia="es-MX"/>
        </w:rPr>
      </w:pPr>
    </w:p>
    <w:p w:rsidR="00B65A85" w:rsidRPr="00D83D8E" w:rsidRDefault="00A24F77" w:rsidP="00D83D8E">
      <w:pPr>
        <w:contextualSpacing/>
        <w:jc w:val="both"/>
        <w:rPr>
          <w:rFonts w:ascii="Arial" w:hAnsi="Arial" w:cs="Arial"/>
          <w:kern w:val="2"/>
          <w:sz w:val="16"/>
          <w:szCs w:val="16"/>
        </w:rPr>
      </w:pPr>
      <w:r w:rsidRPr="00D83D8E">
        <w:rPr>
          <w:rFonts w:ascii="Arial" w:hAnsi="Arial" w:cs="Arial"/>
          <w:kern w:val="2"/>
          <w:sz w:val="16"/>
          <w:szCs w:val="16"/>
        </w:rPr>
        <w:t xml:space="preserve">Continúa. . . </w:t>
      </w:r>
    </w:p>
    <w:p w:rsidR="00B65A85" w:rsidRPr="00D83D8E" w:rsidRDefault="00B65A85" w:rsidP="00D83D8E">
      <w:pPr>
        <w:contextualSpacing/>
        <w:rPr>
          <w:rFonts w:ascii="Arial" w:hAnsi="Arial" w:cs="Arial"/>
          <w:kern w:val="2"/>
          <w:sz w:val="16"/>
          <w:szCs w:val="16"/>
        </w:rPr>
      </w:pPr>
      <w:r w:rsidRPr="00D83D8E">
        <w:rPr>
          <w:rFonts w:ascii="Arial" w:hAnsi="Arial" w:cs="Arial"/>
          <w:kern w:val="2"/>
          <w:sz w:val="16"/>
          <w:szCs w:val="16"/>
        </w:rPr>
        <w:br w:type="page"/>
      </w:r>
    </w:p>
    <w:p w:rsidR="00A24F77" w:rsidRPr="00D83D8E" w:rsidRDefault="00A24F77" w:rsidP="00D83D8E">
      <w:pPr>
        <w:contextualSpacing/>
        <w:jc w:val="both"/>
        <w:rPr>
          <w:rFonts w:ascii="Arial" w:hAnsi="Arial" w:cs="Arial"/>
          <w:kern w:val="2"/>
          <w:sz w:val="16"/>
          <w:szCs w:val="16"/>
        </w:rPr>
      </w:pPr>
    </w:p>
    <w:p w:rsidR="006B7082" w:rsidRPr="00D83D8E" w:rsidRDefault="00447B96" w:rsidP="00D83D8E">
      <w:pPr>
        <w:contextualSpacing/>
        <w:jc w:val="both"/>
        <w:rPr>
          <w:rFonts w:ascii="Arial" w:hAnsi="Arial" w:cs="Arial"/>
          <w:kern w:val="2"/>
          <w:sz w:val="16"/>
          <w:szCs w:val="16"/>
        </w:rPr>
      </w:pPr>
      <w:r w:rsidRPr="00D83D8E">
        <w:rPr>
          <w:noProof/>
          <w:kern w:val="2"/>
          <w:lang w:val="es-MX" w:eastAsia="es-MX"/>
        </w:rPr>
        <w:drawing>
          <wp:inline distT="0" distB="0" distL="0" distR="0">
            <wp:extent cx="5882005" cy="6430051"/>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6430051"/>
                    </a:xfrm>
                    <a:prstGeom prst="rect">
                      <a:avLst/>
                    </a:prstGeom>
                    <a:noFill/>
                    <a:ln>
                      <a:noFill/>
                    </a:ln>
                  </pic:spPr>
                </pic:pic>
              </a:graphicData>
            </a:graphic>
          </wp:inline>
        </w:drawing>
      </w:r>
    </w:p>
    <w:p w:rsidR="006B7082" w:rsidRPr="00D83D8E" w:rsidRDefault="006B7082" w:rsidP="00D83D8E">
      <w:pPr>
        <w:contextualSpacing/>
        <w:jc w:val="both"/>
        <w:rPr>
          <w:rFonts w:ascii="Arial" w:hAnsi="Arial" w:cs="Arial"/>
          <w:kern w:val="2"/>
          <w:sz w:val="16"/>
          <w:szCs w:val="16"/>
        </w:rPr>
      </w:pPr>
    </w:p>
    <w:p w:rsidR="006B7082" w:rsidRPr="00D83D8E" w:rsidRDefault="006B7082" w:rsidP="00D83D8E">
      <w:pPr>
        <w:contextualSpacing/>
        <w:jc w:val="both"/>
        <w:rPr>
          <w:rFonts w:ascii="Arial" w:hAnsi="Arial" w:cs="Arial"/>
          <w:kern w:val="2"/>
          <w:sz w:val="16"/>
          <w:szCs w:val="16"/>
        </w:rPr>
      </w:pPr>
    </w:p>
    <w:p w:rsidR="0078075A" w:rsidRPr="00D83D8E" w:rsidRDefault="0078075A" w:rsidP="00D83D8E">
      <w:pPr>
        <w:contextualSpacing/>
        <w:jc w:val="both"/>
        <w:rPr>
          <w:rFonts w:ascii="Arial" w:hAnsi="Arial" w:cs="Arial"/>
          <w:kern w:val="2"/>
          <w:sz w:val="16"/>
          <w:szCs w:val="16"/>
        </w:rPr>
      </w:pPr>
      <w:r w:rsidRPr="00D83D8E">
        <w:rPr>
          <w:rFonts w:ascii="Arial" w:hAnsi="Arial" w:cs="Arial"/>
          <w:kern w:val="2"/>
          <w:sz w:val="16"/>
          <w:szCs w:val="16"/>
        </w:rPr>
        <w:t xml:space="preserve">Continúa. . . </w:t>
      </w:r>
    </w:p>
    <w:p w:rsidR="004F0B96" w:rsidRPr="00D83D8E" w:rsidRDefault="004F0B96" w:rsidP="00D83D8E">
      <w:pPr>
        <w:contextualSpacing/>
        <w:jc w:val="both"/>
        <w:rPr>
          <w:rFonts w:ascii="Arial" w:hAnsi="Arial" w:cs="Arial"/>
          <w:kern w:val="2"/>
          <w:sz w:val="16"/>
          <w:szCs w:val="16"/>
        </w:rPr>
      </w:pPr>
    </w:p>
    <w:p w:rsidR="004F0B96" w:rsidRPr="00D83D8E" w:rsidRDefault="004F0B96" w:rsidP="00D83D8E">
      <w:pPr>
        <w:contextualSpacing/>
        <w:jc w:val="both"/>
        <w:rPr>
          <w:rFonts w:ascii="Arial" w:hAnsi="Arial" w:cs="Arial"/>
          <w:kern w:val="2"/>
          <w:sz w:val="16"/>
          <w:szCs w:val="16"/>
        </w:rPr>
      </w:pPr>
    </w:p>
    <w:p w:rsidR="004F0B96" w:rsidRPr="00D83D8E" w:rsidRDefault="004F0B96" w:rsidP="00D83D8E">
      <w:pPr>
        <w:contextualSpacing/>
        <w:jc w:val="both"/>
        <w:rPr>
          <w:rFonts w:ascii="Arial" w:hAnsi="Arial" w:cs="Arial"/>
          <w:kern w:val="2"/>
          <w:sz w:val="16"/>
          <w:szCs w:val="16"/>
        </w:rPr>
      </w:pPr>
    </w:p>
    <w:p w:rsidR="004F0B96" w:rsidRPr="00D83D8E" w:rsidRDefault="004F0B96" w:rsidP="00D83D8E">
      <w:pPr>
        <w:contextualSpacing/>
        <w:jc w:val="both"/>
        <w:rPr>
          <w:noProof/>
          <w:kern w:val="2"/>
          <w:lang w:val="es-MX" w:eastAsia="es-MX"/>
        </w:rPr>
      </w:pPr>
    </w:p>
    <w:p w:rsidR="00447B96" w:rsidRPr="00D83D8E" w:rsidRDefault="009E50EA" w:rsidP="00D83D8E">
      <w:pPr>
        <w:contextualSpacing/>
        <w:jc w:val="both"/>
        <w:rPr>
          <w:rFonts w:ascii="Arial" w:hAnsi="Arial" w:cs="Arial"/>
          <w:kern w:val="2"/>
          <w:sz w:val="16"/>
          <w:szCs w:val="16"/>
        </w:rPr>
      </w:pPr>
      <w:r w:rsidRPr="00D83D8E">
        <w:rPr>
          <w:noProof/>
          <w:kern w:val="2"/>
          <w:lang w:val="es-MX" w:eastAsia="es-MX"/>
        </w:rPr>
        <w:drawing>
          <wp:inline distT="0" distB="0" distL="0" distR="0">
            <wp:extent cx="5882005" cy="6228389"/>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6228389"/>
                    </a:xfrm>
                    <a:prstGeom prst="rect">
                      <a:avLst/>
                    </a:prstGeom>
                    <a:noFill/>
                    <a:ln>
                      <a:noFill/>
                    </a:ln>
                  </pic:spPr>
                </pic:pic>
              </a:graphicData>
            </a:graphic>
          </wp:inline>
        </w:drawing>
      </w:r>
    </w:p>
    <w:p w:rsidR="004F0B96" w:rsidRPr="00D83D8E" w:rsidRDefault="004F0B96" w:rsidP="00D83D8E">
      <w:pPr>
        <w:contextualSpacing/>
        <w:jc w:val="both"/>
        <w:rPr>
          <w:rFonts w:ascii="Arial" w:hAnsi="Arial" w:cs="Arial"/>
          <w:kern w:val="2"/>
          <w:sz w:val="16"/>
          <w:szCs w:val="16"/>
        </w:rPr>
      </w:pPr>
    </w:p>
    <w:p w:rsidR="004F0B96" w:rsidRPr="00D83D8E" w:rsidRDefault="004F0B96" w:rsidP="00D83D8E">
      <w:pPr>
        <w:contextualSpacing/>
        <w:jc w:val="both"/>
        <w:rPr>
          <w:rFonts w:ascii="Arial" w:hAnsi="Arial" w:cs="Arial"/>
          <w:kern w:val="2"/>
          <w:sz w:val="16"/>
          <w:szCs w:val="16"/>
        </w:rPr>
      </w:pPr>
    </w:p>
    <w:p w:rsidR="0078075A" w:rsidRPr="00D83D8E" w:rsidRDefault="0078075A" w:rsidP="00D83D8E">
      <w:pPr>
        <w:contextualSpacing/>
        <w:jc w:val="both"/>
        <w:rPr>
          <w:rFonts w:ascii="Arial" w:hAnsi="Arial" w:cs="Arial"/>
          <w:kern w:val="2"/>
          <w:sz w:val="16"/>
          <w:szCs w:val="16"/>
        </w:rPr>
      </w:pPr>
      <w:r w:rsidRPr="00D83D8E">
        <w:rPr>
          <w:rFonts w:ascii="Arial" w:hAnsi="Arial" w:cs="Arial"/>
          <w:kern w:val="2"/>
          <w:sz w:val="16"/>
          <w:szCs w:val="16"/>
        </w:rPr>
        <w:t xml:space="preserve">Continúa. . . </w:t>
      </w:r>
    </w:p>
    <w:p w:rsidR="0078075A" w:rsidRPr="00D83D8E" w:rsidRDefault="0078075A" w:rsidP="00D83D8E">
      <w:pPr>
        <w:contextualSpacing/>
        <w:jc w:val="both"/>
        <w:rPr>
          <w:rFonts w:ascii="Arial" w:hAnsi="Arial" w:cs="Arial"/>
          <w:b/>
          <w:bCs/>
          <w:spacing w:val="20"/>
          <w:kern w:val="2"/>
        </w:rPr>
      </w:pPr>
    </w:p>
    <w:p w:rsidR="0078075A" w:rsidRPr="00D83D8E" w:rsidRDefault="0078075A" w:rsidP="00D83D8E">
      <w:pPr>
        <w:contextualSpacing/>
        <w:jc w:val="both"/>
        <w:rPr>
          <w:rFonts w:ascii="Arial" w:hAnsi="Arial" w:cs="Arial"/>
          <w:b/>
          <w:bCs/>
          <w:spacing w:val="20"/>
          <w:kern w:val="2"/>
        </w:rPr>
      </w:pPr>
    </w:p>
    <w:p w:rsidR="0078075A" w:rsidRPr="00D83D8E" w:rsidRDefault="0078075A" w:rsidP="00D83D8E">
      <w:pPr>
        <w:contextualSpacing/>
        <w:jc w:val="both"/>
        <w:rPr>
          <w:rFonts w:ascii="Arial" w:hAnsi="Arial" w:cs="Arial"/>
          <w:b/>
          <w:bCs/>
          <w:spacing w:val="20"/>
          <w:kern w:val="2"/>
        </w:rPr>
      </w:pPr>
    </w:p>
    <w:p w:rsidR="005C3297" w:rsidRPr="00D83D8E" w:rsidRDefault="005C3297" w:rsidP="00D83D8E">
      <w:pPr>
        <w:contextualSpacing/>
        <w:jc w:val="both"/>
        <w:rPr>
          <w:rFonts w:ascii="Arial" w:hAnsi="Arial" w:cs="Arial"/>
          <w:b/>
          <w:bCs/>
          <w:spacing w:val="20"/>
          <w:kern w:val="2"/>
        </w:rPr>
      </w:pPr>
    </w:p>
    <w:p w:rsidR="0053400D" w:rsidRPr="00D83D8E" w:rsidRDefault="009E50EA" w:rsidP="00D83D8E">
      <w:pPr>
        <w:contextualSpacing/>
        <w:jc w:val="both"/>
        <w:rPr>
          <w:rFonts w:ascii="Arial" w:hAnsi="Arial" w:cs="Arial"/>
          <w:b/>
          <w:bCs/>
          <w:spacing w:val="20"/>
          <w:kern w:val="2"/>
        </w:rPr>
      </w:pPr>
      <w:r w:rsidRPr="00D83D8E">
        <w:rPr>
          <w:noProof/>
          <w:kern w:val="2"/>
          <w:lang w:val="es-MX" w:eastAsia="es-MX"/>
        </w:rPr>
        <w:drawing>
          <wp:inline distT="0" distB="0" distL="0" distR="0">
            <wp:extent cx="5882005" cy="628473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6284736"/>
                    </a:xfrm>
                    <a:prstGeom prst="rect">
                      <a:avLst/>
                    </a:prstGeom>
                    <a:noFill/>
                    <a:ln>
                      <a:noFill/>
                    </a:ln>
                  </pic:spPr>
                </pic:pic>
              </a:graphicData>
            </a:graphic>
          </wp:inline>
        </w:drawing>
      </w:r>
    </w:p>
    <w:p w:rsidR="0053400D" w:rsidRPr="00D83D8E" w:rsidRDefault="0053400D" w:rsidP="00D83D8E">
      <w:pPr>
        <w:contextualSpacing/>
        <w:jc w:val="both"/>
        <w:rPr>
          <w:rFonts w:ascii="Arial" w:hAnsi="Arial" w:cs="Arial"/>
          <w:b/>
          <w:bCs/>
          <w:spacing w:val="20"/>
          <w:kern w:val="2"/>
        </w:rPr>
      </w:pPr>
    </w:p>
    <w:p w:rsidR="009E50EA" w:rsidRPr="00D83D8E" w:rsidRDefault="009E50EA" w:rsidP="00D83D8E">
      <w:pPr>
        <w:contextualSpacing/>
        <w:jc w:val="both"/>
        <w:rPr>
          <w:rFonts w:ascii="Arial" w:hAnsi="Arial" w:cs="Arial"/>
          <w:kern w:val="2"/>
          <w:sz w:val="16"/>
          <w:szCs w:val="16"/>
        </w:rPr>
      </w:pPr>
      <w:r w:rsidRPr="00D83D8E">
        <w:rPr>
          <w:rFonts w:ascii="Arial" w:hAnsi="Arial" w:cs="Arial"/>
          <w:kern w:val="2"/>
          <w:sz w:val="16"/>
          <w:szCs w:val="16"/>
        </w:rPr>
        <w:t xml:space="preserve">Continúa. . . </w:t>
      </w:r>
    </w:p>
    <w:p w:rsidR="0053400D" w:rsidRPr="00D83D8E" w:rsidRDefault="0053400D" w:rsidP="00D83D8E">
      <w:pPr>
        <w:tabs>
          <w:tab w:val="left" w:pos="1005"/>
        </w:tabs>
        <w:contextualSpacing/>
        <w:jc w:val="both"/>
        <w:rPr>
          <w:rFonts w:ascii="Arial" w:hAnsi="Arial" w:cs="Arial"/>
          <w:b/>
          <w:bCs/>
          <w:spacing w:val="20"/>
          <w:kern w:val="2"/>
        </w:rPr>
      </w:pPr>
    </w:p>
    <w:p w:rsidR="0053400D" w:rsidRPr="00D83D8E" w:rsidRDefault="0053400D" w:rsidP="00D83D8E">
      <w:pPr>
        <w:contextualSpacing/>
        <w:jc w:val="both"/>
        <w:rPr>
          <w:rFonts w:ascii="Arial" w:hAnsi="Arial" w:cs="Arial"/>
          <w:b/>
          <w:bCs/>
          <w:spacing w:val="20"/>
          <w:kern w:val="2"/>
        </w:rPr>
      </w:pPr>
    </w:p>
    <w:p w:rsidR="0053400D" w:rsidRPr="00D83D8E" w:rsidRDefault="0053400D" w:rsidP="00D83D8E">
      <w:pPr>
        <w:contextualSpacing/>
        <w:jc w:val="both"/>
        <w:rPr>
          <w:rFonts w:ascii="Arial" w:hAnsi="Arial" w:cs="Arial"/>
          <w:b/>
          <w:bCs/>
          <w:spacing w:val="20"/>
          <w:kern w:val="2"/>
        </w:rPr>
      </w:pP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r w:rsidRPr="00D83D8E">
        <w:rPr>
          <w:noProof/>
          <w:kern w:val="2"/>
          <w:lang w:val="es-MX" w:eastAsia="es-MX"/>
        </w:rPr>
        <w:drawing>
          <wp:inline distT="0" distB="0" distL="0" distR="0">
            <wp:extent cx="5882005" cy="651842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6518426"/>
                    </a:xfrm>
                    <a:prstGeom prst="rect">
                      <a:avLst/>
                    </a:prstGeom>
                    <a:noFill/>
                    <a:ln>
                      <a:noFill/>
                    </a:ln>
                  </pic:spPr>
                </pic:pic>
              </a:graphicData>
            </a:graphic>
          </wp:inline>
        </w:drawing>
      </w: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r w:rsidRPr="00D83D8E">
        <w:rPr>
          <w:rFonts w:ascii="Arial" w:hAnsi="Arial" w:cs="Arial"/>
          <w:kern w:val="2"/>
          <w:sz w:val="16"/>
          <w:szCs w:val="16"/>
        </w:rPr>
        <w:t xml:space="preserve">Continúa. . . </w:t>
      </w: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r w:rsidRPr="00D83D8E">
        <w:rPr>
          <w:noProof/>
          <w:kern w:val="2"/>
          <w:lang w:val="es-MX" w:eastAsia="es-MX"/>
        </w:rPr>
        <w:drawing>
          <wp:inline distT="0" distB="0" distL="0" distR="0">
            <wp:extent cx="5882005" cy="594665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5946655"/>
                    </a:xfrm>
                    <a:prstGeom prst="rect">
                      <a:avLst/>
                    </a:prstGeom>
                    <a:noFill/>
                    <a:ln>
                      <a:noFill/>
                    </a:ln>
                  </pic:spPr>
                </pic:pic>
              </a:graphicData>
            </a:graphic>
          </wp:inline>
        </w:drawing>
      </w:r>
    </w:p>
    <w:p w:rsidR="009E50EA" w:rsidRPr="00D83D8E" w:rsidRDefault="009E50EA" w:rsidP="00D83D8E">
      <w:pPr>
        <w:contextualSpacing/>
        <w:jc w:val="both"/>
        <w:rPr>
          <w:rFonts w:ascii="Arial" w:hAnsi="Arial" w:cs="Arial"/>
          <w:kern w:val="2"/>
          <w:sz w:val="16"/>
          <w:szCs w:val="16"/>
        </w:rPr>
      </w:pPr>
    </w:p>
    <w:p w:rsidR="009E50EA" w:rsidRPr="00D83D8E" w:rsidRDefault="009E50EA" w:rsidP="00D83D8E">
      <w:pPr>
        <w:contextualSpacing/>
        <w:jc w:val="both"/>
        <w:rPr>
          <w:rFonts w:ascii="Arial" w:hAnsi="Arial" w:cs="Arial"/>
          <w:kern w:val="2"/>
          <w:sz w:val="16"/>
          <w:szCs w:val="16"/>
        </w:rPr>
      </w:pPr>
    </w:p>
    <w:p w:rsidR="007B1D07" w:rsidRPr="00D83D8E" w:rsidRDefault="007B1D07" w:rsidP="00D83D8E">
      <w:pPr>
        <w:contextualSpacing/>
        <w:rPr>
          <w:rFonts w:ascii="Arial" w:hAnsi="Arial" w:cs="Arial"/>
          <w:b/>
          <w:bCs/>
          <w:spacing w:val="20"/>
          <w:kern w:val="2"/>
        </w:rPr>
      </w:pPr>
      <w:r w:rsidRPr="00D83D8E">
        <w:rPr>
          <w:rFonts w:ascii="Arial" w:hAnsi="Arial" w:cs="Arial"/>
          <w:b/>
          <w:bCs/>
          <w:spacing w:val="20"/>
          <w:kern w:val="2"/>
        </w:rPr>
        <w:br w:type="page"/>
      </w:r>
    </w:p>
    <w:p w:rsidR="005C3297" w:rsidRPr="00D83D8E" w:rsidRDefault="005C3297" w:rsidP="00D83D8E">
      <w:pPr>
        <w:contextualSpacing/>
        <w:jc w:val="both"/>
        <w:rPr>
          <w:rFonts w:ascii="Arial" w:hAnsi="Arial" w:cs="Arial"/>
          <w:b/>
          <w:bCs/>
          <w:spacing w:val="20"/>
          <w:kern w:val="2"/>
        </w:rPr>
      </w:pPr>
      <w:r w:rsidRPr="00D83D8E">
        <w:rPr>
          <w:rFonts w:ascii="Arial" w:hAnsi="Arial" w:cs="Arial"/>
          <w:b/>
          <w:bCs/>
          <w:spacing w:val="20"/>
          <w:kern w:val="2"/>
        </w:rPr>
        <w:lastRenderedPageBreak/>
        <w:t>3.2.</w:t>
      </w:r>
      <w:r w:rsidR="00DA4A1B">
        <w:rPr>
          <w:rFonts w:ascii="Arial" w:hAnsi="Arial" w:cs="Arial"/>
          <w:b/>
          <w:bCs/>
          <w:spacing w:val="20"/>
          <w:kern w:val="2"/>
        </w:rPr>
        <w:t>4</w:t>
      </w:r>
      <w:r w:rsidRPr="00D83D8E">
        <w:rPr>
          <w:rFonts w:ascii="Arial" w:hAnsi="Arial" w:cs="Arial"/>
          <w:b/>
          <w:bCs/>
          <w:spacing w:val="20"/>
          <w:kern w:val="2"/>
        </w:rPr>
        <w:t>.2.4- TRANSFERENCIAS, ASIGNACIONES, SUBSIDIOS Y OTRAS AYUDAS</w:t>
      </w:r>
    </w:p>
    <w:p w:rsidR="00E003C8" w:rsidRPr="00D83D8E" w:rsidRDefault="00E003C8"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 xml:space="preserve">En este rubro se encuentran los ingresos destinados en forma directa o indirecta a los sectores público, privado y externo, organismos y empresas paraestatales y apoyos. </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DD699A"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En el ejercicio 201</w:t>
      </w:r>
      <w:r w:rsidR="00F92141" w:rsidRPr="00D83D8E">
        <w:rPr>
          <w:rFonts w:ascii="Arial" w:hAnsi="Arial" w:cs="Arial"/>
          <w:color w:val="000000"/>
          <w:kern w:val="2"/>
          <w:lang w:val="es-ES"/>
        </w:rPr>
        <w:t>5</w:t>
      </w:r>
      <w:r w:rsidRPr="00D83D8E">
        <w:rPr>
          <w:rFonts w:ascii="Arial" w:hAnsi="Arial" w:cs="Arial"/>
          <w:color w:val="000000"/>
          <w:kern w:val="2"/>
          <w:lang w:val="es-ES"/>
        </w:rPr>
        <w:t xml:space="preserve">, se recibieron recursos por la cantidad de </w:t>
      </w:r>
      <w:r w:rsidR="00F92141" w:rsidRPr="00D83D8E">
        <w:rPr>
          <w:rFonts w:ascii="Arial" w:hAnsi="Arial" w:cs="Arial"/>
          <w:color w:val="000000"/>
          <w:kern w:val="2"/>
          <w:lang w:val="es-ES"/>
        </w:rPr>
        <w:t>2</w:t>
      </w:r>
      <w:r w:rsidR="0087154B" w:rsidRPr="00D83D8E">
        <w:rPr>
          <w:rFonts w:ascii="Arial" w:hAnsi="Arial" w:cs="Arial"/>
          <w:color w:val="000000"/>
          <w:kern w:val="2"/>
          <w:lang w:val="es-ES"/>
        </w:rPr>
        <w:t xml:space="preserve"> mil </w:t>
      </w:r>
      <w:r w:rsidR="00F92141" w:rsidRPr="00D83D8E">
        <w:rPr>
          <w:rFonts w:ascii="Arial" w:hAnsi="Arial" w:cs="Arial"/>
          <w:color w:val="000000"/>
          <w:kern w:val="2"/>
          <w:lang w:val="es-ES"/>
        </w:rPr>
        <w:t>209</w:t>
      </w:r>
      <w:r w:rsidR="0087154B" w:rsidRPr="00D83D8E">
        <w:rPr>
          <w:rFonts w:ascii="Arial" w:hAnsi="Arial" w:cs="Arial"/>
          <w:color w:val="000000"/>
          <w:kern w:val="2"/>
          <w:lang w:val="es-ES"/>
        </w:rPr>
        <w:t xml:space="preserve"> millones </w:t>
      </w:r>
      <w:r w:rsidR="00F92141" w:rsidRPr="00D83D8E">
        <w:rPr>
          <w:rFonts w:ascii="Arial" w:hAnsi="Arial" w:cs="Arial"/>
          <w:color w:val="000000"/>
          <w:kern w:val="2"/>
          <w:lang w:val="es-ES"/>
        </w:rPr>
        <w:t>747</w:t>
      </w:r>
      <w:r w:rsidRPr="00D83D8E">
        <w:rPr>
          <w:rFonts w:ascii="Arial" w:hAnsi="Arial" w:cs="Arial"/>
          <w:color w:val="000000"/>
          <w:kern w:val="2"/>
          <w:lang w:val="es-ES"/>
        </w:rPr>
        <w:t xml:space="preserve"> m</w:t>
      </w:r>
      <w:r w:rsidR="0087154B" w:rsidRPr="00D83D8E">
        <w:rPr>
          <w:rFonts w:ascii="Arial" w:hAnsi="Arial" w:cs="Arial"/>
          <w:color w:val="000000"/>
          <w:kern w:val="2"/>
          <w:lang w:val="es-ES"/>
        </w:rPr>
        <w:t xml:space="preserve">il pesos, cantidad superior en </w:t>
      </w:r>
      <w:r w:rsidR="00F92141" w:rsidRPr="00D83D8E">
        <w:rPr>
          <w:rFonts w:ascii="Arial" w:hAnsi="Arial" w:cs="Arial"/>
          <w:color w:val="000000"/>
          <w:kern w:val="2"/>
          <w:lang w:val="es-ES"/>
        </w:rPr>
        <w:t>11.19</w:t>
      </w:r>
      <w:r w:rsidRPr="00D83D8E">
        <w:rPr>
          <w:rFonts w:ascii="Arial" w:hAnsi="Arial" w:cs="Arial"/>
          <w:color w:val="000000"/>
          <w:kern w:val="2"/>
          <w:lang w:val="es-ES"/>
        </w:rPr>
        <w:t xml:space="preserve"> por ciento a lo estimado en la Ley de Ingresos</w:t>
      </w:r>
      <w:r w:rsidR="00F92141" w:rsidRPr="00D83D8E">
        <w:rPr>
          <w:rFonts w:ascii="Arial" w:hAnsi="Arial" w:cs="Arial"/>
          <w:color w:val="000000"/>
          <w:kern w:val="2"/>
          <w:lang w:val="es-ES"/>
        </w:rPr>
        <w:t xml:space="preserve"> y con un crecimiento del 13.81 por ciento respecto al ejercicio 2014.</w:t>
      </w:r>
    </w:p>
    <w:p w:rsidR="0087154B" w:rsidRPr="00D83D8E" w:rsidRDefault="00DD699A"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r w:rsidRPr="00D83D8E">
        <w:rPr>
          <w:rFonts w:ascii="Arial" w:hAnsi="Arial" w:cs="Arial"/>
          <w:spacing w:val="20"/>
          <w:kern w:val="2"/>
        </w:rPr>
        <w:t xml:space="preserve"> </w:t>
      </w:r>
    </w:p>
    <w:p w:rsidR="006A6FB5" w:rsidRPr="00D83D8E" w:rsidRDefault="00AA4217" w:rsidP="00D83D8E">
      <w:pPr>
        <w:pStyle w:val="xl35"/>
        <w:pBdr>
          <w:left w:val="none" w:sz="0" w:space="0" w:color="auto"/>
          <w:right w:val="none" w:sz="0" w:space="0" w:color="auto"/>
        </w:pBdr>
        <w:spacing w:before="0" w:beforeAutospacing="0" w:after="0" w:afterAutospacing="0"/>
        <w:contextualSpacing/>
        <w:jc w:val="center"/>
        <w:rPr>
          <w:rFonts w:ascii="Arial" w:hAnsi="Arial" w:cs="Arial"/>
          <w:spacing w:val="20"/>
          <w:kern w:val="2"/>
        </w:rPr>
      </w:pPr>
      <w:r w:rsidRPr="00D83D8E">
        <w:rPr>
          <w:noProof/>
          <w:kern w:val="2"/>
          <w:lang w:eastAsia="es-MX"/>
        </w:rPr>
        <w:drawing>
          <wp:inline distT="0" distB="0" distL="0" distR="0">
            <wp:extent cx="5270740" cy="499378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0987" cy="4994014"/>
                    </a:xfrm>
                    <a:prstGeom prst="rect">
                      <a:avLst/>
                    </a:prstGeom>
                    <a:noFill/>
                    <a:ln>
                      <a:noFill/>
                    </a:ln>
                  </pic:spPr>
                </pic:pic>
              </a:graphicData>
            </a:graphic>
          </wp:inline>
        </w:drawing>
      </w:r>
    </w:p>
    <w:p w:rsidR="00AA4217" w:rsidRPr="00D83D8E" w:rsidRDefault="00AA4217"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AA4217" w:rsidRPr="00D83D8E" w:rsidRDefault="00AA4217" w:rsidP="00D83D8E">
      <w:pPr>
        <w:pStyle w:val="xl35"/>
        <w:pBdr>
          <w:left w:val="none" w:sz="0" w:space="0" w:color="auto"/>
          <w:right w:val="none" w:sz="0" w:space="0" w:color="auto"/>
        </w:pBdr>
        <w:spacing w:before="0" w:beforeAutospacing="0" w:after="0" w:afterAutospacing="0"/>
        <w:contextualSpacing/>
        <w:jc w:val="both"/>
        <w:rPr>
          <w:rFonts w:ascii="Arial" w:hAnsi="Arial" w:cs="Arial"/>
          <w:spacing w:val="20"/>
          <w:kern w:val="2"/>
        </w:rPr>
      </w:pPr>
    </w:p>
    <w:p w:rsidR="00AA4217" w:rsidRPr="00D83D8E" w:rsidRDefault="00AA4217" w:rsidP="00D83D8E">
      <w:pPr>
        <w:contextualSpacing/>
        <w:rPr>
          <w:kern w:val="2"/>
        </w:rPr>
      </w:pPr>
    </w:p>
    <w:p w:rsidR="005C3297" w:rsidRPr="00D83D8E" w:rsidRDefault="005C3297" w:rsidP="00D83D8E">
      <w:pPr>
        <w:contextualSpacing/>
        <w:rPr>
          <w:rFonts w:ascii="Arial" w:hAnsi="Arial" w:cs="Arial"/>
          <w:b/>
          <w:bCs/>
          <w:spacing w:val="20"/>
          <w:kern w:val="2"/>
        </w:rPr>
      </w:pPr>
      <w:bookmarkStart w:id="1" w:name="_GoBack"/>
      <w:bookmarkEnd w:id="1"/>
      <w:r w:rsidRPr="00D83D8E">
        <w:rPr>
          <w:rFonts w:ascii="Arial" w:hAnsi="Arial" w:cs="Arial"/>
          <w:b/>
          <w:bCs/>
          <w:spacing w:val="20"/>
          <w:kern w:val="2"/>
        </w:rPr>
        <w:lastRenderedPageBreak/>
        <w:t>3.2.</w:t>
      </w:r>
      <w:r w:rsidR="00DA4A1B">
        <w:rPr>
          <w:rFonts w:ascii="Arial" w:hAnsi="Arial" w:cs="Arial"/>
          <w:b/>
          <w:bCs/>
          <w:spacing w:val="20"/>
          <w:kern w:val="2"/>
        </w:rPr>
        <w:t>4</w:t>
      </w:r>
      <w:r w:rsidRPr="00D83D8E">
        <w:rPr>
          <w:rFonts w:ascii="Arial" w:hAnsi="Arial" w:cs="Arial"/>
          <w:b/>
          <w:bCs/>
          <w:spacing w:val="20"/>
          <w:kern w:val="2"/>
        </w:rPr>
        <w:t>.3.- OTROS INGRESOS</w:t>
      </w:r>
    </w:p>
    <w:p w:rsidR="005C3297" w:rsidRPr="00D83D8E" w:rsidRDefault="005C3297" w:rsidP="00D83D8E">
      <w:pPr>
        <w:pStyle w:val="Textoindependiente"/>
        <w:spacing w:line="240" w:lineRule="auto"/>
        <w:contextualSpacing/>
        <w:rPr>
          <w:b/>
          <w:bCs/>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En el ejercicio 201</w:t>
      </w:r>
      <w:r w:rsidR="00B13E7A" w:rsidRPr="00D83D8E">
        <w:rPr>
          <w:rFonts w:ascii="Arial" w:hAnsi="Arial" w:cs="Arial"/>
          <w:color w:val="000000"/>
          <w:kern w:val="2"/>
          <w:lang w:val="es-ES"/>
        </w:rPr>
        <w:t>5</w:t>
      </w:r>
      <w:r w:rsidRPr="00D83D8E">
        <w:rPr>
          <w:rFonts w:ascii="Arial" w:hAnsi="Arial" w:cs="Arial"/>
          <w:color w:val="000000"/>
          <w:kern w:val="2"/>
          <w:lang w:val="es-ES"/>
        </w:rPr>
        <w:t xml:space="preserve">, la entidad obtuvo ingresos por la cantidad de </w:t>
      </w:r>
      <w:r w:rsidR="00B13E7A" w:rsidRPr="00D83D8E">
        <w:rPr>
          <w:rFonts w:ascii="Arial" w:hAnsi="Arial" w:cs="Arial"/>
          <w:color w:val="000000"/>
          <w:kern w:val="2"/>
          <w:lang w:val="es-ES"/>
        </w:rPr>
        <w:t>442</w:t>
      </w:r>
      <w:r w:rsidRPr="00D83D8E">
        <w:rPr>
          <w:rFonts w:ascii="Arial" w:hAnsi="Arial" w:cs="Arial"/>
          <w:color w:val="000000"/>
          <w:kern w:val="2"/>
          <w:lang w:val="es-ES"/>
        </w:rPr>
        <w:t xml:space="preserve"> millones </w:t>
      </w:r>
      <w:r w:rsidR="00B13E7A" w:rsidRPr="00D83D8E">
        <w:rPr>
          <w:rFonts w:ascii="Arial" w:hAnsi="Arial" w:cs="Arial"/>
          <w:color w:val="000000"/>
          <w:kern w:val="2"/>
          <w:lang w:val="es-ES"/>
        </w:rPr>
        <w:t>134</w:t>
      </w:r>
      <w:r w:rsidRPr="00D83D8E">
        <w:rPr>
          <w:rFonts w:ascii="Arial" w:hAnsi="Arial" w:cs="Arial"/>
          <w:color w:val="000000"/>
          <w:kern w:val="2"/>
          <w:lang w:val="es-ES"/>
        </w:rPr>
        <w:t xml:space="preserve"> mil pesos, mismos que se integran de:</w:t>
      </w: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5C3297" w:rsidRPr="00D83D8E" w:rsidRDefault="005C3297"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rFonts w:ascii="Arial" w:hAnsi="Arial" w:cs="Arial"/>
          <w:color w:val="000000"/>
          <w:kern w:val="2"/>
          <w:lang w:val="es-ES"/>
        </w:rPr>
        <w:t>Fondo de Reconstrucción de Entidades Federativas</w:t>
      </w:r>
      <w:r w:rsidR="00137086" w:rsidRPr="00D83D8E">
        <w:rPr>
          <w:rFonts w:ascii="Arial" w:hAnsi="Arial" w:cs="Arial"/>
          <w:color w:val="000000"/>
          <w:kern w:val="2"/>
          <w:lang w:val="es-ES"/>
        </w:rPr>
        <w:t>,</w:t>
      </w:r>
      <w:r w:rsidRPr="00D83D8E">
        <w:rPr>
          <w:rFonts w:ascii="Arial" w:hAnsi="Arial" w:cs="Arial"/>
          <w:color w:val="000000"/>
          <w:kern w:val="2"/>
          <w:lang w:val="es-ES"/>
        </w:rPr>
        <w:t xml:space="preserve"> por la cantidad de </w:t>
      </w:r>
      <w:r w:rsidR="00842213" w:rsidRPr="00D83D8E">
        <w:rPr>
          <w:rFonts w:ascii="Arial" w:hAnsi="Arial" w:cs="Arial"/>
          <w:color w:val="000000"/>
          <w:kern w:val="2"/>
          <w:lang w:val="es-ES"/>
        </w:rPr>
        <w:t>43</w:t>
      </w:r>
      <w:r w:rsidR="00F62B6F" w:rsidRPr="00D83D8E">
        <w:rPr>
          <w:rFonts w:ascii="Arial" w:hAnsi="Arial" w:cs="Arial"/>
          <w:color w:val="000000"/>
          <w:kern w:val="2"/>
          <w:lang w:val="es-ES"/>
        </w:rPr>
        <w:t xml:space="preserve"> </w:t>
      </w:r>
      <w:r w:rsidRPr="00D83D8E">
        <w:rPr>
          <w:rFonts w:ascii="Arial" w:hAnsi="Arial" w:cs="Arial"/>
          <w:color w:val="000000"/>
          <w:kern w:val="2"/>
          <w:lang w:val="es-ES"/>
        </w:rPr>
        <w:t xml:space="preserve">millones </w:t>
      </w:r>
      <w:r w:rsidR="00842213" w:rsidRPr="00D83D8E">
        <w:rPr>
          <w:rFonts w:ascii="Arial" w:hAnsi="Arial" w:cs="Arial"/>
          <w:color w:val="000000"/>
          <w:kern w:val="2"/>
          <w:lang w:val="es-ES"/>
        </w:rPr>
        <w:t>896</w:t>
      </w:r>
      <w:r w:rsidRPr="00D83D8E">
        <w:rPr>
          <w:rFonts w:ascii="Arial" w:hAnsi="Arial" w:cs="Arial"/>
          <w:color w:val="000000"/>
          <w:kern w:val="2"/>
          <w:lang w:val="es-ES"/>
        </w:rPr>
        <w:t xml:space="preserve"> mil pesos, intereses que generan los recursos Federales por la cantidad de </w:t>
      </w:r>
      <w:r w:rsidR="00842213" w:rsidRPr="00D83D8E">
        <w:rPr>
          <w:rFonts w:ascii="Arial" w:hAnsi="Arial" w:cs="Arial"/>
          <w:color w:val="000000"/>
          <w:kern w:val="2"/>
          <w:lang w:val="es-ES"/>
        </w:rPr>
        <w:t>98</w:t>
      </w:r>
      <w:r w:rsidR="00F62B6F" w:rsidRPr="00D83D8E">
        <w:rPr>
          <w:rFonts w:ascii="Arial" w:hAnsi="Arial" w:cs="Arial"/>
          <w:color w:val="000000"/>
          <w:kern w:val="2"/>
          <w:lang w:val="es-ES"/>
        </w:rPr>
        <w:t xml:space="preserve"> millones </w:t>
      </w:r>
      <w:r w:rsidR="00842213" w:rsidRPr="00D83D8E">
        <w:rPr>
          <w:rFonts w:ascii="Arial" w:hAnsi="Arial" w:cs="Arial"/>
          <w:color w:val="000000"/>
          <w:kern w:val="2"/>
          <w:lang w:val="es-ES"/>
        </w:rPr>
        <w:t>518</w:t>
      </w:r>
      <w:r w:rsidR="00F62B6F" w:rsidRPr="00D83D8E">
        <w:rPr>
          <w:rFonts w:ascii="Arial" w:hAnsi="Arial" w:cs="Arial"/>
          <w:color w:val="000000"/>
          <w:kern w:val="2"/>
          <w:lang w:val="es-ES"/>
        </w:rPr>
        <w:t xml:space="preserve"> </w:t>
      </w:r>
      <w:r w:rsidR="00F64FC3" w:rsidRPr="00D83D8E">
        <w:rPr>
          <w:rFonts w:ascii="Arial" w:hAnsi="Arial" w:cs="Arial"/>
          <w:color w:val="000000"/>
          <w:kern w:val="2"/>
          <w:lang w:val="es-ES"/>
        </w:rPr>
        <w:t xml:space="preserve">mil pesos y otros ingresos por </w:t>
      </w:r>
      <w:r w:rsidR="00842213" w:rsidRPr="00D83D8E">
        <w:rPr>
          <w:rFonts w:ascii="Arial" w:hAnsi="Arial" w:cs="Arial"/>
          <w:color w:val="000000"/>
          <w:kern w:val="2"/>
          <w:lang w:val="es-ES"/>
        </w:rPr>
        <w:t>299</w:t>
      </w:r>
      <w:r w:rsidRPr="00D83D8E">
        <w:rPr>
          <w:rFonts w:ascii="Arial" w:hAnsi="Arial" w:cs="Arial"/>
          <w:color w:val="000000"/>
          <w:kern w:val="2"/>
          <w:lang w:val="es-ES"/>
        </w:rPr>
        <w:t xml:space="preserve"> millones </w:t>
      </w:r>
      <w:r w:rsidR="00842213" w:rsidRPr="00D83D8E">
        <w:rPr>
          <w:rFonts w:ascii="Arial" w:hAnsi="Arial" w:cs="Arial"/>
          <w:color w:val="000000"/>
          <w:kern w:val="2"/>
          <w:lang w:val="es-ES"/>
        </w:rPr>
        <w:t>720</w:t>
      </w:r>
      <w:r w:rsidRPr="00D83D8E">
        <w:rPr>
          <w:rFonts w:ascii="Arial" w:hAnsi="Arial" w:cs="Arial"/>
          <w:color w:val="000000"/>
          <w:kern w:val="2"/>
          <w:lang w:val="es-ES"/>
        </w:rPr>
        <w:t xml:space="preserve"> mil pesos.</w:t>
      </w:r>
    </w:p>
    <w:p w:rsidR="00B13E7A" w:rsidRPr="00D83D8E" w:rsidRDefault="00B13E7A"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B13E7A" w:rsidRPr="00D83D8E" w:rsidRDefault="00B13E7A"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p>
    <w:p w:rsidR="00B13E7A" w:rsidRPr="00D83D8E" w:rsidRDefault="00B13E7A" w:rsidP="00D83D8E">
      <w:pPr>
        <w:pStyle w:val="xl35"/>
        <w:pBdr>
          <w:left w:val="none" w:sz="0" w:space="0" w:color="auto"/>
          <w:right w:val="none" w:sz="0" w:space="0" w:color="auto"/>
        </w:pBdr>
        <w:spacing w:before="0" w:beforeAutospacing="0" w:after="0" w:afterAutospacing="0"/>
        <w:contextualSpacing/>
        <w:jc w:val="both"/>
        <w:rPr>
          <w:rFonts w:ascii="Arial" w:hAnsi="Arial" w:cs="Arial"/>
          <w:color w:val="000000"/>
          <w:kern w:val="2"/>
          <w:lang w:val="es-ES"/>
        </w:rPr>
      </w:pPr>
      <w:r w:rsidRPr="00D83D8E">
        <w:rPr>
          <w:noProof/>
          <w:kern w:val="2"/>
          <w:lang w:eastAsia="es-MX"/>
        </w:rPr>
        <w:drawing>
          <wp:inline distT="0" distB="0" distL="0" distR="0">
            <wp:extent cx="5882005" cy="388222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2005" cy="3882221"/>
                    </a:xfrm>
                    <a:prstGeom prst="rect">
                      <a:avLst/>
                    </a:prstGeom>
                    <a:noFill/>
                    <a:ln>
                      <a:noFill/>
                    </a:ln>
                  </pic:spPr>
                </pic:pic>
              </a:graphicData>
            </a:graphic>
          </wp:inline>
        </w:drawing>
      </w:r>
    </w:p>
    <w:p w:rsidR="00DA4A1B" w:rsidRDefault="00DA4A1B">
      <w:pPr>
        <w:rPr>
          <w:rFonts w:ascii="Arial" w:hAnsi="Arial" w:cs="Arial"/>
          <w:spacing w:val="20"/>
          <w:kern w:val="2"/>
          <w:lang w:val="es-MX"/>
        </w:rPr>
      </w:pPr>
      <w:r>
        <w:rPr>
          <w:rFonts w:cs="Arial"/>
          <w:kern w:val="2"/>
        </w:rPr>
        <w:br w:type="page"/>
      </w:r>
    </w:p>
    <w:p w:rsidR="00DA4A1B" w:rsidRPr="00D83D8E" w:rsidRDefault="00DA4A1B" w:rsidP="00DA4A1B">
      <w:pPr>
        <w:contextualSpacing/>
        <w:rPr>
          <w:rFonts w:ascii="Arial" w:hAnsi="Arial" w:cs="Arial"/>
          <w:b/>
          <w:bCs/>
          <w:spacing w:val="20"/>
          <w:kern w:val="2"/>
        </w:rPr>
      </w:pPr>
      <w:r w:rsidRPr="00D83D8E">
        <w:rPr>
          <w:rFonts w:ascii="Arial" w:hAnsi="Arial" w:cs="Arial"/>
          <w:b/>
          <w:bCs/>
          <w:spacing w:val="20"/>
          <w:kern w:val="2"/>
        </w:rPr>
        <w:lastRenderedPageBreak/>
        <w:t>3.</w:t>
      </w:r>
      <w:r w:rsidR="00B933CA">
        <w:rPr>
          <w:rFonts w:ascii="Arial" w:hAnsi="Arial" w:cs="Arial"/>
          <w:b/>
          <w:bCs/>
          <w:spacing w:val="20"/>
          <w:kern w:val="2"/>
        </w:rPr>
        <w:t>3</w:t>
      </w:r>
      <w:r w:rsidRPr="00D83D8E">
        <w:rPr>
          <w:rFonts w:ascii="Arial" w:hAnsi="Arial" w:cs="Arial"/>
          <w:b/>
          <w:bCs/>
          <w:spacing w:val="20"/>
          <w:kern w:val="2"/>
        </w:rPr>
        <w:t xml:space="preserve">.- </w:t>
      </w:r>
      <w:r>
        <w:rPr>
          <w:rFonts w:ascii="Arial" w:hAnsi="Arial" w:cs="Arial"/>
          <w:b/>
          <w:bCs/>
          <w:spacing w:val="20"/>
          <w:kern w:val="2"/>
        </w:rPr>
        <w:t>OPINI</w:t>
      </w:r>
      <w:r w:rsidR="00817963">
        <w:rPr>
          <w:rFonts w:ascii="Arial" w:hAnsi="Arial" w:cs="Arial"/>
          <w:b/>
          <w:bCs/>
          <w:spacing w:val="20"/>
          <w:kern w:val="2"/>
        </w:rPr>
        <w:t>Ó</w:t>
      </w:r>
      <w:r>
        <w:rPr>
          <w:rFonts w:ascii="Arial" w:hAnsi="Arial" w:cs="Arial"/>
          <w:b/>
          <w:bCs/>
          <w:spacing w:val="20"/>
          <w:kern w:val="2"/>
        </w:rPr>
        <w:t>N DE LAS CALIFICADORAS</w:t>
      </w:r>
    </w:p>
    <w:p w:rsidR="005C3297" w:rsidRDefault="005C3297" w:rsidP="00D83D8E">
      <w:pPr>
        <w:pStyle w:val="Textoindependiente"/>
        <w:spacing w:line="240" w:lineRule="auto"/>
        <w:contextualSpacing/>
        <w:rPr>
          <w:rFonts w:cs="Arial"/>
          <w:kern w:val="2"/>
          <w:szCs w:val="24"/>
        </w:rPr>
      </w:pPr>
    </w:p>
    <w:p w:rsidR="00CB3B20" w:rsidRDefault="00CB3B20" w:rsidP="00CB3B20">
      <w:pPr>
        <w:contextualSpacing/>
        <w:jc w:val="both"/>
        <w:rPr>
          <w:rFonts w:ascii="Arial" w:hAnsi="Arial" w:cs="Arial"/>
          <w:b/>
          <w:kern w:val="2"/>
        </w:rPr>
      </w:pPr>
      <w:r>
        <w:rPr>
          <w:rFonts w:ascii="Arial" w:hAnsi="Arial" w:cs="Arial"/>
          <w:b/>
          <w:kern w:val="2"/>
        </w:rPr>
        <w:t>3.</w:t>
      </w:r>
      <w:r w:rsidR="00B933CA">
        <w:rPr>
          <w:rFonts w:ascii="Arial" w:hAnsi="Arial" w:cs="Arial"/>
          <w:b/>
          <w:kern w:val="2"/>
        </w:rPr>
        <w:t>3</w:t>
      </w:r>
      <w:r>
        <w:rPr>
          <w:rFonts w:ascii="Arial" w:hAnsi="Arial" w:cs="Arial"/>
          <w:b/>
          <w:kern w:val="2"/>
        </w:rPr>
        <w:t xml:space="preserve">.1.- </w:t>
      </w:r>
      <w:r w:rsidRPr="00C5015C">
        <w:rPr>
          <w:rFonts w:ascii="Arial" w:hAnsi="Arial" w:cs="Arial"/>
          <w:b/>
          <w:kern w:val="2"/>
        </w:rPr>
        <w:t>OPINI</w:t>
      </w:r>
      <w:r w:rsidR="00817963">
        <w:rPr>
          <w:rFonts w:ascii="Arial" w:hAnsi="Arial" w:cs="Arial"/>
          <w:b/>
          <w:kern w:val="2"/>
        </w:rPr>
        <w:t>Ó</w:t>
      </w:r>
      <w:r w:rsidRPr="00C5015C">
        <w:rPr>
          <w:rFonts w:ascii="Arial" w:hAnsi="Arial" w:cs="Arial"/>
          <w:b/>
          <w:kern w:val="2"/>
        </w:rPr>
        <w:t>N A</w:t>
      </w:r>
      <w:r>
        <w:rPr>
          <w:rFonts w:ascii="Arial" w:hAnsi="Arial" w:cs="Arial"/>
          <w:b/>
          <w:kern w:val="2"/>
        </w:rPr>
        <w:t xml:space="preserve"> LA CALIFICACION SOBERANA</w:t>
      </w:r>
    </w:p>
    <w:p w:rsidR="00CB3B20"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b/>
          <w:kern w:val="2"/>
        </w:rPr>
      </w:pPr>
      <w:r w:rsidRPr="00C5015C">
        <w:rPr>
          <w:rFonts w:ascii="Arial" w:hAnsi="Arial" w:cs="Arial"/>
          <w:kern w:val="2"/>
        </w:rPr>
        <w:t>La opinión de una agencia calificadora suele tener mucha importancia ante el medio financiero y la opinión pública. La calificación emitida por estas instituciones confirma la calidad crediticia, en otros términos es el riesgo crediticio  que amerita  las obligaciones financieras contraídas, por el Estado de Oaxaca. En este sentido, se ha contratado el servicio profesional de cuatro agencias calificadoras encargadas de observar y determinar en qué condiciones crediticias se encuentra el Estado en base al análisis socioeconómico. Además, la información reportada, ha servido como medida de comparación con los  pares nacionales.</w:t>
      </w:r>
      <w:r w:rsidRPr="00C5015C">
        <w:rPr>
          <w:rFonts w:ascii="Arial" w:hAnsi="Arial" w:cs="Arial"/>
          <w:b/>
          <w:kern w:val="2"/>
        </w:rPr>
        <w:t xml:space="preserve"> </w:t>
      </w:r>
    </w:p>
    <w:p w:rsidR="00CB3B20" w:rsidRPr="00C5015C"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kern w:val="2"/>
        </w:rPr>
      </w:pPr>
      <w:r w:rsidRPr="00C5015C">
        <w:rPr>
          <w:rFonts w:ascii="Arial" w:hAnsi="Arial" w:cs="Arial"/>
          <w:b/>
          <w:kern w:val="2"/>
        </w:rPr>
        <w:t>FITCH RATINGS</w:t>
      </w:r>
      <w:r w:rsidRPr="00C5015C">
        <w:rPr>
          <w:rFonts w:ascii="Arial" w:hAnsi="Arial" w:cs="Arial"/>
          <w:kern w:val="2"/>
        </w:rPr>
        <w:t xml:space="preserve"> (Junio 23, 2015).</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proofErr w:type="spellStart"/>
      <w:r w:rsidRPr="00C5015C">
        <w:rPr>
          <w:rFonts w:ascii="Arial" w:hAnsi="Arial" w:cs="Arial"/>
          <w:kern w:val="2"/>
        </w:rPr>
        <w:t>Fitch</w:t>
      </w:r>
      <w:proofErr w:type="spellEnd"/>
      <w:r w:rsidRPr="00C5015C">
        <w:rPr>
          <w:rFonts w:ascii="Arial" w:hAnsi="Arial" w:cs="Arial"/>
          <w:kern w:val="2"/>
        </w:rPr>
        <w:t xml:space="preserve"> confirmó una vez más la calificación de ‘A-(</w:t>
      </w:r>
      <w:proofErr w:type="spellStart"/>
      <w:r w:rsidRPr="00C5015C">
        <w:rPr>
          <w:rFonts w:ascii="Arial" w:hAnsi="Arial" w:cs="Arial"/>
          <w:kern w:val="2"/>
        </w:rPr>
        <w:t>mex</w:t>
      </w:r>
      <w:proofErr w:type="spellEnd"/>
      <w:r w:rsidRPr="00C5015C">
        <w:rPr>
          <w:rFonts w:ascii="Arial" w:hAnsi="Arial" w:cs="Arial"/>
          <w:kern w:val="2"/>
        </w:rPr>
        <w:t>)’, correspondiente a la calidad crediticia del Estado de Oaxaca y  la perspectiva  se mantiene ‘estable’. El  significado es de “Alta Calidad Crediticia”. Los factores claves para fundamentar la calificación son los siguientes:</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Indicadores de deuda adecuados, dinamismo en la recaudación local, gasto operacional creciente, liquidez satisfactoria independientemente de pasivo circulante creciente, más exposición a desastres naturales que implica egresos extraordinarios y una carga financiera mayor y  nivel elevado de marginación como resultado la base económica se sustenta en sector primario.</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Las fortalezas y limitantes de la calificación se encuentran balanceadas, por lo que la Perspectiva se mantiene Estable.</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MOODY’S</w:t>
      </w:r>
      <w:r w:rsidRPr="00C5015C">
        <w:rPr>
          <w:rFonts w:ascii="Arial" w:hAnsi="Arial" w:cs="Arial"/>
          <w:kern w:val="2"/>
        </w:rPr>
        <w:t xml:space="preserve"> (Julio 10, 2015).</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 </w:t>
      </w:r>
      <w:proofErr w:type="spellStart"/>
      <w:r w:rsidRPr="00C5015C">
        <w:rPr>
          <w:rFonts w:ascii="Arial" w:hAnsi="Arial" w:cs="Arial"/>
          <w:kern w:val="2"/>
        </w:rPr>
        <w:t>Moody’s</w:t>
      </w:r>
      <w:proofErr w:type="spellEnd"/>
      <w:r w:rsidRPr="00C5015C">
        <w:rPr>
          <w:rFonts w:ascii="Arial" w:hAnsi="Arial" w:cs="Arial"/>
          <w:kern w:val="2"/>
        </w:rPr>
        <w:t xml:space="preserve"> Ratifica y asigna al Estado de Oaxaca las calificaciones de emisor de A2.mx (Escala Nacional de México) y Ba2 (Escala Global, moneda nacional), que reflejan niveles moderados de deuda e indirecta neta equivalente a 18.7 % de los ingresos totales al cierre de 2014 y los bajos pasivos por pensiones en relación a sus pares nacionales. </w:t>
      </w:r>
    </w:p>
    <w:p w:rsidR="00CB3B20" w:rsidRPr="00C5015C" w:rsidRDefault="00CB3B20" w:rsidP="00CB3B20">
      <w:pPr>
        <w:contextualSpacing/>
        <w:jc w:val="both"/>
        <w:rPr>
          <w:rFonts w:ascii="Arial" w:hAnsi="Arial" w:cs="Arial"/>
          <w:kern w:val="2"/>
        </w:rPr>
      </w:pPr>
    </w:p>
    <w:p w:rsidR="00CB3B20" w:rsidRPr="00C5015C" w:rsidRDefault="00CB3B20" w:rsidP="00CB3B20">
      <w:pPr>
        <w:contextualSpacing/>
        <w:jc w:val="both"/>
        <w:rPr>
          <w:rFonts w:ascii="Arial" w:hAnsi="Arial" w:cs="Arial"/>
          <w:kern w:val="2"/>
        </w:rPr>
      </w:pPr>
      <w:proofErr w:type="spellStart"/>
      <w:r w:rsidRPr="00C5015C">
        <w:rPr>
          <w:rFonts w:ascii="Arial" w:hAnsi="Arial" w:cs="Arial"/>
          <w:kern w:val="2"/>
        </w:rPr>
        <w:t>Moody’s</w:t>
      </w:r>
      <w:proofErr w:type="spellEnd"/>
      <w:r w:rsidRPr="00C5015C">
        <w:rPr>
          <w:rFonts w:ascii="Arial" w:hAnsi="Arial" w:cs="Arial"/>
          <w:kern w:val="2"/>
        </w:rPr>
        <w:t xml:space="preserve"> cambia la perspectiva del Estado de Oaxaca a negativa. </w:t>
      </w:r>
      <w:r w:rsidR="00817963">
        <w:rPr>
          <w:rFonts w:ascii="Arial" w:hAnsi="Arial" w:cs="Arial"/>
          <w:kern w:val="2"/>
        </w:rPr>
        <w:t>Esta</w:t>
      </w:r>
      <w:r w:rsidRPr="00C5015C">
        <w:rPr>
          <w:rFonts w:ascii="Arial" w:hAnsi="Arial" w:cs="Arial"/>
          <w:kern w:val="2"/>
        </w:rPr>
        <w:t xml:space="preserve"> opinión, es </w:t>
      </w:r>
      <w:proofErr w:type="gramStart"/>
      <w:r w:rsidRPr="00C5015C">
        <w:rPr>
          <w:rFonts w:ascii="Arial" w:hAnsi="Arial" w:cs="Arial"/>
          <w:kern w:val="2"/>
        </w:rPr>
        <w:t>debido</w:t>
      </w:r>
      <w:proofErr w:type="gramEnd"/>
      <w:r w:rsidRPr="00C5015C">
        <w:rPr>
          <w:rFonts w:ascii="Arial" w:hAnsi="Arial" w:cs="Arial"/>
          <w:kern w:val="2"/>
        </w:rPr>
        <w:t xml:space="preserve"> al riesgo que puede ejercer  la calidad crediticia del estado y la expectativa que los déficits financieros recurrentes de los últimos tres años que han sido financiados con deuda de corto plazo.</w:t>
      </w:r>
    </w:p>
    <w:p w:rsidR="00CB3B20" w:rsidRPr="00C5015C" w:rsidRDefault="00CB3B20" w:rsidP="00CB3B20">
      <w:pPr>
        <w:contextualSpacing/>
        <w:jc w:val="both"/>
        <w:rPr>
          <w:rFonts w:ascii="Arial" w:hAnsi="Arial" w:cs="Arial"/>
          <w:kern w:val="2"/>
        </w:rPr>
      </w:pPr>
    </w:p>
    <w:p w:rsidR="00CB3B20" w:rsidRPr="00C5015C" w:rsidRDefault="00CB3B20" w:rsidP="00CB3B20">
      <w:pPr>
        <w:contextualSpacing/>
        <w:jc w:val="both"/>
        <w:rPr>
          <w:rFonts w:ascii="Arial" w:hAnsi="Arial" w:cs="Arial"/>
          <w:kern w:val="2"/>
        </w:rPr>
      </w:pP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STANDARD &amp; POOR’S</w:t>
      </w:r>
      <w:r w:rsidRPr="00C5015C">
        <w:rPr>
          <w:rFonts w:ascii="Arial" w:hAnsi="Arial" w:cs="Arial"/>
          <w:kern w:val="2"/>
        </w:rPr>
        <w:t xml:space="preserve"> (Septiembre 24, 2015).</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 Estándar </w:t>
      </w:r>
      <w:proofErr w:type="spellStart"/>
      <w:r w:rsidRPr="00C5015C">
        <w:rPr>
          <w:rFonts w:ascii="Arial" w:hAnsi="Arial" w:cs="Arial"/>
          <w:kern w:val="2"/>
        </w:rPr>
        <w:t>Poor’s</w:t>
      </w:r>
      <w:proofErr w:type="spellEnd"/>
      <w:r w:rsidRPr="00C5015C">
        <w:rPr>
          <w:rFonts w:ascii="Arial" w:hAnsi="Arial" w:cs="Arial"/>
          <w:kern w:val="2"/>
        </w:rPr>
        <w:t xml:space="preserve"> Confirma la calificación de riesgo crediticio en escala nacional de ‘</w:t>
      </w:r>
      <w:proofErr w:type="spellStart"/>
      <w:r w:rsidRPr="00C5015C">
        <w:rPr>
          <w:rFonts w:ascii="Arial" w:hAnsi="Arial" w:cs="Arial"/>
          <w:kern w:val="2"/>
        </w:rPr>
        <w:t>mxA</w:t>
      </w:r>
      <w:proofErr w:type="spellEnd"/>
      <w:r w:rsidRPr="00C5015C">
        <w:rPr>
          <w:rFonts w:ascii="Arial" w:hAnsi="Arial" w:cs="Arial"/>
          <w:kern w:val="2"/>
        </w:rPr>
        <w:t xml:space="preserve">-‘, al Estado de Oaxaca; </w:t>
      </w:r>
      <w:r w:rsidR="00817963">
        <w:rPr>
          <w:rFonts w:ascii="Arial" w:hAnsi="Arial" w:cs="Arial"/>
          <w:kern w:val="2"/>
        </w:rPr>
        <w:t>revisa la perspectiva a negativa</w:t>
      </w:r>
      <w:r w:rsidRPr="00C5015C">
        <w:rPr>
          <w:rFonts w:ascii="Arial" w:hAnsi="Arial" w:cs="Arial"/>
          <w:kern w:val="2"/>
        </w:rPr>
        <w:t xml:space="preserve">.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Reporta que durante esta administración la trasparencia fiscal ha mejorado, al tiempo que han aumentado los ingresos propios principalmente al fortalecimiento de la recaudación de impuestos. El sistema de pensiones ha mejorado la planeación a largo plazo, sobre este punto, no estiman ninguna presión. La calificación emitida contempla un nivel de deuda moderado con la espera que se mantenga por debajo del 30 % del total de los ingresos operativos durante los próximos dos años.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 </w:t>
      </w:r>
      <w:r w:rsidRPr="00C5015C">
        <w:rPr>
          <w:rFonts w:ascii="Arial" w:hAnsi="Arial" w:cs="Arial"/>
          <w:b/>
          <w:kern w:val="2"/>
        </w:rPr>
        <w:t>HR RATINGS</w:t>
      </w:r>
      <w:r w:rsidRPr="00C5015C">
        <w:rPr>
          <w:rFonts w:ascii="Arial" w:hAnsi="Arial" w:cs="Arial"/>
          <w:kern w:val="2"/>
        </w:rPr>
        <w:t xml:space="preserve"> (Diciembre 04, 2015)</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HR Rating ratifica  la calificación de HR A-   y modificó la Perspectiva a Negativa de Estable al Estado de Oaxaca. Esta calificación es equivalente a la de </w:t>
      </w:r>
      <w:proofErr w:type="spellStart"/>
      <w:r w:rsidRPr="00C5015C">
        <w:rPr>
          <w:rFonts w:ascii="Arial" w:hAnsi="Arial" w:cs="Arial"/>
          <w:kern w:val="2"/>
        </w:rPr>
        <w:t>Fitch</w:t>
      </w:r>
      <w:proofErr w:type="spellEnd"/>
      <w:r w:rsidRPr="00C5015C">
        <w:rPr>
          <w:rFonts w:ascii="Arial" w:hAnsi="Arial" w:cs="Arial"/>
          <w:kern w:val="2"/>
        </w:rPr>
        <w:t xml:space="preserve"> y </w:t>
      </w:r>
      <w:proofErr w:type="spellStart"/>
      <w:r w:rsidRPr="00C5015C">
        <w:rPr>
          <w:rFonts w:ascii="Arial" w:hAnsi="Arial" w:cs="Arial"/>
          <w:kern w:val="2"/>
        </w:rPr>
        <w:t>Estadard</w:t>
      </w:r>
      <w:proofErr w:type="spellEnd"/>
      <w:r w:rsidRPr="00C5015C">
        <w:rPr>
          <w:rFonts w:ascii="Arial" w:hAnsi="Arial" w:cs="Arial"/>
          <w:kern w:val="2"/>
        </w:rPr>
        <w:t xml:space="preserve"> &amp; </w:t>
      </w:r>
      <w:proofErr w:type="spellStart"/>
      <w:r w:rsidRPr="00C5015C">
        <w:rPr>
          <w:rFonts w:ascii="Arial" w:hAnsi="Arial" w:cs="Arial"/>
          <w:kern w:val="2"/>
        </w:rPr>
        <w:t>Poor’s</w:t>
      </w:r>
      <w:proofErr w:type="spellEnd"/>
      <w:r w:rsidRPr="00C5015C">
        <w:rPr>
          <w:rFonts w:ascii="Arial" w:hAnsi="Arial" w:cs="Arial"/>
          <w:kern w:val="2"/>
        </w:rPr>
        <w:t xml:space="preserve">; por otro lado </w:t>
      </w:r>
      <w:proofErr w:type="spellStart"/>
      <w:r w:rsidRPr="00C5015C">
        <w:rPr>
          <w:rFonts w:ascii="Arial" w:hAnsi="Arial" w:cs="Arial"/>
          <w:kern w:val="2"/>
        </w:rPr>
        <w:t>Moody’s</w:t>
      </w:r>
      <w:proofErr w:type="spellEnd"/>
      <w:r w:rsidRPr="00C5015C">
        <w:rPr>
          <w:rFonts w:ascii="Arial" w:hAnsi="Arial" w:cs="Arial"/>
          <w:kern w:val="2"/>
        </w:rPr>
        <w:t xml:space="preserve"> la mantiene a un nivel superior inmediato, lo que resulta  estandarizar la opinión crediticia de las agencias calificadoras. El cambio de Perspectiva se debe al continuo uso de financiamiento a Corto Plazo. Estima que durante 2016, no se adquirirán  financiamientos a corto plazo o largo plazo ya que tales circunstancias </w:t>
      </w:r>
      <w:proofErr w:type="gramStart"/>
      <w:r w:rsidRPr="00C5015C">
        <w:rPr>
          <w:rFonts w:ascii="Arial" w:hAnsi="Arial" w:cs="Arial"/>
          <w:kern w:val="2"/>
        </w:rPr>
        <w:t>podría</w:t>
      </w:r>
      <w:proofErr w:type="gramEnd"/>
      <w:r w:rsidRPr="00C5015C">
        <w:rPr>
          <w:rFonts w:ascii="Arial" w:hAnsi="Arial" w:cs="Arial"/>
          <w:kern w:val="2"/>
        </w:rPr>
        <w:t xml:space="preserve"> afectar el riesgo crediticio, enfocó la atención en el comportamiento de la deuda y financiamiento a corto plazo. Lo relacionado con el Sistema de Pensiones observa que del último estudio actuarial incluye la cuantificación del impacto de la Reforma a la Ley de Pensiones y estima que bajo la nueva Ley se ampliará el periodo de suficiencia hasta el año 2022 y no considera que para este año que las aportaciones extraordinarias llegara a impactar en el Gasto Corriente del Estado en mediano plazo.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Conclusión:</w:t>
      </w:r>
      <w:r w:rsidRPr="00C5015C">
        <w:rPr>
          <w:rFonts w:ascii="Arial" w:hAnsi="Arial" w:cs="Arial"/>
          <w:kern w:val="2"/>
        </w:rPr>
        <w:t xml:space="preserve"> las calificaciones otorgadas por las calificadoras en mención,  coinciden en términos generales, que la Cuenta Pública del Estado Periodo enero-diciembre del ejercicio 2014</w:t>
      </w:r>
      <w:r w:rsidR="00817963">
        <w:rPr>
          <w:rFonts w:ascii="Arial" w:hAnsi="Arial" w:cs="Arial"/>
          <w:kern w:val="2"/>
        </w:rPr>
        <w:t>, el</w:t>
      </w:r>
      <w:r w:rsidRPr="00C5015C">
        <w:rPr>
          <w:rFonts w:ascii="Arial" w:hAnsi="Arial" w:cs="Arial"/>
          <w:kern w:val="2"/>
        </w:rPr>
        <w:t xml:space="preserve"> Estado de Oaxaca mantiene todavía una sólida capacidad de pago de intereses como del principal y es poco susceptible a cambios económicos, cuyo significado se entendería como que el Estado ofrece seguridad para el pago de sus obligaciones contratadas.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b/>
          <w:kern w:val="2"/>
        </w:rPr>
      </w:pPr>
      <w:r>
        <w:rPr>
          <w:rFonts w:ascii="Arial" w:hAnsi="Arial" w:cs="Arial"/>
          <w:b/>
          <w:kern w:val="2"/>
        </w:rPr>
        <w:lastRenderedPageBreak/>
        <w:t>3.</w:t>
      </w:r>
      <w:r w:rsidR="00B933CA">
        <w:rPr>
          <w:rFonts w:ascii="Arial" w:hAnsi="Arial" w:cs="Arial"/>
          <w:b/>
          <w:kern w:val="2"/>
        </w:rPr>
        <w:t>3</w:t>
      </w:r>
      <w:r>
        <w:rPr>
          <w:rFonts w:ascii="Arial" w:hAnsi="Arial" w:cs="Arial"/>
          <w:b/>
          <w:kern w:val="2"/>
        </w:rPr>
        <w:t xml:space="preserve">.2.- </w:t>
      </w:r>
      <w:r w:rsidRPr="00C5015C">
        <w:rPr>
          <w:rFonts w:ascii="Arial" w:hAnsi="Arial" w:cs="Arial"/>
          <w:b/>
          <w:kern w:val="2"/>
        </w:rPr>
        <w:t>OPINI</w:t>
      </w:r>
      <w:r w:rsidR="00817963">
        <w:rPr>
          <w:rFonts w:ascii="Arial" w:hAnsi="Arial" w:cs="Arial"/>
          <w:b/>
          <w:kern w:val="2"/>
        </w:rPr>
        <w:t>Ó</w:t>
      </w:r>
      <w:r w:rsidRPr="00C5015C">
        <w:rPr>
          <w:rFonts w:ascii="Arial" w:hAnsi="Arial" w:cs="Arial"/>
          <w:b/>
          <w:kern w:val="2"/>
        </w:rPr>
        <w:t>N A</w:t>
      </w:r>
      <w:r>
        <w:rPr>
          <w:rFonts w:ascii="Arial" w:hAnsi="Arial" w:cs="Arial"/>
          <w:b/>
          <w:kern w:val="2"/>
        </w:rPr>
        <w:t xml:space="preserve"> LOS CR</w:t>
      </w:r>
      <w:r w:rsidR="00817963">
        <w:rPr>
          <w:rFonts w:ascii="Arial" w:hAnsi="Arial" w:cs="Arial"/>
          <w:b/>
          <w:kern w:val="2"/>
        </w:rPr>
        <w:t>É</w:t>
      </w:r>
      <w:r>
        <w:rPr>
          <w:rFonts w:ascii="Arial" w:hAnsi="Arial" w:cs="Arial"/>
          <w:b/>
          <w:kern w:val="2"/>
        </w:rPr>
        <w:t>DITOS</w:t>
      </w:r>
    </w:p>
    <w:p w:rsidR="00CB3B20" w:rsidRDefault="00CB3B20" w:rsidP="00CB3B20">
      <w:pPr>
        <w:contextualSpacing/>
        <w:jc w:val="both"/>
        <w:rPr>
          <w:rFonts w:ascii="Arial" w:hAnsi="Arial" w:cs="Arial"/>
          <w:b/>
          <w:kern w:val="2"/>
        </w:rPr>
      </w:pPr>
    </w:p>
    <w:p w:rsidR="00E91C2E" w:rsidRPr="00C5015C" w:rsidRDefault="00E91C2E" w:rsidP="00CB3B20">
      <w:pPr>
        <w:contextualSpacing/>
        <w:jc w:val="both"/>
        <w:rPr>
          <w:rFonts w:ascii="Arial" w:hAnsi="Arial" w:cs="Arial"/>
          <w:b/>
          <w:kern w:val="2"/>
        </w:rPr>
      </w:pPr>
    </w:p>
    <w:p w:rsidR="00CB3B20" w:rsidRDefault="00CB3B20" w:rsidP="00CB3B20">
      <w:pPr>
        <w:contextualSpacing/>
        <w:jc w:val="both"/>
        <w:rPr>
          <w:rFonts w:ascii="Arial" w:hAnsi="Arial" w:cs="Arial"/>
          <w:kern w:val="2"/>
        </w:rPr>
      </w:pPr>
      <w:r w:rsidRPr="00C5015C">
        <w:rPr>
          <w:rFonts w:ascii="Arial" w:hAnsi="Arial" w:cs="Arial"/>
          <w:b/>
          <w:kern w:val="2"/>
        </w:rPr>
        <w:t>FITCH RATINGS, MÉXICO</w:t>
      </w:r>
      <w:r w:rsidRPr="00C5015C">
        <w:rPr>
          <w:rFonts w:ascii="Arial" w:hAnsi="Arial" w:cs="Arial"/>
          <w:kern w:val="2"/>
        </w:rPr>
        <w:t xml:space="preserve"> (Mayo 21,2014).</w:t>
      </w:r>
    </w:p>
    <w:p w:rsidR="00CB3B20" w:rsidRDefault="00CB3B20" w:rsidP="00CB3B20">
      <w:pPr>
        <w:contextualSpacing/>
        <w:jc w:val="both"/>
        <w:rPr>
          <w:rFonts w:ascii="Arial" w:hAnsi="Arial" w:cs="Arial"/>
          <w:kern w:val="2"/>
        </w:rPr>
      </w:pPr>
    </w:p>
    <w:p w:rsidR="00E91C2E" w:rsidRPr="00C5015C" w:rsidRDefault="00E91C2E"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Asignó la calificación de </w:t>
      </w:r>
      <w:proofErr w:type="gramStart"/>
      <w:r w:rsidRPr="00C5015C">
        <w:rPr>
          <w:rFonts w:ascii="Arial" w:hAnsi="Arial" w:cs="Arial"/>
          <w:kern w:val="2"/>
        </w:rPr>
        <w:t>‘AA(</w:t>
      </w:r>
      <w:proofErr w:type="spellStart"/>
      <w:proofErr w:type="gramEnd"/>
      <w:r w:rsidRPr="00C5015C">
        <w:rPr>
          <w:rFonts w:ascii="Arial" w:hAnsi="Arial" w:cs="Arial"/>
          <w:kern w:val="2"/>
        </w:rPr>
        <w:t>mex</w:t>
      </w:r>
      <w:proofErr w:type="spellEnd"/>
      <w:r w:rsidRPr="00C5015C">
        <w:rPr>
          <w:rFonts w:ascii="Arial" w:hAnsi="Arial" w:cs="Arial"/>
          <w:kern w:val="2"/>
        </w:rPr>
        <w:t>)’, al crédito bancario contratado por el Estado de Oaxaca con BANOBRAS, Fondo Nacional de Reconstrucción (FONAREC), por un monto de hasta de 2 mil 82 millones 453 mil pesos con un plazo de 20 años. El destino de dicho crédito, es particularmente para cubrir las aportaciones del Estado de Oaxaca como contraparte correspondiente al Fideicomiso FONDEN Estatal, relativas a Declaratorias de Desastres Naturales emitidas por la Secretaría de Gobernación en el año 2010 y/o solventar el costo de obras y acciones de reconstrucción de infraestructura estatal acordadas con el Ejecutivo Federal en virtud de los daños ocasionados por fenómenos naturales ocurridos en 2010.</w:t>
      </w:r>
    </w:p>
    <w:p w:rsidR="00CB3B20" w:rsidRPr="00C5015C" w:rsidRDefault="00CB3B20" w:rsidP="00CB3B20">
      <w:pPr>
        <w:contextualSpacing/>
        <w:jc w:val="both"/>
        <w:rPr>
          <w:rFonts w:ascii="Arial" w:hAnsi="Arial" w:cs="Arial"/>
          <w:kern w:val="2"/>
        </w:rPr>
      </w:pPr>
    </w:p>
    <w:p w:rsidR="00E91C2E" w:rsidRDefault="00E91C2E">
      <w:pPr>
        <w:rPr>
          <w:rFonts w:ascii="Arial" w:hAnsi="Arial" w:cs="Arial"/>
          <w:b/>
          <w:kern w:val="2"/>
        </w:rPr>
      </w:pPr>
      <w:r>
        <w:rPr>
          <w:rFonts w:ascii="Arial" w:hAnsi="Arial" w:cs="Arial"/>
          <w:b/>
          <w:kern w:val="2"/>
        </w:rPr>
        <w:br w:type="page"/>
      </w:r>
    </w:p>
    <w:p w:rsidR="00CB3B20" w:rsidRDefault="00CB3B20" w:rsidP="00CB3B20">
      <w:pPr>
        <w:contextualSpacing/>
        <w:jc w:val="both"/>
        <w:rPr>
          <w:rFonts w:ascii="Arial" w:hAnsi="Arial" w:cs="Arial"/>
          <w:b/>
          <w:kern w:val="2"/>
        </w:rPr>
      </w:pPr>
      <w:r>
        <w:rPr>
          <w:rFonts w:ascii="Arial" w:hAnsi="Arial" w:cs="Arial"/>
          <w:b/>
          <w:kern w:val="2"/>
        </w:rPr>
        <w:lastRenderedPageBreak/>
        <w:t>3.</w:t>
      </w:r>
      <w:r w:rsidR="00B933CA">
        <w:rPr>
          <w:rFonts w:ascii="Arial" w:hAnsi="Arial" w:cs="Arial"/>
          <w:b/>
          <w:kern w:val="2"/>
        </w:rPr>
        <w:t>3.3.-</w:t>
      </w:r>
      <w:r>
        <w:rPr>
          <w:rFonts w:ascii="Arial" w:hAnsi="Arial" w:cs="Arial"/>
          <w:b/>
          <w:kern w:val="2"/>
        </w:rPr>
        <w:t xml:space="preserve"> </w:t>
      </w:r>
      <w:r w:rsidRPr="00C5015C">
        <w:rPr>
          <w:rFonts w:ascii="Arial" w:hAnsi="Arial" w:cs="Arial"/>
          <w:b/>
          <w:kern w:val="2"/>
        </w:rPr>
        <w:t>OPINIÓN SOBRE LAS EMISIONES BURSÁTILES.</w:t>
      </w:r>
    </w:p>
    <w:p w:rsidR="00CB3B20" w:rsidRPr="00C5015C"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b/>
          <w:kern w:val="2"/>
        </w:rPr>
      </w:pPr>
      <w:r>
        <w:rPr>
          <w:rFonts w:ascii="Arial" w:hAnsi="Arial" w:cs="Arial"/>
          <w:b/>
          <w:kern w:val="2"/>
        </w:rPr>
        <w:t>3.</w:t>
      </w:r>
      <w:r w:rsidR="00B933CA">
        <w:rPr>
          <w:rFonts w:ascii="Arial" w:hAnsi="Arial" w:cs="Arial"/>
          <w:b/>
          <w:kern w:val="2"/>
        </w:rPr>
        <w:t>3.3.</w:t>
      </w:r>
      <w:r>
        <w:rPr>
          <w:rFonts w:ascii="Arial" w:hAnsi="Arial" w:cs="Arial"/>
          <w:b/>
          <w:kern w:val="2"/>
        </w:rPr>
        <w:t xml:space="preserve">1.- </w:t>
      </w:r>
      <w:r w:rsidR="00B03FF7" w:rsidRPr="00C5015C">
        <w:rPr>
          <w:rFonts w:ascii="Arial" w:hAnsi="Arial" w:cs="Arial"/>
          <w:b/>
          <w:kern w:val="2"/>
        </w:rPr>
        <w:t>CERTIFICADO</w:t>
      </w:r>
      <w:r w:rsidR="008A75C7">
        <w:rPr>
          <w:rFonts w:ascii="Arial" w:hAnsi="Arial" w:cs="Arial"/>
          <w:b/>
          <w:kern w:val="2"/>
        </w:rPr>
        <w:t>S</w:t>
      </w:r>
      <w:r w:rsidR="00B03FF7" w:rsidRPr="00C5015C">
        <w:rPr>
          <w:rFonts w:ascii="Arial" w:hAnsi="Arial" w:cs="Arial"/>
          <w:b/>
          <w:kern w:val="2"/>
        </w:rPr>
        <w:t xml:space="preserve"> BURSÁTILES FIDUCIARIOS</w:t>
      </w:r>
      <w:r w:rsidRPr="00C5015C">
        <w:rPr>
          <w:rFonts w:ascii="Arial" w:hAnsi="Arial" w:cs="Arial"/>
          <w:b/>
          <w:kern w:val="2"/>
        </w:rPr>
        <w:t xml:space="preserve">. </w:t>
      </w:r>
      <w:r w:rsidR="003C12B7">
        <w:rPr>
          <w:rFonts w:ascii="Arial" w:hAnsi="Arial" w:cs="Arial"/>
          <w:b/>
          <w:kern w:val="2"/>
        </w:rPr>
        <w:t>(</w:t>
      </w:r>
      <w:r w:rsidRPr="00C5015C">
        <w:rPr>
          <w:rFonts w:ascii="Arial" w:hAnsi="Arial" w:cs="Arial"/>
          <w:b/>
          <w:kern w:val="2"/>
        </w:rPr>
        <w:t>OAXCB 07U</w:t>
      </w:r>
      <w:r w:rsidR="003C12B7">
        <w:rPr>
          <w:rFonts w:ascii="Arial" w:hAnsi="Arial" w:cs="Arial"/>
          <w:b/>
          <w:kern w:val="2"/>
        </w:rPr>
        <w:t>)</w:t>
      </w:r>
      <w:r w:rsidRPr="00C5015C">
        <w:rPr>
          <w:rFonts w:ascii="Arial" w:hAnsi="Arial" w:cs="Arial"/>
          <w:b/>
          <w:kern w:val="2"/>
        </w:rPr>
        <w:t xml:space="preserve">. </w:t>
      </w:r>
    </w:p>
    <w:p w:rsidR="00CB3B20" w:rsidRPr="00C5015C"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kern w:val="2"/>
        </w:rPr>
      </w:pPr>
      <w:r w:rsidRPr="00C5015C">
        <w:rPr>
          <w:rFonts w:ascii="Arial" w:hAnsi="Arial" w:cs="Arial"/>
          <w:b/>
          <w:kern w:val="2"/>
        </w:rPr>
        <w:t>STANDARD &amp; POOR’S</w:t>
      </w:r>
      <w:r w:rsidRPr="00C5015C">
        <w:rPr>
          <w:rFonts w:ascii="Arial" w:hAnsi="Arial" w:cs="Arial"/>
          <w:kern w:val="2"/>
        </w:rPr>
        <w:t xml:space="preserve">, (Septiembre 24, 2015).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Estándar &amp; </w:t>
      </w:r>
      <w:proofErr w:type="spellStart"/>
      <w:r w:rsidRPr="00C5015C">
        <w:rPr>
          <w:rFonts w:ascii="Arial" w:hAnsi="Arial" w:cs="Arial"/>
          <w:kern w:val="2"/>
        </w:rPr>
        <w:t>Poor’s</w:t>
      </w:r>
      <w:proofErr w:type="spellEnd"/>
      <w:r w:rsidRPr="00C5015C">
        <w:rPr>
          <w:rFonts w:ascii="Arial" w:hAnsi="Arial" w:cs="Arial"/>
          <w:kern w:val="2"/>
        </w:rPr>
        <w:t>, confirma la calificación de largo plazo en escala nacional –</w:t>
      </w:r>
      <w:proofErr w:type="spellStart"/>
      <w:r w:rsidRPr="00C5015C">
        <w:rPr>
          <w:rFonts w:ascii="Arial" w:hAnsi="Arial" w:cs="Arial"/>
          <w:kern w:val="2"/>
        </w:rPr>
        <w:t>Caval</w:t>
      </w:r>
      <w:proofErr w:type="spellEnd"/>
      <w:r w:rsidRPr="00C5015C">
        <w:rPr>
          <w:rFonts w:ascii="Arial" w:hAnsi="Arial" w:cs="Arial"/>
          <w:kern w:val="2"/>
        </w:rPr>
        <w:t>- de ‘</w:t>
      </w:r>
      <w:proofErr w:type="spellStart"/>
      <w:r w:rsidRPr="00C5015C">
        <w:rPr>
          <w:rFonts w:ascii="Arial" w:hAnsi="Arial" w:cs="Arial"/>
          <w:kern w:val="2"/>
        </w:rPr>
        <w:t>mxAA</w:t>
      </w:r>
      <w:proofErr w:type="spellEnd"/>
      <w:r w:rsidRPr="00C5015C">
        <w:rPr>
          <w:rFonts w:ascii="Arial" w:hAnsi="Arial" w:cs="Arial"/>
          <w:kern w:val="2"/>
        </w:rPr>
        <w:t>’ de la emisión OAXCB O7U del Estado de Oaxaca. En esta operación bursátil el emisor fue la Fiduciaria HSBC a través del Fideicomiso F/246859 y es respaldada por el 100 % de los ingresos presentes y futuros del Impuesto Sobre Nóminas (ISN) y Derechos Vehiculares (DV) del Estado de Oaxaca. La calificación toma como punto de partida la calificación de riesgo crediticio del Estado de Oaxaca de ‘</w:t>
      </w:r>
      <w:proofErr w:type="spellStart"/>
      <w:r w:rsidRPr="00C5015C">
        <w:rPr>
          <w:rFonts w:ascii="Arial" w:hAnsi="Arial" w:cs="Arial"/>
          <w:kern w:val="2"/>
        </w:rPr>
        <w:t>mxA</w:t>
      </w:r>
      <w:proofErr w:type="spellEnd"/>
      <w:r w:rsidRPr="00C5015C">
        <w:rPr>
          <w:rFonts w:ascii="Arial" w:hAnsi="Arial" w:cs="Arial"/>
          <w:kern w:val="2"/>
        </w:rPr>
        <w:t>-</w:t>
      </w:r>
      <w:proofErr w:type="gramStart"/>
      <w:r w:rsidRPr="00C5015C">
        <w:rPr>
          <w:rFonts w:ascii="Arial" w:hAnsi="Arial" w:cs="Arial"/>
          <w:kern w:val="2"/>
        </w:rPr>
        <w:t>‘ e</w:t>
      </w:r>
      <w:proofErr w:type="gramEnd"/>
      <w:r w:rsidRPr="00C5015C">
        <w:rPr>
          <w:rFonts w:ascii="Arial" w:hAnsi="Arial" w:cs="Arial"/>
          <w:kern w:val="2"/>
        </w:rPr>
        <w:t xml:space="preserve"> incorpora los niveles de cobertura de servicio  de deuda proyectado bajo los escenarios de estrés que son suficientes para respaldar dicha calificación. Además esta emisión cuenta con un contrato de cobertura (swap) con vencimiento en mayo de 2017.</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FITCH RATINGS</w:t>
      </w:r>
      <w:r w:rsidRPr="00C5015C">
        <w:rPr>
          <w:rFonts w:ascii="Arial" w:hAnsi="Arial" w:cs="Arial"/>
          <w:kern w:val="2"/>
        </w:rPr>
        <w:t>, (Agosto 18, 2015).</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Ratifica la calificación de AA</w:t>
      </w:r>
      <w:proofErr w:type="gramStart"/>
      <w:r w:rsidRPr="00C5015C">
        <w:rPr>
          <w:rFonts w:ascii="Arial" w:hAnsi="Arial" w:cs="Arial"/>
          <w:kern w:val="2"/>
        </w:rPr>
        <w:t>+(</w:t>
      </w:r>
      <w:proofErr w:type="spellStart"/>
      <w:proofErr w:type="gramEnd"/>
      <w:r w:rsidRPr="00C5015C">
        <w:rPr>
          <w:rFonts w:ascii="Arial" w:hAnsi="Arial" w:cs="Arial"/>
          <w:kern w:val="2"/>
        </w:rPr>
        <w:t>mex</w:t>
      </w:r>
      <w:proofErr w:type="spellEnd"/>
      <w:r w:rsidRPr="00C5015C">
        <w:rPr>
          <w:rFonts w:ascii="Arial" w:hAnsi="Arial" w:cs="Arial"/>
          <w:kern w:val="2"/>
        </w:rPr>
        <w:t xml:space="preserve">), calificación asignada desde el 11 de diciembre de 2007,  fecha de la emisión de los Certificados Bursátiles Fiduciarios. Los factores claves de la calificación son los siguientes: una Estructura Legal y Financiera de los fideicomisos que sirven como fuente de pago de la emisión y la afectación irrevocable de los ingresos a dichos fideicomisos son consideradas como fundamentos y fortaleza de la emisión, Fuente Pago, el 100 % de los ingreso derivados de Impuesto Sobre Nómina y Derecho Vehicular, Fondo de Reserva, Protección Adicionales a los Inversionistas y Calificación del Estado. </w:t>
      </w:r>
    </w:p>
    <w:p w:rsidR="00CB3B20" w:rsidRPr="00C5015C" w:rsidRDefault="00CB3B20" w:rsidP="00CB3B20">
      <w:pPr>
        <w:contextualSpacing/>
        <w:jc w:val="both"/>
        <w:rPr>
          <w:rFonts w:ascii="Arial" w:hAnsi="Arial" w:cs="Arial"/>
          <w:kern w:val="2"/>
        </w:rPr>
      </w:pPr>
    </w:p>
    <w:p w:rsidR="00D1241D" w:rsidRDefault="00D1241D">
      <w:pPr>
        <w:rPr>
          <w:rFonts w:ascii="Arial" w:hAnsi="Arial" w:cs="Arial"/>
          <w:b/>
          <w:kern w:val="2"/>
        </w:rPr>
      </w:pPr>
      <w:r>
        <w:rPr>
          <w:rFonts w:ascii="Arial" w:hAnsi="Arial" w:cs="Arial"/>
          <w:b/>
          <w:kern w:val="2"/>
        </w:rPr>
        <w:br w:type="page"/>
      </w:r>
    </w:p>
    <w:p w:rsidR="00CB3B20" w:rsidRDefault="00CB3B20" w:rsidP="00CB3B20">
      <w:pPr>
        <w:contextualSpacing/>
        <w:jc w:val="both"/>
        <w:rPr>
          <w:rFonts w:ascii="Arial" w:hAnsi="Arial" w:cs="Arial"/>
          <w:kern w:val="2"/>
        </w:rPr>
      </w:pPr>
      <w:r>
        <w:rPr>
          <w:rFonts w:ascii="Arial" w:hAnsi="Arial" w:cs="Arial"/>
          <w:b/>
          <w:kern w:val="2"/>
        </w:rPr>
        <w:lastRenderedPageBreak/>
        <w:t>3.</w:t>
      </w:r>
      <w:r w:rsidR="00B933CA">
        <w:rPr>
          <w:rFonts w:ascii="Arial" w:hAnsi="Arial" w:cs="Arial"/>
          <w:b/>
          <w:kern w:val="2"/>
        </w:rPr>
        <w:t>3.3.</w:t>
      </w:r>
      <w:r>
        <w:rPr>
          <w:rFonts w:ascii="Arial" w:hAnsi="Arial" w:cs="Arial"/>
          <w:b/>
          <w:kern w:val="2"/>
        </w:rPr>
        <w:t xml:space="preserve">2.- </w:t>
      </w:r>
      <w:r w:rsidR="00B03FF7" w:rsidRPr="00C5015C">
        <w:rPr>
          <w:rFonts w:ascii="Arial" w:hAnsi="Arial" w:cs="Arial"/>
          <w:b/>
          <w:kern w:val="2"/>
        </w:rPr>
        <w:t>CERTIFICADOS BURSÁTILES</w:t>
      </w:r>
      <w:r w:rsidR="00B03FF7">
        <w:rPr>
          <w:rFonts w:ascii="Arial" w:hAnsi="Arial" w:cs="Arial"/>
          <w:b/>
          <w:kern w:val="2"/>
        </w:rPr>
        <w:t xml:space="preserve"> </w:t>
      </w:r>
      <w:r w:rsidR="000C0461">
        <w:rPr>
          <w:rFonts w:ascii="Arial" w:hAnsi="Arial" w:cs="Arial"/>
          <w:b/>
          <w:kern w:val="2"/>
        </w:rPr>
        <w:t>(</w:t>
      </w:r>
      <w:r w:rsidRPr="00C5015C">
        <w:rPr>
          <w:rFonts w:ascii="Arial" w:hAnsi="Arial" w:cs="Arial"/>
          <w:b/>
          <w:kern w:val="2"/>
        </w:rPr>
        <w:t>OAXACA 11</w:t>
      </w:r>
      <w:r w:rsidR="000C0461">
        <w:rPr>
          <w:rFonts w:ascii="Arial" w:hAnsi="Arial" w:cs="Arial"/>
          <w:b/>
          <w:kern w:val="2"/>
        </w:rPr>
        <w:t>)</w:t>
      </w:r>
      <w:r w:rsidRPr="00C5015C">
        <w:rPr>
          <w:rFonts w:ascii="Arial" w:hAnsi="Arial" w:cs="Arial"/>
          <w:kern w:val="2"/>
        </w:rPr>
        <w:t xml:space="preserve">.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STANDARD &amp; POOR’S</w:t>
      </w:r>
      <w:r w:rsidRPr="00C5015C">
        <w:rPr>
          <w:rFonts w:ascii="Arial" w:hAnsi="Arial" w:cs="Arial"/>
          <w:kern w:val="2"/>
        </w:rPr>
        <w:t>, (Septiembre 24, 2015).</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 Asigna calificación de ‘</w:t>
      </w:r>
      <w:proofErr w:type="spellStart"/>
      <w:r w:rsidRPr="00C5015C">
        <w:rPr>
          <w:rFonts w:ascii="Arial" w:hAnsi="Arial" w:cs="Arial"/>
          <w:kern w:val="2"/>
        </w:rPr>
        <w:t>mxAAA</w:t>
      </w:r>
      <w:proofErr w:type="spellEnd"/>
      <w:r w:rsidRPr="00C5015C">
        <w:rPr>
          <w:rFonts w:ascii="Arial" w:hAnsi="Arial" w:cs="Arial"/>
          <w:kern w:val="2"/>
        </w:rPr>
        <w:t xml:space="preserve">’ a la emisión de Certificados Bursátiles OAXACA 11. Los títulos están respaldados por el 11.65 % de las Participaciones Federales que le corresponden al Estado, además cuenta con una Garantía de Pago Oportuno (CPO) equivalente al 30 % de su saldo insoluto. Para determinar la calificación y medir el riesgo crediticio  toma como punto de partida la calificación soberana del Estado.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FITCH RATING</w:t>
      </w:r>
      <w:r w:rsidRPr="00C5015C">
        <w:rPr>
          <w:rFonts w:ascii="Arial" w:hAnsi="Arial" w:cs="Arial"/>
          <w:kern w:val="2"/>
        </w:rPr>
        <w:t xml:space="preserve"> (Agosto 18, 2015).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Ratifica la calificación de ‘AAA (</w:t>
      </w:r>
      <w:proofErr w:type="spellStart"/>
      <w:r w:rsidRPr="00C5015C">
        <w:rPr>
          <w:rFonts w:ascii="Arial" w:hAnsi="Arial" w:cs="Arial"/>
          <w:kern w:val="2"/>
        </w:rPr>
        <w:t>mex</w:t>
      </w:r>
      <w:proofErr w:type="spellEnd"/>
      <w:r w:rsidRPr="00C5015C">
        <w:rPr>
          <w:rFonts w:ascii="Arial" w:hAnsi="Arial" w:cs="Arial"/>
          <w:kern w:val="2"/>
        </w:rPr>
        <w:t xml:space="preserve">)’ a los títulos de Certificados Bursátiles clave de pizarra: OAXACA 11, emitidos por el Estado.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La calificadora se basó en los siguientes factores claves:</w:t>
      </w:r>
    </w:p>
    <w:p w:rsidR="00CB3B20" w:rsidRPr="00C5015C" w:rsidRDefault="00CB3B20" w:rsidP="00CB3B20">
      <w:pPr>
        <w:contextualSpacing/>
        <w:jc w:val="both"/>
        <w:rPr>
          <w:rFonts w:ascii="Arial" w:hAnsi="Arial" w:cs="Arial"/>
          <w:kern w:val="2"/>
        </w:rPr>
      </w:pPr>
    </w:p>
    <w:p w:rsidR="00CB3B20" w:rsidRPr="00CB3B20" w:rsidRDefault="00CB3B20" w:rsidP="002F6527">
      <w:pPr>
        <w:pStyle w:val="Prrafodelista"/>
        <w:numPr>
          <w:ilvl w:val="0"/>
          <w:numId w:val="6"/>
        </w:numPr>
        <w:contextualSpacing/>
        <w:jc w:val="both"/>
        <w:rPr>
          <w:rFonts w:ascii="Arial" w:hAnsi="Arial" w:cs="Arial"/>
          <w:kern w:val="2"/>
        </w:rPr>
      </w:pPr>
      <w:r w:rsidRPr="00CB3B20">
        <w:rPr>
          <w:rFonts w:ascii="Arial" w:hAnsi="Arial" w:cs="Arial"/>
          <w:kern w:val="2"/>
        </w:rPr>
        <w:t xml:space="preserve">Estructura Legal y Financiera. Estableció un fideicomiso de administración  y fuente pago para el servicio de la emisión. </w:t>
      </w:r>
    </w:p>
    <w:p w:rsidR="00CB3B20" w:rsidRPr="00CB3B20" w:rsidRDefault="00CB3B20" w:rsidP="002F6527">
      <w:pPr>
        <w:pStyle w:val="Prrafodelista"/>
        <w:numPr>
          <w:ilvl w:val="0"/>
          <w:numId w:val="6"/>
        </w:numPr>
        <w:contextualSpacing/>
        <w:jc w:val="both"/>
        <w:rPr>
          <w:rFonts w:ascii="Arial" w:hAnsi="Arial" w:cs="Arial"/>
          <w:kern w:val="2"/>
        </w:rPr>
      </w:pPr>
      <w:r w:rsidRPr="00CB3B20">
        <w:rPr>
          <w:rFonts w:ascii="Arial" w:hAnsi="Arial" w:cs="Arial"/>
          <w:kern w:val="2"/>
        </w:rPr>
        <w:t>Fuente de Pago. Son participaciones  federales.</w:t>
      </w:r>
    </w:p>
    <w:p w:rsidR="00CB3B20" w:rsidRPr="00CB3B20" w:rsidRDefault="00CB3B20" w:rsidP="002F6527">
      <w:pPr>
        <w:pStyle w:val="Prrafodelista"/>
        <w:numPr>
          <w:ilvl w:val="0"/>
          <w:numId w:val="6"/>
        </w:numPr>
        <w:contextualSpacing/>
        <w:jc w:val="both"/>
        <w:rPr>
          <w:rFonts w:ascii="Arial" w:hAnsi="Arial" w:cs="Arial"/>
          <w:kern w:val="2"/>
        </w:rPr>
      </w:pPr>
      <w:r w:rsidRPr="00CB3B20">
        <w:rPr>
          <w:rFonts w:ascii="Arial" w:hAnsi="Arial" w:cs="Arial"/>
          <w:kern w:val="2"/>
        </w:rPr>
        <w:t xml:space="preserve">Coberturas. Ante escenarios adversos garantizan el servicio de los </w:t>
      </w:r>
      <w:proofErr w:type="spellStart"/>
      <w:r w:rsidRPr="00CB3B20">
        <w:rPr>
          <w:rFonts w:ascii="Arial" w:hAnsi="Arial" w:cs="Arial"/>
          <w:kern w:val="2"/>
        </w:rPr>
        <w:t>CBs.</w:t>
      </w:r>
      <w:proofErr w:type="spellEnd"/>
    </w:p>
    <w:p w:rsidR="00CB3B20" w:rsidRPr="00CB3B20" w:rsidRDefault="00CB3B20" w:rsidP="002F6527">
      <w:pPr>
        <w:pStyle w:val="Prrafodelista"/>
        <w:numPr>
          <w:ilvl w:val="0"/>
          <w:numId w:val="6"/>
        </w:numPr>
        <w:contextualSpacing/>
        <w:jc w:val="both"/>
        <w:rPr>
          <w:rFonts w:ascii="Arial" w:hAnsi="Arial" w:cs="Arial"/>
          <w:kern w:val="2"/>
        </w:rPr>
      </w:pPr>
      <w:r w:rsidRPr="00CB3B20">
        <w:rPr>
          <w:rFonts w:ascii="Arial" w:hAnsi="Arial" w:cs="Arial"/>
          <w:kern w:val="2"/>
        </w:rPr>
        <w:t>Fondo de Reserva. Se constituyó un Fondo de Reserva equivalente a dos pagos de intereses y principal.</w:t>
      </w:r>
    </w:p>
    <w:p w:rsidR="00CB3B20" w:rsidRPr="00CB3B20" w:rsidRDefault="00CB3B20" w:rsidP="002F6527">
      <w:pPr>
        <w:pStyle w:val="Prrafodelista"/>
        <w:numPr>
          <w:ilvl w:val="0"/>
          <w:numId w:val="6"/>
        </w:numPr>
        <w:contextualSpacing/>
        <w:jc w:val="both"/>
        <w:rPr>
          <w:rFonts w:ascii="Arial" w:hAnsi="Arial" w:cs="Arial"/>
          <w:kern w:val="2"/>
        </w:rPr>
      </w:pPr>
      <w:r w:rsidRPr="00CB3B20">
        <w:rPr>
          <w:rFonts w:ascii="Arial" w:hAnsi="Arial" w:cs="Arial"/>
          <w:kern w:val="2"/>
        </w:rPr>
        <w:t>Cobertura de Tasas de Interés.</w:t>
      </w:r>
    </w:p>
    <w:p w:rsidR="00CB3B20" w:rsidRPr="00CB3B20" w:rsidRDefault="00CB3B20" w:rsidP="002F6527">
      <w:pPr>
        <w:pStyle w:val="Prrafodelista"/>
        <w:numPr>
          <w:ilvl w:val="0"/>
          <w:numId w:val="6"/>
        </w:numPr>
        <w:contextualSpacing/>
        <w:jc w:val="both"/>
        <w:rPr>
          <w:rFonts w:ascii="Arial" w:hAnsi="Arial" w:cs="Arial"/>
          <w:kern w:val="2"/>
        </w:rPr>
      </w:pPr>
      <w:r w:rsidRPr="00CB3B20">
        <w:rPr>
          <w:rFonts w:ascii="Arial" w:hAnsi="Arial" w:cs="Arial"/>
          <w:kern w:val="2"/>
        </w:rPr>
        <w:t xml:space="preserve">La calificación soberana del Estado. </w:t>
      </w:r>
    </w:p>
    <w:p w:rsidR="00CB3B20" w:rsidRDefault="00CB3B20" w:rsidP="002F6527">
      <w:pPr>
        <w:pStyle w:val="Prrafodelista"/>
        <w:numPr>
          <w:ilvl w:val="0"/>
          <w:numId w:val="6"/>
        </w:numPr>
        <w:contextualSpacing/>
        <w:jc w:val="both"/>
        <w:rPr>
          <w:rFonts w:ascii="Arial" w:hAnsi="Arial" w:cs="Arial"/>
          <w:kern w:val="2"/>
        </w:rPr>
      </w:pPr>
      <w:r w:rsidRPr="00CB3B20">
        <w:rPr>
          <w:rFonts w:ascii="Arial" w:hAnsi="Arial" w:cs="Arial"/>
          <w:kern w:val="2"/>
        </w:rPr>
        <w:t>Garantía de Pago Oportuno.</w:t>
      </w:r>
    </w:p>
    <w:p w:rsidR="00CB3B20" w:rsidRPr="00CB3B20"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HR RATINGS</w:t>
      </w:r>
      <w:r w:rsidRPr="00C5015C">
        <w:rPr>
          <w:rFonts w:ascii="Arial" w:hAnsi="Arial" w:cs="Arial"/>
          <w:kern w:val="2"/>
        </w:rPr>
        <w:t xml:space="preserve"> (Diciembre 8, 2015).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Esta agencia calificadora, ratificó la calificación de HR AAA (E) con Perspectiva Estable  para los Certificados Bursátiles con clave de pizarra OAXACA 11.</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Esta ratificación es resultado principalmente del análisis financiero de los flujos futuros de la estructura estimados bajo escenarios de estrés cíclico y estrés crítico, arrojando este último ultimo un Tasa Objetivo de Estrés 91.3 %. Así mismo de importancia las características propias de la emisión:</w:t>
      </w:r>
    </w:p>
    <w:p w:rsidR="00CB3B20" w:rsidRPr="00C5015C" w:rsidRDefault="00CB3B20" w:rsidP="00CB3B20">
      <w:pPr>
        <w:contextualSpacing/>
        <w:jc w:val="both"/>
        <w:rPr>
          <w:rFonts w:ascii="Arial" w:hAnsi="Arial" w:cs="Arial"/>
          <w:kern w:val="2"/>
        </w:rPr>
      </w:pPr>
    </w:p>
    <w:p w:rsidR="00CB3B20" w:rsidRPr="00CB3B20" w:rsidRDefault="00CB3B20" w:rsidP="002F6527">
      <w:pPr>
        <w:pStyle w:val="Prrafodelista"/>
        <w:numPr>
          <w:ilvl w:val="0"/>
          <w:numId w:val="7"/>
        </w:numPr>
        <w:contextualSpacing/>
        <w:jc w:val="both"/>
        <w:rPr>
          <w:rFonts w:ascii="Arial" w:hAnsi="Arial" w:cs="Arial"/>
          <w:kern w:val="2"/>
        </w:rPr>
      </w:pPr>
      <w:r w:rsidRPr="00CB3B20">
        <w:rPr>
          <w:rFonts w:ascii="Arial" w:hAnsi="Arial" w:cs="Arial"/>
          <w:kern w:val="2"/>
        </w:rPr>
        <w:t xml:space="preserve">Las participaciones federales del Estado del Fondo General de Participaciones del 11.65 %, resultan en niveles de cobertura de servicio de la deuda suficientes para respaldar la calificación. </w:t>
      </w:r>
    </w:p>
    <w:p w:rsidR="00CB3B20" w:rsidRPr="00CB3B20" w:rsidRDefault="00CB3B20" w:rsidP="002F6527">
      <w:pPr>
        <w:pStyle w:val="Prrafodelista"/>
        <w:numPr>
          <w:ilvl w:val="0"/>
          <w:numId w:val="7"/>
        </w:numPr>
        <w:contextualSpacing/>
        <w:jc w:val="both"/>
        <w:rPr>
          <w:rFonts w:ascii="Arial" w:hAnsi="Arial" w:cs="Arial"/>
          <w:kern w:val="2"/>
        </w:rPr>
      </w:pPr>
      <w:r w:rsidRPr="00CB3B20">
        <w:rPr>
          <w:rFonts w:ascii="Arial" w:hAnsi="Arial" w:cs="Arial"/>
          <w:kern w:val="2"/>
        </w:rPr>
        <w:t>Una Garantía de Pago Oportuno (GPO).</w:t>
      </w:r>
    </w:p>
    <w:p w:rsidR="00CB3B20" w:rsidRPr="00CB3B20" w:rsidRDefault="00CB3B20" w:rsidP="002F6527">
      <w:pPr>
        <w:pStyle w:val="Prrafodelista"/>
        <w:numPr>
          <w:ilvl w:val="0"/>
          <w:numId w:val="7"/>
        </w:numPr>
        <w:contextualSpacing/>
        <w:jc w:val="both"/>
        <w:rPr>
          <w:rFonts w:ascii="Arial" w:hAnsi="Arial" w:cs="Arial"/>
          <w:kern w:val="2"/>
        </w:rPr>
      </w:pPr>
      <w:r w:rsidRPr="00CB3B20">
        <w:rPr>
          <w:rFonts w:ascii="Arial" w:hAnsi="Arial" w:cs="Arial"/>
          <w:kern w:val="2"/>
        </w:rPr>
        <w:t>Fondo de reserva.</w:t>
      </w:r>
    </w:p>
    <w:p w:rsidR="00CB3B20" w:rsidRPr="00CB3B20" w:rsidRDefault="00CB3B20" w:rsidP="002F6527">
      <w:pPr>
        <w:pStyle w:val="Prrafodelista"/>
        <w:numPr>
          <w:ilvl w:val="0"/>
          <w:numId w:val="7"/>
        </w:numPr>
        <w:contextualSpacing/>
        <w:jc w:val="both"/>
        <w:rPr>
          <w:rFonts w:ascii="Arial" w:hAnsi="Arial" w:cs="Arial"/>
          <w:kern w:val="2"/>
        </w:rPr>
      </w:pPr>
      <w:r w:rsidRPr="00CB3B20">
        <w:rPr>
          <w:rFonts w:ascii="Arial" w:hAnsi="Arial" w:cs="Arial"/>
          <w:kern w:val="2"/>
        </w:rPr>
        <w:t xml:space="preserve">Dos contratos de coberturas de intercambio de tasas de intereses contratados con BANOBRAS, los cuales mitigan el riesgo. </w:t>
      </w:r>
    </w:p>
    <w:p w:rsidR="00CB3B20" w:rsidRDefault="00CB3B20" w:rsidP="00CB3B20">
      <w:pPr>
        <w:contextualSpacing/>
        <w:jc w:val="both"/>
        <w:rPr>
          <w:rFonts w:ascii="Arial" w:hAnsi="Arial" w:cs="Arial"/>
          <w:b/>
          <w:kern w:val="2"/>
        </w:rPr>
      </w:pPr>
      <w:r>
        <w:rPr>
          <w:rFonts w:ascii="Arial" w:hAnsi="Arial" w:cs="Arial"/>
          <w:b/>
          <w:kern w:val="2"/>
        </w:rPr>
        <w:lastRenderedPageBreak/>
        <w:t>3.</w:t>
      </w:r>
      <w:r w:rsidR="00B933CA">
        <w:rPr>
          <w:rFonts w:ascii="Arial" w:hAnsi="Arial" w:cs="Arial"/>
          <w:b/>
          <w:kern w:val="2"/>
        </w:rPr>
        <w:t>3.3</w:t>
      </w:r>
      <w:r>
        <w:rPr>
          <w:rFonts w:ascii="Arial" w:hAnsi="Arial" w:cs="Arial"/>
          <w:b/>
          <w:kern w:val="2"/>
        </w:rPr>
        <w:t xml:space="preserve">.3.- </w:t>
      </w:r>
      <w:r w:rsidR="00B03FF7" w:rsidRPr="00C5015C">
        <w:rPr>
          <w:rFonts w:ascii="Arial" w:hAnsi="Arial" w:cs="Arial"/>
          <w:b/>
          <w:kern w:val="2"/>
        </w:rPr>
        <w:t>CERTIFICADOS BURSÁTILES</w:t>
      </w:r>
      <w:r w:rsidR="00B03FF7">
        <w:rPr>
          <w:rFonts w:ascii="Arial" w:hAnsi="Arial" w:cs="Arial"/>
          <w:b/>
          <w:kern w:val="2"/>
        </w:rPr>
        <w:t xml:space="preserve"> </w:t>
      </w:r>
      <w:r w:rsidR="000C0461">
        <w:rPr>
          <w:rFonts w:ascii="Arial" w:hAnsi="Arial" w:cs="Arial"/>
          <w:b/>
          <w:kern w:val="2"/>
        </w:rPr>
        <w:t>(</w:t>
      </w:r>
      <w:r w:rsidRPr="00C5015C">
        <w:rPr>
          <w:rFonts w:ascii="Arial" w:hAnsi="Arial" w:cs="Arial"/>
          <w:b/>
          <w:kern w:val="2"/>
        </w:rPr>
        <w:t>OAXACA 13</w:t>
      </w:r>
      <w:r w:rsidR="000C0461">
        <w:rPr>
          <w:rFonts w:ascii="Arial" w:hAnsi="Arial" w:cs="Arial"/>
          <w:b/>
          <w:kern w:val="2"/>
        </w:rPr>
        <w:t>)</w:t>
      </w:r>
      <w:r w:rsidRPr="00C5015C">
        <w:rPr>
          <w:rFonts w:ascii="Arial" w:hAnsi="Arial" w:cs="Arial"/>
          <w:b/>
          <w:kern w:val="2"/>
        </w:rPr>
        <w:t>.</w:t>
      </w:r>
    </w:p>
    <w:p w:rsidR="00CB3B20" w:rsidRPr="00C5015C" w:rsidRDefault="00CB3B20" w:rsidP="00CB3B20">
      <w:pPr>
        <w:contextualSpacing/>
        <w:jc w:val="both"/>
        <w:rPr>
          <w:rFonts w:ascii="Arial" w:hAnsi="Arial" w:cs="Arial"/>
          <w:b/>
          <w:kern w:val="2"/>
        </w:rPr>
      </w:pPr>
    </w:p>
    <w:p w:rsidR="00CB3B20" w:rsidRDefault="00CB3B20" w:rsidP="00CB3B20">
      <w:pPr>
        <w:contextualSpacing/>
        <w:jc w:val="both"/>
        <w:rPr>
          <w:rFonts w:ascii="Arial" w:hAnsi="Arial" w:cs="Arial"/>
          <w:kern w:val="2"/>
        </w:rPr>
      </w:pPr>
      <w:r w:rsidRPr="00C5015C">
        <w:rPr>
          <w:rFonts w:ascii="Arial" w:hAnsi="Arial" w:cs="Arial"/>
          <w:b/>
          <w:kern w:val="2"/>
        </w:rPr>
        <w:t>FITCH RATING</w:t>
      </w:r>
      <w:r w:rsidRPr="00C5015C">
        <w:rPr>
          <w:rFonts w:ascii="Arial" w:hAnsi="Arial" w:cs="Arial"/>
          <w:kern w:val="2"/>
        </w:rPr>
        <w:t xml:space="preserve"> (Agosto 18,2015).</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proofErr w:type="spellStart"/>
      <w:r w:rsidRPr="00C5015C">
        <w:rPr>
          <w:rFonts w:ascii="Arial" w:hAnsi="Arial" w:cs="Arial"/>
          <w:kern w:val="2"/>
        </w:rPr>
        <w:t>Fitch</w:t>
      </w:r>
      <w:proofErr w:type="spellEnd"/>
      <w:r w:rsidRPr="00C5015C">
        <w:rPr>
          <w:rFonts w:ascii="Arial" w:hAnsi="Arial" w:cs="Arial"/>
          <w:kern w:val="2"/>
        </w:rPr>
        <w:t>, otorga la calificación de ‘AAA (</w:t>
      </w:r>
      <w:proofErr w:type="spellStart"/>
      <w:r w:rsidRPr="00C5015C">
        <w:rPr>
          <w:rFonts w:ascii="Arial" w:hAnsi="Arial" w:cs="Arial"/>
          <w:kern w:val="2"/>
        </w:rPr>
        <w:t>mex</w:t>
      </w:r>
      <w:proofErr w:type="spellEnd"/>
      <w:proofErr w:type="gramStart"/>
      <w:r w:rsidRPr="00C5015C">
        <w:rPr>
          <w:rFonts w:ascii="Arial" w:hAnsi="Arial" w:cs="Arial"/>
          <w:kern w:val="2"/>
        </w:rPr>
        <w:t>)</w:t>
      </w:r>
      <w:proofErr w:type="spellStart"/>
      <w:r w:rsidRPr="00C5015C">
        <w:rPr>
          <w:rFonts w:ascii="Arial" w:hAnsi="Arial" w:cs="Arial"/>
          <w:kern w:val="2"/>
        </w:rPr>
        <w:t>vra</w:t>
      </w:r>
      <w:proofErr w:type="spellEnd"/>
      <w:proofErr w:type="gramEnd"/>
      <w:r w:rsidRPr="00C5015C">
        <w:rPr>
          <w:rFonts w:ascii="Arial" w:hAnsi="Arial" w:cs="Arial"/>
          <w:kern w:val="2"/>
        </w:rPr>
        <w:t xml:space="preserve"> a la emisión de Certificados Bursátiles OAXACA 13. Los factores que atribuyen a estos títulos de deuda son: la Estructura Legal y Financiera, la documentación presenta una sólida estructura jurídica -financiera, su Fuente de Pago garantizado con ingresos de FAFEF y del Fondo General de Participaciones, la calificación del Estado de Oaxaca, Bono Cupón Cero con el objetivo de principal es liquidar la última amortización y fortalecer la estructura ante la falta de liquidez, Márgenes de Seguridad y Mecanismos que Robustecen la Estructura Financiera ya durante la vigencia de la emisión se acordó una tasa de interés fija.</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ESTANDARD &amp; POOR’S</w:t>
      </w:r>
      <w:r w:rsidRPr="00C5015C">
        <w:rPr>
          <w:rFonts w:ascii="Arial" w:hAnsi="Arial" w:cs="Arial"/>
          <w:kern w:val="2"/>
        </w:rPr>
        <w:t xml:space="preserve">. (Septiembre 24, 2015). </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 xml:space="preserve">Standard </w:t>
      </w:r>
      <w:proofErr w:type="spellStart"/>
      <w:r w:rsidRPr="00C5015C">
        <w:rPr>
          <w:rFonts w:ascii="Arial" w:hAnsi="Arial" w:cs="Arial"/>
          <w:kern w:val="2"/>
        </w:rPr>
        <w:t>Poor’s</w:t>
      </w:r>
      <w:proofErr w:type="spellEnd"/>
      <w:r w:rsidRPr="00C5015C">
        <w:rPr>
          <w:rFonts w:ascii="Arial" w:hAnsi="Arial" w:cs="Arial"/>
          <w:kern w:val="2"/>
        </w:rPr>
        <w:t xml:space="preserve"> confirma calificación de ‘</w:t>
      </w:r>
      <w:proofErr w:type="spellStart"/>
      <w:r w:rsidRPr="00C5015C">
        <w:rPr>
          <w:rFonts w:ascii="Arial" w:hAnsi="Arial" w:cs="Arial"/>
          <w:kern w:val="2"/>
        </w:rPr>
        <w:t>mxAAA</w:t>
      </w:r>
      <w:proofErr w:type="spellEnd"/>
      <w:r w:rsidRPr="00C5015C">
        <w:rPr>
          <w:rFonts w:ascii="Arial" w:hAnsi="Arial" w:cs="Arial"/>
          <w:kern w:val="2"/>
        </w:rPr>
        <w:t>’ de la emisión de certificados bursátiles OAXACA 13.</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La ratificación de la calificación se sustenta en desempeño de la transacción desde la emisión en diciembre de 2013, como la calificación de riesgo crediticio del Estado de Oaxaca. Así mismo, la calificación de estrés sobre la proyección de los flujos destinado a su pago respaldados por el 12.77 % de los ingresos derivados del Fondo de Aportaciones para el Fortalecimiento de las Entidades Federativas (FAFEF).</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b/>
          <w:kern w:val="2"/>
        </w:rPr>
        <w:t>HR RATINGS</w:t>
      </w:r>
      <w:r w:rsidRPr="00C5015C">
        <w:rPr>
          <w:rFonts w:ascii="Arial" w:hAnsi="Arial" w:cs="Arial"/>
          <w:kern w:val="2"/>
        </w:rPr>
        <w:t xml:space="preserve"> (Noviembre 20, 2015).</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HR Ratings ratificó la calificación crediticia de “HR AAA (E)”, con Perspectiva Estable, a la Emisión de Certificados Bursátiles del Estado de Oaxaca, con clave de pizarra OAXACA 13.</w:t>
      </w:r>
    </w:p>
    <w:p w:rsidR="00CB3B20" w:rsidRPr="00C5015C" w:rsidRDefault="00CB3B20" w:rsidP="00CB3B20">
      <w:pPr>
        <w:contextualSpacing/>
        <w:jc w:val="both"/>
        <w:rPr>
          <w:rFonts w:ascii="Arial" w:hAnsi="Arial" w:cs="Arial"/>
          <w:kern w:val="2"/>
        </w:rPr>
      </w:pPr>
    </w:p>
    <w:p w:rsidR="00CB3B20" w:rsidRDefault="00CB3B20" w:rsidP="00CB3B20">
      <w:pPr>
        <w:contextualSpacing/>
        <w:jc w:val="both"/>
        <w:rPr>
          <w:rFonts w:ascii="Arial" w:hAnsi="Arial" w:cs="Arial"/>
          <w:kern w:val="2"/>
        </w:rPr>
      </w:pPr>
      <w:r w:rsidRPr="00C5015C">
        <w:rPr>
          <w:rFonts w:ascii="Arial" w:hAnsi="Arial" w:cs="Arial"/>
          <w:kern w:val="2"/>
        </w:rPr>
        <w:t>La ratificación de la calificación es el resultado del análisis de los flujos futuros de la Emisión bajo escenarios de estrés cíclico y crítico, arrojando una Tasa Objetivo de Estrés del 100 %  como se había observado el año anterior. Los recursos para el pago del mantenimiento de la emisión y las características cualitativas de la estructura  de la misma dieron como resultado dicha calificación. Además, es considerada la calificación crediticia soberana del Estado.</w:t>
      </w:r>
    </w:p>
    <w:p w:rsidR="00CB3B20" w:rsidRPr="00C5015C" w:rsidRDefault="00CB3B20" w:rsidP="00CB3B20">
      <w:pPr>
        <w:contextualSpacing/>
        <w:jc w:val="both"/>
        <w:rPr>
          <w:rFonts w:ascii="Arial" w:hAnsi="Arial" w:cs="Arial"/>
          <w:kern w:val="2"/>
        </w:rPr>
      </w:pPr>
    </w:p>
    <w:p w:rsidR="00CB3B20" w:rsidRPr="00C5015C" w:rsidRDefault="00CB3B20" w:rsidP="00CB3B20">
      <w:pPr>
        <w:contextualSpacing/>
        <w:jc w:val="both"/>
        <w:rPr>
          <w:rFonts w:ascii="Arial" w:hAnsi="Arial" w:cs="Arial"/>
          <w:kern w:val="2"/>
        </w:rPr>
      </w:pPr>
      <w:r w:rsidRPr="00C5015C">
        <w:rPr>
          <w:rFonts w:ascii="Arial" w:hAnsi="Arial" w:cs="Arial"/>
          <w:kern w:val="2"/>
        </w:rPr>
        <w:t>Se debe aclarar que la fuente primaria de pago de emisión es el 12.77 % del Fondo de Aportaciones para el Fomento de las Entidades Federativas y secundaria el 0.77 % del Fondo General de Participaciones.</w:t>
      </w:r>
    </w:p>
    <w:p w:rsidR="00762698" w:rsidRDefault="00762698">
      <w:pPr>
        <w:rPr>
          <w:rFonts w:ascii="Arial" w:hAnsi="Arial" w:cs="Arial"/>
          <w:kern w:val="2"/>
        </w:rPr>
      </w:pPr>
      <w:r>
        <w:rPr>
          <w:rFonts w:ascii="Arial" w:hAnsi="Arial" w:cs="Arial"/>
          <w:kern w:val="2"/>
        </w:rPr>
        <w:br w:type="page"/>
      </w:r>
    </w:p>
    <w:p w:rsidR="00EE5CF1" w:rsidRPr="000F7669" w:rsidRDefault="00EE5CF1" w:rsidP="00EE5CF1">
      <w:pPr>
        <w:spacing w:before="120" w:after="240"/>
        <w:contextualSpacing/>
        <w:jc w:val="both"/>
        <w:rPr>
          <w:rFonts w:ascii="Arial" w:hAnsi="Arial"/>
          <w:spacing w:val="20"/>
        </w:rPr>
      </w:pPr>
      <w:r w:rsidRPr="000F7669">
        <w:rPr>
          <w:rFonts w:ascii="Arial" w:hAnsi="Arial" w:cs="Arial"/>
          <w:b/>
          <w:bCs/>
          <w:color w:val="000000"/>
          <w:spacing w:val="20"/>
          <w:szCs w:val="23"/>
        </w:rPr>
        <w:lastRenderedPageBreak/>
        <w:t>4.- RESULTADO DE LAS OPERACIONES DERIVADAS DE LA APLICACIÓN DEL EJERCICIO DEL PRESUPUESTO DE EGRESOS Y CUMPLIMIENTO DE SUS PRINCIPALES OBJETIVOS.</w:t>
      </w:r>
    </w:p>
    <w:p w:rsidR="00EE5CF1" w:rsidRDefault="00EE5CF1" w:rsidP="00EE5CF1">
      <w:pPr>
        <w:spacing w:before="120" w:after="240"/>
        <w:contextualSpacing/>
        <w:jc w:val="both"/>
        <w:rPr>
          <w:rFonts w:ascii="Arial" w:hAnsi="Arial" w:cs="Arial"/>
          <w:b/>
          <w:bCs/>
          <w:color w:val="000000"/>
          <w:spacing w:val="20"/>
          <w:szCs w:val="23"/>
        </w:rPr>
      </w:pPr>
    </w:p>
    <w:p w:rsidR="00EE5CF1" w:rsidRPr="000F7669" w:rsidRDefault="00EE5CF1"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4.1.- POLÍTICA DE GASTO PÚBLICO</w:t>
      </w:r>
    </w:p>
    <w:p w:rsidR="00EE5CF1" w:rsidRDefault="00EE5CF1" w:rsidP="00EE5CF1">
      <w:pPr>
        <w:spacing w:before="120" w:after="240"/>
        <w:contextualSpacing/>
        <w:jc w:val="both"/>
        <w:rPr>
          <w:rFonts w:ascii="Arial" w:hAnsi="Arial" w:cs="Arial"/>
          <w:b/>
          <w:bCs/>
          <w:spacing w:val="20"/>
          <w:szCs w:val="23"/>
        </w:rPr>
      </w:pPr>
    </w:p>
    <w:p w:rsidR="00EE5CF1" w:rsidRDefault="00EE5CF1" w:rsidP="00EE5CF1">
      <w:pPr>
        <w:spacing w:before="120" w:after="240"/>
        <w:contextualSpacing/>
        <w:jc w:val="both"/>
        <w:rPr>
          <w:rFonts w:ascii="Arial" w:hAnsi="Arial" w:cs="Arial"/>
          <w:b/>
          <w:bCs/>
          <w:spacing w:val="20"/>
          <w:szCs w:val="23"/>
        </w:rPr>
      </w:pPr>
      <w:r>
        <w:rPr>
          <w:rFonts w:ascii="Arial" w:hAnsi="Arial" w:cs="Arial"/>
          <w:b/>
          <w:bCs/>
          <w:spacing w:val="20"/>
          <w:szCs w:val="23"/>
        </w:rPr>
        <w:t xml:space="preserve">4.1.1.- </w:t>
      </w:r>
      <w:r w:rsidR="00E91C2E" w:rsidRPr="000F7669">
        <w:rPr>
          <w:rFonts w:ascii="Arial" w:hAnsi="Arial" w:cs="Arial"/>
          <w:b/>
          <w:bCs/>
          <w:spacing w:val="20"/>
          <w:szCs w:val="23"/>
        </w:rPr>
        <w:t>ENTORNO MACROECONÓMIC</w:t>
      </w:r>
      <w:r w:rsidR="00B03FF7">
        <w:rPr>
          <w:rFonts w:ascii="Arial" w:hAnsi="Arial" w:cs="Arial"/>
          <w:b/>
          <w:bCs/>
          <w:spacing w:val="20"/>
          <w:szCs w:val="23"/>
        </w:rPr>
        <w:t>O</w:t>
      </w:r>
    </w:p>
    <w:p w:rsidR="00EE5CF1" w:rsidRPr="000F7669" w:rsidRDefault="00EE5CF1" w:rsidP="00EE5CF1">
      <w:pPr>
        <w:spacing w:before="120" w:after="240"/>
        <w:contextualSpacing/>
        <w:jc w:val="both"/>
        <w:rPr>
          <w:rFonts w:ascii="Arial" w:hAnsi="Arial"/>
          <w:spacing w:val="20"/>
        </w:rPr>
      </w:pPr>
    </w:p>
    <w:p w:rsidR="00EE5CF1" w:rsidRDefault="00EE5CF1" w:rsidP="00EE5CF1">
      <w:pPr>
        <w:spacing w:before="240"/>
        <w:contextualSpacing/>
        <w:jc w:val="both"/>
        <w:rPr>
          <w:rFonts w:ascii="Arial" w:hAnsi="Arial" w:cs="Arial"/>
          <w:spacing w:val="20"/>
          <w:szCs w:val="23"/>
        </w:rPr>
      </w:pPr>
      <w:r w:rsidRPr="000F7669">
        <w:rPr>
          <w:rFonts w:ascii="Arial" w:hAnsi="Arial" w:cs="Arial"/>
          <w:spacing w:val="20"/>
          <w:szCs w:val="23"/>
        </w:rPr>
        <w:t xml:space="preserve">La economía mexicana continua expandiéndose a una tasa anual moderada de crecimiento de 2.4% debido a que la recuperación económica perdió fuerza durante la primera mitad de 2015. El crecimiento moderado durante el primer semestre de 2015 en México se ha atribuido a la debilidad de la producción industrial en Estados Unidos, a una caída adicional del  volumen de la producción petrolera que reduce el crecimiento del PIB anual aproximadamente en 0.4 puntos porcentuales, y a la volatilidad del mercado financiero. Se espera que la recuperación gradual de la actividad económica continúe, con un crecimiento económico más fuerte de 2.3% </w:t>
      </w:r>
      <w:r w:rsidRPr="008D24A0">
        <w:rPr>
          <w:rFonts w:ascii="Arial" w:hAnsi="Arial" w:cs="Arial"/>
          <w:spacing w:val="20"/>
          <w:szCs w:val="23"/>
        </w:rPr>
        <w:t>en 201</w:t>
      </w:r>
      <w:r w:rsidR="008D24A0" w:rsidRPr="008D24A0">
        <w:rPr>
          <w:rFonts w:ascii="Arial" w:hAnsi="Arial" w:cs="Arial"/>
          <w:spacing w:val="20"/>
          <w:szCs w:val="23"/>
        </w:rPr>
        <w:t>6</w:t>
      </w:r>
      <w:r w:rsidRPr="000F7669">
        <w:rPr>
          <w:rFonts w:ascii="Arial" w:hAnsi="Arial" w:cs="Arial"/>
          <w:spacing w:val="20"/>
          <w:szCs w:val="23"/>
        </w:rPr>
        <w:t xml:space="preserve"> y de 3.0% en 2017. La expansión de la actividad económica se basará en el crecimiento de la inversión y del consumo privado, con un aumento de las exportaciones manufactureras que seguirá al significativo ajuste del tipo de cambio real y a un crecimiento robusto en Estados Unidos, que eventualmente proporcionará apoyo adicional.</w:t>
      </w:r>
    </w:p>
    <w:p w:rsidR="00EE5CF1" w:rsidRPr="000F7669" w:rsidRDefault="00EE5CF1" w:rsidP="00EE5CF1">
      <w:pPr>
        <w:spacing w:before="240"/>
        <w:contextualSpacing/>
        <w:jc w:val="both"/>
        <w:rPr>
          <w:rFonts w:ascii="Arial" w:hAnsi="Arial" w:cs="Arial"/>
          <w:spacing w:val="20"/>
          <w:szCs w:val="23"/>
        </w:rPr>
      </w:pPr>
    </w:p>
    <w:p w:rsidR="00EE5CF1" w:rsidRDefault="00EE5CF1" w:rsidP="00EE5CF1">
      <w:pPr>
        <w:spacing w:before="240"/>
        <w:contextualSpacing/>
        <w:jc w:val="both"/>
        <w:rPr>
          <w:rFonts w:ascii="Arial" w:hAnsi="Arial" w:cs="Arial"/>
          <w:spacing w:val="20"/>
          <w:szCs w:val="23"/>
        </w:rPr>
      </w:pPr>
      <w:r w:rsidRPr="000F7669">
        <w:rPr>
          <w:rFonts w:ascii="Arial" w:hAnsi="Arial" w:cs="Arial"/>
          <w:spacing w:val="20"/>
          <w:szCs w:val="23"/>
        </w:rPr>
        <w:t>Los ingresos del sector público mostraron un desempeño fuerte debido principalmente a un considerable aumento en los impuestos al ingreso, reflejando el impacto diferido de la reforma fiscal que mejora los ingresos. Los ingresos más altos y los impuestos al consumo de combustible</w:t>
      </w:r>
      <w:r w:rsidR="008D24A0">
        <w:rPr>
          <w:rFonts w:ascii="Arial" w:hAnsi="Arial" w:cs="Arial"/>
          <w:spacing w:val="20"/>
          <w:szCs w:val="23"/>
        </w:rPr>
        <w:t>,</w:t>
      </w:r>
      <w:r w:rsidRPr="000F7669">
        <w:rPr>
          <w:rFonts w:ascii="Arial" w:hAnsi="Arial" w:cs="Arial"/>
          <w:spacing w:val="20"/>
          <w:szCs w:val="23"/>
        </w:rPr>
        <w:t xml:space="preserve"> compensaron los ingresos petroleros del sector público más bajos derivados de una menor producción petrolera y de la caída del precio del barril. Anticipando que el precio del petróleo se mantendrá bajo por más tiempo, el Gobierno Federal está implementando políticas que reducen los gastos del sector público durante un período de dos años (2015-2016). A pesar de que los ingresos y el impuesto al consumo son más altos para mantener los planes fiscales de consolidación, el gobierno decidió responder a la baja de los ingresos petroleros reduciendo el gasto público en el 2015 y 2016 hasta en un 0.7 % del Producto Interno Bruto (PIB) cada año. Un compromiso fuerte con las finanzas públicas está en el centro de la respuesta de la política gubernamental ante los desafíos planteados por un ambiente externo cada vez más complicado, pese al posible impacto amortiguador en el ritmo del crecimiento económico.</w:t>
      </w:r>
    </w:p>
    <w:p w:rsidR="00EE5CF1" w:rsidRPr="000F7669" w:rsidRDefault="00EE5CF1" w:rsidP="00EE5CF1">
      <w:pPr>
        <w:spacing w:before="240"/>
        <w:contextualSpacing/>
        <w:jc w:val="both"/>
        <w:rPr>
          <w:rFonts w:ascii="Arial" w:hAnsi="Arial" w:cs="Arial"/>
          <w:spacing w:val="20"/>
          <w:szCs w:val="23"/>
        </w:rPr>
      </w:pPr>
    </w:p>
    <w:p w:rsidR="00EE5CF1" w:rsidRDefault="00EE5CF1" w:rsidP="00EE5CF1">
      <w:pPr>
        <w:spacing w:before="240"/>
        <w:contextualSpacing/>
        <w:jc w:val="both"/>
        <w:rPr>
          <w:rFonts w:ascii="Arial" w:hAnsi="Arial" w:cs="Arial"/>
          <w:spacing w:val="20"/>
          <w:szCs w:val="23"/>
        </w:rPr>
      </w:pPr>
      <w:r w:rsidRPr="000F7669">
        <w:rPr>
          <w:rFonts w:ascii="Arial" w:hAnsi="Arial" w:cs="Arial"/>
          <w:spacing w:val="20"/>
          <w:szCs w:val="23"/>
        </w:rPr>
        <w:t>La depreciación sustancial del peso mexicano frente al dólar estadounidense durante el año pasado</w:t>
      </w:r>
      <w:r w:rsidR="008D24A0">
        <w:rPr>
          <w:rFonts w:ascii="Arial" w:hAnsi="Arial" w:cs="Arial"/>
          <w:spacing w:val="20"/>
          <w:szCs w:val="23"/>
        </w:rPr>
        <w:t>,</w:t>
      </w:r>
      <w:r w:rsidRPr="000F7669">
        <w:rPr>
          <w:rFonts w:ascii="Arial" w:hAnsi="Arial" w:cs="Arial"/>
          <w:spacing w:val="20"/>
          <w:szCs w:val="23"/>
        </w:rPr>
        <w:t xml:space="preserve"> ha aumentado los precios y las preocupaciones sobre la estabilidad financiera relacionadas con las condiciones externas más apretadas y al temor de que el tipo de cambio nominal se dispare. La respuesta política ante los choques adversos que llevaron a la depreciación monetaria</w:t>
      </w:r>
      <w:r w:rsidR="008D24A0">
        <w:rPr>
          <w:rFonts w:ascii="Arial" w:hAnsi="Arial" w:cs="Arial"/>
          <w:spacing w:val="20"/>
          <w:szCs w:val="23"/>
        </w:rPr>
        <w:t>,</w:t>
      </w:r>
      <w:r w:rsidRPr="000F7669">
        <w:rPr>
          <w:rFonts w:ascii="Arial" w:hAnsi="Arial" w:cs="Arial"/>
          <w:spacing w:val="20"/>
          <w:szCs w:val="23"/>
        </w:rPr>
        <w:t xml:space="preserve"> tiene como objetivo mantener fundamentos macroeconómicos sólidos, así como lograr ajustes ordenados en los mercados financieros. Las autoridades ya realizaron intervenciones moderadas en el mercado de divisas para suavizar los movimientos del tipo de cambio y anunciaron planes para la consolidación fiscal, así como una política monetaria que tendrá en cuenta su posición relativa frente al tipo de cambio de Estados Unidos. Los efectos de la depreciación monetaria en los precios domésticos han sido limitados hasta ahora, ya que la inflación de los precios de consumo se mueve ligeramente por debajo del objetivo del 3%.</w:t>
      </w:r>
    </w:p>
    <w:p w:rsidR="00EE5CF1" w:rsidRPr="000F7669" w:rsidRDefault="00EE5CF1" w:rsidP="00EE5CF1">
      <w:pPr>
        <w:spacing w:before="240"/>
        <w:contextualSpacing/>
        <w:jc w:val="both"/>
        <w:rPr>
          <w:rFonts w:ascii="Arial" w:hAnsi="Arial" w:cs="Arial"/>
          <w:spacing w:val="20"/>
          <w:szCs w:val="23"/>
        </w:rPr>
      </w:pPr>
    </w:p>
    <w:p w:rsidR="00EE5CF1" w:rsidRDefault="00EE5CF1" w:rsidP="00EE5CF1">
      <w:pPr>
        <w:spacing w:before="240"/>
        <w:contextualSpacing/>
        <w:jc w:val="both"/>
        <w:rPr>
          <w:rFonts w:ascii="Arial" w:hAnsi="Arial" w:cs="Arial"/>
          <w:spacing w:val="20"/>
          <w:szCs w:val="23"/>
        </w:rPr>
      </w:pPr>
      <w:r w:rsidRPr="000F7669">
        <w:rPr>
          <w:rFonts w:ascii="Arial" w:hAnsi="Arial" w:cs="Arial"/>
          <w:spacing w:val="20"/>
          <w:szCs w:val="23"/>
        </w:rPr>
        <w:t>Un ambiente global complicado seguirá siendo una carga en las perspectivas de crecimiento económico de México. Las autoridades mexicanas ya han indicado su compromiso a través de una política fiscal apropiada y con el endurecimiento de la política monetaria para mantener la estabilidad macroeconómica.</w:t>
      </w:r>
      <w:r w:rsidRPr="000F7669">
        <w:rPr>
          <w:rStyle w:val="Refdenotaalpie"/>
          <w:rFonts w:ascii="Arial" w:hAnsi="Arial" w:cs="Arial"/>
          <w:spacing w:val="20"/>
          <w:szCs w:val="23"/>
        </w:rPr>
        <w:footnoteReference w:id="5"/>
      </w:r>
    </w:p>
    <w:p w:rsidR="00EE5CF1" w:rsidRPr="000F7669" w:rsidRDefault="00EE5CF1" w:rsidP="00EE5CF1">
      <w:pPr>
        <w:spacing w:before="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Perspectivas económicas de mediano plazo 2016-2020</w:t>
      </w:r>
    </w:p>
    <w:p w:rsidR="00EE5CF1" w:rsidRPr="000F7669" w:rsidRDefault="00EE5CF1" w:rsidP="00EE5CF1">
      <w:pPr>
        <w:spacing w:before="120" w:after="240"/>
        <w:contextualSpacing/>
        <w:jc w:val="both"/>
        <w:rPr>
          <w:rFonts w:ascii="Arial" w:hAnsi="Arial" w:cs="Arial"/>
          <w:b/>
          <w:bCs/>
          <w:spacing w:val="20"/>
          <w:szCs w:val="23"/>
        </w:rPr>
      </w:pPr>
    </w:p>
    <w:p w:rsidR="00EE5CF1" w:rsidRDefault="00EE5CF1" w:rsidP="00EE5CF1">
      <w:pPr>
        <w:spacing w:after="200"/>
        <w:contextualSpacing/>
        <w:jc w:val="both"/>
        <w:rPr>
          <w:rFonts w:ascii="Arial" w:hAnsi="Arial" w:cs="Arial"/>
          <w:spacing w:val="20"/>
          <w:szCs w:val="23"/>
        </w:rPr>
      </w:pPr>
      <w:r w:rsidRPr="000F7669">
        <w:rPr>
          <w:rFonts w:ascii="Arial" w:hAnsi="Arial" w:cs="Arial"/>
          <w:spacing w:val="20"/>
          <w:szCs w:val="23"/>
        </w:rPr>
        <w:t>El presente marco macroeconómico 2016-2020</w:t>
      </w:r>
      <w:r w:rsidR="008D24A0">
        <w:rPr>
          <w:rFonts w:ascii="Arial" w:hAnsi="Arial" w:cs="Arial"/>
          <w:spacing w:val="20"/>
          <w:szCs w:val="23"/>
        </w:rPr>
        <w:t>,</w:t>
      </w:r>
      <w:r w:rsidRPr="000F7669">
        <w:rPr>
          <w:rFonts w:ascii="Arial" w:hAnsi="Arial" w:cs="Arial"/>
          <w:spacing w:val="20"/>
          <w:szCs w:val="23"/>
        </w:rPr>
        <w:t xml:space="preserve"> contempla los efectos previstos sobre la estructura económica nacional de las reformas estructurales emprendidas por la administración federal. Incluye además indicadores internacionales que son independientes de las condiciones económicas del país.</w:t>
      </w:r>
      <w:r w:rsidRPr="000F7669" w:rsidDel="005315E1">
        <w:rPr>
          <w:rFonts w:ascii="Arial" w:hAnsi="Arial" w:cs="Arial"/>
          <w:spacing w:val="20"/>
          <w:szCs w:val="23"/>
        </w:rPr>
        <w:t xml:space="preserve"> </w:t>
      </w:r>
    </w:p>
    <w:p w:rsidR="00102F5D" w:rsidRPr="000F7669" w:rsidRDefault="00102F5D" w:rsidP="00EE5CF1">
      <w:pPr>
        <w:spacing w:after="200"/>
        <w:contextualSpacing/>
        <w:jc w:val="both"/>
        <w:rPr>
          <w:rFonts w:ascii="Arial" w:hAnsi="Arial" w:cs="Arial"/>
          <w:spacing w:val="20"/>
          <w:szCs w:val="23"/>
        </w:rPr>
      </w:pPr>
    </w:p>
    <w:p w:rsidR="00EE5CF1" w:rsidRDefault="00EE5CF1" w:rsidP="00EE5CF1">
      <w:pPr>
        <w:spacing w:after="200"/>
        <w:contextualSpacing/>
        <w:jc w:val="both"/>
        <w:rPr>
          <w:rFonts w:ascii="Arial" w:hAnsi="Arial" w:cs="Arial"/>
          <w:spacing w:val="20"/>
          <w:szCs w:val="23"/>
        </w:rPr>
      </w:pPr>
      <w:r w:rsidRPr="000F7669">
        <w:rPr>
          <w:rFonts w:ascii="Arial" w:hAnsi="Arial" w:cs="Arial"/>
          <w:spacing w:val="20"/>
          <w:szCs w:val="23"/>
        </w:rPr>
        <w:t xml:space="preserve">En relación con Estados Unidos, el Fondo Monetario Internacional (FMI) y expertos analistas opinan que su PIB crecerá 2.7 por ciento cada año hasta 2020, un ritmo de crecimiento mayor a su potencial, debido principalmente a la expansión de su demanda interna. En cuanto a su producción industrial, se estima que tenga un crecimiento promedio de 3.1 por ciento por año en el periodo. En relación con la inflación, ésta se ubicará en un nivel cercano al objetivo de 2 por ciento de la Reserva Federal. Por otro lado, el FMI prevé que los rendimientos de los bonos </w:t>
      </w:r>
      <w:r w:rsidRPr="000F7669">
        <w:rPr>
          <w:rFonts w:ascii="Arial" w:hAnsi="Arial" w:cs="Arial"/>
          <w:spacing w:val="20"/>
          <w:szCs w:val="23"/>
        </w:rPr>
        <w:lastRenderedPageBreak/>
        <w:t>del Tesoro de Estados Unidos a tres meses y diez años promediarán 2.6 y 4.7 por ciento, respectivamente.</w:t>
      </w:r>
    </w:p>
    <w:p w:rsidR="00EE5CF1" w:rsidRPr="000F7669" w:rsidRDefault="00EE5CF1" w:rsidP="00EE5CF1">
      <w:pPr>
        <w:spacing w:after="200"/>
        <w:contextualSpacing/>
        <w:jc w:val="both"/>
        <w:rPr>
          <w:rFonts w:ascii="Arial" w:hAnsi="Arial" w:cs="Arial"/>
          <w:spacing w:val="20"/>
          <w:szCs w:val="23"/>
        </w:rPr>
      </w:pPr>
    </w:p>
    <w:p w:rsidR="00EE5CF1" w:rsidRDefault="00EE5CF1" w:rsidP="00EE5CF1">
      <w:pPr>
        <w:spacing w:after="200"/>
        <w:contextualSpacing/>
        <w:jc w:val="both"/>
        <w:rPr>
          <w:rFonts w:ascii="Arial" w:hAnsi="Arial" w:cs="Arial"/>
          <w:spacing w:val="20"/>
          <w:szCs w:val="23"/>
        </w:rPr>
      </w:pPr>
      <w:r w:rsidRPr="000F7669">
        <w:rPr>
          <w:rFonts w:ascii="Arial" w:hAnsi="Arial" w:cs="Arial"/>
          <w:spacing w:val="20"/>
          <w:szCs w:val="23"/>
        </w:rPr>
        <w:t>En este contexto, se espera que la exportación de productos no petroleros tenga una expansión significativa a lo largo del periodo 2016-2020, aunque el ritmo podría irse moderando ligeramente en congruencia con la trayectoria esperada para la economía estadounidense.</w:t>
      </w:r>
    </w:p>
    <w:p w:rsidR="00EE5CF1" w:rsidRPr="000F7669" w:rsidRDefault="00EE5CF1" w:rsidP="00EE5CF1">
      <w:pPr>
        <w:spacing w:after="200"/>
        <w:contextualSpacing/>
        <w:jc w:val="both"/>
        <w:rPr>
          <w:rFonts w:ascii="Arial" w:hAnsi="Arial" w:cs="Arial"/>
          <w:spacing w:val="20"/>
          <w:szCs w:val="23"/>
        </w:rPr>
      </w:pPr>
      <w:r w:rsidRPr="000F7669">
        <w:rPr>
          <w:rFonts w:ascii="Arial" w:hAnsi="Arial" w:cs="Arial"/>
          <w:spacing w:val="20"/>
          <w:szCs w:val="23"/>
        </w:rPr>
        <w:t xml:space="preserve"> </w:t>
      </w:r>
    </w:p>
    <w:p w:rsidR="00EE5CF1" w:rsidRDefault="00EE5CF1" w:rsidP="00EE5CF1">
      <w:pPr>
        <w:spacing w:after="200"/>
        <w:contextualSpacing/>
        <w:jc w:val="both"/>
        <w:rPr>
          <w:rFonts w:ascii="Arial" w:hAnsi="Arial" w:cs="Arial"/>
          <w:spacing w:val="20"/>
          <w:szCs w:val="23"/>
        </w:rPr>
      </w:pPr>
      <w:r w:rsidRPr="000F7669">
        <w:rPr>
          <w:rFonts w:ascii="Arial" w:hAnsi="Arial" w:cs="Arial"/>
          <w:spacing w:val="20"/>
          <w:szCs w:val="23"/>
        </w:rPr>
        <w:t>Por otro lado, de acuerdo con las expectativas del gobierno federal, se espera que las exportaciones petroleras se aceleren como resultado de los efectos de la Reforma Energética. Asimismo, las estimaciones actuales indican que en el mediano plazo los componentes de la demanda interna registrarán un fortalecimiento continuo.</w:t>
      </w:r>
    </w:p>
    <w:p w:rsidR="00EE5CF1" w:rsidRPr="000F7669" w:rsidRDefault="00EE5CF1" w:rsidP="00EE5CF1">
      <w:pPr>
        <w:spacing w:after="200"/>
        <w:contextualSpacing/>
        <w:jc w:val="both"/>
        <w:rPr>
          <w:rFonts w:ascii="Arial" w:hAnsi="Arial" w:cs="Arial"/>
          <w:spacing w:val="20"/>
          <w:szCs w:val="23"/>
        </w:rPr>
      </w:pPr>
    </w:p>
    <w:p w:rsidR="00EE5CF1" w:rsidRDefault="00EE5CF1" w:rsidP="00EE5CF1">
      <w:pPr>
        <w:spacing w:after="200"/>
        <w:contextualSpacing/>
        <w:jc w:val="both"/>
        <w:rPr>
          <w:rFonts w:ascii="Arial" w:hAnsi="Arial" w:cs="Arial"/>
          <w:spacing w:val="20"/>
          <w:szCs w:val="23"/>
        </w:rPr>
      </w:pPr>
      <w:r w:rsidRPr="000F7669">
        <w:rPr>
          <w:rFonts w:ascii="Arial" w:hAnsi="Arial" w:cs="Arial"/>
          <w:spacing w:val="20"/>
          <w:szCs w:val="23"/>
        </w:rPr>
        <w:t>De acuerdo con las previsiones del gobierno federal, los crecimientos del gasto y del consumo estarán apuntalados por una continua creación de empleos, una recuperación significativa de los salarios reales, incrementos en el crédito a los hogares y empresas, y niveles robustos de inversión pública.</w:t>
      </w:r>
    </w:p>
    <w:p w:rsidR="00EE5CF1" w:rsidRPr="000F7669" w:rsidRDefault="00EE5CF1" w:rsidP="00EE5CF1">
      <w:pPr>
        <w:spacing w:after="200"/>
        <w:contextualSpacing/>
        <w:jc w:val="both"/>
        <w:rPr>
          <w:rFonts w:ascii="Arial" w:hAnsi="Arial" w:cs="Arial"/>
          <w:spacing w:val="20"/>
          <w:szCs w:val="23"/>
        </w:rPr>
      </w:pPr>
    </w:p>
    <w:p w:rsidR="00EE5CF1" w:rsidRDefault="00EE5CF1" w:rsidP="00EE5CF1">
      <w:pPr>
        <w:spacing w:after="200"/>
        <w:contextualSpacing/>
        <w:jc w:val="both"/>
        <w:rPr>
          <w:rFonts w:ascii="Arial" w:hAnsi="Arial" w:cs="Arial"/>
          <w:spacing w:val="20"/>
          <w:szCs w:val="23"/>
        </w:rPr>
      </w:pPr>
      <w:r w:rsidRPr="000F7669">
        <w:rPr>
          <w:rFonts w:ascii="Arial" w:hAnsi="Arial" w:cs="Arial"/>
          <w:spacing w:val="20"/>
          <w:szCs w:val="23"/>
        </w:rPr>
        <w:t>Se estima que durante el periodo 2016-2020</w:t>
      </w:r>
      <w:r w:rsidR="008D24A0">
        <w:rPr>
          <w:rFonts w:ascii="Arial" w:hAnsi="Arial" w:cs="Arial"/>
          <w:spacing w:val="20"/>
          <w:szCs w:val="23"/>
        </w:rPr>
        <w:t>,</w:t>
      </w:r>
      <w:r w:rsidRPr="000F7669">
        <w:rPr>
          <w:rFonts w:ascii="Arial" w:hAnsi="Arial" w:cs="Arial"/>
          <w:spacing w:val="20"/>
          <w:szCs w:val="23"/>
        </w:rPr>
        <w:t xml:space="preserve"> el PIB de México tenga un crecimiento anual promedio de 5.1 por ciento, sujeto a la evolución de las variables señaladas con anterioridad.</w:t>
      </w:r>
    </w:p>
    <w:p w:rsidR="00EE5CF1" w:rsidRPr="000F7669" w:rsidRDefault="00EE5CF1" w:rsidP="00EE5CF1">
      <w:pPr>
        <w:spacing w:after="200"/>
        <w:contextualSpacing/>
        <w:jc w:val="both"/>
        <w:rPr>
          <w:rFonts w:ascii="Arial" w:hAnsi="Arial" w:cs="Arial"/>
          <w:spacing w:val="20"/>
          <w:szCs w:val="23"/>
        </w:rPr>
      </w:pPr>
    </w:p>
    <w:p w:rsidR="00EE5CF1" w:rsidRPr="000F7669" w:rsidRDefault="00EE5CF1" w:rsidP="00EE5CF1">
      <w:pPr>
        <w:spacing w:after="200"/>
        <w:contextualSpacing/>
        <w:jc w:val="both"/>
        <w:rPr>
          <w:rFonts w:ascii="Arial" w:hAnsi="Arial" w:cs="Arial"/>
          <w:spacing w:val="20"/>
          <w:szCs w:val="23"/>
        </w:rPr>
      </w:pPr>
      <w:r w:rsidRPr="000F7669">
        <w:rPr>
          <w:rFonts w:ascii="Arial" w:hAnsi="Arial" w:cs="Arial"/>
          <w:spacing w:val="20"/>
          <w:szCs w:val="23"/>
        </w:rPr>
        <w:t>Por su parte, en el mediano plazo las importaciones de bienes y servicios tendrían un aumento anual promedio de 8.5 por ciento. Esto implica que durante este mismo periodo la oferta agregada registraría una expansión anual promedio de 6.0 por ciento.</w:t>
      </w:r>
    </w:p>
    <w:p w:rsidR="00EE5CF1" w:rsidRPr="000F7669" w:rsidRDefault="00EE5CF1" w:rsidP="00EE5CF1">
      <w:pPr>
        <w:spacing w:after="200"/>
        <w:contextualSpacing/>
        <w:jc w:val="both"/>
        <w:rPr>
          <w:rFonts w:ascii="Arial" w:eastAsiaTheme="minorEastAsia" w:hAnsi="Arial" w:cs="Arial"/>
          <w:lang w:val="es-MX" w:eastAsia="es-MX"/>
        </w:rPr>
      </w:pPr>
    </w:p>
    <w:tbl>
      <w:tblPr>
        <w:tblW w:w="3860" w:type="pct"/>
        <w:tblInd w:w="1346" w:type="dxa"/>
        <w:tblCellMar>
          <w:left w:w="70" w:type="dxa"/>
          <w:right w:w="70" w:type="dxa"/>
        </w:tblCellMar>
        <w:tblLook w:val="04A0"/>
      </w:tblPr>
      <w:tblGrid>
        <w:gridCol w:w="2979"/>
        <w:gridCol w:w="849"/>
        <w:gridCol w:w="636"/>
        <w:gridCol w:w="634"/>
        <w:gridCol w:w="661"/>
        <w:gridCol w:w="637"/>
        <w:gridCol w:w="634"/>
        <w:gridCol w:w="229"/>
      </w:tblGrid>
      <w:tr w:rsidR="00EE5CF1" w:rsidRPr="00EE5CF1" w:rsidTr="00EE5CF1">
        <w:trPr>
          <w:trHeight w:val="360"/>
        </w:trPr>
        <w:tc>
          <w:tcPr>
            <w:tcW w:w="4841" w:type="pct"/>
            <w:gridSpan w:val="7"/>
            <w:tcBorders>
              <w:top w:val="nil"/>
              <w:left w:val="nil"/>
              <w:bottom w:val="nil"/>
              <w:right w:val="nil"/>
            </w:tcBorders>
            <w:shd w:val="clear" w:color="000000" w:fill="FFFFFF"/>
            <w:noWrap/>
            <w:vAlign w:val="bottom"/>
            <w:hideMark/>
          </w:tcPr>
          <w:p w:rsidR="00EE5CF1" w:rsidRPr="00EE5CF1" w:rsidRDefault="00EE5CF1" w:rsidP="00EE5CF1">
            <w:pPr>
              <w:contextualSpacing/>
              <w:jc w:val="center"/>
              <w:rPr>
                <w:rFonts w:ascii="Arial" w:hAnsi="Arial"/>
                <w:b/>
                <w:bCs/>
                <w:sz w:val="18"/>
                <w:szCs w:val="18"/>
                <w:lang w:val="es-MX" w:eastAsia="es-MX"/>
              </w:rPr>
            </w:pPr>
            <w:r w:rsidRPr="00EE5CF1">
              <w:rPr>
                <w:rFonts w:ascii="Arial" w:hAnsi="Arial"/>
                <w:b/>
                <w:bCs/>
                <w:sz w:val="18"/>
                <w:szCs w:val="18"/>
                <w:lang w:val="es-MX" w:eastAsia="es-MX"/>
              </w:rPr>
              <w:t>MARCO MACROECONÓMICO 2015-2020</w:t>
            </w:r>
          </w:p>
        </w:tc>
        <w:tc>
          <w:tcPr>
            <w:tcW w:w="159" w:type="pct"/>
            <w:tcBorders>
              <w:top w:val="nil"/>
              <w:left w:val="nil"/>
              <w:bottom w:val="nil"/>
              <w:right w:val="nil"/>
            </w:tcBorders>
            <w:shd w:val="clear" w:color="000000" w:fill="FFFFFF"/>
            <w:noWrap/>
            <w:vAlign w:val="bottom"/>
            <w:hideMark/>
          </w:tcPr>
          <w:p w:rsidR="00EE5CF1" w:rsidRPr="00EE5CF1" w:rsidRDefault="00EE5CF1" w:rsidP="00EE5CF1">
            <w:pPr>
              <w:contextualSpacing/>
              <w:jc w:val="center"/>
              <w:rPr>
                <w:rFonts w:ascii="Arial" w:hAnsi="Arial"/>
                <w:sz w:val="18"/>
                <w:szCs w:val="18"/>
                <w:lang w:val="es-MX" w:eastAsia="es-MX"/>
              </w:rPr>
            </w:pPr>
          </w:p>
        </w:tc>
      </w:tr>
      <w:tr w:rsidR="00EE5CF1" w:rsidRPr="00EE5CF1" w:rsidTr="00EE5CF1">
        <w:trPr>
          <w:trHeight w:val="105"/>
        </w:trPr>
        <w:tc>
          <w:tcPr>
            <w:tcW w:w="2051"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 </w:t>
            </w:r>
          </w:p>
        </w:tc>
        <w:tc>
          <w:tcPr>
            <w:tcW w:w="58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 </w:t>
            </w:r>
          </w:p>
        </w:tc>
        <w:tc>
          <w:tcPr>
            <w:tcW w:w="438"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 </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 </w:t>
            </w:r>
          </w:p>
        </w:tc>
        <w:tc>
          <w:tcPr>
            <w:tcW w:w="45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 </w:t>
            </w:r>
          </w:p>
        </w:tc>
        <w:tc>
          <w:tcPr>
            <w:tcW w:w="439"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 </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 </w:t>
            </w:r>
          </w:p>
        </w:tc>
        <w:tc>
          <w:tcPr>
            <w:tcW w:w="159"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w:t>
            </w:r>
          </w:p>
        </w:tc>
      </w:tr>
      <w:tr w:rsidR="00EE5CF1" w:rsidRPr="00EE5CF1" w:rsidTr="00EE5CF1">
        <w:trPr>
          <w:trHeight w:val="315"/>
        </w:trPr>
        <w:tc>
          <w:tcPr>
            <w:tcW w:w="2051" w:type="pct"/>
            <w:tcBorders>
              <w:top w:val="nil"/>
              <w:left w:val="nil"/>
              <w:bottom w:val="single" w:sz="8" w:space="0" w:color="auto"/>
              <w:right w:val="nil"/>
            </w:tcBorders>
            <w:shd w:val="clear" w:color="000000" w:fill="FFFFFF"/>
            <w:noWrap/>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PIB</w:t>
            </w:r>
          </w:p>
        </w:tc>
        <w:tc>
          <w:tcPr>
            <w:tcW w:w="585" w:type="pct"/>
            <w:tcBorders>
              <w:top w:val="nil"/>
              <w:left w:val="nil"/>
              <w:bottom w:val="single" w:sz="8" w:space="0" w:color="auto"/>
              <w:right w:val="nil"/>
            </w:tcBorders>
            <w:shd w:val="clear" w:color="000000" w:fill="FFFFFF"/>
            <w:noWrap/>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2015</w:t>
            </w:r>
          </w:p>
        </w:tc>
        <w:tc>
          <w:tcPr>
            <w:tcW w:w="438" w:type="pct"/>
            <w:tcBorders>
              <w:top w:val="nil"/>
              <w:left w:val="nil"/>
              <w:bottom w:val="single" w:sz="8" w:space="0" w:color="auto"/>
              <w:right w:val="nil"/>
            </w:tcBorders>
            <w:shd w:val="clear" w:color="000000" w:fill="FFFFFF"/>
            <w:noWrap/>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2016</w:t>
            </w:r>
          </w:p>
        </w:tc>
        <w:tc>
          <w:tcPr>
            <w:tcW w:w="437" w:type="pct"/>
            <w:tcBorders>
              <w:top w:val="nil"/>
              <w:left w:val="nil"/>
              <w:bottom w:val="single" w:sz="8" w:space="0" w:color="auto"/>
              <w:right w:val="nil"/>
            </w:tcBorders>
            <w:shd w:val="clear" w:color="000000" w:fill="FFFFFF"/>
            <w:noWrap/>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2017</w:t>
            </w:r>
          </w:p>
        </w:tc>
        <w:tc>
          <w:tcPr>
            <w:tcW w:w="455" w:type="pct"/>
            <w:tcBorders>
              <w:top w:val="nil"/>
              <w:left w:val="nil"/>
              <w:bottom w:val="single" w:sz="8" w:space="0" w:color="auto"/>
              <w:right w:val="nil"/>
            </w:tcBorders>
            <w:shd w:val="clear" w:color="000000" w:fill="FFFFFF"/>
            <w:noWrap/>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2018</w:t>
            </w:r>
          </w:p>
        </w:tc>
        <w:tc>
          <w:tcPr>
            <w:tcW w:w="439" w:type="pct"/>
            <w:tcBorders>
              <w:top w:val="nil"/>
              <w:left w:val="nil"/>
              <w:bottom w:val="single" w:sz="8" w:space="0" w:color="auto"/>
              <w:right w:val="nil"/>
            </w:tcBorders>
            <w:shd w:val="clear" w:color="000000" w:fill="FFFFFF"/>
            <w:noWrap/>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2019</w:t>
            </w:r>
          </w:p>
        </w:tc>
        <w:tc>
          <w:tcPr>
            <w:tcW w:w="437" w:type="pct"/>
            <w:tcBorders>
              <w:top w:val="nil"/>
              <w:left w:val="nil"/>
              <w:bottom w:val="single" w:sz="8" w:space="0" w:color="auto"/>
              <w:right w:val="nil"/>
            </w:tcBorders>
            <w:shd w:val="clear" w:color="000000" w:fill="FFFFFF"/>
            <w:noWrap/>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2020</w:t>
            </w:r>
          </w:p>
        </w:tc>
        <w:tc>
          <w:tcPr>
            <w:tcW w:w="159"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w:t>
            </w:r>
          </w:p>
        </w:tc>
      </w:tr>
      <w:tr w:rsidR="00EE5CF1" w:rsidRPr="00EE5CF1" w:rsidTr="00EE5CF1">
        <w:trPr>
          <w:trHeight w:val="300"/>
        </w:trPr>
        <w:tc>
          <w:tcPr>
            <w:tcW w:w="2051"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xml:space="preserve">Var. real anual </w:t>
            </w:r>
          </w:p>
        </w:tc>
        <w:tc>
          <w:tcPr>
            <w:tcW w:w="58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3.7</w:t>
            </w:r>
          </w:p>
        </w:tc>
        <w:tc>
          <w:tcPr>
            <w:tcW w:w="438"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4.9</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5.2</w:t>
            </w:r>
          </w:p>
        </w:tc>
        <w:tc>
          <w:tcPr>
            <w:tcW w:w="45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5.2</w:t>
            </w:r>
          </w:p>
        </w:tc>
        <w:tc>
          <w:tcPr>
            <w:tcW w:w="439"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5.2</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5.2</w:t>
            </w:r>
          </w:p>
        </w:tc>
        <w:tc>
          <w:tcPr>
            <w:tcW w:w="159"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w:t>
            </w:r>
          </w:p>
        </w:tc>
      </w:tr>
      <w:tr w:rsidR="00EE5CF1" w:rsidRPr="00EE5CF1" w:rsidTr="00EE5CF1">
        <w:trPr>
          <w:trHeight w:val="300"/>
        </w:trPr>
        <w:tc>
          <w:tcPr>
            <w:tcW w:w="2051"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xml:space="preserve">Inflación </w:t>
            </w:r>
            <w:proofErr w:type="spellStart"/>
            <w:r w:rsidRPr="00EE5CF1">
              <w:rPr>
                <w:rFonts w:ascii="Arial" w:hAnsi="Arial"/>
                <w:sz w:val="18"/>
                <w:szCs w:val="18"/>
                <w:lang w:val="es-MX" w:eastAsia="es-MX"/>
              </w:rPr>
              <w:t>Dic</w:t>
            </w:r>
            <w:proofErr w:type="spellEnd"/>
            <w:r w:rsidRPr="00EE5CF1">
              <w:rPr>
                <w:rFonts w:ascii="Arial" w:hAnsi="Arial"/>
                <w:sz w:val="18"/>
                <w:szCs w:val="18"/>
                <w:lang w:val="es-MX" w:eastAsia="es-MX"/>
              </w:rPr>
              <w:t>/</w:t>
            </w:r>
            <w:proofErr w:type="spellStart"/>
            <w:r w:rsidRPr="00EE5CF1">
              <w:rPr>
                <w:rFonts w:ascii="Arial" w:hAnsi="Arial"/>
                <w:sz w:val="18"/>
                <w:szCs w:val="18"/>
                <w:lang w:val="es-MX" w:eastAsia="es-MX"/>
              </w:rPr>
              <w:t>dic</w:t>
            </w:r>
            <w:proofErr w:type="spellEnd"/>
            <w:r w:rsidRPr="00EE5CF1">
              <w:rPr>
                <w:rFonts w:ascii="Arial" w:hAnsi="Arial"/>
                <w:sz w:val="18"/>
                <w:szCs w:val="18"/>
                <w:lang w:val="es-MX" w:eastAsia="es-MX"/>
              </w:rPr>
              <w:t xml:space="preserve"> </w:t>
            </w:r>
          </w:p>
        </w:tc>
        <w:tc>
          <w:tcPr>
            <w:tcW w:w="58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438"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45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439"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159"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w:t>
            </w:r>
          </w:p>
        </w:tc>
      </w:tr>
      <w:tr w:rsidR="00EE5CF1" w:rsidRPr="00EE5CF1" w:rsidTr="00EE5CF1">
        <w:trPr>
          <w:trHeight w:val="300"/>
        </w:trPr>
        <w:tc>
          <w:tcPr>
            <w:tcW w:w="2051"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xml:space="preserve">Tasa de interés nominal promedio </w:t>
            </w:r>
          </w:p>
        </w:tc>
        <w:tc>
          <w:tcPr>
            <w:tcW w:w="58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3.3</w:t>
            </w:r>
          </w:p>
        </w:tc>
        <w:tc>
          <w:tcPr>
            <w:tcW w:w="438"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3.9</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4.5</w:t>
            </w:r>
          </w:p>
        </w:tc>
        <w:tc>
          <w:tcPr>
            <w:tcW w:w="45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5.0</w:t>
            </w:r>
          </w:p>
        </w:tc>
        <w:tc>
          <w:tcPr>
            <w:tcW w:w="439"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5.5</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5.9</w:t>
            </w:r>
          </w:p>
        </w:tc>
        <w:tc>
          <w:tcPr>
            <w:tcW w:w="159"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w:t>
            </w:r>
          </w:p>
        </w:tc>
      </w:tr>
      <w:tr w:rsidR="00EE5CF1" w:rsidRPr="00EE5CF1" w:rsidTr="00EE5CF1">
        <w:trPr>
          <w:trHeight w:val="300"/>
        </w:trPr>
        <w:tc>
          <w:tcPr>
            <w:tcW w:w="2051"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xml:space="preserve">Tasa de interés real acumulada </w:t>
            </w:r>
          </w:p>
        </w:tc>
        <w:tc>
          <w:tcPr>
            <w:tcW w:w="58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0.3</w:t>
            </w:r>
          </w:p>
        </w:tc>
        <w:tc>
          <w:tcPr>
            <w:tcW w:w="438"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0.9</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1.6</w:t>
            </w:r>
          </w:p>
        </w:tc>
        <w:tc>
          <w:tcPr>
            <w:tcW w:w="45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2.1</w:t>
            </w:r>
          </w:p>
        </w:tc>
        <w:tc>
          <w:tcPr>
            <w:tcW w:w="439"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2.6</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159"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w:t>
            </w:r>
          </w:p>
        </w:tc>
      </w:tr>
      <w:tr w:rsidR="00EE5CF1" w:rsidRPr="00EE5CF1" w:rsidTr="00EE5CF1">
        <w:trPr>
          <w:trHeight w:val="300"/>
        </w:trPr>
        <w:tc>
          <w:tcPr>
            <w:tcW w:w="2051"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xml:space="preserve">Cuenta Corriente % del PIB </w:t>
            </w:r>
          </w:p>
        </w:tc>
        <w:tc>
          <w:tcPr>
            <w:tcW w:w="58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-2.0</w:t>
            </w:r>
          </w:p>
        </w:tc>
        <w:tc>
          <w:tcPr>
            <w:tcW w:w="438"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-2.0</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-2.1</w:t>
            </w:r>
          </w:p>
        </w:tc>
        <w:tc>
          <w:tcPr>
            <w:tcW w:w="455"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-2.1</w:t>
            </w:r>
          </w:p>
        </w:tc>
        <w:tc>
          <w:tcPr>
            <w:tcW w:w="439"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-2.1</w:t>
            </w:r>
          </w:p>
        </w:tc>
        <w:tc>
          <w:tcPr>
            <w:tcW w:w="43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-2.0</w:t>
            </w:r>
          </w:p>
        </w:tc>
        <w:tc>
          <w:tcPr>
            <w:tcW w:w="159"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w:t>
            </w:r>
          </w:p>
        </w:tc>
      </w:tr>
    </w:tbl>
    <w:p w:rsidR="00EE5CF1" w:rsidRDefault="00EE5CF1"/>
    <w:p w:rsidR="00EE5CF1" w:rsidRDefault="00EE5CF1"/>
    <w:p w:rsidR="00EE5CF1" w:rsidRDefault="00EE5CF1"/>
    <w:p w:rsidR="00EE5CF1" w:rsidRDefault="00EE5CF1"/>
    <w:p w:rsidR="00EE5CF1" w:rsidRDefault="00EE5CF1"/>
    <w:p w:rsidR="00EE5CF1" w:rsidRDefault="00EE5CF1"/>
    <w:p w:rsidR="00EE5CF1" w:rsidRDefault="00EE5CF1"/>
    <w:tbl>
      <w:tblPr>
        <w:tblW w:w="4416" w:type="pct"/>
        <w:tblInd w:w="1063" w:type="dxa"/>
        <w:tblLayout w:type="fixed"/>
        <w:tblCellMar>
          <w:left w:w="70" w:type="dxa"/>
          <w:right w:w="70" w:type="dxa"/>
        </w:tblCellMar>
        <w:tblLook w:val="04A0"/>
      </w:tblPr>
      <w:tblGrid>
        <w:gridCol w:w="4399"/>
        <w:gridCol w:w="704"/>
        <w:gridCol w:w="568"/>
        <w:gridCol w:w="568"/>
        <w:gridCol w:w="709"/>
        <w:gridCol w:w="568"/>
        <w:gridCol w:w="565"/>
        <w:gridCol w:w="224"/>
      </w:tblGrid>
      <w:tr w:rsidR="00EE5CF1" w:rsidRPr="00EE5CF1" w:rsidTr="00EE5CF1">
        <w:trPr>
          <w:trHeight w:val="315"/>
        </w:trPr>
        <w:tc>
          <w:tcPr>
            <w:tcW w:w="2648" w:type="pct"/>
            <w:tcBorders>
              <w:top w:val="nil"/>
              <w:left w:val="nil"/>
              <w:bottom w:val="single" w:sz="8" w:space="0" w:color="auto"/>
              <w:right w:val="nil"/>
            </w:tcBorders>
            <w:shd w:val="clear" w:color="000000" w:fill="FFFFFF"/>
            <w:vAlign w:val="bottom"/>
            <w:hideMark/>
          </w:tcPr>
          <w:p w:rsidR="00EE5CF1" w:rsidRPr="00EE5CF1" w:rsidRDefault="00EE5CF1" w:rsidP="00EE5CF1">
            <w:pPr>
              <w:contextualSpacing/>
              <w:jc w:val="both"/>
              <w:rPr>
                <w:rFonts w:ascii="Arial" w:hAnsi="Arial"/>
                <w:b/>
                <w:bCs/>
                <w:sz w:val="18"/>
                <w:szCs w:val="18"/>
                <w:lang w:val="es-MX" w:eastAsia="es-MX"/>
              </w:rPr>
            </w:pPr>
            <w:r w:rsidRPr="00EE5CF1">
              <w:rPr>
                <w:rFonts w:ascii="Arial" w:hAnsi="Arial"/>
                <w:b/>
                <w:bCs/>
                <w:sz w:val="18"/>
                <w:szCs w:val="18"/>
                <w:lang w:val="es-MX" w:eastAsia="es-MX"/>
              </w:rPr>
              <w:t>Variables de apoyo, estimadas</w:t>
            </w:r>
          </w:p>
        </w:tc>
        <w:tc>
          <w:tcPr>
            <w:tcW w:w="424" w:type="pct"/>
            <w:tcBorders>
              <w:top w:val="nil"/>
              <w:left w:val="nil"/>
              <w:bottom w:val="single" w:sz="8" w:space="0" w:color="auto"/>
              <w:right w:val="nil"/>
            </w:tcBorders>
            <w:shd w:val="clear" w:color="000000" w:fill="FFFFFF"/>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2015</w:t>
            </w:r>
          </w:p>
        </w:tc>
        <w:tc>
          <w:tcPr>
            <w:tcW w:w="342" w:type="pct"/>
            <w:tcBorders>
              <w:top w:val="nil"/>
              <w:left w:val="nil"/>
              <w:bottom w:val="single" w:sz="8" w:space="0" w:color="auto"/>
              <w:right w:val="nil"/>
            </w:tcBorders>
            <w:shd w:val="clear" w:color="000000" w:fill="FFFFFF"/>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2016</w:t>
            </w:r>
          </w:p>
        </w:tc>
        <w:tc>
          <w:tcPr>
            <w:tcW w:w="342" w:type="pct"/>
            <w:tcBorders>
              <w:top w:val="nil"/>
              <w:left w:val="nil"/>
              <w:bottom w:val="single" w:sz="8" w:space="0" w:color="auto"/>
              <w:right w:val="nil"/>
            </w:tcBorders>
            <w:shd w:val="clear" w:color="000000" w:fill="FFFFFF"/>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2017</w:t>
            </w:r>
          </w:p>
        </w:tc>
        <w:tc>
          <w:tcPr>
            <w:tcW w:w="427" w:type="pct"/>
            <w:tcBorders>
              <w:top w:val="nil"/>
              <w:left w:val="nil"/>
              <w:bottom w:val="single" w:sz="8" w:space="0" w:color="auto"/>
              <w:right w:val="nil"/>
            </w:tcBorders>
            <w:shd w:val="clear" w:color="000000" w:fill="FFFFFF"/>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2018</w:t>
            </w:r>
          </w:p>
        </w:tc>
        <w:tc>
          <w:tcPr>
            <w:tcW w:w="342" w:type="pct"/>
            <w:tcBorders>
              <w:top w:val="nil"/>
              <w:left w:val="nil"/>
              <w:bottom w:val="single" w:sz="8" w:space="0" w:color="auto"/>
              <w:right w:val="nil"/>
            </w:tcBorders>
            <w:shd w:val="clear" w:color="000000" w:fill="FFFFFF"/>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2019</w:t>
            </w:r>
          </w:p>
        </w:tc>
        <w:tc>
          <w:tcPr>
            <w:tcW w:w="340" w:type="pct"/>
            <w:tcBorders>
              <w:top w:val="nil"/>
              <w:left w:val="nil"/>
              <w:bottom w:val="single" w:sz="8" w:space="0" w:color="auto"/>
              <w:right w:val="nil"/>
            </w:tcBorders>
            <w:shd w:val="clear" w:color="000000" w:fill="FFFFFF"/>
            <w:vAlign w:val="bottom"/>
            <w:hideMark/>
          </w:tcPr>
          <w:p w:rsidR="00EE5CF1" w:rsidRPr="00EE5CF1" w:rsidRDefault="00EE5CF1" w:rsidP="00EE5CF1">
            <w:pPr>
              <w:contextualSpacing/>
              <w:jc w:val="right"/>
              <w:rPr>
                <w:rFonts w:ascii="Arial" w:hAnsi="Arial"/>
                <w:b/>
                <w:bCs/>
                <w:sz w:val="18"/>
                <w:szCs w:val="18"/>
                <w:lang w:val="es-MX" w:eastAsia="es-MX"/>
              </w:rPr>
            </w:pPr>
            <w:r w:rsidRPr="00EE5CF1">
              <w:rPr>
                <w:rFonts w:ascii="Arial" w:hAnsi="Arial"/>
                <w:b/>
                <w:bCs/>
                <w:sz w:val="18"/>
                <w:szCs w:val="18"/>
                <w:lang w:val="es-MX" w:eastAsia="es-MX"/>
              </w:rPr>
              <w:t>2020</w:t>
            </w:r>
          </w:p>
        </w:tc>
        <w:tc>
          <w:tcPr>
            <w:tcW w:w="135" w:type="pct"/>
            <w:tcBorders>
              <w:top w:val="nil"/>
              <w:left w:val="nil"/>
              <w:bottom w:val="nil"/>
              <w:right w:val="nil"/>
            </w:tcBorders>
            <w:shd w:val="clear" w:color="000000" w:fill="FFFFFF"/>
            <w:vAlign w:val="bottom"/>
            <w:hideMark/>
          </w:tcPr>
          <w:p w:rsidR="00EE5CF1" w:rsidRPr="00EE5CF1" w:rsidRDefault="00EE5CF1" w:rsidP="00EE5CF1">
            <w:pPr>
              <w:contextualSpacing/>
              <w:jc w:val="both"/>
              <w:rPr>
                <w:rFonts w:ascii="Arial" w:hAnsi="Arial"/>
                <w:sz w:val="20"/>
                <w:szCs w:val="20"/>
                <w:lang w:val="es-MX" w:eastAsia="es-MX"/>
              </w:rPr>
            </w:pPr>
            <w:r w:rsidRPr="00EE5CF1">
              <w:rPr>
                <w:rFonts w:ascii="Arial" w:hAnsi="Arial"/>
                <w:sz w:val="20"/>
                <w:szCs w:val="20"/>
                <w:lang w:val="es-MX" w:eastAsia="es-MX"/>
              </w:rPr>
              <w:t> </w:t>
            </w:r>
          </w:p>
        </w:tc>
      </w:tr>
      <w:tr w:rsidR="00EE5CF1" w:rsidRPr="00EE5CF1" w:rsidTr="00EE5CF1">
        <w:trPr>
          <w:trHeight w:val="300"/>
        </w:trPr>
        <w:tc>
          <w:tcPr>
            <w:tcW w:w="2648"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xml:space="preserve">PIB de EUA (Var. real anual) </w:t>
            </w:r>
          </w:p>
        </w:tc>
        <w:tc>
          <w:tcPr>
            <w:tcW w:w="424"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2.9</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2.8</w:t>
            </w:r>
          </w:p>
        </w:tc>
        <w:tc>
          <w:tcPr>
            <w:tcW w:w="42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2.6</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2.5</w:t>
            </w:r>
          </w:p>
        </w:tc>
        <w:tc>
          <w:tcPr>
            <w:tcW w:w="340"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2.4</w:t>
            </w:r>
          </w:p>
        </w:tc>
        <w:tc>
          <w:tcPr>
            <w:tcW w:w="13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20"/>
                <w:szCs w:val="20"/>
                <w:lang w:val="es-MX" w:eastAsia="es-MX"/>
              </w:rPr>
            </w:pPr>
            <w:r w:rsidRPr="00EE5CF1">
              <w:rPr>
                <w:rFonts w:ascii="Arial" w:hAnsi="Arial"/>
                <w:sz w:val="20"/>
                <w:szCs w:val="20"/>
                <w:lang w:val="es-MX" w:eastAsia="es-MX"/>
              </w:rPr>
              <w:t> </w:t>
            </w:r>
          </w:p>
        </w:tc>
      </w:tr>
      <w:tr w:rsidR="00EE5CF1" w:rsidRPr="00EE5CF1" w:rsidTr="00EE5CF1">
        <w:trPr>
          <w:trHeight w:val="300"/>
        </w:trPr>
        <w:tc>
          <w:tcPr>
            <w:tcW w:w="2648"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proofErr w:type="spellStart"/>
            <w:r w:rsidRPr="00EE5CF1">
              <w:rPr>
                <w:rFonts w:ascii="Arial" w:hAnsi="Arial"/>
                <w:sz w:val="18"/>
                <w:szCs w:val="18"/>
                <w:lang w:val="es-MX" w:eastAsia="es-MX"/>
              </w:rPr>
              <w:t>Prod</w:t>
            </w:r>
            <w:proofErr w:type="spellEnd"/>
            <w:r w:rsidRPr="00EE5CF1">
              <w:rPr>
                <w:rFonts w:ascii="Arial" w:hAnsi="Arial"/>
                <w:sz w:val="18"/>
                <w:szCs w:val="18"/>
                <w:lang w:val="es-MX" w:eastAsia="es-MX"/>
              </w:rPr>
              <w:t xml:space="preserve">. Industrial de EUA (Var. % anual) </w:t>
            </w:r>
          </w:p>
        </w:tc>
        <w:tc>
          <w:tcPr>
            <w:tcW w:w="424"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3.7</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3.3</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3.2</w:t>
            </w:r>
          </w:p>
        </w:tc>
        <w:tc>
          <w:tcPr>
            <w:tcW w:w="42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2.9</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2.7</w:t>
            </w:r>
          </w:p>
        </w:tc>
        <w:tc>
          <w:tcPr>
            <w:tcW w:w="340"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2.7</w:t>
            </w:r>
          </w:p>
        </w:tc>
        <w:tc>
          <w:tcPr>
            <w:tcW w:w="13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20"/>
                <w:szCs w:val="20"/>
                <w:lang w:val="es-MX" w:eastAsia="es-MX"/>
              </w:rPr>
            </w:pPr>
            <w:r w:rsidRPr="00EE5CF1">
              <w:rPr>
                <w:rFonts w:ascii="Arial" w:hAnsi="Arial"/>
                <w:sz w:val="20"/>
                <w:szCs w:val="20"/>
                <w:lang w:val="es-MX" w:eastAsia="es-MX"/>
              </w:rPr>
              <w:t> </w:t>
            </w:r>
          </w:p>
        </w:tc>
      </w:tr>
      <w:tr w:rsidR="00EE5CF1" w:rsidRPr="00EE5CF1" w:rsidTr="00EE5CF1">
        <w:trPr>
          <w:trHeight w:val="300"/>
        </w:trPr>
        <w:tc>
          <w:tcPr>
            <w:tcW w:w="2648"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Inflación de EUA (Var. % anual)</w:t>
            </w:r>
          </w:p>
        </w:tc>
        <w:tc>
          <w:tcPr>
            <w:tcW w:w="424"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2.1</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2.2</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2.3</w:t>
            </w:r>
          </w:p>
        </w:tc>
        <w:tc>
          <w:tcPr>
            <w:tcW w:w="42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2.4</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2.3</w:t>
            </w:r>
          </w:p>
        </w:tc>
        <w:tc>
          <w:tcPr>
            <w:tcW w:w="340"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2.3</w:t>
            </w:r>
          </w:p>
        </w:tc>
        <w:tc>
          <w:tcPr>
            <w:tcW w:w="13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20"/>
                <w:szCs w:val="20"/>
                <w:lang w:val="es-MX" w:eastAsia="es-MX"/>
              </w:rPr>
            </w:pPr>
            <w:r w:rsidRPr="00EE5CF1">
              <w:rPr>
                <w:rFonts w:ascii="Arial" w:hAnsi="Arial"/>
                <w:sz w:val="20"/>
                <w:szCs w:val="20"/>
                <w:lang w:val="es-MX" w:eastAsia="es-MX"/>
              </w:rPr>
              <w:t> </w:t>
            </w:r>
          </w:p>
        </w:tc>
      </w:tr>
      <w:tr w:rsidR="00EE5CF1" w:rsidRPr="00EE5CF1" w:rsidTr="00EE5CF1">
        <w:trPr>
          <w:trHeight w:val="300"/>
        </w:trPr>
        <w:tc>
          <w:tcPr>
            <w:tcW w:w="2648"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xml:space="preserve">Tasa de interés, bonos del tesoro de EUA (3 meses) </w:t>
            </w:r>
          </w:p>
        </w:tc>
        <w:tc>
          <w:tcPr>
            <w:tcW w:w="424"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0.5</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2.2</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2.9</w:t>
            </w:r>
          </w:p>
        </w:tc>
        <w:tc>
          <w:tcPr>
            <w:tcW w:w="42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340"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3.0</w:t>
            </w:r>
          </w:p>
        </w:tc>
        <w:tc>
          <w:tcPr>
            <w:tcW w:w="13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20"/>
                <w:szCs w:val="20"/>
                <w:lang w:val="es-MX" w:eastAsia="es-MX"/>
              </w:rPr>
            </w:pPr>
            <w:r w:rsidRPr="00EE5CF1">
              <w:rPr>
                <w:rFonts w:ascii="Arial" w:hAnsi="Arial"/>
                <w:sz w:val="20"/>
                <w:szCs w:val="20"/>
                <w:lang w:val="es-MX" w:eastAsia="es-MX"/>
              </w:rPr>
              <w:t> </w:t>
            </w:r>
          </w:p>
        </w:tc>
      </w:tr>
      <w:tr w:rsidR="00EE5CF1" w:rsidRPr="00EE5CF1" w:rsidTr="00EE5CF1">
        <w:trPr>
          <w:trHeight w:val="300"/>
        </w:trPr>
        <w:tc>
          <w:tcPr>
            <w:tcW w:w="2648"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Tasa de interés, bonos del tesoro de EUA (10 años)</w:t>
            </w:r>
          </w:p>
        </w:tc>
        <w:tc>
          <w:tcPr>
            <w:tcW w:w="424"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3.4</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4.6</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4.9</w:t>
            </w:r>
          </w:p>
        </w:tc>
        <w:tc>
          <w:tcPr>
            <w:tcW w:w="42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5.0</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5.0</w:t>
            </w:r>
          </w:p>
        </w:tc>
        <w:tc>
          <w:tcPr>
            <w:tcW w:w="340"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5.0</w:t>
            </w:r>
          </w:p>
        </w:tc>
        <w:tc>
          <w:tcPr>
            <w:tcW w:w="13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20"/>
                <w:szCs w:val="20"/>
                <w:lang w:val="es-MX" w:eastAsia="es-MX"/>
              </w:rPr>
            </w:pPr>
            <w:r w:rsidRPr="00EE5CF1">
              <w:rPr>
                <w:rFonts w:ascii="Arial" w:hAnsi="Arial"/>
                <w:sz w:val="20"/>
                <w:szCs w:val="20"/>
                <w:lang w:val="es-MX" w:eastAsia="es-MX"/>
              </w:rPr>
              <w:t> </w:t>
            </w:r>
          </w:p>
        </w:tc>
      </w:tr>
      <w:tr w:rsidR="00EE5CF1" w:rsidRPr="00EE5CF1" w:rsidTr="00EE5CF1">
        <w:trPr>
          <w:trHeight w:val="300"/>
        </w:trPr>
        <w:tc>
          <w:tcPr>
            <w:tcW w:w="2648"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Tasa Libor 3 meses (promedio)</w:t>
            </w:r>
          </w:p>
        </w:tc>
        <w:tc>
          <w:tcPr>
            <w:tcW w:w="424"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0.7</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1.6</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2.4</w:t>
            </w:r>
          </w:p>
        </w:tc>
        <w:tc>
          <w:tcPr>
            <w:tcW w:w="427"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2.9</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3.3</w:t>
            </w:r>
          </w:p>
        </w:tc>
        <w:tc>
          <w:tcPr>
            <w:tcW w:w="340" w:type="pct"/>
            <w:tcBorders>
              <w:top w:val="nil"/>
              <w:left w:val="nil"/>
              <w:bottom w:val="nil"/>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3.5</w:t>
            </w:r>
          </w:p>
        </w:tc>
        <w:tc>
          <w:tcPr>
            <w:tcW w:w="13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20"/>
                <w:szCs w:val="20"/>
                <w:lang w:val="es-MX" w:eastAsia="es-MX"/>
              </w:rPr>
            </w:pPr>
            <w:r w:rsidRPr="00EE5CF1">
              <w:rPr>
                <w:rFonts w:ascii="Arial" w:hAnsi="Arial"/>
                <w:sz w:val="20"/>
                <w:szCs w:val="20"/>
                <w:lang w:val="es-MX" w:eastAsia="es-MX"/>
              </w:rPr>
              <w:t> </w:t>
            </w:r>
          </w:p>
        </w:tc>
      </w:tr>
      <w:tr w:rsidR="00EE5CF1" w:rsidRPr="00EE5CF1" w:rsidTr="00EE5CF1">
        <w:trPr>
          <w:trHeight w:val="300"/>
        </w:trPr>
        <w:tc>
          <w:tcPr>
            <w:tcW w:w="2648" w:type="pct"/>
            <w:tcBorders>
              <w:top w:val="nil"/>
              <w:left w:val="nil"/>
              <w:bottom w:val="single" w:sz="4" w:space="0" w:color="auto"/>
              <w:right w:val="nil"/>
            </w:tcBorders>
            <w:shd w:val="clear" w:color="000000" w:fill="FFFFFF"/>
            <w:noWrap/>
            <w:vAlign w:val="bottom"/>
            <w:hideMark/>
          </w:tcPr>
          <w:p w:rsidR="00EE5CF1" w:rsidRPr="00EE5CF1" w:rsidRDefault="00EE5CF1" w:rsidP="00EE5CF1">
            <w:pPr>
              <w:contextualSpacing/>
              <w:jc w:val="both"/>
              <w:rPr>
                <w:rFonts w:ascii="Arial" w:hAnsi="Arial"/>
                <w:sz w:val="18"/>
                <w:szCs w:val="18"/>
                <w:lang w:val="es-MX" w:eastAsia="es-MX"/>
              </w:rPr>
            </w:pPr>
            <w:r w:rsidRPr="00EE5CF1">
              <w:rPr>
                <w:rFonts w:ascii="Arial" w:hAnsi="Arial"/>
                <w:sz w:val="18"/>
                <w:szCs w:val="18"/>
                <w:lang w:val="es-MX" w:eastAsia="es-MX"/>
              </w:rPr>
              <w:t xml:space="preserve">Precio del petróleo (dls./barril)*/ </w:t>
            </w:r>
          </w:p>
        </w:tc>
        <w:tc>
          <w:tcPr>
            <w:tcW w:w="424" w:type="pct"/>
            <w:tcBorders>
              <w:top w:val="nil"/>
              <w:left w:val="nil"/>
              <w:bottom w:val="single" w:sz="4" w:space="0" w:color="auto"/>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79</w:t>
            </w:r>
          </w:p>
        </w:tc>
        <w:tc>
          <w:tcPr>
            <w:tcW w:w="342" w:type="pct"/>
            <w:tcBorders>
              <w:top w:val="nil"/>
              <w:left w:val="nil"/>
              <w:bottom w:val="single" w:sz="4" w:space="0" w:color="auto"/>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88</w:t>
            </w:r>
          </w:p>
        </w:tc>
        <w:tc>
          <w:tcPr>
            <w:tcW w:w="342" w:type="pct"/>
            <w:tcBorders>
              <w:top w:val="nil"/>
              <w:left w:val="nil"/>
              <w:bottom w:val="single" w:sz="4" w:space="0" w:color="auto"/>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88</w:t>
            </w:r>
          </w:p>
        </w:tc>
        <w:tc>
          <w:tcPr>
            <w:tcW w:w="427" w:type="pct"/>
            <w:tcBorders>
              <w:top w:val="nil"/>
              <w:left w:val="nil"/>
              <w:bottom w:val="single" w:sz="4" w:space="0" w:color="auto"/>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88</w:t>
            </w:r>
          </w:p>
        </w:tc>
        <w:tc>
          <w:tcPr>
            <w:tcW w:w="342" w:type="pct"/>
            <w:tcBorders>
              <w:top w:val="nil"/>
              <w:left w:val="nil"/>
              <w:bottom w:val="single" w:sz="4" w:space="0" w:color="auto"/>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88</w:t>
            </w:r>
          </w:p>
        </w:tc>
        <w:tc>
          <w:tcPr>
            <w:tcW w:w="340" w:type="pct"/>
            <w:tcBorders>
              <w:top w:val="nil"/>
              <w:left w:val="nil"/>
              <w:bottom w:val="single" w:sz="4" w:space="0" w:color="auto"/>
              <w:right w:val="nil"/>
            </w:tcBorders>
            <w:shd w:val="clear" w:color="000000" w:fill="FFFFFF"/>
            <w:noWrap/>
            <w:vAlign w:val="bottom"/>
            <w:hideMark/>
          </w:tcPr>
          <w:p w:rsidR="00EE5CF1" w:rsidRPr="00EE5CF1" w:rsidRDefault="00EE5CF1" w:rsidP="00EE5CF1">
            <w:pPr>
              <w:contextualSpacing/>
              <w:jc w:val="right"/>
              <w:rPr>
                <w:rFonts w:ascii="Arial" w:hAnsi="Arial"/>
                <w:sz w:val="18"/>
                <w:szCs w:val="18"/>
                <w:lang w:val="es-MX" w:eastAsia="es-MX"/>
              </w:rPr>
            </w:pPr>
            <w:r w:rsidRPr="00EE5CF1">
              <w:rPr>
                <w:rFonts w:ascii="Arial" w:hAnsi="Arial"/>
                <w:sz w:val="18"/>
                <w:szCs w:val="18"/>
                <w:lang w:val="es-MX" w:eastAsia="es-MX"/>
              </w:rPr>
              <w:t>88</w:t>
            </w:r>
          </w:p>
        </w:tc>
        <w:tc>
          <w:tcPr>
            <w:tcW w:w="135" w:type="pct"/>
            <w:tcBorders>
              <w:top w:val="nil"/>
              <w:left w:val="nil"/>
              <w:bottom w:val="nil"/>
              <w:right w:val="nil"/>
            </w:tcBorders>
            <w:shd w:val="clear" w:color="000000" w:fill="FFFFFF"/>
            <w:noWrap/>
            <w:vAlign w:val="bottom"/>
            <w:hideMark/>
          </w:tcPr>
          <w:p w:rsidR="00EE5CF1" w:rsidRPr="00EE5CF1" w:rsidRDefault="00EE5CF1" w:rsidP="00EE5CF1">
            <w:pPr>
              <w:contextualSpacing/>
              <w:jc w:val="both"/>
              <w:rPr>
                <w:rFonts w:ascii="Arial" w:hAnsi="Arial"/>
                <w:sz w:val="20"/>
                <w:szCs w:val="20"/>
                <w:lang w:val="es-MX" w:eastAsia="es-MX"/>
              </w:rPr>
            </w:pPr>
            <w:r w:rsidRPr="00EE5CF1">
              <w:rPr>
                <w:rFonts w:ascii="Arial" w:hAnsi="Arial"/>
                <w:sz w:val="20"/>
                <w:szCs w:val="20"/>
                <w:lang w:val="es-MX" w:eastAsia="es-MX"/>
              </w:rPr>
              <w:t> </w:t>
            </w:r>
          </w:p>
        </w:tc>
      </w:tr>
      <w:tr w:rsidR="00EE5CF1" w:rsidRPr="00EE5CF1" w:rsidTr="00EE5CF1">
        <w:trPr>
          <w:trHeight w:val="120"/>
        </w:trPr>
        <w:tc>
          <w:tcPr>
            <w:tcW w:w="2648" w:type="pct"/>
            <w:tcBorders>
              <w:top w:val="nil"/>
              <w:left w:val="nil"/>
              <w:bottom w:val="nil"/>
              <w:right w:val="nil"/>
            </w:tcBorders>
            <w:shd w:val="clear" w:color="auto" w:fill="auto"/>
            <w:noWrap/>
            <w:vAlign w:val="bottom"/>
          </w:tcPr>
          <w:p w:rsidR="00EE5CF1" w:rsidRPr="00EE5CF1" w:rsidRDefault="009B1A50" w:rsidP="00EE5CF1">
            <w:pPr>
              <w:spacing w:after="200"/>
              <w:contextualSpacing/>
              <w:jc w:val="both"/>
              <w:rPr>
                <w:rFonts w:ascii="Arial" w:hAnsi="Arial"/>
                <w:sz w:val="20"/>
                <w:szCs w:val="20"/>
                <w:lang w:val="es-MX" w:eastAsia="es-MX"/>
              </w:rPr>
            </w:pPr>
            <w:r w:rsidRPr="009B1A50">
              <w:rPr>
                <w:rFonts w:ascii="Arial" w:eastAsiaTheme="minorEastAsia" w:hAnsi="Arial" w:cstheme="minorBidi"/>
                <w:noProof/>
                <w:sz w:val="20"/>
                <w:szCs w:val="20"/>
                <w:lang w:val="es-MX" w:eastAsia="es-MX"/>
              </w:rPr>
              <w:pict>
                <v:group id="3 Grupo" o:spid="_x0000_s1084" style="position:absolute;left:0;text-align:left;margin-left:-7.05pt;margin-top:-.45pt;width:459.75pt;height:31.5pt;z-index:251808256;mso-position-horizontal-relative:text;mso-position-vertical-relative:text" coordsize="5838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">
                  <v:shape id="_x0000_s1085" type="#_x0000_t202" style="position:absolute;width:58388;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style="mso-next-textbox:#_x0000_s1085">
                      <w:txbxContent>
                        <w:p w:rsidR="00AD6037" w:rsidRPr="00EE5CF1" w:rsidRDefault="00AD6037" w:rsidP="00EE5CF1">
                          <w:pPr>
                            <w:rPr>
                              <w:sz w:val="16"/>
                              <w:szCs w:val="16"/>
                            </w:rPr>
                          </w:pPr>
                          <w:r w:rsidRPr="00EE5CF1">
                            <w:rPr>
                              <w:sz w:val="16"/>
                              <w:szCs w:val="16"/>
                            </w:rPr>
                            <w:t>Fuente: SHCP, Criterios Generales de Política Económica 2015.</w:t>
                          </w:r>
                        </w:p>
                        <w:p w:rsidR="00AD6037" w:rsidRPr="00EE5CF1" w:rsidRDefault="00AD6037" w:rsidP="00EE5CF1">
                          <w:pPr>
                            <w:rPr>
                              <w:sz w:val="16"/>
                              <w:szCs w:val="16"/>
                            </w:rPr>
                          </w:pPr>
                        </w:p>
                      </w:txbxContent>
                    </v:textbox>
                  </v:shape>
                  <v:shape id="_x0000_s1086" type="#_x0000_t202" style="position:absolute;top:1428;width:58388;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style="mso-next-textbox:#_x0000_s1086">
                      <w:txbxContent>
                        <w:p w:rsidR="00AD6037" w:rsidRPr="00EE5CF1" w:rsidRDefault="00AD6037" w:rsidP="00EE5CF1">
                          <w:pPr>
                            <w:rPr>
                              <w:sz w:val="16"/>
                              <w:szCs w:val="16"/>
                            </w:rPr>
                          </w:pPr>
                          <w:r w:rsidRPr="00EE5CF1">
                            <w:rPr>
                              <w:sz w:val="16"/>
                              <w:szCs w:val="16"/>
                            </w:rPr>
                            <w:t>*/ El precio del petróleo se calcula de acuerdo a la fórmula establecida en la LFPRH.</w:t>
                          </w:r>
                        </w:p>
                      </w:txbxContent>
                    </v:textbox>
                  </v:shape>
                </v:group>
              </w:pict>
            </w:r>
          </w:p>
        </w:tc>
        <w:tc>
          <w:tcPr>
            <w:tcW w:w="424" w:type="pct"/>
            <w:tcBorders>
              <w:top w:val="nil"/>
              <w:left w:val="nil"/>
              <w:bottom w:val="nil"/>
              <w:right w:val="nil"/>
            </w:tcBorders>
            <w:shd w:val="clear" w:color="000000" w:fill="FFFFFF"/>
            <w:noWrap/>
            <w:vAlign w:val="bottom"/>
            <w:hideMark/>
          </w:tcPr>
          <w:p w:rsidR="00EE5CF1" w:rsidRPr="00EE5CF1" w:rsidRDefault="00EE5CF1" w:rsidP="00EE5CF1">
            <w:pPr>
              <w:spacing w:after="200"/>
              <w:contextualSpacing/>
              <w:jc w:val="both"/>
              <w:rPr>
                <w:rFonts w:ascii="Arial" w:hAnsi="Arial"/>
                <w:sz w:val="20"/>
                <w:szCs w:val="20"/>
                <w:lang w:val="es-MX" w:eastAsia="es-MX"/>
              </w:rPr>
            </w:pPr>
            <w:r w:rsidRPr="00EE5CF1">
              <w:rPr>
                <w:rFonts w:ascii="Arial" w:hAnsi="Arial"/>
                <w:sz w:val="20"/>
                <w:szCs w:val="20"/>
                <w:lang w:val="es-MX" w:eastAsia="es-MX"/>
              </w:rPr>
              <w:t> </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spacing w:after="200"/>
              <w:contextualSpacing/>
              <w:jc w:val="both"/>
              <w:rPr>
                <w:rFonts w:ascii="Arial" w:hAnsi="Arial"/>
                <w:sz w:val="20"/>
                <w:szCs w:val="20"/>
                <w:lang w:val="es-MX" w:eastAsia="es-MX"/>
              </w:rPr>
            </w:pPr>
            <w:r w:rsidRPr="00EE5CF1">
              <w:rPr>
                <w:rFonts w:ascii="Arial" w:hAnsi="Arial"/>
                <w:sz w:val="20"/>
                <w:szCs w:val="20"/>
                <w:lang w:val="es-MX" w:eastAsia="es-MX"/>
              </w:rPr>
              <w:t> </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spacing w:after="200"/>
              <w:contextualSpacing/>
              <w:jc w:val="both"/>
              <w:rPr>
                <w:rFonts w:ascii="Arial" w:hAnsi="Arial"/>
                <w:sz w:val="20"/>
                <w:szCs w:val="20"/>
                <w:lang w:val="es-MX" w:eastAsia="es-MX"/>
              </w:rPr>
            </w:pPr>
            <w:r w:rsidRPr="00EE5CF1">
              <w:rPr>
                <w:rFonts w:ascii="Arial" w:hAnsi="Arial"/>
                <w:sz w:val="20"/>
                <w:szCs w:val="20"/>
                <w:lang w:val="es-MX" w:eastAsia="es-MX"/>
              </w:rPr>
              <w:t> </w:t>
            </w:r>
          </w:p>
        </w:tc>
        <w:tc>
          <w:tcPr>
            <w:tcW w:w="427" w:type="pct"/>
            <w:tcBorders>
              <w:top w:val="nil"/>
              <w:left w:val="nil"/>
              <w:bottom w:val="nil"/>
              <w:right w:val="nil"/>
            </w:tcBorders>
            <w:shd w:val="clear" w:color="000000" w:fill="FFFFFF"/>
            <w:noWrap/>
            <w:vAlign w:val="bottom"/>
            <w:hideMark/>
          </w:tcPr>
          <w:p w:rsidR="00EE5CF1" w:rsidRPr="00EE5CF1" w:rsidRDefault="00EE5CF1" w:rsidP="00EE5CF1">
            <w:pPr>
              <w:spacing w:after="200"/>
              <w:contextualSpacing/>
              <w:jc w:val="both"/>
              <w:rPr>
                <w:rFonts w:ascii="Arial" w:hAnsi="Arial"/>
                <w:sz w:val="20"/>
                <w:szCs w:val="20"/>
                <w:lang w:val="es-MX" w:eastAsia="es-MX"/>
              </w:rPr>
            </w:pPr>
            <w:r w:rsidRPr="00EE5CF1">
              <w:rPr>
                <w:rFonts w:ascii="Arial" w:hAnsi="Arial"/>
                <w:sz w:val="20"/>
                <w:szCs w:val="20"/>
                <w:lang w:val="es-MX" w:eastAsia="es-MX"/>
              </w:rPr>
              <w:t> </w:t>
            </w:r>
          </w:p>
        </w:tc>
        <w:tc>
          <w:tcPr>
            <w:tcW w:w="342" w:type="pct"/>
            <w:tcBorders>
              <w:top w:val="nil"/>
              <w:left w:val="nil"/>
              <w:bottom w:val="nil"/>
              <w:right w:val="nil"/>
            </w:tcBorders>
            <w:shd w:val="clear" w:color="000000" w:fill="FFFFFF"/>
            <w:noWrap/>
            <w:vAlign w:val="bottom"/>
            <w:hideMark/>
          </w:tcPr>
          <w:p w:rsidR="00EE5CF1" w:rsidRPr="00EE5CF1" w:rsidRDefault="00EE5CF1" w:rsidP="00EE5CF1">
            <w:pPr>
              <w:spacing w:after="200"/>
              <w:contextualSpacing/>
              <w:jc w:val="both"/>
              <w:rPr>
                <w:rFonts w:ascii="Arial" w:hAnsi="Arial"/>
                <w:sz w:val="20"/>
                <w:szCs w:val="20"/>
                <w:lang w:val="es-MX" w:eastAsia="es-MX"/>
              </w:rPr>
            </w:pPr>
            <w:r w:rsidRPr="00EE5CF1">
              <w:rPr>
                <w:rFonts w:ascii="Arial" w:hAnsi="Arial"/>
                <w:sz w:val="20"/>
                <w:szCs w:val="20"/>
                <w:lang w:val="es-MX" w:eastAsia="es-MX"/>
              </w:rPr>
              <w:t> </w:t>
            </w:r>
          </w:p>
        </w:tc>
        <w:tc>
          <w:tcPr>
            <w:tcW w:w="340" w:type="pct"/>
            <w:tcBorders>
              <w:top w:val="nil"/>
              <w:left w:val="nil"/>
              <w:bottom w:val="nil"/>
              <w:right w:val="nil"/>
            </w:tcBorders>
            <w:shd w:val="clear" w:color="000000" w:fill="FFFFFF"/>
            <w:noWrap/>
            <w:vAlign w:val="bottom"/>
            <w:hideMark/>
          </w:tcPr>
          <w:p w:rsidR="00EE5CF1" w:rsidRPr="00EE5CF1" w:rsidRDefault="00EE5CF1" w:rsidP="00EE5CF1">
            <w:pPr>
              <w:spacing w:after="200"/>
              <w:contextualSpacing/>
              <w:jc w:val="both"/>
              <w:rPr>
                <w:rFonts w:ascii="Arial" w:hAnsi="Arial"/>
                <w:sz w:val="20"/>
                <w:szCs w:val="20"/>
                <w:lang w:val="es-MX" w:eastAsia="es-MX"/>
              </w:rPr>
            </w:pPr>
            <w:r w:rsidRPr="00EE5CF1">
              <w:rPr>
                <w:rFonts w:ascii="Arial" w:hAnsi="Arial"/>
                <w:sz w:val="20"/>
                <w:szCs w:val="20"/>
                <w:lang w:val="es-MX" w:eastAsia="es-MX"/>
              </w:rPr>
              <w:t> </w:t>
            </w:r>
          </w:p>
        </w:tc>
        <w:tc>
          <w:tcPr>
            <w:tcW w:w="135" w:type="pct"/>
            <w:tcBorders>
              <w:top w:val="nil"/>
              <w:left w:val="nil"/>
              <w:bottom w:val="nil"/>
              <w:right w:val="nil"/>
            </w:tcBorders>
            <w:shd w:val="clear" w:color="000000" w:fill="FFFFFF"/>
            <w:noWrap/>
            <w:vAlign w:val="bottom"/>
            <w:hideMark/>
          </w:tcPr>
          <w:p w:rsidR="00EE5CF1" w:rsidRPr="00EE5CF1" w:rsidRDefault="00EE5CF1" w:rsidP="00EE5CF1">
            <w:pPr>
              <w:spacing w:after="200"/>
              <w:contextualSpacing/>
              <w:jc w:val="both"/>
              <w:rPr>
                <w:rFonts w:ascii="Arial" w:hAnsi="Arial"/>
                <w:sz w:val="20"/>
                <w:szCs w:val="20"/>
                <w:lang w:val="es-MX" w:eastAsia="es-MX"/>
              </w:rPr>
            </w:pPr>
            <w:r w:rsidRPr="00EE5CF1">
              <w:rPr>
                <w:rFonts w:ascii="Arial" w:hAnsi="Arial"/>
                <w:sz w:val="20"/>
                <w:szCs w:val="20"/>
                <w:lang w:val="es-MX" w:eastAsia="es-MX"/>
              </w:rPr>
              <w:t> </w:t>
            </w:r>
          </w:p>
        </w:tc>
      </w:tr>
    </w:tbl>
    <w:p w:rsidR="00EE5CF1" w:rsidRPr="000F7669" w:rsidRDefault="00EE5CF1" w:rsidP="00EE5CF1">
      <w:pPr>
        <w:spacing w:before="120" w:after="240"/>
        <w:contextualSpacing/>
        <w:jc w:val="both"/>
        <w:rPr>
          <w:rFonts w:ascii="Arial" w:hAnsi="Arial" w:cs="Arial"/>
          <w:b/>
          <w:bCs/>
          <w:spacing w:val="20"/>
          <w:szCs w:val="23"/>
        </w:rPr>
      </w:pPr>
    </w:p>
    <w:p w:rsidR="00EE5CF1" w:rsidRDefault="00EE5CF1" w:rsidP="00EE5CF1">
      <w:pPr>
        <w:spacing w:before="120" w:after="240"/>
        <w:contextualSpacing/>
        <w:jc w:val="both"/>
        <w:rPr>
          <w:rFonts w:ascii="Arial" w:hAnsi="Arial" w:cs="Arial"/>
          <w:b/>
          <w:bCs/>
          <w:spacing w:val="20"/>
          <w:szCs w:val="23"/>
        </w:rPr>
      </w:pPr>
    </w:p>
    <w:p w:rsidR="00E91C2E" w:rsidRDefault="00E91C2E">
      <w:pPr>
        <w:rPr>
          <w:rFonts w:ascii="Arial" w:hAnsi="Arial" w:cs="Arial"/>
          <w:b/>
          <w:bCs/>
          <w:spacing w:val="20"/>
          <w:szCs w:val="23"/>
        </w:rPr>
      </w:pPr>
      <w:r>
        <w:rPr>
          <w:rFonts w:ascii="Arial" w:hAnsi="Arial" w:cs="Arial"/>
          <w:b/>
          <w:bCs/>
          <w:spacing w:val="20"/>
          <w:szCs w:val="23"/>
        </w:rPr>
        <w:br w:type="page"/>
      </w:r>
    </w:p>
    <w:p w:rsidR="00EE5CF1" w:rsidRDefault="00EE5CF1" w:rsidP="00EE5CF1">
      <w:pPr>
        <w:spacing w:before="120" w:after="240"/>
        <w:contextualSpacing/>
        <w:jc w:val="both"/>
        <w:rPr>
          <w:rFonts w:ascii="Arial" w:hAnsi="Arial" w:cs="Arial"/>
          <w:b/>
          <w:bCs/>
          <w:spacing w:val="20"/>
          <w:szCs w:val="23"/>
        </w:rPr>
      </w:pPr>
      <w:r>
        <w:rPr>
          <w:rFonts w:ascii="Arial" w:hAnsi="Arial" w:cs="Arial"/>
          <w:b/>
          <w:bCs/>
          <w:spacing w:val="20"/>
          <w:szCs w:val="23"/>
        </w:rPr>
        <w:lastRenderedPageBreak/>
        <w:t>4.1.2.-</w:t>
      </w:r>
      <w:r w:rsidR="00E91C2E" w:rsidRPr="000F7669">
        <w:rPr>
          <w:rFonts w:ascii="Arial" w:hAnsi="Arial" w:cs="Arial"/>
          <w:b/>
          <w:bCs/>
          <w:spacing w:val="20"/>
          <w:szCs w:val="23"/>
        </w:rPr>
        <w:t>GESTIÓN PARA RESULTADOS</w:t>
      </w:r>
    </w:p>
    <w:p w:rsidR="00EE5CF1" w:rsidRPr="000F7669" w:rsidRDefault="00EE5CF1" w:rsidP="00EE5CF1">
      <w:pPr>
        <w:spacing w:before="120" w:after="240"/>
        <w:contextualSpacing/>
        <w:jc w:val="both"/>
        <w:rPr>
          <w:rFonts w:ascii="Arial" w:hAnsi="Arial" w:cs="Arial"/>
          <w:b/>
          <w:bCs/>
          <w:spacing w:val="20"/>
          <w:szCs w:val="23"/>
        </w:rPr>
      </w:pPr>
    </w:p>
    <w:p w:rsidR="00EE5CF1" w:rsidRDefault="00EE5CF1" w:rsidP="00EE5CF1">
      <w:pPr>
        <w:spacing w:before="120" w:after="240"/>
        <w:contextualSpacing/>
        <w:jc w:val="both"/>
        <w:rPr>
          <w:rFonts w:ascii="Arial" w:hAnsi="Arial" w:cs="Arial"/>
          <w:bCs/>
          <w:spacing w:val="20"/>
          <w:szCs w:val="23"/>
        </w:rPr>
      </w:pPr>
      <w:r w:rsidRPr="000F7669">
        <w:rPr>
          <w:rFonts w:ascii="Arial" w:hAnsi="Arial" w:cs="Arial"/>
          <w:bCs/>
          <w:spacing w:val="20"/>
          <w:szCs w:val="23"/>
        </w:rPr>
        <w:t>El presupuesto público tiene una gran importancia e impacto en la economía y en el nivel de vida de los habitantes de cualquier país. El presupuesto se establece para un período determinado, y muestra las prioridades y los objetivos del gobierno a través de los montos destinados a sus ingresos y gastos.</w:t>
      </w:r>
    </w:p>
    <w:p w:rsidR="00EE5CF1" w:rsidRPr="000F7669" w:rsidRDefault="00EE5CF1" w:rsidP="00EE5CF1">
      <w:pPr>
        <w:spacing w:before="120" w:after="240"/>
        <w:contextualSpacing/>
        <w:jc w:val="both"/>
        <w:rPr>
          <w:rFonts w:ascii="Arial" w:hAnsi="Arial" w:cs="Arial"/>
          <w:bCs/>
          <w:spacing w:val="20"/>
          <w:szCs w:val="23"/>
        </w:rPr>
      </w:pPr>
    </w:p>
    <w:p w:rsidR="00EE5CF1" w:rsidRDefault="00EE5CF1" w:rsidP="00EE5CF1">
      <w:pPr>
        <w:spacing w:before="120" w:after="240"/>
        <w:contextualSpacing/>
        <w:jc w:val="both"/>
        <w:rPr>
          <w:rFonts w:ascii="Arial" w:hAnsi="Arial" w:cs="Arial"/>
          <w:bCs/>
          <w:spacing w:val="20"/>
          <w:szCs w:val="23"/>
        </w:rPr>
      </w:pPr>
      <w:r w:rsidRPr="000F7669">
        <w:rPr>
          <w:rFonts w:ascii="Arial" w:hAnsi="Arial" w:cs="Arial"/>
          <w:bCs/>
          <w:spacing w:val="20"/>
          <w:szCs w:val="23"/>
        </w:rPr>
        <w:t>Bajo esta premisa, ha sido de suma importancia revisar, analizar y reforzar año con año, la técnica utilizada en el Estado, para elaborar y administrar el presupuesto y que sirve de base para la implementación del Presupuesto basado en Resultados (</w:t>
      </w:r>
      <w:proofErr w:type="spellStart"/>
      <w:r w:rsidRPr="000F7669">
        <w:rPr>
          <w:rFonts w:ascii="Arial" w:hAnsi="Arial" w:cs="Arial"/>
          <w:bCs/>
          <w:spacing w:val="20"/>
          <w:szCs w:val="23"/>
        </w:rPr>
        <w:t>PbR</w:t>
      </w:r>
      <w:proofErr w:type="spellEnd"/>
      <w:r w:rsidRPr="000F7669">
        <w:rPr>
          <w:rFonts w:ascii="Arial" w:hAnsi="Arial" w:cs="Arial"/>
          <w:bCs/>
          <w:spacing w:val="20"/>
          <w:szCs w:val="23"/>
        </w:rPr>
        <w:t xml:space="preserve">), poniendo especial atención en los resultados de las actividades que se realizan, más que a los bienes y servicios que se adquieren. </w:t>
      </w:r>
    </w:p>
    <w:p w:rsidR="00EE5CF1" w:rsidRPr="000F7669" w:rsidRDefault="00EE5CF1" w:rsidP="00EE5CF1">
      <w:pPr>
        <w:spacing w:before="120" w:after="240"/>
        <w:contextualSpacing/>
        <w:jc w:val="both"/>
        <w:rPr>
          <w:rFonts w:ascii="Arial" w:hAnsi="Arial" w:cs="Arial"/>
          <w:bCs/>
          <w:spacing w:val="20"/>
          <w:szCs w:val="23"/>
        </w:rPr>
      </w:pPr>
    </w:p>
    <w:p w:rsidR="00EE5CF1" w:rsidRPr="000F7669" w:rsidRDefault="00EE5CF1" w:rsidP="00EE5CF1">
      <w:pPr>
        <w:autoSpaceDE w:val="0"/>
        <w:autoSpaceDN w:val="0"/>
        <w:adjustRightInd w:val="0"/>
        <w:contextualSpacing/>
        <w:jc w:val="both"/>
        <w:rPr>
          <w:rFonts w:ascii="Arial" w:hAnsi="Arial" w:cs="Arial"/>
          <w:bCs/>
          <w:spacing w:val="20"/>
          <w:szCs w:val="23"/>
        </w:rPr>
      </w:pPr>
      <w:r w:rsidRPr="000F7669">
        <w:rPr>
          <w:rFonts w:ascii="Arial" w:hAnsi="Arial" w:cs="Arial"/>
          <w:bCs/>
          <w:spacing w:val="20"/>
          <w:szCs w:val="23"/>
        </w:rPr>
        <w:t>Esta administración desde sus inicios</w:t>
      </w:r>
      <w:r w:rsidR="008D24A0">
        <w:rPr>
          <w:rFonts w:ascii="Arial" w:hAnsi="Arial" w:cs="Arial"/>
          <w:bCs/>
          <w:spacing w:val="20"/>
          <w:szCs w:val="23"/>
        </w:rPr>
        <w:t>,</w:t>
      </w:r>
      <w:r w:rsidRPr="000F7669">
        <w:rPr>
          <w:rFonts w:ascii="Arial" w:hAnsi="Arial" w:cs="Arial"/>
          <w:bCs/>
          <w:spacing w:val="20"/>
          <w:szCs w:val="23"/>
        </w:rPr>
        <w:t xml:space="preserve"> se ha planteado enfrentar los retos de la racionalidad económica buscando conseguir eficacia y eficiencia, a través de: la optimización en el uso de los recursos públicos en la distribución y prestación de bienes y servicios públicos como respuesta a las exigencias de más servicios, más eficacia, más eficiencia, más equidad y más calidad; y, el fortalecimiento a los mecanismos de transparencia en el uso de los recursos públicos.</w:t>
      </w:r>
    </w:p>
    <w:p w:rsidR="00EE5CF1" w:rsidRPr="000F7669" w:rsidRDefault="00EE5CF1" w:rsidP="00EE5CF1">
      <w:pPr>
        <w:autoSpaceDE w:val="0"/>
        <w:autoSpaceDN w:val="0"/>
        <w:adjustRightInd w:val="0"/>
        <w:contextualSpacing/>
        <w:jc w:val="both"/>
        <w:rPr>
          <w:rFonts w:ascii="Arial" w:hAnsi="Arial" w:cs="Arial"/>
          <w:bCs/>
          <w:spacing w:val="20"/>
          <w:szCs w:val="23"/>
        </w:rPr>
      </w:pPr>
    </w:p>
    <w:p w:rsidR="00EE5CF1" w:rsidRPr="000F7669" w:rsidRDefault="00EE5CF1" w:rsidP="00EE5CF1">
      <w:pPr>
        <w:autoSpaceDE w:val="0"/>
        <w:autoSpaceDN w:val="0"/>
        <w:adjustRightInd w:val="0"/>
        <w:contextualSpacing/>
        <w:jc w:val="both"/>
        <w:rPr>
          <w:rFonts w:ascii="Arial" w:hAnsi="Arial" w:cs="Arial"/>
          <w:bCs/>
          <w:spacing w:val="20"/>
          <w:szCs w:val="23"/>
        </w:rPr>
      </w:pPr>
      <w:r w:rsidRPr="000F7669">
        <w:rPr>
          <w:rFonts w:ascii="Arial" w:hAnsi="Arial" w:cs="Arial"/>
          <w:bCs/>
          <w:spacing w:val="20"/>
          <w:szCs w:val="23"/>
        </w:rPr>
        <w:t>Desde el año 2008, con el propósito de tener una transformación integral de la Hacienda Pública, se puso en práctica una forma diferente de gastar  los recursos públicos en México, y que puso a nuestro país en sintonía con las mejores prácticas internacionales en materia de presupuesto y de fiscalización.</w:t>
      </w:r>
    </w:p>
    <w:p w:rsidR="00EE5CF1" w:rsidRPr="000F7669" w:rsidRDefault="00EE5CF1" w:rsidP="00EE5CF1">
      <w:pPr>
        <w:autoSpaceDE w:val="0"/>
        <w:autoSpaceDN w:val="0"/>
        <w:adjustRightInd w:val="0"/>
        <w:contextualSpacing/>
        <w:jc w:val="both"/>
        <w:rPr>
          <w:rFonts w:ascii="Arial" w:hAnsi="Arial" w:cs="Arial"/>
          <w:bCs/>
          <w:spacing w:val="20"/>
          <w:szCs w:val="23"/>
        </w:rPr>
      </w:pPr>
    </w:p>
    <w:p w:rsidR="00EE5CF1" w:rsidRPr="000F7669" w:rsidRDefault="00EE5CF1" w:rsidP="00EE5CF1">
      <w:pPr>
        <w:autoSpaceDE w:val="0"/>
        <w:autoSpaceDN w:val="0"/>
        <w:adjustRightInd w:val="0"/>
        <w:contextualSpacing/>
        <w:jc w:val="both"/>
        <w:rPr>
          <w:rFonts w:ascii="Arial" w:hAnsi="Arial" w:cs="Arial"/>
          <w:bCs/>
          <w:spacing w:val="20"/>
          <w:szCs w:val="23"/>
        </w:rPr>
      </w:pPr>
      <w:r w:rsidRPr="000F7669">
        <w:rPr>
          <w:rFonts w:ascii="Arial" w:hAnsi="Arial" w:cs="Arial"/>
          <w:bCs/>
          <w:spacing w:val="20"/>
          <w:szCs w:val="23"/>
        </w:rPr>
        <w:t xml:space="preserve">Tras los esfuerzos para </w:t>
      </w:r>
      <w:proofErr w:type="spellStart"/>
      <w:r w:rsidRPr="000F7669">
        <w:rPr>
          <w:rFonts w:ascii="Arial" w:hAnsi="Arial" w:cs="Arial"/>
          <w:bCs/>
          <w:spacing w:val="20"/>
          <w:szCs w:val="23"/>
        </w:rPr>
        <w:t>eficientar</w:t>
      </w:r>
      <w:proofErr w:type="spellEnd"/>
      <w:r w:rsidRPr="000F7669">
        <w:rPr>
          <w:rFonts w:ascii="Arial" w:hAnsi="Arial" w:cs="Arial"/>
          <w:bCs/>
          <w:spacing w:val="20"/>
          <w:szCs w:val="23"/>
        </w:rPr>
        <w:t xml:space="preserve"> las finanzas públicas y el buen manejo del presupuesto de egresos en todos los niveles de gobierno; se han implementado diversas reformas al marco normativo en materia contable, presupuestaria y financiera con el propósito de consolidar una política de gobierno en base a resultados que permita medir los efectos de cada peso que se ejerce en la administración pública y sobre todo de transparentarlos.</w:t>
      </w:r>
      <w:bookmarkStart w:id="2" w:name="_Toc340581713"/>
    </w:p>
    <w:p w:rsidR="00EE5CF1" w:rsidRPr="000F7669" w:rsidRDefault="00EE5CF1" w:rsidP="00EE5CF1">
      <w:pPr>
        <w:autoSpaceDE w:val="0"/>
        <w:autoSpaceDN w:val="0"/>
        <w:adjustRightInd w:val="0"/>
        <w:contextualSpacing/>
        <w:jc w:val="both"/>
        <w:rPr>
          <w:rFonts w:ascii="Arial" w:hAnsi="Arial" w:cs="Arial"/>
          <w:bCs/>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Así mismo, para que lo anterior sea una realidad en el Estado de Oaxaca, desde el inicio de la presente administración, se han impulsado importantes acciones en materia de Transparencia, Gestión para Resultados, consolidación del Presupuesto basado en Resultados y Armonización Contable.</w:t>
      </w:r>
    </w:p>
    <w:p w:rsidR="00EE5CF1" w:rsidRPr="000F7669" w:rsidRDefault="00EE5CF1"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Los resultados logrados son congruentes con lo previsto en el Plan Estatal de Desarrollo 2011-2016 (PED), documento rector de las acciones de gobierno y en el que se describen los objetivos generales de política para el desarrollo integral del Estado. Este Gobierno está sumamente comprometido con el cumplimiento de las metas y objetivos planteados en el PED, por lo que se han implementado acciones de seguimiento a través de la Jefatura de la Gubernatura, para constatar el avance de la actuación del gobierno.</w:t>
      </w: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  </w:t>
      </w: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materia de egresos, el Presupuesto para el Ejercicio Fiscal 2015 se asignó y distribuyó para atender las prioridades del Gobierno del Estado, mismas que se encuentran contenidas en el PED 2011-2016, principalmente con la premisa básica de darle valor público a los limitados recursos estatales y priorizar proyectos de infraestructura social, con base en una estructura programática reorientada a visibilizar y mejorar los bienes y servicios que el sector público brinda a la ciudadanía oaxaqueña.</w:t>
      </w:r>
    </w:p>
    <w:p w:rsidR="00EE5CF1" w:rsidRPr="000F7669" w:rsidRDefault="00EE5CF1" w:rsidP="00EE5CF1">
      <w:pPr>
        <w:spacing w:before="120" w:after="240"/>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 xml:space="preserve">Es pertinente señalar que con la finalidad de que los recursos se administren con eficiencia y eficacia, esta Administración ha fortalecido los criterios de racionalidad, austeridad y disciplina presupuestaria, principios que se encuentran publicados en la Ley Estatal de Presupuesto y Responsabilidad Hacendaria y su Reglamento.  </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 xml:space="preserve">De este modo, para continuar en la consolidación del gasto público, éste se reorientó de tal forma que los recursos, bienes y servicios lleguen a quienes más los necesitan, manteniendo en todo momento una sólida coordinación interinstitucional con instancias estatales, federales y municipales. Asimismo, se consolidó la integración de las Matrices de Indicadores para Resultados (MIR) en la Administración Pública, en todos aquellos programas que ofrecen bienes y servicios a la población oaxaqueña, los mismos que podrán perfeccionarse a través de las evaluaciones respectivas. </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La presente Administración está modernizando en base a la experiencia y buenas prácticas nacionales e internacionales</w:t>
      </w:r>
      <w:r w:rsidR="00855B88">
        <w:rPr>
          <w:rFonts w:ascii="Arial" w:hAnsi="Arial" w:cs="Arial"/>
          <w:spacing w:val="20"/>
          <w:szCs w:val="23"/>
        </w:rPr>
        <w:t xml:space="preserve"> </w:t>
      </w:r>
      <w:r w:rsidRPr="000F7669">
        <w:rPr>
          <w:rFonts w:ascii="Arial" w:hAnsi="Arial" w:cs="Arial"/>
          <w:spacing w:val="20"/>
          <w:szCs w:val="23"/>
        </w:rPr>
        <w:t>su proceso presupuestario, hecho que ha colocado a Oaxaca en la mira de organismos internacionales, de otros estados y de la misma Federación, como agente de cambio y precursor de mejores prácticas administrativas.</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lastRenderedPageBreak/>
        <w:t>En este entendido, la Administración Pública Estatal ha emprendido desde el ejercicio 2012 una serie de innovaciones con el fin de consolidar la Gestión para Resultados (</w:t>
      </w:r>
      <w:proofErr w:type="spellStart"/>
      <w:r w:rsidRPr="000F7669">
        <w:rPr>
          <w:rFonts w:ascii="Arial" w:hAnsi="Arial" w:cs="Arial"/>
          <w:spacing w:val="20"/>
          <w:szCs w:val="23"/>
        </w:rPr>
        <w:t>GpR</w:t>
      </w:r>
      <w:proofErr w:type="spellEnd"/>
      <w:r w:rsidRPr="000F7669">
        <w:rPr>
          <w:rFonts w:ascii="Arial" w:hAnsi="Arial" w:cs="Arial"/>
          <w:spacing w:val="20"/>
          <w:szCs w:val="23"/>
        </w:rPr>
        <w:t>), incrementar el valor público de sus acciones y fortalecer la confianza de la ciudadanía en el Gobierno del estado de Oaxaca.</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Por lo anterior, se realizaron de forma coordinada acciones para reorientar el presupuesto estatal para destinarlo básicamente</w:t>
      </w:r>
      <w:r w:rsidR="008D24A0">
        <w:rPr>
          <w:rFonts w:ascii="Arial" w:hAnsi="Arial" w:cs="Arial"/>
          <w:spacing w:val="20"/>
          <w:szCs w:val="23"/>
        </w:rPr>
        <w:t xml:space="preserve"> </w:t>
      </w:r>
      <w:proofErr w:type="gramStart"/>
      <w:r w:rsidR="008D24A0">
        <w:rPr>
          <w:rFonts w:ascii="Arial" w:hAnsi="Arial" w:cs="Arial"/>
          <w:spacing w:val="20"/>
          <w:szCs w:val="23"/>
        </w:rPr>
        <w:t>a</w:t>
      </w:r>
      <w:proofErr w:type="gramEnd"/>
      <w:r w:rsidRPr="000F7669">
        <w:rPr>
          <w:rFonts w:ascii="Arial" w:hAnsi="Arial" w:cs="Arial"/>
          <w:spacing w:val="20"/>
          <w:szCs w:val="23"/>
        </w:rPr>
        <w:t>:</w:t>
      </w:r>
    </w:p>
    <w:p w:rsidR="00EE5CF1" w:rsidRPr="000F7669" w:rsidRDefault="00EE5CF1" w:rsidP="00EE5CF1">
      <w:pPr>
        <w:contextualSpacing/>
        <w:jc w:val="both"/>
        <w:rPr>
          <w:rFonts w:ascii="Arial" w:hAnsi="Arial" w:cs="Arial"/>
          <w:spacing w:val="20"/>
          <w:szCs w:val="23"/>
        </w:rPr>
      </w:pPr>
    </w:p>
    <w:p w:rsidR="00EE5CF1" w:rsidRPr="00EE5CF1" w:rsidRDefault="00EE5CF1" w:rsidP="002F6527">
      <w:pPr>
        <w:pStyle w:val="Prrafodelista"/>
        <w:numPr>
          <w:ilvl w:val="0"/>
          <w:numId w:val="8"/>
        </w:numPr>
        <w:contextualSpacing/>
        <w:jc w:val="both"/>
        <w:rPr>
          <w:rFonts w:ascii="Arial" w:hAnsi="Arial" w:cs="Arial"/>
          <w:spacing w:val="20"/>
          <w:sz w:val="22"/>
          <w:szCs w:val="22"/>
          <w:lang w:val="es-ES"/>
        </w:rPr>
      </w:pPr>
      <w:r w:rsidRPr="00EE5CF1">
        <w:rPr>
          <w:rFonts w:ascii="Arial" w:hAnsi="Arial" w:cs="Arial"/>
          <w:spacing w:val="20"/>
          <w:sz w:val="22"/>
          <w:szCs w:val="22"/>
          <w:lang w:val="es-ES"/>
        </w:rPr>
        <w:t>Crear mejores fuentes de empleo;</w:t>
      </w:r>
    </w:p>
    <w:p w:rsidR="00EE5CF1" w:rsidRPr="00EE5CF1" w:rsidRDefault="00EE5CF1" w:rsidP="002F6527">
      <w:pPr>
        <w:pStyle w:val="Prrafodelista"/>
        <w:numPr>
          <w:ilvl w:val="0"/>
          <w:numId w:val="8"/>
        </w:numPr>
        <w:contextualSpacing/>
        <w:jc w:val="both"/>
        <w:rPr>
          <w:rFonts w:ascii="Arial" w:hAnsi="Arial" w:cs="Arial"/>
          <w:spacing w:val="20"/>
          <w:sz w:val="22"/>
          <w:szCs w:val="22"/>
          <w:lang w:val="es-ES"/>
        </w:rPr>
      </w:pPr>
      <w:r w:rsidRPr="00EE5CF1">
        <w:rPr>
          <w:rFonts w:ascii="Arial" w:hAnsi="Arial" w:cs="Arial"/>
          <w:spacing w:val="20"/>
          <w:sz w:val="22"/>
          <w:szCs w:val="22"/>
          <w:lang w:val="es-ES"/>
        </w:rPr>
        <w:t>Brindar seguridad pública;</w:t>
      </w:r>
    </w:p>
    <w:p w:rsidR="00EE5CF1" w:rsidRPr="00EE5CF1" w:rsidRDefault="00EE5CF1" w:rsidP="002F6527">
      <w:pPr>
        <w:pStyle w:val="Prrafodelista"/>
        <w:numPr>
          <w:ilvl w:val="0"/>
          <w:numId w:val="8"/>
        </w:numPr>
        <w:contextualSpacing/>
        <w:jc w:val="both"/>
        <w:rPr>
          <w:rFonts w:ascii="Arial" w:hAnsi="Arial" w:cs="Arial"/>
          <w:spacing w:val="20"/>
          <w:sz w:val="22"/>
          <w:szCs w:val="22"/>
          <w:lang w:val="es-ES"/>
        </w:rPr>
      </w:pPr>
      <w:r w:rsidRPr="00EE5CF1">
        <w:rPr>
          <w:rFonts w:ascii="Arial" w:hAnsi="Arial" w:cs="Arial"/>
          <w:spacing w:val="20"/>
          <w:sz w:val="22"/>
          <w:szCs w:val="22"/>
          <w:lang w:val="es-ES"/>
        </w:rPr>
        <w:t>Fortalecer los cuerpos policiacos;</w:t>
      </w:r>
    </w:p>
    <w:p w:rsidR="00EE5CF1" w:rsidRPr="00EE5CF1" w:rsidRDefault="00EE5CF1" w:rsidP="002F6527">
      <w:pPr>
        <w:pStyle w:val="Prrafodelista"/>
        <w:numPr>
          <w:ilvl w:val="0"/>
          <w:numId w:val="8"/>
        </w:numPr>
        <w:contextualSpacing/>
        <w:jc w:val="both"/>
        <w:rPr>
          <w:rFonts w:ascii="Arial" w:hAnsi="Arial" w:cs="Arial"/>
          <w:spacing w:val="20"/>
          <w:sz w:val="22"/>
          <w:szCs w:val="22"/>
          <w:lang w:val="es-ES"/>
        </w:rPr>
      </w:pPr>
      <w:r w:rsidRPr="00EE5CF1">
        <w:rPr>
          <w:rFonts w:ascii="Arial" w:hAnsi="Arial" w:cs="Arial"/>
          <w:spacing w:val="20"/>
          <w:sz w:val="22"/>
          <w:szCs w:val="22"/>
          <w:lang w:val="es-ES"/>
        </w:rPr>
        <w:t>Mejorar y modernizar los servicios de salud;</w:t>
      </w:r>
    </w:p>
    <w:p w:rsidR="00EE5CF1" w:rsidRPr="00EE5CF1" w:rsidRDefault="00EE5CF1" w:rsidP="002F6527">
      <w:pPr>
        <w:pStyle w:val="Prrafodelista"/>
        <w:numPr>
          <w:ilvl w:val="0"/>
          <w:numId w:val="8"/>
        </w:numPr>
        <w:contextualSpacing/>
        <w:jc w:val="both"/>
        <w:rPr>
          <w:rFonts w:ascii="Arial" w:hAnsi="Arial" w:cs="Arial"/>
          <w:spacing w:val="20"/>
          <w:sz w:val="22"/>
          <w:szCs w:val="22"/>
          <w:lang w:val="es-ES"/>
        </w:rPr>
      </w:pPr>
      <w:r w:rsidRPr="00EE5CF1">
        <w:rPr>
          <w:rFonts w:ascii="Arial" w:hAnsi="Arial" w:cs="Arial"/>
          <w:spacing w:val="20"/>
          <w:sz w:val="22"/>
          <w:szCs w:val="22"/>
          <w:lang w:val="es-ES"/>
        </w:rPr>
        <w:t>Fortalecer las Micro, Pequeñas y Medianas Empresas;</w:t>
      </w:r>
    </w:p>
    <w:p w:rsidR="00EE5CF1" w:rsidRPr="00EE5CF1" w:rsidRDefault="00EE5CF1" w:rsidP="002F6527">
      <w:pPr>
        <w:pStyle w:val="Prrafodelista"/>
        <w:numPr>
          <w:ilvl w:val="0"/>
          <w:numId w:val="8"/>
        </w:numPr>
        <w:contextualSpacing/>
        <w:jc w:val="both"/>
        <w:rPr>
          <w:rFonts w:ascii="Arial" w:hAnsi="Arial" w:cs="Arial"/>
          <w:spacing w:val="20"/>
          <w:sz w:val="22"/>
          <w:szCs w:val="22"/>
          <w:lang w:val="es-ES"/>
        </w:rPr>
      </w:pPr>
      <w:r w:rsidRPr="00EE5CF1">
        <w:rPr>
          <w:rFonts w:ascii="Arial" w:hAnsi="Arial" w:cs="Arial"/>
          <w:spacing w:val="20"/>
          <w:sz w:val="22"/>
          <w:szCs w:val="22"/>
          <w:lang w:val="es-ES"/>
        </w:rPr>
        <w:t>Brindar servicios educativos; y,</w:t>
      </w:r>
    </w:p>
    <w:p w:rsidR="00EE5CF1" w:rsidRPr="00EE5CF1" w:rsidRDefault="00EE5CF1" w:rsidP="002F6527">
      <w:pPr>
        <w:pStyle w:val="Prrafodelista"/>
        <w:numPr>
          <w:ilvl w:val="0"/>
          <w:numId w:val="8"/>
        </w:numPr>
        <w:contextualSpacing/>
        <w:jc w:val="both"/>
        <w:rPr>
          <w:rFonts w:ascii="Arial" w:hAnsi="Arial" w:cs="Arial"/>
          <w:spacing w:val="20"/>
          <w:sz w:val="22"/>
          <w:szCs w:val="22"/>
          <w:lang w:val="es-ES"/>
        </w:rPr>
      </w:pPr>
      <w:r w:rsidRPr="00EE5CF1">
        <w:rPr>
          <w:rFonts w:ascii="Arial" w:hAnsi="Arial" w:cs="Arial"/>
          <w:spacing w:val="20"/>
          <w:sz w:val="22"/>
          <w:szCs w:val="22"/>
          <w:lang w:val="es-ES"/>
        </w:rPr>
        <w:t>Distribuir el presupuesto, orientándolo a dar respuesta a las necesidades apremiantes de los sectores más vulnerables de la población.</w:t>
      </w:r>
    </w:p>
    <w:p w:rsidR="00EE5CF1" w:rsidRPr="000F7669" w:rsidRDefault="00EE5CF1" w:rsidP="00EE5CF1">
      <w:pPr>
        <w:contextualSpacing/>
        <w:jc w:val="both"/>
        <w:rPr>
          <w:rFonts w:ascii="Arial" w:hAnsi="Arial" w:cs="Arial"/>
          <w:spacing w:val="20"/>
          <w:szCs w:val="23"/>
        </w:rPr>
      </w:pPr>
    </w:p>
    <w:p w:rsidR="00EE5CF1" w:rsidRDefault="00EE5CF1" w:rsidP="00EE5CF1">
      <w:pPr>
        <w:contextualSpacing/>
        <w:jc w:val="both"/>
        <w:rPr>
          <w:rFonts w:ascii="Arial" w:hAnsi="Arial" w:cs="Arial"/>
          <w:spacing w:val="20"/>
          <w:szCs w:val="23"/>
        </w:rPr>
      </w:pPr>
      <w:r w:rsidRPr="000F7669">
        <w:rPr>
          <w:rFonts w:ascii="Arial" w:hAnsi="Arial" w:cs="Arial"/>
          <w:spacing w:val="20"/>
          <w:szCs w:val="23"/>
        </w:rPr>
        <w:t>Por tales razones, para el ejercicio 2015 se detectaron áreas de oportunidad en la estructura programática 2014, a efecto de fortalecer los programas en el marco de las mejores prácticas nacionales e internacionales, buscando que éstos atiendan necesidades plenamente identificadas y medibles, que al pasar por un proceso de planeación mediante la metodología del marco lógico, se consoliden como programas con un objetivo determinado, creando las condiciones para darles seguimiento puntual y evaluar sus resultados de manera cuantificable.</w:t>
      </w:r>
    </w:p>
    <w:p w:rsidR="008D24A0" w:rsidRPr="000F7669" w:rsidRDefault="008D24A0"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 xml:space="preserve">Tomando en consideración lo anterior, se implementó una nueva Metodología para la elaboración de las Estructuras Programáticas, agrupando de manera ordenada el universo de la acción gubernamental, a partir del mandato misional de cada Ejecutor de gasto y con el propósito primordial de identificar lo realizado con los recursos públicos, ordenando y reorientado los esfuerzos que en conjunto lleva a cabo la Administración Pública Estatal. </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 xml:space="preserve">Es importante mencionar que atendiendo a las disposiciones legales estatales y federales, y en el marco de sus atribuciones y competencias, la Secretaría de Finanzas continuó en el uso de las metodologías antes mencionadas para la integración del Presupuesto de Egresos para el Ejercicio Fiscal 2015, coordinando los trabajos para la revisión, </w:t>
      </w:r>
      <w:r w:rsidRPr="000F7669">
        <w:rPr>
          <w:rFonts w:ascii="Arial" w:hAnsi="Arial" w:cs="Arial"/>
          <w:spacing w:val="20"/>
          <w:szCs w:val="23"/>
        </w:rPr>
        <w:lastRenderedPageBreak/>
        <w:t>actualización e integración de la estructura programática que operó en el citado ejercicio.</w:t>
      </w:r>
    </w:p>
    <w:p w:rsidR="00EE5CF1" w:rsidRPr="000F7669" w:rsidRDefault="00EE5CF1" w:rsidP="00EE5CF1">
      <w:pPr>
        <w:contextualSpacing/>
        <w:jc w:val="both"/>
        <w:rPr>
          <w:rFonts w:ascii="Arial" w:hAnsi="Arial" w:cs="Arial"/>
          <w:spacing w:val="20"/>
          <w:szCs w:val="23"/>
        </w:rPr>
      </w:pPr>
    </w:p>
    <w:p w:rsidR="00EE5CF1" w:rsidRDefault="00EE5CF1" w:rsidP="00EE5CF1">
      <w:pPr>
        <w:contextualSpacing/>
        <w:jc w:val="both"/>
        <w:rPr>
          <w:rFonts w:ascii="Arial" w:hAnsi="Arial" w:cs="Arial"/>
          <w:spacing w:val="20"/>
          <w:szCs w:val="23"/>
        </w:rPr>
      </w:pPr>
      <w:r w:rsidRPr="000F7669">
        <w:rPr>
          <w:rFonts w:ascii="Arial" w:hAnsi="Arial" w:cs="Arial"/>
          <w:spacing w:val="20"/>
          <w:szCs w:val="23"/>
        </w:rPr>
        <w:t xml:space="preserve">Contar con una Estructura Programática con estas características ha permitido identificar el gasto y presentar información transparente y comprensible para la ciudadanía, además de que una de las fortalezas de la nueva Estructura Programática es su permanencia en el tiempo, que con la fortaleza de los indicadores definidos en sus </w:t>
      </w:r>
      <w:proofErr w:type="spellStart"/>
      <w:r w:rsidRPr="000F7669">
        <w:rPr>
          <w:rFonts w:ascii="Arial" w:hAnsi="Arial" w:cs="Arial"/>
          <w:spacing w:val="20"/>
          <w:szCs w:val="23"/>
        </w:rPr>
        <w:t>MIR´s</w:t>
      </w:r>
      <w:proofErr w:type="spellEnd"/>
      <w:r w:rsidRPr="000F7669">
        <w:rPr>
          <w:rFonts w:ascii="Arial" w:hAnsi="Arial" w:cs="Arial"/>
          <w:spacing w:val="20"/>
          <w:szCs w:val="23"/>
        </w:rPr>
        <w:t>, es posible darles seguimiento y evaluar los resultados de sus diferentes niveles de objetivos.</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Precisamente acciones como éstas mantienen a Oaxaca a la vanguardia en la implementación del Presupuesto basado en Resultados (</w:t>
      </w:r>
      <w:proofErr w:type="spellStart"/>
      <w:r w:rsidRPr="000F7669">
        <w:rPr>
          <w:rFonts w:ascii="Arial" w:hAnsi="Arial" w:cs="Arial"/>
          <w:spacing w:val="20"/>
          <w:szCs w:val="23"/>
        </w:rPr>
        <w:t>PbR</w:t>
      </w:r>
      <w:proofErr w:type="spellEnd"/>
      <w:r w:rsidRPr="000F7669">
        <w:rPr>
          <w:rFonts w:ascii="Arial" w:hAnsi="Arial" w:cs="Arial"/>
          <w:spacing w:val="20"/>
          <w:szCs w:val="23"/>
        </w:rPr>
        <w:t xml:space="preserve">), lo que permite fortalecer la transparencia, la generación de información, la evaluación del desempeño y la rendición de cuentas, </w:t>
      </w:r>
      <w:proofErr w:type="spellStart"/>
      <w:r w:rsidRPr="000F7669">
        <w:rPr>
          <w:rFonts w:ascii="Arial" w:hAnsi="Arial" w:cs="Arial"/>
          <w:spacing w:val="20"/>
          <w:szCs w:val="23"/>
        </w:rPr>
        <w:t>mejorarando</w:t>
      </w:r>
      <w:proofErr w:type="spellEnd"/>
      <w:r w:rsidRPr="000F7669">
        <w:rPr>
          <w:rFonts w:ascii="Arial" w:hAnsi="Arial" w:cs="Arial"/>
          <w:spacing w:val="20"/>
          <w:szCs w:val="23"/>
        </w:rPr>
        <w:t xml:space="preserve"> la dinámica de la acción pública, mediante la asignación del presupuesto de los ejercicios subsecuentes con base en resultados.</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De esta forma, se continúa adelante en la implementación del Presupuesto basado en Resultados y el Sistema de Evaluación del Desempeño (</w:t>
      </w:r>
      <w:proofErr w:type="spellStart"/>
      <w:r w:rsidRPr="000F7669">
        <w:rPr>
          <w:rFonts w:ascii="Arial" w:hAnsi="Arial" w:cs="Arial"/>
          <w:spacing w:val="20"/>
          <w:szCs w:val="23"/>
        </w:rPr>
        <w:t>PbR</w:t>
      </w:r>
      <w:proofErr w:type="spellEnd"/>
      <w:r w:rsidRPr="000F7669">
        <w:rPr>
          <w:rFonts w:ascii="Arial" w:hAnsi="Arial" w:cs="Arial"/>
          <w:spacing w:val="20"/>
          <w:szCs w:val="23"/>
        </w:rPr>
        <w:t xml:space="preserve">-SED), de modo tal que el Gobierno de Oaxaca ha logrado avanzar  en la evaluación que realiza la Secretaria de Hacienda y </w:t>
      </w:r>
      <w:proofErr w:type="spellStart"/>
      <w:r w:rsidRPr="000F7669">
        <w:rPr>
          <w:rFonts w:ascii="Arial" w:hAnsi="Arial" w:cs="Arial"/>
          <w:spacing w:val="20"/>
          <w:szCs w:val="23"/>
        </w:rPr>
        <w:t>Credito</w:t>
      </w:r>
      <w:proofErr w:type="spellEnd"/>
      <w:r w:rsidRPr="000F7669">
        <w:rPr>
          <w:rFonts w:ascii="Arial" w:hAnsi="Arial" w:cs="Arial"/>
          <w:spacing w:val="20"/>
          <w:szCs w:val="23"/>
        </w:rPr>
        <w:t xml:space="preserve"> Público, del lugar veintinueve en que se hallaba al principio del sexenio al cuarto sitio donde se ubica ahora según la evaluación 2015. </w:t>
      </w:r>
    </w:p>
    <w:bookmarkEnd w:id="2"/>
    <w:p w:rsidR="00EE5CF1" w:rsidRPr="000F7669" w:rsidRDefault="00EE5CF1" w:rsidP="00EE5CF1">
      <w:pPr>
        <w:spacing w:before="120" w:after="240"/>
        <w:contextualSpacing/>
        <w:jc w:val="both"/>
        <w:rPr>
          <w:rFonts w:ascii="Arial" w:hAnsi="Arial" w:cs="Arial"/>
          <w:b/>
          <w:bCs/>
          <w:color w:val="000000"/>
          <w:spacing w:val="20"/>
          <w:szCs w:val="23"/>
        </w:rPr>
      </w:pPr>
    </w:p>
    <w:p w:rsidR="00E91C2E" w:rsidRDefault="00E91C2E">
      <w:pPr>
        <w:rPr>
          <w:rFonts w:ascii="Arial" w:hAnsi="Arial" w:cs="Arial"/>
          <w:b/>
          <w:bCs/>
          <w:color w:val="000000"/>
          <w:spacing w:val="20"/>
          <w:szCs w:val="23"/>
        </w:rPr>
      </w:pPr>
      <w:r>
        <w:rPr>
          <w:rFonts w:ascii="Arial" w:hAnsi="Arial" w:cs="Arial"/>
          <w:b/>
          <w:bCs/>
          <w:color w:val="000000"/>
          <w:spacing w:val="20"/>
          <w:szCs w:val="23"/>
        </w:rPr>
        <w:br w:type="page"/>
      </w:r>
    </w:p>
    <w:p w:rsidR="00EE5CF1" w:rsidRPr="000F7669" w:rsidRDefault="00EE5CF1" w:rsidP="00EE5CF1">
      <w:pPr>
        <w:spacing w:before="120" w:after="240"/>
        <w:contextualSpacing/>
        <w:jc w:val="both"/>
        <w:rPr>
          <w:rFonts w:ascii="Arial" w:hAnsi="Arial" w:cs="Arial"/>
          <w:b/>
          <w:bCs/>
          <w:color w:val="000000"/>
          <w:spacing w:val="20"/>
          <w:szCs w:val="23"/>
        </w:rPr>
      </w:pPr>
      <w:r>
        <w:rPr>
          <w:rFonts w:ascii="Arial" w:hAnsi="Arial" w:cs="Arial"/>
          <w:b/>
          <w:bCs/>
          <w:color w:val="000000"/>
          <w:spacing w:val="20"/>
          <w:szCs w:val="23"/>
        </w:rPr>
        <w:lastRenderedPageBreak/>
        <w:t xml:space="preserve">4.1.3.- </w:t>
      </w:r>
      <w:r w:rsidR="00E91C2E" w:rsidRPr="000F7669">
        <w:rPr>
          <w:rFonts w:ascii="Arial" w:hAnsi="Arial" w:cs="Arial"/>
          <w:b/>
          <w:bCs/>
          <w:color w:val="000000"/>
          <w:spacing w:val="20"/>
          <w:szCs w:val="23"/>
        </w:rPr>
        <w:t>DISPOSICIONES DEL MARCO NORMATIVO</w:t>
      </w:r>
    </w:p>
    <w:p w:rsidR="00EE5CF1" w:rsidRPr="000F7669" w:rsidRDefault="00EE5CF1" w:rsidP="00EE5CF1">
      <w:pPr>
        <w:pStyle w:val="Default"/>
        <w:contextualSpacing/>
        <w:jc w:val="both"/>
        <w:rPr>
          <w:color w:val="auto"/>
          <w:spacing w:val="20"/>
          <w:szCs w:val="23"/>
        </w:rPr>
      </w:pPr>
      <w:r w:rsidRPr="000F7669">
        <w:rPr>
          <w:color w:val="auto"/>
          <w:spacing w:val="20"/>
          <w:szCs w:val="23"/>
        </w:rPr>
        <w:t xml:space="preserve">Con el fin de que las decisiones sobre las finanzas públicas se adopten bajo el amparo de un marco normativo moderno, dinámico y acorde con las mejores prácticas nacionales e internacionales, en 2015 se consolidó el andamiaje técnico normativo previsto en la Ley General de Contabilidad Gubernamental (LGCG), en vigor desde el 1 de enero de 2009. Fortaleciendo la base para aquellas acciones encaminadas a mejorar el uso honesto, eficiente y transparente de los recursos públicos. </w:t>
      </w:r>
    </w:p>
    <w:p w:rsidR="00EE5CF1" w:rsidRPr="000F7669" w:rsidRDefault="00EE5CF1" w:rsidP="00EE5CF1">
      <w:pPr>
        <w:pStyle w:val="Default"/>
        <w:contextualSpacing/>
        <w:jc w:val="both"/>
        <w:rPr>
          <w:color w:val="auto"/>
          <w:spacing w:val="20"/>
          <w:szCs w:val="23"/>
        </w:rPr>
      </w:pP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Se fortalecieron los trabajos de la instrumentación del modelo de contabilidad gubernamental</w:t>
      </w:r>
      <w:r w:rsidR="008D24A0">
        <w:rPr>
          <w:rFonts w:ascii="Arial" w:hAnsi="Arial" w:cs="Arial"/>
          <w:spacing w:val="20"/>
          <w:sz w:val="24"/>
          <w:szCs w:val="23"/>
          <w:lang w:val="es-ES"/>
        </w:rPr>
        <w:t>,</w:t>
      </w:r>
      <w:r w:rsidRPr="000F7669">
        <w:rPr>
          <w:rFonts w:ascii="Arial" w:hAnsi="Arial" w:cs="Arial"/>
          <w:spacing w:val="20"/>
          <w:sz w:val="24"/>
          <w:szCs w:val="23"/>
          <w:lang w:val="es-ES"/>
        </w:rPr>
        <w:t xml:space="preserve"> armonizado entre los tres poderes (Legislativo, Ejecutivo y Judicial) y en los tres niveles de Gobierno (Federal, Estatal y Municipal), que mejorará el registro en tiempo real de las operaciones presupuestarias y contables de la gestión pública de manera homogénea, armónica, delimitada y específica, ejercicio indispensable en la mejora de la transparencia y rendición de cuentas a nivel nacional e internacional.</w:t>
      </w:r>
    </w:p>
    <w:p w:rsidR="00EE5CF1" w:rsidRPr="000F7669" w:rsidRDefault="00EE5CF1" w:rsidP="00EE5CF1">
      <w:pPr>
        <w:pStyle w:val="Prrafodelista"/>
        <w:ind w:left="0"/>
        <w:contextualSpacing/>
        <w:jc w:val="both"/>
        <w:rPr>
          <w:rFonts w:ascii="Arial" w:hAnsi="Arial" w:cs="Arial"/>
          <w:spacing w:val="20"/>
          <w:sz w:val="24"/>
          <w:szCs w:val="23"/>
          <w:lang w:val="es-ES"/>
        </w:rPr>
      </w:pPr>
    </w:p>
    <w:p w:rsidR="00EE5CF1" w:rsidRPr="000F7669" w:rsidRDefault="00EE5CF1" w:rsidP="00EE5CF1">
      <w:pPr>
        <w:pStyle w:val="Prrafodelista"/>
        <w:ind w:left="0"/>
        <w:contextualSpacing/>
        <w:jc w:val="both"/>
        <w:rPr>
          <w:rFonts w:ascii="Arial" w:hAnsi="Arial" w:cs="Arial"/>
          <w:spacing w:val="20"/>
          <w:sz w:val="24"/>
          <w:szCs w:val="23"/>
        </w:rPr>
      </w:pPr>
      <w:r w:rsidRPr="000F7669">
        <w:rPr>
          <w:rFonts w:ascii="Arial" w:hAnsi="Arial" w:cs="Arial"/>
          <w:spacing w:val="20"/>
          <w:sz w:val="24"/>
          <w:szCs w:val="23"/>
        </w:rPr>
        <w:t xml:space="preserve">Es por ello que la guía del quehacer público en materia de gasto se basó principalmente en cuatro documentos normativos: Ley Estatal de Presupuesto y Responsabilidad Hacendaria y su Reglamento, Decreto de Presupuesto de Egresos del Estado de Oaxaca para el Ejercicio Fiscal 2015 y el Manual de Planeación, Programación y </w:t>
      </w:r>
      <w:proofErr w:type="spellStart"/>
      <w:r w:rsidRPr="000F7669">
        <w:rPr>
          <w:rFonts w:ascii="Arial" w:hAnsi="Arial" w:cs="Arial"/>
          <w:spacing w:val="20"/>
          <w:sz w:val="24"/>
          <w:szCs w:val="23"/>
        </w:rPr>
        <w:t>Presupuestación</w:t>
      </w:r>
      <w:proofErr w:type="spellEnd"/>
      <w:r w:rsidRPr="000F7669">
        <w:rPr>
          <w:rFonts w:ascii="Arial" w:hAnsi="Arial" w:cs="Arial"/>
          <w:spacing w:val="20"/>
          <w:sz w:val="24"/>
          <w:szCs w:val="23"/>
        </w:rPr>
        <w:t xml:space="preserve"> 2015 durante la integración del Presupuesto de Egresos, mismos que están a disposición de la ciudadanía en la página electrónica de la Secretaría de Finanzas.</w:t>
      </w:r>
    </w:p>
    <w:p w:rsidR="00EE5CF1" w:rsidRPr="000F7669" w:rsidRDefault="00EE5CF1" w:rsidP="00EE5CF1">
      <w:pPr>
        <w:pStyle w:val="Prrafodelista"/>
        <w:ind w:left="0"/>
        <w:contextualSpacing/>
        <w:jc w:val="both"/>
        <w:rPr>
          <w:rFonts w:ascii="Arial" w:hAnsi="Arial" w:cs="Arial"/>
          <w:spacing w:val="20"/>
          <w:sz w:val="24"/>
          <w:szCs w:val="23"/>
        </w:rPr>
      </w:pPr>
    </w:p>
    <w:p w:rsidR="00EE5CF1" w:rsidRPr="000F7669" w:rsidRDefault="00EE5CF1" w:rsidP="00EE5CF1">
      <w:pPr>
        <w:pStyle w:val="Prrafodelista"/>
        <w:ind w:left="0"/>
        <w:contextualSpacing/>
        <w:jc w:val="both"/>
        <w:rPr>
          <w:rFonts w:ascii="Arial" w:hAnsi="Arial" w:cs="Arial"/>
          <w:spacing w:val="20"/>
          <w:sz w:val="24"/>
          <w:szCs w:val="23"/>
        </w:rPr>
      </w:pPr>
      <w:r w:rsidRPr="000F7669">
        <w:rPr>
          <w:rFonts w:ascii="Arial" w:hAnsi="Arial" w:cs="Arial"/>
          <w:spacing w:val="20"/>
          <w:sz w:val="24"/>
          <w:szCs w:val="23"/>
        </w:rPr>
        <w:t>Para la integración del Presupuesto de Egresos 2015</w:t>
      </w:r>
      <w:r w:rsidR="008D24A0">
        <w:rPr>
          <w:rFonts w:ascii="Arial" w:hAnsi="Arial" w:cs="Arial"/>
          <w:spacing w:val="20"/>
          <w:sz w:val="24"/>
          <w:szCs w:val="23"/>
        </w:rPr>
        <w:t>,</w:t>
      </w:r>
      <w:r w:rsidRPr="000F7669">
        <w:rPr>
          <w:rFonts w:ascii="Arial" w:hAnsi="Arial" w:cs="Arial"/>
          <w:spacing w:val="20"/>
          <w:sz w:val="24"/>
          <w:szCs w:val="23"/>
        </w:rPr>
        <w:t xml:space="preserve"> se utilizó la estructura programática y metodología del marco lógico, la cual es utilizada por diversos organismos nacionales e internacionales (CONEVAL, INDETEC, ILPES-CEPAL, BID, Banco Mundial, OCDE, entre otros), dicha metodología permite definir la priorización para la atención de la problemática más sentida de la población, reorientando los esfuerzos y recursos públicos con una participación interinstitucional. Por lo que, el uso de ésta permitió crear programas y proyectos que impactaron directamente en el aumento del índice de Desarrollo Humano y Competitividad del Estado de Oaxaca, concentrándose en temas prioritarios como infraestructura, salud, educación, teniendo muy presente en cada acción las políticas transversales: Equidad de género, derechos humanos, población indígena y sustentabilidad.</w:t>
      </w:r>
    </w:p>
    <w:p w:rsidR="00EE5CF1" w:rsidRPr="000F7669" w:rsidRDefault="00EE5CF1" w:rsidP="00EE5CF1">
      <w:pPr>
        <w:pStyle w:val="Prrafodelista"/>
        <w:ind w:left="0"/>
        <w:contextualSpacing/>
        <w:jc w:val="both"/>
        <w:rPr>
          <w:rFonts w:ascii="Arial" w:hAnsi="Arial" w:cs="Arial"/>
          <w:spacing w:val="20"/>
          <w:sz w:val="24"/>
          <w:szCs w:val="23"/>
        </w:rPr>
      </w:pPr>
    </w:p>
    <w:p w:rsidR="00EE5CF1" w:rsidRPr="000F7669" w:rsidRDefault="00EE5CF1" w:rsidP="00EE5CF1">
      <w:pPr>
        <w:pStyle w:val="Prrafodelista"/>
        <w:ind w:left="0"/>
        <w:contextualSpacing/>
        <w:jc w:val="both"/>
        <w:rPr>
          <w:rFonts w:ascii="Arial" w:hAnsi="Arial" w:cs="Arial"/>
          <w:spacing w:val="20"/>
          <w:sz w:val="24"/>
          <w:szCs w:val="23"/>
        </w:rPr>
      </w:pPr>
      <w:r w:rsidRPr="000F7669">
        <w:rPr>
          <w:rFonts w:ascii="Arial" w:hAnsi="Arial" w:cs="Arial"/>
          <w:spacing w:val="20"/>
          <w:sz w:val="24"/>
          <w:szCs w:val="23"/>
        </w:rPr>
        <w:lastRenderedPageBreak/>
        <w:t xml:space="preserve">La Ley Estatal de Presupuesto y Responsabilidad Hacendaria y su Reglamento, se ubican a la vanguardia en materia del equilibrio presupuestario sostenible y de los principios de responsabilidad hacendaria; de la programación, </w:t>
      </w:r>
      <w:proofErr w:type="spellStart"/>
      <w:r w:rsidRPr="000F7669">
        <w:rPr>
          <w:rFonts w:ascii="Arial" w:hAnsi="Arial" w:cs="Arial"/>
          <w:spacing w:val="20"/>
          <w:sz w:val="24"/>
          <w:szCs w:val="23"/>
        </w:rPr>
        <w:t>presupuestación</w:t>
      </w:r>
      <w:proofErr w:type="spellEnd"/>
      <w:r w:rsidRPr="000F7669">
        <w:rPr>
          <w:rFonts w:ascii="Arial" w:hAnsi="Arial" w:cs="Arial"/>
          <w:spacing w:val="20"/>
          <w:sz w:val="24"/>
          <w:szCs w:val="23"/>
        </w:rPr>
        <w:t xml:space="preserve"> y ejercicio del gasto; de la austeridad y disciplina presupuestaria; de la transparencia y acceso a la información pública; y, evaluación del desempeño.</w:t>
      </w:r>
    </w:p>
    <w:p w:rsidR="00EE5CF1" w:rsidRPr="000F7669" w:rsidRDefault="00EE5CF1" w:rsidP="00EE5CF1">
      <w:pPr>
        <w:pStyle w:val="Prrafodelista"/>
        <w:ind w:left="0"/>
        <w:contextualSpacing/>
        <w:jc w:val="both"/>
        <w:rPr>
          <w:rFonts w:ascii="Arial" w:hAnsi="Arial" w:cs="Arial"/>
          <w:spacing w:val="20"/>
          <w:sz w:val="24"/>
          <w:szCs w:val="23"/>
        </w:rPr>
      </w:pP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rPr>
        <w:t xml:space="preserve">El Decreto de Presupuesto de Egresos para el Ejercicio Fiscal 2015, es consistente con la Ley Estatal de Presupuesto y Responsabilidad Hacendaria, considera varios instrumentos de la gestión pública para resultados, sobresaliendo dentro de sus herramientas, el uso de la metodología de </w:t>
      </w:r>
      <w:proofErr w:type="spellStart"/>
      <w:r w:rsidRPr="000F7669">
        <w:rPr>
          <w:rFonts w:ascii="Arial" w:hAnsi="Arial" w:cs="Arial"/>
          <w:spacing w:val="20"/>
          <w:sz w:val="24"/>
          <w:szCs w:val="23"/>
        </w:rPr>
        <w:t>presupuestación</w:t>
      </w:r>
      <w:proofErr w:type="spellEnd"/>
      <w:r w:rsidRPr="000F7669">
        <w:rPr>
          <w:rFonts w:ascii="Arial" w:hAnsi="Arial" w:cs="Arial"/>
          <w:spacing w:val="20"/>
          <w:sz w:val="24"/>
          <w:szCs w:val="23"/>
        </w:rPr>
        <w:t xml:space="preserve"> con base a resultados. Que además de alinearse a las disposiciones establecidas en la Ley General de Contabilidad Gubernamental y las emitidas por el Consejo Nacional de Armonización Contable (CONAC), amplía el marco normativo en la aplicación de las medidas de racionalidad, austeridad y disciplina presupuestaria, utilizando los diferentes clasificadores presupuestarios homologados por el CONAC, para uso de los tres niveles de gobierno.</w:t>
      </w:r>
    </w:p>
    <w:p w:rsidR="00EE5CF1" w:rsidRPr="000F7669" w:rsidRDefault="00EE5CF1" w:rsidP="00EE5CF1">
      <w:pPr>
        <w:tabs>
          <w:tab w:val="left" w:pos="3416"/>
        </w:tabs>
        <w:spacing w:before="120" w:after="240"/>
        <w:contextualSpacing/>
        <w:jc w:val="both"/>
        <w:rPr>
          <w:rFonts w:ascii="Arial" w:hAnsi="Arial"/>
          <w:spacing w:val="20"/>
        </w:rPr>
      </w:pPr>
      <w:r w:rsidRPr="000F7669">
        <w:rPr>
          <w:rFonts w:ascii="Arial" w:hAnsi="Arial"/>
          <w:spacing w:val="20"/>
        </w:rPr>
        <w:tab/>
        <w:t xml:space="preserve"> </w:t>
      </w:r>
    </w:p>
    <w:p w:rsidR="00E91C2E" w:rsidRDefault="00E91C2E">
      <w:pPr>
        <w:rPr>
          <w:rFonts w:ascii="Arial" w:hAnsi="Arial" w:cs="Arial"/>
          <w:b/>
          <w:bCs/>
          <w:color w:val="000000"/>
          <w:spacing w:val="20"/>
          <w:szCs w:val="23"/>
        </w:rPr>
      </w:pPr>
      <w:r>
        <w:rPr>
          <w:rFonts w:ascii="Arial" w:hAnsi="Arial" w:cs="Arial"/>
          <w:b/>
          <w:bCs/>
          <w:color w:val="000000"/>
          <w:spacing w:val="20"/>
          <w:szCs w:val="23"/>
        </w:rPr>
        <w:br w:type="page"/>
      </w:r>
    </w:p>
    <w:p w:rsidR="00EE5CF1" w:rsidRDefault="00EE5CF1" w:rsidP="00E91C2E">
      <w:pPr>
        <w:tabs>
          <w:tab w:val="left" w:pos="8020"/>
        </w:tabs>
        <w:spacing w:before="120" w:after="240"/>
        <w:ind w:left="280" w:hanging="280"/>
        <w:contextualSpacing/>
        <w:jc w:val="both"/>
        <w:rPr>
          <w:rFonts w:ascii="Arial" w:hAnsi="Arial" w:cs="Arial"/>
          <w:b/>
          <w:bCs/>
          <w:color w:val="000000"/>
          <w:spacing w:val="20"/>
          <w:szCs w:val="23"/>
        </w:rPr>
      </w:pPr>
      <w:r>
        <w:rPr>
          <w:rFonts w:ascii="Arial" w:hAnsi="Arial" w:cs="Arial"/>
          <w:b/>
          <w:bCs/>
          <w:color w:val="000000"/>
          <w:spacing w:val="20"/>
          <w:szCs w:val="23"/>
        </w:rPr>
        <w:lastRenderedPageBreak/>
        <w:t>4.1.4.-</w:t>
      </w:r>
      <w:r w:rsidR="00E91C2E" w:rsidRPr="000F7669">
        <w:rPr>
          <w:rFonts w:ascii="Arial" w:hAnsi="Arial" w:cs="Arial"/>
          <w:b/>
          <w:bCs/>
          <w:color w:val="000000"/>
          <w:spacing w:val="20"/>
          <w:szCs w:val="23"/>
        </w:rPr>
        <w:t>GASTANDO MÁS EN LA GENTE Y MENOS EN EL GOBIERNO.</w:t>
      </w:r>
      <w:r w:rsidR="00E91C2E">
        <w:rPr>
          <w:rFonts w:ascii="Arial" w:hAnsi="Arial" w:cs="Arial"/>
          <w:b/>
          <w:bCs/>
          <w:color w:val="000000"/>
          <w:spacing w:val="20"/>
          <w:szCs w:val="23"/>
        </w:rPr>
        <w:tab/>
      </w:r>
    </w:p>
    <w:p w:rsidR="00EE5CF1" w:rsidRPr="000F7669" w:rsidRDefault="00EE5CF1" w:rsidP="00EE5CF1">
      <w:pPr>
        <w:spacing w:before="120" w:after="240"/>
        <w:ind w:left="280" w:hanging="28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presente administración ejerce el gasto público cada vez de forma más eficiente, levantando todas las inquietudes de la ciudadanía a través de las audiencias públicas con el Gobernador y su gabinete, cumpliendo así con uno de sus compromisos adquiridos durante la campaña, fomentando el di</w:t>
      </w:r>
      <w:r w:rsidR="008D24A0">
        <w:rPr>
          <w:rFonts w:ascii="Arial" w:hAnsi="Arial" w:cs="Arial"/>
          <w:spacing w:val="20"/>
          <w:szCs w:val="23"/>
        </w:rPr>
        <w:t>á</w:t>
      </w:r>
      <w:r w:rsidRPr="000F7669">
        <w:rPr>
          <w:rFonts w:ascii="Arial" w:hAnsi="Arial" w:cs="Arial"/>
          <w:spacing w:val="20"/>
          <w:szCs w:val="23"/>
        </w:rPr>
        <w:t>logo</w:t>
      </w:r>
      <w:r w:rsidR="008D24A0">
        <w:rPr>
          <w:rFonts w:ascii="Arial" w:hAnsi="Arial" w:cs="Arial"/>
          <w:spacing w:val="20"/>
          <w:szCs w:val="23"/>
        </w:rPr>
        <w:t xml:space="preserve"> </w:t>
      </w:r>
      <w:r w:rsidRPr="000F7669">
        <w:rPr>
          <w:rFonts w:ascii="Arial" w:hAnsi="Arial" w:cs="Arial"/>
          <w:spacing w:val="20"/>
          <w:szCs w:val="23"/>
        </w:rPr>
        <w:t>y el libre acceso a los servicios que se generan por el sector público.</w:t>
      </w:r>
    </w:p>
    <w:p w:rsidR="00EE5CF1" w:rsidRPr="000F7669" w:rsidRDefault="00EE5CF1" w:rsidP="00EE5CF1">
      <w:pPr>
        <w:spacing w:before="120" w:after="240"/>
        <w:contextualSpacing/>
        <w:jc w:val="both"/>
        <w:rPr>
          <w:rFonts w:ascii="Arial" w:hAnsi="Arial" w:cs="Arial"/>
          <w:spacing w:val="20"/>
          <w:szCs w:val="23"/>
        </w:rPr>
      </w:pPr>
    </w:p>
    <w:p w:rsidR="00EE5CF1" w:rsidRPr="000F7669" w:rsidRDefault="00EE5CF1" w:rsidP="00EE5CF1">
      <w:pPr>
        <w:spacing w:before="120"/>
        <w:contextualSpacing/>
        <w:jc w:val="both"/>
        <w:rPr>
          <w:rFonts w:ascii="Arial" w:hAnsi="Arial" w:cs="Arial"/>
          <w:spacing w:val="20"/>
          <w:szCs w:val="23"/>
        </w:rPr>
      </w:pPr>
      <w:r w:rsidRPr="000F7669">
        <w:rPr>
          <w:rFonts w:ascii="Arial" w:hAnsi="Arial" w:cs="Arial"/>
          <w:spacing w:val="20"/>
          <w:szCs w:val="23"/>
        </w:rPr>
        <w:t xml:space="preserve">Así mismo, se realizó un análisis situacional en cada Ejecutor de gasto para armonizar la razón de ser de </w:t>
      </w:r>
      <w:r w:rsidR="008D24A0">
        <w:rPr>
          <w:rFonts w:ascii="Arial" w:hAnsi="Arial" w:cs="Arial"/>
          <w:spacing w:val="20"/>
          <w:szCs w:val="23"/>
        </w:rPr>
        <w:t>este</w:t>
      </w:r>
      <w:r w:rsidRPr="000F7669">
        <w:rPr>
          <w:rFonts w:ascii="Arial" w:hAnsi="Arial" w:cs="Arial"/>
          <w:spacing w:val="20"/>
          <w:szCs w:val="23"/>
        </w:rPr>
        <w:t xml:space="preserve"> a partir de su mandato institucional</w:t>
      </w:r>
      <w:r w:rsidR="008D24A0">
        <w:rPr>
          <w:rFonts w:ascii="Arial" w:hAnsi="Arial" w:cs="Arial"/>
          <w:spacing w:val="20"/>
          <w:szCs w:val="23"/>
        </w:rPr>
        <w:t>,</w:t>
      </w:r>
      <w:r w:rsidRPr="000F7669">
        <w:rPr>
          <w:rFonts w:ascii="Arial" w:hAnsi="Arial" w:cs="Arial"/>
          <w:spacing w:val="20"/>
          <w:szCs w:val="23"/>
        </w:rPr>
        <w:t xml:space="preserve"> así como las atribuciones, competencias y facultades establecidas en su base legal de creación. El análisis permitió definir o adecuar la misión, visión y objetivo general de</w:t>
      </w:r>
      <w:r w:rsidR="008D24A0">
        <w:rPr>
          <w:rFonts w:ascii="Arial" w:hAnsi="Arial" w:cs="Arial"/>
          <w:spacing w:val="20"/>
          <w:szCs w:val="23"/>
        </w:rPr>
        <w:t xml:space="preserve"> cada ejecutor del gasto</w:t>
      </w:r>
      <w:r w:rsidRPr="000F7669">
        <w:rPr>
          <w:rFonts w:ascii="Arial" w:hAnsi="Arial" w:cs="Arial"/>
          <w:spacing w:val="20"/>
          <w:szCs w:val="23"/>
        </w:rPr>
        <w:t xml:space="preserve">, así como establecer el vínculo con las políticas públicas a nivel Federal y Estatal. </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En la realización de dicho análisis, cada Ejecutor de gasto se cuestionó asimismo: ¿Cuáles son las prioridades institucionales para el cumplimiento con lo dispuesto en su base legal de creación?; ¿Qué bienes o servicios genera y provee a la sociedad?; ¿A quiénes entrega esos bienes o servicios?; ¿Cuáles son las metas que se proponen?; y, ¿Qué capacidades tiene para proveer el servicio?</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autoSpaceDE w:val="0"/>
        <w:autoSpaceDN w:val="0"/>
        <w:adjustRightInd w:val="0"/>
        <w:contextualSpacing/>
        <w:jc w:val="both"/>
        <w:rPr>
          <w:rFonts w:ascii="Arial" w:hAnsi="Arial" w:cs="Arial"/>
          <w:spacing w:val="20"/>
          <w:szCs w:val="23"/>
        </w:rPr>
      </w:pPr>
      <w:r w:rsidRPr="000F7669">
        <w:rPr>
          <w:rFonts w:ascii="Arial" w:hAnsi="Arial" w:cs="Arial"/>
          <w:spacing w:val="20"/>
          <w:szCs w:val="23"/>
        </w:rPr>
        <w:t>Lo anterior</w:t>
      </w:r>
      <w:r w:rsidR="008D24A0">
        <w:rPr>
          <w:rFonts w:ascii="Arial" w:hAnsi="Arial" w:cs="Arial"/>
          <w:spacing w:val="20"/>
          <w:szCs w:val="23"/>
        </w:rPr>
        <w:t>,</w:t>
      </w:r>
      <w:r w:rsidRPr="000F7669">
        <w:rPr>
          <w:rFonts w:ascii="Arial" w:hAnsi="Arial" w:cs="Arial"/>
          <w:spacing w:val="20"/>
          <w:szCs w:val="23"/>
        </w:rPr>
        <w:t xml:space="preserve"> dio como resultado que el presupuesto se enfocara más en establecer prioridades en la asignación del gasto, en función de las necesidades de quienes son la razón de ser de las Instituciones, en los destinatarios finales: “los ciudadanos”.</w:t>
      </w:r>
    </w:p>
    <w:p w:rsidR="00EE5CF1" w:rsidRPr="000F7669" w:rsidRDefault="00EE5CF1" w:rsidP="00EE5CF1">
      <w:pPr>
        <w:autoSpaceDE w:val="0"/>
        <w:autoSpaceDN w:val="0"/>
        <w:adjustRightInd w:val="0"/>
        <w:contextualSpacing/>
        <w:jc w:val="both"/>
        <w:rPr>
          <w:rFonts w:ascii="Arial" w:hAnsi="Arial" w:cs="Arial"/>
          <w:spacing w:val="20"/>
          <w:szCs w:val="23"/>
        </w:rPr>
      </w:pPr>
    </w:p>
    <w:p w:rsidR="00E91C2E" w:rsidRDefault="00E91C2E">
      <w:pPr>
        <w:rPr>
          <w:rFonts w:ascii="Arial" w:hAnsi="Arial" w:cs="Arial"/>
          <w:b/>
          <w:bCs/>
          <w:color w:val="000000"/>
          <w:spacing w:val="20"/>
          <w:szCs w:val="23"/>
        </w:rPr>
      </w:pPr>
      <w:r>
        <w:rPr>
          <w:rFonts w:ascii="Arial" w:hAnsi="Arial" w:cs="Arial"/>
          <w:b/>
          <w:bCs/>
          <w:color w:val="000000"/>
          <w:spacing w:val="20"/>
          <w:szCs w:val="23"/>
        </w:rPr>
        <w:br w:type="page"/>
      </w:r>
    </w:p>
    <w:p w:rsidR="00EE5CF1" w:rsidRPr="000F7669" w:rsidRDefault="00EE5CF1" w:rsidP="00EE5CF1">
      <w:pPr>
        <w:spacing w:before="120" w:after="240"/>
        <w:ind w:left="280" w:hanging="280"/>
        <w:contextualSpacing/>
        <w:jc w:val="both"/>
        <w:rPr>
          <w:rFonts w:ascii="Arial" w:hAnsi="Arial" w:cs="Arial"/>
          <w:b/>
          <w:bCs/>
          <w:color w:val="000000"/>
          <w:spacing w:val="20"/>
          <w:szCs w:val="23"/>
        </w:rPr>
      </w:pPr>
      <w:r>
        <w:rPr>
          <w:rFonts w:ascii="Arial" w:hAnsi="Arial" w:cs="Arial"/>
          <w:b/>
          <w:bCs/>
          <w:color w:val="000000"/>
          <w:spacing w:val="20"/>
          <w:szCs w:val="23"/>
        </w:rPr>
        <w:lastRenderedPageBreak/>
        <w:t xml:space="preserve">4.1.5.- </w:t>
      </w:r>
      <w:r w:rsidR="00E91C2E" w:rsidRPr="000F7669">
        <w:rPr>
          <w:rFonts w:ascii="Arial" w:hAnsi="Arial" w:cs="Arial"/>
          <w:b/>
          <w:bCs/>
          <w:color w:val="000000"/>
          <w:spacing w:val="20"/>
          <w:szCs w:val="23"/>
        </w:rPr>
        <w:t>MEJORA DE LA CALIDAD DEL GASTO PÚBLICO</w:t>
      </w:r>
      <w:r w:rsidRPr="000F7669">
        <w:rPr>
          <w:rFonts w:ascii="Arial" w:hAnsi="Arial" w:cs="Arial"/>
          <w:b/>
          <w:bCs/>
          <w:color w:val="000000"/>
          <w:spacing w:val="20"/>
          <w:szCs w:val="23"/>
        </w:rPr>
        <w:t>.</w:t>
      </w:r>
    </w:p>
    <w:p w:rsidR="00EE5CF1" w:rsidRPr="000F7669" w:rsidRDefault="00EE5CF1" w:rsidP="00EE5CF1">
      <w:pPr>
        <w:pStyle w:val="Default"/>
        <w:contextualSpacing/>
        <w:jc w:val="both"/>
        <w:rPr>
          <w:color w:val="auto"/>
          <w:spacing w:val="20"/>
          <w:szCs w:val="23"/>
        </w:rPr>
      </w:pPr>
      <w:r w:rsidRPr="000F7669">
        <w:rPr>
          <w:color w:val="auto"/>
          <w:spacing w:val="20"/>
          <w:szCs w:val="23"/>
        </w:rPr>
        <w:t>Existen finanzas públicas sanas cuando hay equilibrio sostenible entre los ingresos y los egresos, de tal manera que los recursos que se recaudan o ingresan a las arcas del Estado sean suficientes para el desarrollo de las actividades económicas, que provean los bienes y servicios para satisfacer las necesidades básicas de la población, como son</w:t>
      </w:r>
      <w:r w:rsidR="008D24A0">
        <w:rPr>
          <w:color w:val="auto"/>
          <w:spacing w:val="20"/>
          <w:szCs w:val="23"/>
        </w:rPr>
        <w:t>:</w:t>
      </w:r>
      <w:r w:rsidRPr="000F7669">
        <w:rPr>
          <w:color w:val="auto"/>
          <w:spacing w:val="20"/>
          <w:szCs w:val="23"/>
        </w:rPr>
        <w:t xml:space="preserve"> la seguridad, la administración de justicia, la educación, la salud y los programas sociales que contribuyen a mejorar las condiciones de vida en los sectores más vulnerables de la población oaxaqueña.</w:t>
      </w:r>
    </w:p>
    <w:p w:rsidR="00EE5CF1" w:rsidRPr="000F7669" w:rsidRDefault="00EE5CF1" w:rsidP="00EE5CF1">
      <w:pPr>
        <w:pStyle w:val="Default"/>
        <w:contextualSpacing/>
        <w:jc w:val="both"/>
        <w:rPr>
          <w:color w:val="auto"/>
          <w:spacing w:val="20"/>
          <w:szCs w:val="23"/>
        </w:rPr>
      </w:pP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Las finanzas públicas del Gobierno del Estado</w:t>
      </w:r>
      <w:r w:rsidR="008D24A0">
        <w:rPr>
          <w:rFonts w:ascii="Arial" w:hAnsi="Arial" w:cs="Arial"/>
          <w:spacing w:val="20"/>
          <w:sz w:val="24"/>
          <w:szCs w:val="23"/>
          <w:lang w:val="es-ES"/>
        </w:rPr>
        <w:t xml:space="preserve">, </w:t>
      </w:r>
      <w:r w:rsidRPr="000F7669">
        <w:rPr>
          <w:rFonts w:ascii="Arial" w:hAnsi="Arial" w:cs="Arial"/>
          <w:spacing w:val="20"/>
          <w:sz w:val="24"/>
          <w:szCs w:val="23"/>
          <w:lang w:val="es-ES"/>
        </w:rPr>
        <w:t>han tenido un proceso de fortalecimiento, estabilidad y transparencia en el uso de los recursos, lo que permite afrontar con mayor certidumbre los retos de crecimiento económico y desarrollo social que se ha fijado la presente Administración.</w:t>
      </w:r>
    </w:p>
    <w:p w:rsidR="00EE5CF1" w:rsidRPr="000F7669" w:rsidRDefault="00EE5CF1" w:rsidP="00EE5CF1">
      <w:pPr>
        <w:pStyle w:val="Prrafodelista"/>
        <w:ind w:left="0"/>
        <w:contextualSpacing/>
        <w:jc w:val="both"/>
        <w:rPr>
          <w:rFonts w:ascii="Arial" w:hAnsi="Arial" w:cs="Arial"/>
          <w:spacing w:val="20"/>
          <w:sz w:val="24"/>
          <w:szCs w:val="23"/>
          <w:lang w:val="es-ES"/>
        </w:rPr>
      </w:pP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 xml:space="preserve">El Presupuesto de Egresos 2015, vinculó las metas de mediano plazo del PED con el proceso de planeación, programación y </w:t>
      </w:r>
      <w:proofErr w:type="spellStart"/>
      <w:r w:rsidRPr="000F7669">
        <w:rPr>
          <w:rFonts w:ascii="Arial" w:hAnsi="Arial" w:cs="Arial"/>
          <w:spacing w:val="20"/>
          <w:sz w:val="24"/>
          <w:szCs w:val="23"/>
          <w:lang w:val="es-ES"/>
        </w:rPr>
        <w:t>presupuestación</w:t>
      </w:r>
      <w:proofErr w:type="spellEnd"/>
      <w:r w:rsidRPr="000F7669">
        <w:rPr>
          <w:rFonts w:ascii="Arial" w:hAnsi="Arial" w:cs="Arial"/>
          <w:spacing w:val="20"/>
          <w:sz w:val="24"/>
          <w:szCs w:val="23"/>
          <w:lang w:val="es-ES"/>
        </w:rPr>
        <w:t xml:space="preserve"> anual. </w:t>
      </w:r>
    </w:p>
    <w:p w:rsidR="00EE5CF1" w:rsidRPr="000F7669" w:rsidRDefault="00EE5CF1" w:rsidP="00EE5CF1">
      <w:pPr>
        <w:pStyle w:val="Prrafodelista"/>
        <w:ind w:left="0"/>
        <w:contextualSpacing/>
        <w:jc w:val="both"/>
        <w:rPr>
          <w:rFonts w:ascii="Arial" w:hAnsi="Arial" w:cs="Arial"/>
          <w:spacing w:val="20"/>
          <w:sz w:val="24"/>
          <w:szCs w:val="23"/>
          <w:lang w:val="es-ES"/>
        </w:rPr>
      </w:pP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La ampliación de la base tributaria y un uso más eficiente de los recursos financieros, materiales y humanos, propició disponer de mayores recursos fiscales que permitió alcanzar las metas proyectadas, acompañándolos de un proceso claro de seguimiento y de rendición de cuentas hacia los ciudadanos.</w:t>
      </w:r>
    </w:p>
    <w:p w:rsidR="00EE5CF1" w:rsidRPr="000F7669" w:rsidRDefault="00EE5CF1" w:rsidP="00EE5CF1">
      <w:pPr>
        <w:pStyle w:val="Prrafodelista"/>
        <w:ind w:left="0"/>
        <w:contextualSpacing/>
        <w:jc w:val="both"/>
        <w:rPr>
          <w:rFonts w:ascii="Arial" w:hAnsi="Arial" w:cs="Arial"/>
          <w:spacing w:val="20"/>
          <w:sz w:val="24"/>
          <w:szCs w:val="23"/>
          <w:lang w:val="es-ES"/>
        </w:rPr>
      </w:pP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rPr>
        <w:t>Para avanzar en la mejora del gasto público, se realizaron adecuaciones en las etapas de planeación y programación del proceso presupuestario. En estas fases, se definieron con base en la Metodología del Marco Lógico, los programas, proyectos, acciones y actividades a cargo de los Ejecutores de gasto para beneficio directo de la población oaxaqueña.</w:t>
      </w: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Como parte de lo anterior, el ejercicio fiscal 2015 se ejerció mediante una estructura programática diseñada para reorientar los recursos públicos y poder hacer rendir los presupuestos, a fin de cumplir con los objetivos de los programas y proyectos, perfectamente alineados al contenido del Plan Estatal de Desarrollo 2011-2016.</w:t>
      </w: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El gasto público con orientación social</w:t>
      </w:r>
      <w:r w:rsidR="008D24A0">
        <w:rPr>
          <w:rFonts w:ascii="Arial" w:hAnsi="Arial" w:cs="Arial"/>
          <w:spacing w:val="20"/>
          <w:sz w:val="24"/>
          <w:szCs w:val="23"/>
          <w:lang w:val="es-ES"/>
        </w:rPr>
        <w:t>,</w:t>
      </w:r>
      <w:r w:rsidRPr="000F7669">
        <w:rPr>
          <w:rFonts w:ascii="Arial" w:hAnsi="Arial" w:cs="Arial"/>
          <w:spacing w:val="20"/>
          <w:sz w:val="24"/>
          <w:szCs w:val="23"/>
          <w:lang w:val="es-ES"/>
        </w:rPr>
        <w:t xml:space="preserve"> ha sido prioridad en Oaxaca desde el inicio de la presente administración; por lo que en este ejercicio se continuó realizando esfuerzos en todas las áreas para incrementar el </w:t>
      </w:r>
      <w:r w:rsidRPr="000F7669">
        <w:rPr>
          <w:rFonts w:ascii="Arial" w:hAnsi="Arial" w:cs="Arial"/>
          <w:spacing w:val="20"/>
          <w:sz w:val="24"/>
          <w:szCs w:val="23"/>
          <w:lang w:val="es-ES"/>
        </w:rPr>
        <w:lastRenderedPageBreak/>
        <w:t xml:space="preserve">gasto de inversión. Estos avances se reflejan en las evaluaciones y la medición del logro de las metas a través de diferentes indicadores y calificadoras. </w:t>
      </w:r>
    </w:p>
    <w:p w:rsidR="00EE5CF1" w:rsidRPr="000F7669" w:rsidRDefault="00EE5CF1" w:rsidP="00EE5CF1">
      <w:pPr>
        <w:pStyle w:val="Prrafodelista"/>
        <w:ind w:left="0"/>
        <w:contextualSpacing/>
        <w:jc w:val="both"/>
        <w:rPr>
          <w:rFonts w:ascii="Arial" w:hAnsi="Arial" w:cs="Arial"/>
          <w:spacing w:val="20"/>
          <w:sz w:val="24"/>
          <w:szCs w:val="23"/>
          <w:lang w:val="es-ES"/>
        </w:rPr>
      </w:pPr>
    </w:p>
    <w:p w:rsidR="00EE5CF1" w:rsidRPr="000F7669" w:rsidRDefault="00EE5CF1" w:rsidP="00EE5CF1">
      <w:pPr>
        <w:autoSpaceDE w:val="0"/>
        <w:autoSpaceDN w:val="0"/>
        <w:adjustRightInd w:val="0"/>
        <w:contextualSpacing/>
        <w:jc w:val="both"/>
        <w:rPr>
          <w:rFonts w:ascii="Arial" w:hAnsi="Arial" w:cs="Arial"/>
          <w:spacing w:val="20"/>
          <w:szCs w:val="23"/>
        </w:rPr>
      </w:pPr>
      <w:r w:rsidRPr="000F7669">
        <w:rPr>
          <w:rFonts w:ascii="Arial" w:hAnsi="Arial" w:cs="Arial"/>
          <w:spacing w:val="20"/>
          <w:szCs w:val="23"/>
        </w:rPr>
        <w:t>Para que el gasto se ejerciera eficientemente</w:t>
      </w:r>
      <w:r w:rsidR="008D24A0">
        <w:rPr>
          <w:rFonts w:ascii="Arial" w:hAnsi="Arial" w:cs="Arial"/>
          <w:spacing w:val="20"/>
          <w:szCs w:val="23"/>
        </w:rPr>
        <w:t>,</w:t>
      </w:r>
      <w:r w:rsidRPr="000F7669">
        <w:rPr>
          <w:rFonts w:ascii="Arial" w:hAnsi="Arial" w:cs="Arial"/>
          <w:spacing w:val="20"/>
          <w:szCs w:val="23"/>
        </w:rPr>
        <w:t xml:space="preserve"> se utilizó el Presupuesto basado en Resultados que nos ha permitido mejorar la calidad del gasto público; pero, su implementación no ha sido fácil, ha requerido tiempo e implicado un profundo cambio de cultura hacia el interior de la Administración Pública, por lo que se ha mejorado el funcionamiento del gobierno en lo que respecta a la disciplina fiscal, así como a la asignación y reasignación eficaz de recursos, garantizando la eficiente y eficaz prestación de servicios y rendición de cuentas de los mismos.</w:t>
      </w:r>
    </w:p>
    <w:p w:rsidR="00EE5CF1" w:rsidRPr="000F7669" w:rsidRDefault="00EE5CF1" w:rsidP="00EE5CF1">
      <w:pPr>
        <w:autoSpaceDE w:val="0"/>
        <w:autoSpaceDN w:val="0"/>
        <w:adjustRightInd w:val="0"/>
        <w:contextualSpacing/>
        <w:jc w:val="both"/>
        <w:rPr>
          <w:rFonts w:ascii="Arial" w:hAnsi="Arial" w:cs="Arial"/>
          <w:spacing w:val="20"/>
          <w:szCs w:val="23"/>
        </w:rPr>
      </w:pPr>
    </w:p>
    <w:p w:rsidR="00EE5CF1" w:rsidRPr="000F7669" w:rsidRDefault="00EE5CF1" w:rsidP="00EE5CF1">
      <w:pPr>
        <w:autoSpaceDE w:val="0"/>
        <w:autoSpaceDN w:val="0"/>
        <w:adjustRightInd w:val="0"/>
        <w:contextualSpacing/>
        <w:jc w:val="both"/>
        <w:rPr>
          <w:rFonts w:ascii="Arial" w:hAnsi="Arial" w:cs="Arial"/>
          <w:spacing w:val="20"/>
          <w:szCs w:val="23"/>
        </w:rPr>
      </w:pPr>
    </w:p>
    <w:p w:rsidR="00E91C2E" w:rsidRDefault="00E91C2E">
      <w:pPr>
        <w:rPr>
          <w:rFonts w:ascii="Arial" w:hAnsi="Arial" w:cs="Arial"/>
          <w:b/>
          <w:bCs/>
          <w:color w:val="000000"/>
          <w:spacing w:val="20"/>
          <w:szCs w:val="23"/>
        </w:rPr>
      </w:pPr>
      <w:r>
        <w:rPr>
          <w:rFonts w:ascii="Arial" w:hAnsi="Arial" w:cs="Arial"/>
          <w:b/>
          <w:bCs/>
          <w:color w:val="000000"/>
          <w:spacing w:val="20"/>
          <w:szCs w:val="23"/>
        </w:rPr>
        <w:br w:type="page"/>
      </w:r>
    </w:p>
    <w:p w:rsidR="00EE5CF1" w:rsidRPr="00EE5CF1" w:rsidRDefault="00EE5CF1" w:rsidP="00EE5CF1">
      <w:pPr>
        <w:spacing w:before="120" w:after="240"/>
        <w:contextualSpacing/>
        <w:jc w:val="both"/>
        <w:textAlignment w:val="baseline"/>
        <w:rPr>
          <w:rFonts w:ascii="Arial" w:hAnsi="Arial" w:cs="Arial"/>
          <w:color w:val="000000"/>
          <w:spacing w:val="20"/>
          <w:szCs w:val="23"/>
        </w:rPr>
      </w:pPr>
      <w:r>
        <w:rPr>
          <w:rFonts w:ascii="Arial" w:hAnsi="Arial" w:cs="Arial"/>
          <w:b/>
          <w:bCs/>
          <w:color w:val="000000"/>
          <w:spacing w:val="20"/>
          <w:szCs w:val="23"/>
        </w:rPr>
        <w:lastRenderedPageBreak/>
        <w:t xml:space="preserve">4.1.5.1.- </w:t>
      </w:r>
      <w:r w:rsidR="00E91C2E" w:rsidRPr="000F7669">
        <w:rPr>
          <w:rFonts w:ascii="Arial" w:hAnsi="Arial" w:cs="Arial"/>
          <w:b/>
          <w:bCs/>
          <w:color w:val="000000"/>
          <w:spacing w:val="20"/>
          <w:szCs w:val="23"/>
        </w:rPr>
        <w:t>SISTEMA DE EVALUACIÓN DEL DESEMPEÑO (SED).</w:t>
      </w:r>
    </w:p>
    <w:p w:rsidR="00EE5CF1" w:rsidRPr="000F7669" w:rsidRDefault="00EE5CF1" w:rsidP="00EE5CF1">
      <w:pPr>
        <w:spacing w:before="120" w:after="240"/>
        <w:contextualSpacing/>
        <w:jc w:val="both"/>
        <w:textAlignment w:val="baseline"/>
        <w:rPr>
          <w:rFonts w:ascii="Arial" w:hAnsi="Arial" w:cs="Arial"/>
          <w:color w:val="000000"/>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La evaluación</w:t>
      </w:r>
      <w:r w:rsidR="008D24A0">
        <w:rPr>
          <w:rFonts w:ascii="Arial" w:hAnsi="Arial" w:cs="Arial"/>
          <w:spacing w:val="20"/>
          <w:szCs w:val="23"/>
        </w:rPr>
        <w:t>,</w:t>
      </w:r>
      <w:r w:rsidRPr="000F7669">
        <w:rPr>
          <w:rFonts w:ascii="Arial" w:hAnsi="Arial" w:cs="Arial"/>
          <w:spacing w:val="20"/>
          <w:szCs w:val="23"/>
        </w:rPr>
        <w:t xml:space="preserve"> es la fase que cierra el círculo del proceso de planeación y lo inicia al mismo tiempo, ya que a través de ésta ha sido posible ir incorporando elementos de valoración en el alcance de metas y apoyar la toma de decisiones. Con ello</w:t>
      </w:r>
      <w:r w:rsidR="008D24A0">
        <w:rPr>
          <w:rFonts w:ascii="Arial" w:hAnsi="Arial" w:cs="Arial"/>
          <w:spacing w:val="20"/>
          <w:szCs w:val="23"/>
        </w:rPr>
        <w:t>,</w:t>
      </w:r>
      <w:r w:rsidRPr="000F7669">
        <w:rPr>
          <w:rFonts w:ascii="Arial" w:hAnsi="Arial" w:cs="Arial"/>
          <w:spacing w:val="20"/>
          <w:szCs w:val="23"/>
        </w:rPr>
        <w:t xml:space="preserve"> se ha conocido el cumplimiento de los distintos niveles de objetivos, estrategias y políticas del Plan Estatal de Desarrollo con respecto a la gestión gubernamental.</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 xml:space="preserve">Ha sido conveniente dar seguimiento a las metas de indicadores en el sistema de avance de gestión, con la finalidad de asegurar el cumplimiento de los objetivos de los </w:t>
      </w:r>
      <w:proofErr w:type="spellStart"/>
      <w:r w:rsidRPr="000F7669">
        <w:rPr>
          <w:rFonts w:ascii="Arial" w:hAnsi="Arial" w:cs="Arial"/>
          <w:spacing w:val="20"/>
          <w:szCs w:val="23"/>
        </w:rPr>
        <w:t>POA´s</w:t>
      </w:r>
      <w:proofErr w:type="spellEnd"/>
      <w:r w:rsidRPr="000F7669">
        <w:rPr>
          <w:rFonts w:ascii="Arial" w:hAnsi="Arial" w:cs="Arial"/>
          <w:spacing w:val="20"/>
          <w:szCs w:val="23"/>
        </w:rPr>
        <w:t xml:space="preserve"> y del propio Plan Estatal de Desarrollo 2011-2016, atendiendo a las categorías de la estructura programática.</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Este sistema brinda los elementos a las Unidades Responsables para:</w:t>
      </w:r>
    </w:p>
    <w:p w:rsidR="00EE5CF1" w:rsidRPr="00EE5CF1" w:rsidRDefault="00EE5CF1" w:rsidP="002F6527">
      <w:pPr>
        <w:pStyle w:val="Prrafodelista"/>
        <w:numPr>
          <w:ilvl w:val="0"/>
          <w:numId w:val="9"/>
        </w:numPr>
        <w:spacing w:before="100" w:beforeAutospacing="1" w:after="100" w:afterAutospacing="1"/>
        <w:contextualSpacing/>
        <w:jc w:val="both"/>
        <w:rPr>
          <w:rFonts w:ascii="Arial" w:hAnsi="Arial" w:cs="Arial"/>
          <w:spacing w:val="20"/>
          <w:sz w:val="22"/>
          <w:szCs w:val="22"/>
          <w:lang w:val="es-ES"/>
        </w:rPr>
      </w:pPr>
      <w:r w:rsidRPr="00EE5CF1">
        <w:rPr>
          <w:rFonts w:ascii="Arial" w:hAnsi="Arial" w:cs="Arial"/>
          <w:spacing w:val="20"/>
          <w:sz w:val="22"/>
          <w:szCs w:val="22"/>
          <w:lang w:val="es-ES"/>
        </w:rPr>
        <w:t xml:space="preserve">Establecer compromisos y medir la magnitud de los retos para satisfacer las necesidades de la población a la que atiende el Gobierno del Estado; </w:t>
      </w:r>
    </w:p>
    <w:p w:rsidR="00EE5CF1" w:rsidRPr="00EE5CF1" w:rsidRDefault="00EE5CF1" w:rsidP="002F6527">
      <w:pPr>
        <w:pStyle w:val="Prrafodelista"/>
        <w:numPr>
          <w:ilvl w:val="0"/>
          <w:numId w:val="9"/>
        </w:numPr>
        <w:spacing w:before="100" w:beforeAutospacing="1" w:after="100" w:afterAutospacing="1"/>
        <w:contextualSpacing/>
        <w:jc w:val="both"/>
        <w:rPr>
          <w:rFonts w:ascii="Arial" w:hAnsi="Arial" w:cs="Arial"/>
          <w:spacing w:val="20"/>
          <w:sz w:val="22"/>
          <w:szCs w:val="22"/>
          <w:lang w:val="es-ES"/>
        </w:rPr>
      </w:pPr>
      <w:r w:rsidRPr="00EE5CF1">
        <w:rPr>
          <w:rFonts w:ascii="Arial" w:hAnsi="Arial" w:cs="Arial"/>
          <w:spacing w:val="20"/>
          <w:sz w:val="22"/>
          <w:szCs w:val="22"/>
          <w:lang w:val="es-ES"/>
        </w:rPr>
        <w:t xml:space="preserve">Detectar y/o prevenir desviaciones que impidan alcanzar los objetivos; </w:t>
      </w:r>
    </w:p>
    <w:p w:rsidR="00EE5CF1" w:rsidRPr="00EE5CF1" w:rsidRDefault="00EE5CF1" w:rsidP="002F6527">
      <w:pPr>
        <w:pStyle w:val="Prrafodelista"/>
        <w:numPr>
          <w:ilvl w:val="0"/>
          <w:numId w:val="9"/>
        </w:numPr>
        <w:spacing w:before="100" w:beforeAutospacing="1" w:after="100" w:afterAutospacing="1"/>
        <w:contextualSpacing/>
        <w:jc w:val="both"/>
        <w:rPr>
          <w:rFonts w:ascii="Arial" w:hAnsi="Arial" w:cs="Arial"/>
          <w:spacing w:val="20"/>
          <w:sz w:val="22"/>
          <w:szCs w:val="22"/>
          <w:lang w:val="es-ES"/>
        </w:rPr>
      </w:pPr>
      <w:r w:rsidRPr="00EE5CF1">
        <w:rPr>
          <w:rFonts w:ascii="Arial" w:hAnsi="Arial" w:cs="Arial"/>
          <w:spacing w:val="20"/>
          <w:sz w:val="22"/>
          <w:szCs w:val="22"/>
          <w:lang w:val="es-ES"/>
        </w:rPr>
        <w:t>Generar procesos de auto-evaluación y mejores prácticas en la operación diaria;</w:t>
      </w:r>
    </w:p>
    <w:p w:rsidR="00EE5CF1" w:rsidRPr="00EE5CF1" w:rsidRDefault="00EE5CF1" w:rsidP="002F6527">
      <w:pPr>
        <w:pStyle w:val="Prrafodelista"/>
        <w:numPr>
          <w:ilvl w:val="0"/>
          <w:numId w:val="9"/>
        </w:numPr>
        <w:spacing w:before="100" w:beforeAutospacing="1" w:after="100" w:afterAutospacing="1"/>
        <w:contextualSpacing/>
        <w:jc w:val="both"/>
        <w:rPr>
          <w:rFonts w:ascii="Arial" w:hAnsi="Arial" w:cs="Arial"/>
          <w:spacing w:val="20"/>
          <w:sz w:val="22"/>
          <w:szCs w:val="22"/>
          <w:lang w:val="es-ES"/>
        </w:rPr>
      </w:pPr>
      <w:r w:rsidRPr="00EE5CF1">
        <w:rPr>
          <w:rFonts w:ascii="Arial" w:hAnsi="Arial" w:cs="Arial"/>
          <w:spacing w:val="20"/>
          <w:sz w:val="22"/>
          <w:szCs w:val="22"/>
          <w:lang w:val="es-ES"/>
        </w:rPr>
        <w:t>Evaluar el cumplimiento de sus objetivos; e,</w:t>
      </w:r>
    </w:p>
    <w:p w:rsidR="00EE5CF1" w:rsidRPr="00EE5CF1" w:rsidRDefault="00EE5CF1" w:rsidP="002F6527">
      <w:pPr>
        <w:pStyle w:val="Prrafodelista"/>
        <w:numPr>
          <w:ilvl w:val="0"/>
          <w:numId w:val="9"/>
        </w:numPr>
        <w:spacing w:before="100" w:beforeAutospacing="1" w:after="100" w:afterAutospacing="1"/>
        <w:contextualSpacing/>
        <w:jc w:val="both"/>
        <w:rPr>
          <w:rFonts w:ascii="Arial" w:hAnsi="Arial" w:cs="Arial"/>
          <w:spacing w:val="20"/>
          <w:sz w:val="22"/>
          <w:szCs w:val="22"/>
          <w:lang w:val="es-ES"/>
        </w:rPr>
      </w:pPr>
      <w:r w:rsidRPr="00EE5CF1">
        <w:rPr>
          <w:rFonts w:ascii="Arial" w:hAnsi="Arial" w:cs="Arial"/>
          <w:spacing w:val="20"/>
          <w:sz w:val="22"/>
          <w:szCs w:val="22"/>
          <w:lang w:val="es-ES"/>
        </w:rPr>
        <w:t>Informar a la comunidad sobre los resultados de la gestión gubernamental.</w:t>
      </w: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Para la definición de dichos indicadores</w:t>
      </w:r>
      <w:r w:rsidR="008D24A0">
        <w:rPr>
          <w:rFonts w:ascii="Arial" w:hAnsi="Arial" w:cs="Arial"/>
          <w:spacing w:val="20"/>
          <w:szCs w:val="23"/>
        </w:rPr>
        <w:t>,</w:t>
      </w:r>
      <w:r w:rsidRPr="000F7669">
        <w:rPr>
          <w:rFonts w:ascii="Arial" w:hAnsi="Arial" w:cs="Arial"/>
          <w:spacing w:val="20"/>
          <w:szCs w:val="23"/>
        </w:rPr>
        <w:t xml:space="preserve"> se consideró la Metodología de Marco Lógico </w:t>
      </w:r>
      <w:r w:rsidR="008D24A0">
        <w:rPr>
          <w:rFonts w:ascii="Arial" w:hAnsi="Arial" w:cs="Arial"/>
          <w:spacing w:val="20"/>
          <w:szCs w:val="23"/>
        </w:rPr>
        <w:t xml:space="preserve">que dio como resultado </w:t>
      </w:r>
      <w:r w:rsidRPr="000F7669">
        <w:rPr>
          <w:rFonts w:ascii="Arial" w:hAnsi="Arial" w:cs="Arial"/>
          <w:spacing w:val="20"/>
          <w:szCs w:val="23"/>
        </w:rPr>
        <w:t>la Matriz de Indicadores de Resultados (MIR)</w:t>
      </w:r>
      <w:r w:rsidR="008D24A0">
        <w:rPr>
          <w:rFonts w:ascii="Arial" w:hAnsi="Arial" w:cs="Arial"/>
          <w:spacing w:val="20"/>
          <w:szCs w:val="23"/>
        </w:rPr>
        <w:t>, que es</w:t>
      </w:r>
      <w:r w:rsidRPr="000F7669">
        <w:rPr>
          <w:rFonts w:ascii="Arial" w:hAnsi="Arial" w:cs="Arial"/>
          <w:spacing w:val="20"/>
          <w:szCs w:val="23"/>
        </w:rPr>
        <w:t xml:space="preserve"> un instrumento de planeación estratégica que permitió la vinculación ordenada de objetivos, indicadores y metas, alineados con los objetivos del Plan Estatal de Desarrollo 2011-2016,</w:t>
      </w:r>
      <w:r w:rsidR="008D24A0">
        <w:rPr>
          <w:rFonts w:ascii="Arial" w:hAnsi="Arial" w:cs="Arial"/>
          <w:spacing w:val="20"/>
          <w:szCs w:val="23"/>
        </w:rPr>
        <w:t xml:space="preserve"> mediante la estructura programática</w:t>
      </w:r>
      <w:r w:rsidRPr="000F7669">
        <w:rPr>
          <w:rFonts w:ascii="Arial" w:hAnsi="Arial" w:cs="Arial"/>
          <w:spacing w:val="20"/>
          <w:szCs w:val="23"/>
        </w:rPr>
        <w:t xml:space="preserve"> con el objeto de focalizar el análisis, seguimiento y evaluación del gasto asignado.</w:t>
      </w:r>
    </w:p>
    <w:p w:rsidR="00EE5CF1" w:rsidRPr="000F7669" w:rsidRDefault="00EE5CF1" w:rsidP="00EE5CF1">
      <w:pPr>
        <w:contextualSpacing/>
        <w:jc w:val="both"/>
        <w:rPr>
          <w:rFonts w:ascii="Arial" w:hAnsi="Arial" w:cs="Arial"/>
          <w:spacing w:val="20"/>
          <w:szCs w:val="23"/>
        </w:rPr>
      </w:pPr>
    </w:p>
    <w:p w:rsidR="00EE5CF1" w:rsidRDefault="00EE5CF1" w:rsidP="00EE5CF1">
      <w:pPr>
        <w:contextualSpacing/>
        <w:jc w:val="both"/>
        <w:rPr>
          <w:rFonts w:ascii="Arial" w:hAnsi="Arial" w:cs="Arial"/>
          <w:spacing w:val="20"/>
          <w:szCs w:val="23"/>
        </w:rPr>
      </w:pPr>
      <w:r w:rsidRPr="000F7669">
        <w:rPr>
          <w:rFonts w:ascii="Arial" w:hAnsi="Arial" w:cs="Arial"/>
          <w:spacing w:val="20"/>
          <w:szCs w:val="23"/>
        </w:rPr>
        <w:t>En congruencia con el fuerte compromiso de esta Administración, se continúan asignando recursos a la inversión pública para el crecimiento de la economía, la competitividad y la generación de empleos.</w:t>
      </w:r>
    </w:p>
    <w:p w:rsidR="00EE5CF1" w:rsidRPr="000F7669" w:rsidRDefault="00EE5CF1" w:rsidP="00EE5CF1">
      <w:pPr>
        <w:contextualSpacing/>
        <w:jc w:val="both"/>
        <w:rPr>
          <w:rFonts w:ascii="Arial" w:hAnsi="Arial" w:cs="Arial"/>
          <w:spacing w:val="20"/>
          <w:szCs w:val="23"/>
        </w:rPr>
      </w:pPr>
    </w:p>
    <w:p w:rsidR="00E91C2E" w:rsidRDefault="00E91C2E">
      <w:pPr>
        <w:rPr>
          <w:rFonts w:ascii="Arial" w:hAnsi="Arial" w:cs="Arial"/>
          <w:b/>
          <w:bCs/>
          <w:spacing w:val="20"/>
          <w:szCs w:val="23"/>
        </w:rPr>
      </w:pPr>
      <w:r>
        <w:rPr>
          <w:rFonts w:ascii="Arial" w:hAnsi="Arial" w:cs="Arial"/>
          <w:b/>
          <w:bCs/>
          <w:spacing w:val="20"/>
          <w:szCs w:val="23"/>
        </w:rPr>
        <w:br w:type="page"/>
      </w:r>
    </w:p>
    <w:p w:rsidR="00EE5CF1" w:rsidRDefault="00EE5CF1" w:rsidP="00EE5CF1">
      <w:pPr>
        <w:spacing w:before="120" w:after="240"/>
        <w:contextualSpacing/>
        <w:jc w:val="both"/>
        <w:textAlignment w:val="baseline"/>
        <w:rPr>
          <w:rFonts w:ascii="Arial" w:hAnsi="Arial" w:cs="Arial"/>
          <w:b/>
          <w:bCs/>
          <w:spacing w:val="20"/>
          <w:szCs w:val="23"/>
        </w:rPr>
      </w:pPr>
      <w:r>
        <w:rPr>
          <w:rFonts w:ascii="Arial" w:hAnsi="Arial" w:cs="Arial"/>
          <w:b/>
          <w:bCs/>
          <w:spacing w:val="20"/>
          <w:szCs w:val="23"/>
        </w:rPr>
        <w:lastRenderedPageBreak/>
        <w:t xml:space="preserve">4.1.5.2.- </w:t>
      </w:r>
      <w:r w:rsidR="00E91C2E" w:rsidRPr="000F7669">
        <w:rPr>
          <w:rFonts w:ascii="Arial" w:hAnsi="Arial" w:cs="Arial"/>
          <w:b/>
          <w:bCs/>
          <w:spacing w:val="20"/>
          <w:szCs w:val="23"/>
        </w:rPr>
        <w:t>USO DE LOS DISTINTOS CLASIFICADORES DE GASTO PARA LA ARMONIZACIÓN CONTABLE</w:t>
      </w:r>
      <w:r w:rsidRPr="000F7669">
        <w:rPr>
          <w:rFonts w:ascii="Arial" w:hAnsi="Arial" w:cs="Arial"/>
          <w:b/>
          <w:bCs/>
          <w:spacing w:val="20"/>
          <w:szCs w:val="23"/>
        </w:rPr>
        <w:t>.</w:t>
      </w:r>
    </w:p>
    <w:p w:rsidR="00EE5CF1" w:rsidRPr="000F7669" w:rsidRDefault="00EE5CF1" w:rsidP="00EE5CF1">
      <w:pPr>
        <w:spacing w:before="120" w:after="240"/>
        <w:contextualSpacing/>
        <w:jc w:val="both"/>
        <w:textAlignment w:val="baseline"/>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bookmarkStart w:id="3" w:name="_Toc397430494"/>
      <w:bookmarkStart w:id="4" w:name="_Toc397430576"/>
      <w:bookmarkStart w:id="5" w:name="_Toc397446784"/>
      <w:bookmarkStart w:id="6" w:name="_Toc397449415"/>
      <w:r w:rsidRPr="000F7669">
        <w:rPr>
          <w:rFonts w:ascii="Arial" w:hAnsi="Arial" w:cs="Arial"/>
          <w:spacing w:val="20"/>
          <w:szCs w:val="23"/>
        </w:rPr>
        <w:t>El Presupuesto de Egresos para el Ejercicio Fiscal 2015 para el Estado de Oaxaca, se puede analizar desde diferentes clasificaciones del gasto, que permiten la obtención de información presupuestal ordenada, sistematizada y agrupada en diversas presentaciones, proporcionando elementos de análisis, seguimiento y control para la consecución de la eficacia, economía y eficiencia en el ejercicio del gasto, la transparencia, la programación con base en resultados, la evaluación y la rendición de cuentas.</w:t>
      </w:r>
      <w:bookmarkEnd w:id="3"/>
      <w:bookmarkEnd w:id="4"/>
      <w:bookmarkEnd w:id="5"/>
      <w:bookmarkEnd w:id="6"/>
      <w:r w:rsidRPr="000F7669">
        <w:rPr>
          <w:rFonts w:ascii="Arial" w:hAnsi="Arial" w:cs="Arial"/>
          <w:spacing w:val="20"/>
          <w:szCs w:val="23"/>
        </w:rPr>
        <w:t xml:space="preserve">     </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spacing w:val="20"/>
          <w:szCs w:val="23"/>
        </w:rPr>
        <w:t>Es importante destacar que cada una de las clasificaciones presupuestarias tiene una utilidad específica; sin embargo, la utilización conjunta de las mismas proporciona información de mayor valor agregado para la adecuada comprensión y análisis del gasto presupuestal.</w:t>
      </w:r>
    </w:p>
    <w:p w:rsidR="00EE5CF1" w:rsidRPr="000F7669" w:rsidRDefault="00EE5CF1" w:rsidP="00EE5CF1">
      <w:pPr>
        <w:pStyle w:val="Texto"/>
        <w:spacing w:line="240" w:lineRule="auto"/>
        <w:ind w:firstLine="0"/>
        <w:contextualSpacing/>
        <w:rPr>
          <w:sz w:val="24"/>
          <w:szCs w:val="22"/>
        </w:rPr>
      </w:pPr>
    </w:p>
    <w:p w:rsidR="00D1241D" w:rsidRDefault="00D1241D">
      <w:pPr>
        <w:rPr>
          <w:rFonts w:ascii="Arial" w:hAnsi="Arial" w:cs="Arial"/>
          <w:b/>
          <w:bCs/>
          <w:spacing w:val="20"/>
          <w:szCs w:val="23"/>
        </w:rPr>
      </w:pPr>
      <w:r>
        <w:rPr>
          <w:rFonts w:ascii="Arial" w:hAnsi="Arial" w:cs="Arial"/>
          <w:b/>
          <w:bCs/>
          <w:spacing w:val="20"/>
          <w:szCs w:val="23"/>
        </w:rPr>
        <w:br w:type="page"/>
      </w:r>
    </w:p>
    <w:p w:rsidR="00EE5CF1" w:rsidRDefault="00EE5CF1" w:rsidP="00EE5CF1">
      <w:pPr>
        <w:spacing w:before="120" w:after="240"/>
        <w:contextualSpacing/>
        <w:jc w:val="both"/>
        <w:textAlignment w:val="baseline"/>
        <w:rPr>
          <w:rFonts w:ascii="Arial" w:hAnsi="Arial" w:cs="Arial"/>
          <w:b/>
          <w:bCs/>
          <w:spacing w:val="20"/>
          <w:szCs w:val="23"/>
        </w:rPr>
      </w:pPr>
      <w:r>
        <w:rPr>
          <w:rFonts w:ascii="Arial" w:hAnsi="Arial" w:cs="Arial"/>
          <w:b/>
          <w:bCs/>
          <w:spacing w:val="20"/>
          <w:szCs w:val="23"/>
        </w:rPr>
        <w:lastRenderedPageBreak/>
        <w:t>4.</w:t>
      </w:r>
      <w:r w:rsidR="00C31BA1">
        <w:rPr>
          <w:rFonts w:ascii="Arial" w:hAnsi="Arial" w:cs="Arial"/>
          <w:b/>
          <w:bCs/>
          <w:spacing w:val="20"/>
          <w:szCs w:val="23"/>
        </w:rPr>
        <w:t>1</w:t>
      </w:r>
      <w:r>
        <w:rPr>
          <w:rFonts w:ascii="Arial" w:hAnsi="Arial" w:cs="Arial"/>
          <w:b/>
          <w:bCs/>
          <w:spacing w:val="20"/>
          <w:szCs w:val="23"/>
        </w:rPr>
        <w:t xml:space="preserve">.5.3.- </w:t>
      </w:r>
      <w:r w:rsidR="00E91C2E" w:rsidRPr="000F7669">
        <w:rPr>
          <w:rFonts w:ascii="Arial" w:hAnsi="Arial" w:cs="Arial"/>
          <w:b/>
          <w:bCs/>
          <w:spacing w:val="20"/>
          <w:szCs w:val="23"/>
        </w:rPr>
        <w:t>MEDIDAS DE AHORRO Y AUSTERIDAD DEL GOBIERNO.</w:t>
      </w:r>
    </w:p>
    <w:p w:rsidR="00EE5CF1" w:rsidRPr="000F7669" w:rsidRDefault="00EE5CF1" w:rsidP="00EE5CF1">
      <w:pPr>
        <w:spacing w:before="120" w:after="240"/>
        <w:contextualSpacing/>
        <w:jc w:val="both"/>
        <w:textAlignment w:val="baseline"/>
        <w:rPr>
          <w:rFonts w:ascii="Arial" w:hAnsi="Arial" w:cs="Arial"/>
          <w:spacing w:val="20"/>
          <w:szCs w:val="23"/>
        </w:rPr>
      </w:pPr>
    </w:p>
    <w:p w:rsidR="00EE5CF1" w:rsidRDefault="00EE5CF1" w:rsidP="00EE5CF1">
      <w:pPr>
        <w:spacing w:before="120" w:after="240"/>
        <w:contextualSpacing/>
        <w:jc w:val="both"/>
        <w:rPr>
          <w:rFonts w:ascii="Arial" w:hAnsi="Arial"/>
          <w:spacing w:val="20"/>
        </w:rPr>
      </w:pPr>
      <w:r w:rsidRPr="000F7669">
        <w:rPr>
          <w:rFonts w:ascii="Arial" w:hAnsi="Arial" w:cs="Arial"/>
          <w:spacing w:val="20"/>
          <w:szCs w:val="23"/>
        </w:rPr>
        <w:t xml:space="preserve">Durante la presente administración, el gobierno estatal ha promovido una política de austeridad basada en la mejora de la programación y </w:t>
      </w:r>
      <w:proofErr w:type="spellStart"/>
      <w:r w:rsidRPr="000F7669">
        <w:rPr>
          <w:rFonts w:ascii="Arial" w:hAnsi="Arial" w:cs="Arial"/>
          <w:spacing w:val="20"/>
          <w:szCs w:val="23"/>
        </w:rPr>
        <w:t>presupuestación</w:t>
      </w:r>
      <w:proofErr w:type="spellEnd"/>
      <w:r w:rsidRPr="000F7669">
        <w:rPr>
          <w:rFonts w:ascii="Arial" w:hAnsi="Arial" w:cs="Arial"/>
          <w:spacing w:val="20"/>
          <w:szCs w:val="23"/>
        </w:rPr>
        <w:t xml:space="preserve"> de los ejecutores de gasto, logrando un mejor control, ejercicio y evaluación del gasto, haciendo énfasis en la reducción del gasto corriente.  Las economías resultantes de esta reducción fueron reorientadas a acciones prioritarias de impacto social.</w:t>
      </w:r>
    </w:p>
    <w:p w:rsidR="00EE5CF1" w:rsidRDefault="00EE5CF1"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Las disposiciones de racionalidad, austeridad y disciplina presupuestaria iniciadas en el 2011, siguieron aplicándose en el 2015 y otras fueron reforzadas para incidir en el ámbito presupuestario, en la aplicación de los recursos y en la obtención de resultados de la intervención pública estatal.</w:t>
      </w:r>
    </w:p>
    <w:p w:rsidR="00EE5CF1" w:rsidRPr="000F7669" w:rsidRDefault="00EE5CF1" w:rsidP="00EE5CF1">
      <w:pPr>
        <w:spacing w:before="120" w:after="240"/>
        <w:contextualSpacing/>
        <w:jc w:val="both"/>
        <w:rPr>
          <w:rFonts w:ascii="Arial" w:hAnsi="Arial" w:cs="Arial"/>
          <w:spacing w:val="20"/>
          <w:szCs w:val="23"/>
        </w:rPr>
      </w:pPr>
    </w:p>
    <w:p w:rsidR="00D1241D" w:rsidRDefault="00D1241D">
      <w:pPr>
        <w:rPr>
          <w:rFonts w:ascii="Arial" w:hAnsi="Arial" w:cs="Arial"/>
          <w:b/>
          <w:bCs/>
          <w:color w:val="000000"/>
          <w:spacing w:val="20"/>
          <w:szCs w:val="23"/>
        </w:rPr>
      </w:pPr>
      <w:r>
        <w:rPr>
          <w:rFonts w:ascii="Arial" w:hAnsi="Arial" w:cs="Arial"/>
          <w:b/>
          <w:bCs/>
          <w:color w:val="000000"/>
          <w:spacing w:val="20"/>
          <w:szCs w:val="23"/>
        </w:rPr>
        <w:br w:type="page"/>
      </w:r>
    </w:p>
    <w:p w:rsidR="00EE5CF1" w:rsidRPr="000F7669" w:rsidRDefault="000A34CE" w:rsidP="00EE5CF1">
      <w:pPr>
        <w:spacing w:before="120" w:after="240"/>
        <w:contextualSpacing/>
        <w:jc w:val="both"/>
        <w:textAlignment w:val="baseline"/>
        <w:rPr>
          <w:rFonts w:ascii="Arial" w:hAnsi="Arial" w:cs="Arial"/>
          <w:color w:val="000000"/>
          <w:spacing w:val="20"/>
          <w:szCs w:val="23"/>
        </w:rPr>
      </w:pPr>
      <w:r>
        <w:rPr>
          <w:rFonts w:ascii="Arial" w:hAnsi="Arial" w:cs="Arial"/>
          <w:b/>
          <w:bCs/>
          <w:color w:val="000000"/>
          <w:spacing w:val="20"/>
          <w:szCs w:val="23"/>
        </w:rPr>
        <w:lastRenderedPageBreak/>
        <w:t xml:space="preserve">4.1.5.4.- </w:t>
      </w:r>
      <w:r w:rsidR="00E91C2E" w:rsidRPr="000F7669">
        <w:rPr>
          <w:rFonts w:ascii="Arial" w:hAnsi="Arial" w:cs="Arial"/>
          <w:b/>
          <w:bCs/>
          <w:color w:val="000000"/>
          <w:spacing w:val="20"/>
          <w:szCs w:val="23"/>
        </w:rPr>
        <w:t>MAYOR TRANSPARENCIA PRESUPUESTAL</w:t>
      </w:r>
      <w:r w:rsidR="00EE5CF1" w:rsidRPr="000F7669">
        <w:rPr>
          <w:rFonts w:ascii="Arial" w:hAnsi="Arial" w:cs="Arial"/>
          <w:b/>
          <w:bCs/>
          <w:color w:val="000000"/>
          <w:spacing w:val="20"/>
          <w:szCs w:val="23"/>
        </w:rPr>
        <w:t>.</w:t>
      </w:r>
    </w:p>
    <w:p w:rsidR="00EE5CF1" w:rsidRPr="000F7669" w:rsidRDefault="00EE5CF1" w:rsidP="00EE5CF1">
      <w:pPr>
        <w:pStyle w:val="Default"/>
        <w:contextualSpacing/>
        <w:jc w:val="both"/>
        <w:rPr>
          <w:color w:val="auto"/>
          <w:spacing w:val="20"/>
          <w:szCs w:val="23"/>
        </w:rPr>
      </w:pPr>
      <w:r w:rsidRPr="000F7669">
        <w:rPr>
          <w:color w:val="auto"/>
          <w:spacing w:val="20"/>
          <w:szCs w:val="23"/>
        </w:rPr>
        <w:t>En materia de transparencia presupuestal, desde 2011 la información contenida en el Proyecto de Presupuesto de Egresos incorporó un esquema de presentación de la información programática presupuestal en el que se desglosan los diferentes clasificadores presupuestarios y además los tabuladores de sueldos, proporcionando mucha mayor información de la que se entregaba en administraciones anteriores, asimismo, para dar un paso más en esta materia este gobierno ha optado por presentar la información presupuestaria y estadística en diversas páginas electrónicas del Gobierno del Estado en un esquema de datos abiertos.</w:t>
      </w:r>
    </w:p>
    <w:p w:rsidR="00EE5CF1" w:rsidRPr="000F7669" w:rsidRDefault="00EE5CF1" w:rsidP="00EE5CF1">
      <w:pPr>
        <w:pStyle w:val="Default"/>
        <w:contextualSpacing/>
        <w:jc w:val="both"/>
        <w:rPr>
          <w:color w:val="auto"/>
          <w:spacing w:val="20"/>
          <w:szCs w:val="23"/>
        </w:rPr>
      </w:pPr>
    </w:p>
    <w:p w:rsidR="00EE5CF1" w:rsidRPr="000F7669" w:rsidRDefault="00EE5CF1" w:rsidP="00EE5CF1">
      <w:pPr>
        <w:pStyle w:val="Default"/>
        <w:contextualSpacing/>
        <w:jc w:val="both"/>
        <w:rPr>
          <w:color w:val="auto"/>
          <w:spacing w:val="20"/>
          <w:szCs w:val="23"/>
        </w:rPr>
      </w:pPr>
      <w:r w:rsidRPr="000F7669">
        <w:rPr>
          <w:color w:val="auto"/>
          <w:spacing w:val="20"/>
          <w:szCs w:val="23"/>
        </w:rPr>
        <w:t>La mejora en los sistemas de planeación, registro y evaluación del gasto público ha sido la tendencia en esta administración, con lo que ha logrado no sólo transparencia en el ejercicio de los recursos, sino también la entrega oportuna de información a la ciudadanía y la retroalimentación de ella. Estas buenas prácticas en materia de transparencia continuaron implementándose para el Proyecto de Presupuesto de Egresos 2015.</w:t>
      </w:r>
    </w:p>
    <w:p w:rsidR="00EE5CF1" w:rsidRPr="000F7669" w:rsidRDefault="00EE5CF1" w:rsidP="00EE5CF1">
      <w:pPr>
        <w:pStyle w:val="Default"/>
        <w:contextualSpacing/>
        <w:jc w:val="both"/>
        <w:rPr>
          <w:color w:val="auto"/>
          <w:spacing w:val="20"/>
          <w:szCs w:val="23"/>
        </w:rPr>
      </w:pPr>
    </w:p>
    <w:p w:rsidR="00EE5CF1" w:rsidRPr="000F7669" w:rsidRDefault="00EE5CF1" w:rsidP="00EE5CF1">
      <w:pPr>
        <w:autoSpaceDE w:val="0"/>
        <w:autoSpaceDN w:val="0"/>
        <w:adjustRightInd w:val="0"/>
        <w:contextualSpacing/>
        <w:jc w:val="both"/>
        <w:rPr>
          <w:rFonts w:ascii="Arial" w:hAnsi="Arial" w:cs="Arial"/>
          <w:spacing w:val="20"/>
          <w:szCs w:val="23"/>
        </w:rPr>
      </w:pPr>
      <w:r w:rsidRPr="000F7669">
        <w:rPr>
          <w:rFonts w:ascii="Arial" w:hAnsi="Arial" w:cs="Arial"/>
          <w:spacing w:val="20"/>
          <w:szCs w:val="23"/>
        </w:rPr>
        <w:t>Es una realidad que la sociedad oaxaqueña exige con mayor frecuencia información relativa al ejercicio de los recursos públicos y sobre los servicios y obra pública que se ejecuta en sus comunidades, por ello</w:t>
      </w:r>
      <w:r w:rsidR="008D24A0">
        <w:rPr>
          <w:rFonts w:ascii="Arial" w:hAnsi="Arial" w:cs="Arial"/>
          <w:spacing w:val="20"/>
          <w:szCs w:val="23"/>
        </w:rPr>
        <w:t>,</w:t>
      </w:r>
      <w:r w:rsidRPr="000F7669">
        <w:rPr>
          <w:rFonts w:ascii="Arial" w:hAnsi="Arial" w:cs="Arial"/>
          <w:spacing w:val="20"/>
          <w:szCs w:val="23"/>
        </w:rPr>
        <w:t xml:space="preserve"> se ha venido innovando en el sistema de información del Gobierno del Estado para el control, seguimiento y evaluación de los programas aplicados en  proyectos, acciones y actividades, de los que se reportan trimestralmente su avance y el recurso ejercido a través del Portal de Transparencia Presupuestaria, información que puede ser consultada por la ciudadanía a través de dicho portal o en el Portal de Ventanilla Única de acceso a la información, lo que nos compromete que cada peso que se gaste esté plenamente identificado y justificado.</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Para el Ejecutivo Estatal</w:t>
      </w:r>
      <w:r w:rsidR="008D24A0">
        <w:rPr>
          <w:rFonts w:ascii="Arial" w:hAnsi="Arial" w:cs="Arial"/>
          <w:spacing w:val="20"/>
          <w:szCs w:val="23"/>
        </w:rPr>
        <w:t>,</w:t>
      </w:r>
      <w:r w:rsidRPr="000F7669">
        <w:rPr>
          <w:rFonts w:ascii="Arial" w:hAnsi="Arial" w:cs="Arial"/>
          <w:spacing w:val="20"/>
          <w:szCs w:val="23"/>
        </w:rPr>
        <w:t xml:space="preserve"> resulta satisfactorio informar que en este ejercicio 2015, por cuarto año, se puso a disposición de la ciudadanía en tiempo y forma el Presupuesto Ciudadano de forma impresa y en las páginas de la Secretaría de Finanzas y Secretaría de la Contraloría y Transparencia Gubernamental, así como, en el Portal de Transparencia Presupuestaria, que contiene un extracto de los criterios de asignación de recursos más relevantes del presupuesto de egresos, en un lenguaje sencillo que permite a la ciudadanía su entendimiento y comprensión.</w:t>
      </w:r>
    </w:p>
    <w:p w:rsidR="00EE5CF1" w:rsidRPr="000F7669" w:rsidRDefault="00EE5CF1" w:rsidP="00EE5CF1">
      <w:pPr>
        <w:contextualSpacing/>
        <w:jc w:val="both"/>
        <w:rPr>
          <w:rFonts w:ascii="Arial" w:hAnsi="Arial" w:cs="Arial"/>
          <w:spacing w:val="20"/>
          <w:szCs w:val="23"/>
        </w:rPr>
      </w:pPr>
    </w:p>
    <w:p w:rsidR="000A34CE" w:rsidRDefault="00EE5CF1" w:rsidP="000A34CE">
      <w:pPr>
        <w:pStyle w:val="Default"/>
        <w:contextualSpacing/>
        <w:jc w:val="both"/>
        <w:rPr>
          <w:rFonts w:cs="Helvetica"/>
          <w:color w:val="auto"/>
          <w:szCs w:val="22"/>
        </w:rPr>
      </w:pPr>
      <w:r w:rsidRPr="000F7669">
        <w:rPr>
          <w:color w:val="auto"/>
          <w:spacing w:val="20"/>
          <w:szCs w:val="23"/>
        </w:rPr>
        <w:lastRenderedPageBreak/>
        <w:t>El combate a la corrupción y la creación de una cultura de transparencia y legalidad son principios y objetivos irrenunciables de los gobiernos democráticos, pero también deben ser valores y hábitos de la sociedad y los individuos. Estos valores se deben arraigar en nuestra interacción cotidiana, a fin de que el servicio público se desarrolle con eficiencia y honorabilidad.</w:t>
      </w:r>
      <w:r w:rsidRPr="000F7669">
        <w:rPr>
          <w:rFonts w:cs="Helvetica"/>
          <w:color w:val="auto"/>
          <w:szCs w:val="22"/>
          <w:highlight w:val="yellow"/>
        </w:rPr>
        <w:t xml:space="preserve"> </w:t>
      </w:r>
    </w:p>
    <w:p w:rsidR="000A34CE" w:rsidRDefault="000A34CE" w:rsidP="000A34CE">
      <w:pPr>
        <w:pStyle w:val="Default"/>
        <w:contextualSpacing/>
        <w:jc w:val="both"/>
        <w:rPr>
          <w:rFonts w:cs="Helvetica"/>
          <w:color w:val="auto"/>
          <w:szCs w:val="22"/>
        </w:rPr>
      </w:pPr>
    </w:p>
    <w:p w:rsidR="00E74BF8" w:rsidRDefault="00EE5CF1" w:rsidP="00E74BF8">
      <w:pPr>
        <w:pStyle w:val="Default"/>
        <w:contextualSpacing/>
        <w:jc w:val="both"/>
        <w:rPr>
          <w:spacing w:val="20"/>
          <w:szCs w:val="23"/>
        </w:rPr>
      </w:pPr>
      <w:r w:rsidRPr="000F7669">
        <w:rPr>
          <w:spacing w:val="20"/>
          <w:szCs w:val="23"/>
        </w:rPr>
        <w:t>Todos los servidores públicos están obligados a compartir con la población en general la información derivada de la actividad institucional y la rendición de cuentas, por lo que se trabajó en la mejora de la calidad de la información para hacerla más atractiva, de fácil acceso e interpretación para la ciudadanía.</w:t>
      </w:r>
    </w:p>
    <w:p w:rsidR="00E74BF8" w:rsidRDefault="00E74BF8" w:rsidP="00E74BF8">
      <w:pPr>
        <w:pStyle w:val="Default"/>
        <w:contextualSpacing/>
        <w:jc w:val="both"/>
        <w:rPr>
          <w:spacing w:val="20"/>
          <w:szCs w:val="23"/>
        </w:rPr>
      </w:pPr>
    </w:p>
    <w:p w:rsidR="00EE5CF1" w:rsidRDefault="00EE5CF1" w:rsidP="00E74BF8">
      <w:pPr>
        <w:pStyle w:val="Default"/>
        <w:contextualSpacing/>
        <w:jc w:val="both"/>
        <w:rPr>
          <w:spacing w:val="20"/>
          <w:szCs w:val="23"/>
        </w:rPr>
      </w:pPr>
      <w:r w:rsidRPr="000F7669">
        <w:rPr>
          <w:spacing w:val="20"/>
          <w:szCs w:val="23"/>
        </w:rPr>
        <w:t>En materia presupuestaria, la distribución del gasto público se dio a conocer a la población a través del Decreto de Presupuesto de Egresos del Estado de Oaxaca para el ejercicio Fiscal 2015, se publicó en el Periódico Oficial del Estado y se comunicó a los ejecutores de gasto, calendarizado por unidad responsable, proyecto, acción y partida presupuestaria. Adicionalmente</w:t>
      </w:r>
      <w:r w:rsidR="008D24A0">
        <w:rPr>
          <w:spacing w:val="20"/>
          <w:szCs w:val="23"/>
        </w:rPr>
        <w:t>,</w:t>
      </w:r>
      <w:r w:rsidRPr="000F7669">
        <w:rPr>
          <w:spacing w:val="20"/>
          <w:szCs w:val="23"/>
        </w:rPr>
        <w:t xml:space="preserve"> se difundió en el Portal de Transparencia de la Comisión de Transparencia, Acceso a la Información Pública y Protección de Datos Personales del Estado de Oaxaca.</w:t>
      </w:r>
    </w:p>
    <w:p w:rsidR="000A34CE" w:rsidRPr="000F7669" w:rsidRDefault="000A34CE"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Con estas actividades, la administración gubernamental busca avanzar en el tema de la transparencia, que se mide por el Índice de Información Presupuestal Estatal y que en 2011 nos ubicó en el lugar 32, logrando que en 2015, Oaxaca se ubicara en el lugar 16 a nivel nacional en materia de transparencia y rendición de cuentas. Este índice mide la transparencia, calidad y desglose de la información en el Presupuesto de Egresos y la Ley de Ingresos de los estados y es evaluado por Instituto Mexicano para la Competitividad (IMCO).</w:t>
      </w:r>
    </w:p>
    <w:p w:rsidR="000A34CE" w:rsidRPr="000F7669" w:rsidRDefault="000A34CE"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spacing w:val="20"/>
          <w:szCs w:val="23"/>
        </w:rPr>
      </w:pPr>
    </w:p>
    <w:p w:rsidR="00D1241D" w:rsidRDefault="00D1241D">
      <w:pPr>
        <w:rPr>
          <w:rFonts w:ascii="Arial" w:hAnsi="Arial" w:cs="Arial"/>
          <w:b/>
          <w:bCs/>
          <w:spacing w:val="20"/>
          <w:szCs w:val="23"/>
        </w:rPr>
      </w:pPr>
      <w:r>
        <w:rPr>
          <w:rFonts w:ascii="Arial" w:hAnsi="Arial" w:cs="Arial"/>
          <w:b/>
          <w:bCs/>
          <w:spacing w:val="20"/>
          <w:szCs w:val="23"/>
        </w:rPr>
        <w:br w:type="page"/>
      </w:r>
    </w:p>
    <w:p w:rsidR="00EE5CF1" w:rsidRPr="000F7669" w:rsidRDefault="000A34CE" w:rsidP="000A34CE">
      <w:pPr>
        <w:spacing w:before="120" w:after="240"/>
        <w:contextualSpacing/>
        <w:jc w:val="both"/>
        <w:textAlignment w:val="baseline"/>
        <w:rPr>
          <w:rFonts w:ascii="Arial" w:hAnsi="Arial"/>
          <w:highlight w:val="yellow"/>
        </w:rPr>
      </w:pPr>
      <w:r>
        <w:rPr>
          <w:rFonts w:ascii="Arial" w:hAnsi="Arial" w:cs="Arial"/>
          <w:b/>
          <w:bCs/>
          <w:spacing w:val="20"/>
          <w:szCs w:val="23"/>
        </w:rPr>
        <w:lastRenderedPageBreak/>
        <w:t xml:space="preserve">4.1.5.5.- </w:t>
      </w:r>
      <w:r w:rsidR="00E91C2E" w:rsidRPr="000F7669">
        <w:rPr>
          <w:rFonts w:ascii="Arial" w:hAnsi="Arial" w:cs="Arial"/>
          <w:b/>
          <w:bCs/>
          <w:spacing w:val="20"/>
          <w:szCs w:val="23"/>
        </w:rPr>
        <w:t>MEJORAMIENTO DE LA IDENTIFICACIÓN DE PROYECTOS DE INVERSIÓN Y SU PRIORIZACIÓN CON CRITERIOS DE RENTABILIDAD SOCIOECONÓMICA.</w:t>
      </w: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El gasto de inversión</w:t>
      </w:r>
      <w:r w:rsidR="008D24A0">
        <w:rPr>
          <w:rFonts w:ascii="Arial" w:hAnsi="Arial" w:cs="Arial"/>
          <w:spacing w:val="20"/>
          <w:sz w:val="24"/>
          <w:szCs w:val="23"/>
          <w:lang w:val="es-ES"/>
        </w:rPr>
        <w:t>,</w:t>
      </w:r>
      <w:r w:rsidRPr="000F7669">
        <w:rPr>
          <w:rFonts w:ascii="Arial" w:hAnsi="Arial" w:cs="Arial"/>
          <w:spacing w:val="20"/>
          <w:sz w:val="24"/>
          <w:szCs w:val="23"/>
          <w:lang w:val="es-ES"/>
        </w:rPr>
        <w:t xml:space="preserve"> orientado hacia proyectos de infraestructura pública y productiva representa el principal activo económico del Estado. Por ello, en 2015 el Gobierno del Estado redobló los esfuerzos para mejorar el sistema estatal de inversión pública, cuyo objetivo es abatir los índices de pobreza, rezago y marginación a través de la planeación y evaluación socioeconómica de los programas y proyectos. El objetivo último es lograr el mayor impacto posible en la mejora de la calidad de vida de los habitantes de nuestro Estado por cada peso gastado.</w:t>
      </w:r>
    </w:p>
    <w:p w:rsidR="00EE5CF1" w:rsidRPr="000F7669" w:rsidRDefault="00EE5CF1" w:rsidP="00EE5CF1">
      <w:pPr>
        <w:pStyle w:val="Prrafodelista"/>
        <w:ind w:left="0"/>
        <w:contextualSpacing/>
        <w:jc w:val="both"/>
        <w:rPr>
          <w:rFonts w:ascii="Arial" w:hAnsi="Arial" w:cs="Arial"/>
          <w:sz w:val="24"/>
          <w:highlight w:val="yellow"/>
        </w:rPr>
      </w:pP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 xml:space="preserve">En el Proyecto de Presupuesto de Egresos 2015, se consideró la aplicación de la inversión en áreas prioritarias atendiendo los instrumentos de planeación existentes tales como: Infraestructura social básica: agua potable, drenaje, electrificación, salud y vivienda; proyectos de conectividad interestatal: carreteras troncales; alimentadoras y rurales; y proyectos productivos estratégicos y de logística productiva. </w:t>
      </w:r>
    </w:p>
    <w:p w:rsidR="00EE5CF1" w:rsidRPr="000F7669" w:rsidRDefault="00EE5CF1" w:rsidP="00EE5CF1">
      <w:pPr>
        <w:pStyle w:val="Prrafodelista"/>
        <w:ind w:left="0"/>
        <w:contextualSpacing/>
        <w:jc w:val="both"/>
        <w:rPr>
          <w:rFonts w:ascii="Arial" w:hAnsi="Arial" w:cs="Arial"/>
          <w:sz w:val="24"/>
          <w:highlight w:val="yellow"/>
        </w:rPr>
      </w:pPr>
    </w:p>
    <w:p w:rsidR="00EE5CF1" w:rsidRPr="000F7669" w:rsidRDefault="00EE5CF1" w:rsidP="00EE5CF1">
      <w:pPr>
        <w:pStyle w:val="Prrafodelista"/>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La inversión en infraestructura social</w:t>
      </w:r>
      <w:r w:rsidR="008D24A0">
        <w:rPr>
          <w:rFonts w:ascii="Arial" w:hAnsi="Arial" w:cs="Arial"/>
          <w:spacing w:val="20"/>
          <w:sz w:val="24"/>
          <w:szCs w:val="23"/>
          <w:lang w:val="es-ES"/>
        </w:rPr>
        <w:t>,</w:t>
      </w:r>
      <w:r w:rsidRPr="000F7669">
        <w:rPr>
          <w:rFonts w:ascii="Arial" w:hAnsi="Arial" w:cs="Arial"/>
          <w:spacing w:val="20"/>
          <w:sz w:val="24"/>
          <w:szCs w:val="23"/>
          <w:lang w:val="es-ES"/>
        </w:rPr>
        <w:t xml:space="preserve"> permitió atender los rezagos urgentes de la población más vulnerable. La conectividad interestatal ha integrado las regiones del Estado al flujo comercial del resto del país al reducir los costos de transporte y traslado para la población en general. Por último, la atención de proyectos productivos estratégicos y de logística productiva estimuló el desarrollo económico local de los emprendedores oaxaqueños, fortaleciendo el empleo y disminuyendo la economía informal.</w:t>
      </w:r>
    </w:p>
    <w:p w:rsidR="00EE5CF1" w:rsidRPr="000F7669" w:rsidRDefault="00EE5CF1" w:rsidP="00EE5CF1">
      <w:pPr>
        <w:pStyle w:val="Prrafodelista"/>
        <w:ind w:left="0"/>
        <w:contextualSpacing/>
        <w:jc w:val="both"/>
        <w:rPr>
          <w:rFonts w:ascii="Arial" w:hAnsi="Arial" w:cs="Arial"/>
          <w:sz w:val="24"/>
          <w:highlight w:val="yellow"/>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Una parte fundamental del sistema de inversión pública, fue la creación de un proceso claro para la determinación de la viabilidad y factibilidad de las inversiones en cada sector económico: caminos, agua, proyectos productivos, infraestructura hospitalaria y educativa, entre otras. Los ejecutores de gasto, durante el ejercicio 2015, contaron con acompañamiento constante durante la formulación y </w:t>
      </w:r>
      <w:r w:rsidRPr="008D24A0">
        <w:rPr>
          <w:rFonts w:ascii="Arial" w:hAnsi="Arial" w:cs="Arial"/>
          <w:spacing w:val="20"/>
          <w:szCs w:val="23"/>
        </w:rPr>
        <w:t>evaluación ex ante</w:t>
      </w:r>
      <w:r w:rsidRPr="000F7669">
        <w:rPr>
          <w:rFonts w:ascii="Arial" w:hAnsi="Arial" w:cs="Arial"/>
          <w:spacing w:val="20"/>
          <w:szCs w:val="23"/>
        </w:rPr>
        <w:t xml:space="preserve"> de sus propuestas de inversión, lo que incrementó la probabilidad de que los recursos públicos aplicados fueran destinados a proyectos y programas prioritarios, con beneficios sociales y económicos positivos.</w:t>
      </w:r>
    </w:p>
    <w:p w:rsidR="000A34CE" w:rsidRPr="000F7669" w:rsidRDefault="000A34CE" w:rsidP="00EE5CF1">
      <w:pPr>
        <w:spacing w:before="120" w:after="240"/>
        <w:contextualSpacing/>
        <w:jc w:val="both"/>
        <w:rPr>
          <w:rFonts w:ascii="Arial" w:hAnsi="Arial"/>
          <w:spacing w:val="20"/>
        </w:rPr>
      </w:pP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Lo anterior, es reflejo de que se han seguido las mejores prácticas nacionales e internacionales, pero con la sensibilidad suficiente para </w:t>
      </w:r>
      <w:r w:rsidRPr="000F7669">
        <w:rPr>
          <w:rFonts w:ascii="Arial" w:hAnsi="Arial" w:cs="Arial"/>
          <w:spacing w:val="20"/>
          <w:szCs w:val="23"/>
        </w:rPr>
        <w:lastRenderedPageBreak/>
        <w:t>considerar las propias particularidades sociales, políticas y culturales de la realidad de Oaxaca.</w:t>
      </w:r>
    </w:p>
    <w:p w:rsidR="00EE5CF1" w:rsidRPr="000F7669" w:rsidRDefault="00EE5CF1" w:rsidP="00EE5CF1">
      <w:pPr>
        <w:spacing w:before="120" w:after="240"/>
        <w:contextualSpacing/>
        <w:jc w:val="both"/>
        <w:rPr>
          <w:rFonts w:ascii="Arial" w:hAnsi="Arial"/>
          <w:spacing w:val="20"/>
        </w:rPr>
      </w:pPr>
    </w:p>
    <w:p w:rsidR="00D1241D" w:rsidRDefault="00D1241D">
      <w:pPr>
        <w:rPr>
          <w:rFonts w:ascii="Arial" w:hAnsi="Arial" w:cs="Arial"/>
          <w:b/>
          <w:bCs/>
          <w:color w:val="000000"/>
          <w:spacing w:val="20"/>
          <w:szCs w:val="23"/>
        </w:rPr>
      </w:pPr>
      <w:r>
        <w:rPr>
          <w:rFonts w:ascii="Arial" w:hAnsi="Arial" w:cs="Arial"/>
          <w:b/>
          <w:bCs/>
          <w:color w:val="000000"/>
          <w:spacing w:val="20"/>
          <w:szCs w:val="23"/>
        </w:rPr>
        <w:br w:type="page"/>
      </w:r>
    </w:p>
    <w:p w:rsidR="00EE5CF1" w:rsidRDefault="000A34CE" w:rsidP="000A34CE">
      <w:pPr>
        <w:spacing w:before="120" w:after="240"/>
        <w:contextualSpacing/>
        <w:jc w:val="both"/>
        <w:textAlignment w:val="baseline"/>
        <w:rPr>
          <w:rFonts w:ascii="Arial" w:hAnsi="Arial" w:cs="Arial"/>
          <w:b/>
          <w:bCs/>
          <w:color w:val="000000"/>
          <w:spacing w:val="20"/>
          <w:szCs w:val="23"/>
        </w:rPr>
      </w:pPr>
      <w:r>
        <w:rPr>
          <w:rFonts w:ascii="Arial" w:hAnsi="Arial" w:cs="Arial"/>
          <w:b/>
          <w:bCs/>
          <w:color w:val="000000"/>
          <w:spacing w:val="20"/>
          <w:szCs w:val="23"/>
        </w:rPr>
        <w:lastRenderedPageBreak/>
        <w:t xml:space="preserve">4.1.5.6.- </w:t>
      </w:r>
      <w:r w:rsidR="00E91C2E" w:rsidRPr="000F7669">
        <w:rPr>
          <w:rFonts w:ascii="Arial" w:hAnsi="Arial" w:cs="Arial"/>
          <w:b/>
          <w:bCs/>
          <w:color w:val="000000"/>
          <w:spacing w:val="20"/>
          <w:szCs w:val="23"/>
        </w:rPr>
        <w:t>POLÍTICAS ESPECÍFICAS DEL CICLO PRESUPUESTARIO.</w:t>
      </w:r>
    </w:p>
    <w:p w:rsidR="000A34CE" w:rsidRPr="000F7669" w:rsidRDefault="000A34CE" w:rsidP="000A34CE">
      <w:pPr>
        <w:spacing w:before="120" w:after="240"/>
        <w:contextualSpacing/>
        <w:jc w:val="both"/>
        <w:textAlignment w:val="baseline"/>
        <w:rPr>
          <w:rFonts w:ascii="Arial" w:hAnsi="Arial" w:cs="Arial"/>
          <w:color w:val="000000"/>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El Manual de Planeación, Programación y </w:t>
      </w:r>
      <w:proofErr w:type="spellStart"/>
      <w:r w:rsidRPr="000F7669">
        <w:rPr>
          <w:rFonts w:ascii="Arial" w:hAnsi="Arial" w:cs="Arial"/>
          <w:spacing w:val="20"/>
          <w:szCs w:val="23"/>
        </w:rPr>
        <w:t>Presupuestación</w:t>
      </w:r>
      <w:proofErr w:type="spellEnd"/>
      <w:r w:rsidRPr="000F7669">
        <w:rPr>
          <w:rFonts w:ascii="Arial" w:hAnsi="Arial" w:cs="Arial"/>
          <w:spacing w:val="20"/>
          <w:szCs w:val="23"/>
        </w:rPr>
        <w:t xml:space="preserve"> 2015, definió para los ejecutores de gasto durante el proceso de elaboración del Programa Operativo Anual, los preceptos y aspectos específicos de observancia obligada para hacer una </w:t>
      </w:r>
      <w:proofErr w:type="spellStart"/>
      <w:r w:rsidRPr="000F7669">
        <w:rPr>
          <w:rFonts w:ascii="Arial" w:hAnsi="Arial" w:cs="Arial"/>
          <w:spacing w:val="20"/>
          <w:szCs w:val="23"/>
        </w:rPr>
        <w:t>presupuestación</w:t>
      </w:r>
      <w:proofErr w:type="spellEnd"/>
      <w:r w:rsidRPr="000F7669">
        <w:rPr>
          <w:rFonts w:ascii="Arial" w:hAnsi="Arial" w:cs="Arial"/>
          <w:spacing w:val="20"/>
          <w:szCs w:val="23"/>
        </w:rPr>
        <w:t xml:space="preserve"> objetiva, sin descuidar las funciones institucionales que les facultan las distintas disposiciones y marcos normativos.</w:t>
      </w:r>
    </w:p>
    <w:p w:rsidR="000A34CE" w:rsidRPr="000F7669" w:rsidRDefault="000A34CE"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A continuación se enuncian y se describe en </w:t>
      </w:r>
      <w:proofErr w:type="spellStart"/>
      <w:r w:rsidRPr="000F7669">
        <w:rPr>
          <w:rFonts w:ascii="Arial" w:hAnsi="Arial" w:cs="Arial"/>
          <w:spacing w:val="20"/>
          <w:szCs w:val="23"/>
        </w:rPr>
        <w:t>que</w:t>
      </w:r>
      <w:proofErr w:type="spellEnd"/>
      <w:r w:rsidRPr="000F7669">
        <w:rPr>
          <w:rFonts w:ascii="Arial" w:hAnsi="Arial" w:cs="Arial"/>
          <w:spacing w:val="20"/>
          <w:szCs w:val="23"/>
        </w:rPr>
        <w:t xml:space="preserve"> consisten los preceptos que consideraron los ejecutores de gasto:</w:t>
      </w:r>
    </w:p>
    <w:p w:rsidR="000A34CE" w:rsidRPr="000F7669" w:rsidRDefault="000A34CE" w:rsidP="00EE5CF1">
      <w:pPr>
        <w:spacing w:before="120" w:after="240"/>
        <w:contextualSpacing/>
        <w:jc w:val="both"/>
        <w:rPr>
          <w:rFonts w:ascii="Arial" w:hAnsi="Arial"/>
          <w:spacing w:val="20"/>
        </w:rPr>
      </w:pPr>
    </w:p>
    <w:p w:rsidR="000A34CE" w:rsidRDefault="00EE5CF1" w:rsidP="00EE5CF1">
      <w:pPr>
        <w:spacing w:before="120" w:after="240"/>
        <w:ind w:left="700"/>
        <w:contextualSpacing/>
        <w:jc w:val="both"/>
        <w:rPr>
          <w:rFonts w:ascii="Arial" w:hAnsi="Arial" w:cs="Arial"/>
          <w:b/>
          <w:bCs/>
          <w:spacing w:val="20"/>
          <w:szCs w:val="23"/>
        </w:rPr>
      </w:pPr>
      <w:proofErr w:type="spellStart"/>
      <w:r w:rsidRPr="000F7669">
        <w:rPr>
          <w:rFonts w:ascii="Arial" w:hAnsi="Arial" w:cs="Arial"/>
          <w:b/>
          <w:bCs/>
          <w:spacing w:val="20"/>
          <w:szCs w:val="23"/>
        </w:rPr>
        <w:t>Transversalidad</w:t>
      </w:r>
      <w:proofErr w:type="spellEnd"/>
      <w:r w:rsidRPr="000F7669">
        <w:rPr>
          <w:rFonts w:ascii="Arial" w:hAnsi="Arial" w:cs="Arial"/>
          <w:b/>
          <w:bCs/>
          <w:spacing w:val="20"/>
          <w:szCs w:val="23"/>
        </w:rPr>
        <w:t xml:space="preserve">. </w:t>
      </w:r>
    </w:p>
    <w:p w:rsidR="000A34CE" w:rsidRDefault="000A34CE" w:rsidP="00EE5CF1">
      <w:pPr>
        <w:spacing w:before="120" w:after="240"/>
        <w:ind w:left="700"/>
        <w:contextualSpacing/>
        <w:jc w:val="both"/>
        <w:rPr>
          <w:rFonts w:ascii="Arial" w:hAnsi="Arial" w:cs="Arial"/>
          <w:b/>
          <w:bCs/>
          <w:spacing w:val="20"/>
          <w:szCs w:val="23"/>
        </w:rPr>
      </w:pPr>
    </w:p>
    <w:p w:rsidR="00EE5CF1" w:rsidRDefault="00EE5CF1" w:rsidP="00EE5CF1">
      <w:pPr>
        <w:spacing w:before="120" w:after="240"/>
        <w:ind w:left="700"/>
        <w:contextualSpacing/>
        <w:jc w:val="both"/>
        <w:rPr>
          <w:rFonts w:ascii="Arial" w:hAnsi="Arial" w:cs="Arial"/>
          <w:spacing w:val="20"/>
          <w:szCs w:val="23"/>
        </w:rPr>
      </w:pPr>
      <w:r w:rsidRPr="000F7669">
        <w:rPr>
          <w:rFonts w:ascii="Arial" w:hAnsi="Arial" w:cs="Arial"/>
          <w:spacing w:val="20"/>
          <w:szCs w:val="23"/>
        </w:rPr>
        <w:t>Con base en la reforma hacendaria, el gasto privilegió el desarrollo del Estado, la equidad de género, el respeto a los derechos humanos, la sustentabilidad y el apoyo a los pueblos indígenas.</w:t>
      </w:r>
    </w:p>
    <w:p w:rsidR="000A34CE" w:rsidRPr="000F7669" w:rsidRDefault="000A34CE" w:rsidP="00EE5CF1">
      <w:pPr>
        <w:spacing w:before="120" w:after="240"/>
        <w:ind w:left="700"/>
        <w:contextualSpacing/>
        <w:jc w:val="both"/>
        <w:rPr>
          <w:rFonts w:ascii="Arial" w:hAnsi="Arial"/>
          <w:spacing w:val="20"/>
        </w:rPr>
      </w:pPr>
    </w:p>
    <w:p w:rsidR="000A34CE" w:rsidRDefault="00EE5CF1" w:rsidP="00EE5CF1">
      <w:pPr>
        <w:spacing w:before="120" w:after="240"/>
        <w:ind w:left="700"/>
        <w:contextualSpacing/>
        <w:jc w:val="both"/>
        <w:rPr>
          <w:rFonts w:ascii="Arial" w:hAnsi="Arial" w:cs="Arial"/>
          <w:spacing w:val="20"/>
          <w:szCs w:val="23"/>
        </w:rPr>
      </w:pPr>
      <w:r w:rsidRPr="000F7669">
        <w:rPr>
          <w:rFonts w:ascii="Arial" w:hAnsi="Arial" w:cs="Arial"/>
          <w:b/>
          <w:bCs/>
          <w:spacing w:val="20"/>
          <w:szCs w:val="23"/>
        </w:rPr>
        <w:t>Ahorro del gasto.</w:t>
      </w:r>
      <w:r w:rsidRPr="000F7669">
        <w:rPr>
          <w:rFonts w:ascii="Arial" w:hAnsi="Arial" w:cs="Arial"/>
          <w:spacing w:val="20"/>
          <w:szCs w:val="23"/>
        </w:rPr>
        <w:t xml:space="preserve"> </w:t>
      </w:r>
    </w:p>
    <w:p w:rsidR="000A34CE" w:rsidRDefault="000A34CE" w:rsidP="00EE5CF1">
      <w:pPr>
        <w:spacing w:before="120" w:after="240"/>
        <w:ind w:left="700"/>
        <w:contextualSpacing/>
        <w:jc w:val="both"/>
        <w:rPr>
          <w:rFonts w:ascii="Arial" w:hAnsi="Arial" w:cs="Arial"/>
          <w:spacing w:val="20"/>
          <w:szCs w:val="23"/>
        </w:rPr>
      </w:pPr>
    </w:p>
    <w:p w:rsidR="00EE5CF1" w:rsidRDefault="00EE5CF1" w:rsidP="00EE5CF1">
      <w:pPr>
        <w:spacing w:before="120" w:after="240"/>
        <w:ind w:left="700"/>
        <w:contextualSpacing/>
        <w:jc w:val="both"/>
        <w:rPr>
          <w:rFonts w:ascii="Arial" w:hAnsi="Arial" w:cs="Arial"/>
          <w:spacing w:val="20"/>
          <w:szCs w:val="23"/>
        </w:rPr>
      </w:pPr>
      <w:r w:rsidRPr="000F7669">
        <w:rPr>
          <w:rFonts w:ascii="Arial" w:hAnsi="Arial" w:cs="Arial"/>
          <w:spacing w:val="20"/>
          <w:szCs w:val="23"/>
        </w:rPr>
        <w:t xml:space="preserve">En concordancia con una política de austeridad y disciplina presupuestaria que reducen gastos administrativos. Se mitigaron duplicidades de programas y se definieron metas claras en esta materia; de igual forma, se estableció un programa permanente de ahorro del gasto que, entre algunas de sus virtudes, se encuentra el que es plurianual, cuantificable, focalizado, </w:t>
      </w:r>
      <w:proofErr w:type="spellStart"/>
      <w:r w:rsidRPr="000F7669">
        <w:rPr>
          <w:rFonts w:ascii="Arial" w:hAnsi="Arial" w:cs="Arial"/>
          <w:spacing w:val="20"/>
          <w:szCs w:val="23"/>
        </w:rPr>
        <w:t>regularizable</w:t>
      </w:r>
      <w:proofErr w:type="spellEnd"/>
      <w:r w:rsidRPr="000F7669">
        <w:rPr>
          <w:rFonts w:ascii="Arial" w:hAnsi="Arial" w:cs="Arial"/>
          <w:spacing w:val="20"/>
          <w:szCs w:val="23"/>
        </w:rPr>
        <w:t xml:space="preserve"> y transparente.</w:t>
      </w:r>
    </w:p>
    <w:p w:rsidR="000A34CE" w:rsidRPr="000F7669" w:rsidRDefault="000A34CE" w:rsidP="00EE5CF1">
      <w:pPr>
        <w:spacing w:before="120" w:after="240"/>
        <w:ind w:left="700"/>
        <w:contextualSpacing/>
        <w:jc w:val="both"/>
        <w:rPr>
          <w:rFonts w:ascii="Arial" w:hAnsi="Arial"/>
          <w:spacing w:val="20"/>
        </w:rPr>
      </w:pPr>
    </w:p>
    <w:p w:rsidR="000A34CE" w:rsidRDefault="00EE5CF1" w:rsidP="00EE5CF1">
      <w:pPr>
        <w:spacing w:before="120" w:after="240"/>
        <w:ind w:left="700"/>
        <w:contextualSpacing/>
        <w:jc w:val="both"/>
        <w:rPr>
          <w:rFonts w:ascii="Arial" w:hAnsi="Arial" w:cs="Arial"/>
          <w:spacing w:val="20"/>
          <w:szCs w:val="23"/>
        </w:rPr>
      </w:pPr>
      <w:r w:rsidRPr="000F7669">
        <w:rPr>
          <w:rFonts w:ascii="Arial" w:hAnsi="Arial" w:cs="Arial"/>
          <w:b/>
          <w:bCs/>
          <w:spacing w:val="20"/>
          <w:szCs w:val="23"/>
        </w:rPr>
        <w:t>Proyectos plurianuales:</w:t>
      </w:r>
    </w:p>
    <w:p w:rsidR="000A34CE" w:rsidRDefault="000A34CE" w:rsidP="00EE5CF1">
      <w:pPr>
        <w:spacing w:before="120" w:after="240"/>
        <w:ind w:left="700"/>
        <w:contextualSpacing/>
        <w:jc w:val="both"/>
        <w:rPr>
          <w:rFonts w:ascii="Arial" w:hAnsi="Arial" w:cs="Arial"/>
          <w:spacing w:val="20"/>
          <w:szCs w:val="23"/>
        </w:rPr>
      </w:pPr>
    </w:p>
    <w:p w:rsidR="00EE5CF1" w:rsidRDefault="00EE5CF1" w:rsidP="00EE5CF1">
      <w:pPr>
        <w:spacing w:before="120" w:after="240"/>
        <w:ind w:left="700"/>
        <w:contextualSpacing/>
        <w:jc w:val="both"/>
        <w:rPr>
          <w:rFonts w:ascii="Arial" w:hAnsi="Arial" w:cs="Arial"/>
          <w:spacing w:val="20"/>
          <w:szCs w:val="23"/>
        </w:rPr>
      </w:pPr>
      <w:r w:rsidRPr="000F7669">
        <w:rPr>
          <w:rFonts w:ascii="Arial" w:hAnsi="Arial" w:cs="Arial"/>
          <w:spacing w:val="20"/>
          <w:szCs w:val="23"/>
        </w:rPr>
        <w:t>Se dio paso a la transparencia del registro y control de los recursos al identificar los proyectos que comprometen diversos ejercicios fiscales a través del catálogo de claves de financiamiento, registrando los compromisos reales de gobierno en el periodo respectivo y evitando el subejercicio.</w:t>
      </w:r>
    </w:p>
    <w:p w:rsidR="000A34CE" w:rsidRPr="000F7669" w:rsidRDefault="000A34CE" w:rsidP="00EE5CF1">
      <w:pPr>
        <w:spacing w:before="120" w:after="240"/>
        <w:ind w:left="700"/>
        <w:contextualSpacing/>
        <w:jc w:val="both"/>
        <w:rPr>
          <w:rFonts w:ascii="Arial" w:hAnsi="Arial"/>
          <w:spacing w:val="20"/>
        </w:rPr>
      </w:pPr>
    </w:p>
    <w:p w:rsidR="000A34CE" w:rsidRDefault="00EE5CF1" w:rsidP="00EE5CF1">
      <w:pPr>
        <w:spacing w:before="120" w:after="240"/>
        <w:ind w:left="700"/>
        <w:contextualSpacing/>
        <w:jc w:val="both"/>
        <w:rPr>
          <w:rFonts w:ascii="Arial" w:hAnsi="Arial" w:cs="Arial"/>
          <w:b/>
          <w:bCs/>
          <w:spacing w:val="20"/>
          <w:szCs w:val="23"/>
        </w:rPr>
      </w:pPr>
      <w:r w:rsidRPr="000F7669">
        <w:rPr>
          <w:rFonts w:ascii="Arial" w:hAnsi="Arial" w:cs="Arial"/>
          <w:b/>
          <w:bCs/>
          <w:spacing w:val="20"/>
          <w:szCs w:val="23"/>
        </w:rPr>
        <w:t xml:space="preserve">Planeación y operación de la Administración Pública Estatal. </w:t>
      </w:r>
    </w:p>
    <w:p w:rsidR="008D24A0" w:rsidRDefault="008D24A0" w:rsidP="00EE5CF1">
      <w:pPr>
        <w:spacing w:before="120" w:after="240"/>
        <w:ind w:left="700"/>
        <w:contextualSpacing/>
        <w:jc w:val="both"/>
        <w:rPr>
          <w:rFonts w:ascii="Arial" w:hAnsi="Arial" w:cs="Arial"/>
          <w:b/>
          <w:bCs/>
          <w:spacing w:val="20"/>
          <w:szCs w:val="23"/>
        </w:rPr>
      </w:pPr>
    </w:p>
    <w:p w:rsidR="00EE5CF1" w:rsidRDefault="00EE5CF1" w:rsidP="00EE5CF1">
      <w:pPr>
        <w:spacing w:before="120" w:after="240"/>
        <w:ind w:left="700"/>
        <w:contextualSpacing/>
        <w:jc w:val="both"/>
        <w:rPr>
          <w:rFonts w:ascii="Arial" w:hAnsi="Arial" w:cs="Arial"/>
          <w:spacing w:val="20"/>
          <w:szCs w:val="23"/>
        </w:rPr>
      </w:pPr>
      <w:r w:rsidRPr="000F7669">
        <w:rPr>
          <w:rFonts w:ascii="Arial" w:hAnsi="Arial" w:cs="Arial"/>
          <w:spacing w:val="20"/>
          <w:szCs w:val="23"/>
        </w:rPr>
        <w:t>Los ejecutores de gasto, planearon su actuación utilizando los indicadores de desempeño y determinando metas que permitieron evaluar su ejercicio.</w:t>
      </w:r>
    </w:p>
    <w:p w:rsidR="000A34CE" w:rsidRPr="000F7669" w:rsidRDefault="000A34CE" w:rsidP="00EE5CF1">
      <w:pPr>
        <w:spacing w:before="120" w:after="240"/>
        <w:ind w:left="700"/>
        <w:contextualSpacing/>
        <w:jc w:val="both"/>
        <w:rPr>
          <w:rFonts w:ascii="Arial" w:hAnsi="Arial"/>
          <w:spacing w:val="20"/>
        </w:rPr>
      </w:pPr>
    </w:p>
    <w:p w:rsidR="000A34CE" w:rsidRDefault="00EE5CF1" w:rsidP="00EE5CF1">
      <w:pPr>
        <w:spacing w:before="120" w:after="240"/>
        <w:ind w:left="700"/>
        <w:contextualSpacing/>
        <w:jc w:val="both"/>
        <w:rPr>
          <w:rFonts w:ascii="Arial" w:hAnsi="Arial" w:cs="Arial"/>
          <w:b/>
          <w:bCs/>
          <w:spacing w:val="20"/>
          <w:szCs w:val="23"/>
        </w:rPr>
      </w:pPr>
      <w:r w:rsidRPr="000F7669">
        <w:rPr>
          <w:rFonts w:ascii="Arial" w:hAnsi="Arial" w:cs="Arial"/>
          <w:b/>
          <w:bCs/>
          <w:spacing w:val="20"/>
          <w:szCs w:val="23"/>
        </w:rPr>
        <w:lastRenderedPageBreak/>
        <w:t>Transparencia.</w:t>
      </w:r>
    </w:p>
    <w:p w:rsidR="000A34CE" w:rsidRDefault="000A34CE" w:rsidP="00EE5CF1">
      <w:pPr>
        <w:spacing w:before="120" w:after="240"/>
        <w:ind w:left="700"/>
        <w:contextualSpacing/>
        <w:jc w:val="both"/>
        <w:rPr>
          <w:rFonts w:ascii="Arial" w:hAnsi="Arial" w:cs="Arial"/>
          <w:spacing w:val="20"/>
          <w:szCs w:val="23"/>
        </w:rPr>
      </w:pPr>
    </w:p>
    <w:p w:rsidR="00EE5CF1" w:rsidRDefault="00EE5CF1" w:rsidP="00EE5CF1">
      <w:pPr>
        <w:spacing w:before="120" w:after="240"/>
        <w:ind w:left="700"/>
        <w:contextualSpacing/>
        <w:jc w:val="both"/>
        <w:rPr>
          <w:rFonts w:ascii="Arial" w:hAnsi="Arial" w:cs="Arial"/>
          <w:spacing w:val="20"/>
          <w:szCs w:val="23"/>
        </w:rPr>
      </w:pPr>
      <w:r w:rsidRPr="000F7669">
        <w:rPr>
          <w:rFonts w:ascii="Arial" w:hAnsi="Arial" w:cs="Arial"/>
          <w:spacing w:val="20"/>
          <w:szCs w:val="23"/>
        </w:rPr>
        <w:t>En esta administración se mejoraron los sistemas de planeación, registro y evaluación del gasto público, con lo que se logra no sólo transparencia en el ejercicio de los recursos, sino también se oferta o entrega información a la ciudadanía y evaluación de la misma.</w:t>
      </w:r>
    </w:p>
    <w:p w:rsidR="000A34CE" w:rsidRPr="000F7669" w:rsidRDefault="000A34CE" w:rsidP="00EE5CF1">
      <w:pPr>
        <w:spacing w:before="120" w:after="240"/>
        <w:ind w:left="700"/>
        <w:contextualSpacing/>
        <w:jc w:val="both"/>
        <w:rPr>
          <w:rFonts w:ascii="Arial" w:hAnsi="Arial"/>
          <w:spacing w:val="20"/>
        </w:rPr>
      </w:pPr>
    </w:p>
    <w:p w:rsidR="000A34CE" w:rsidRDefault="00EE5CF1" w:rsidP="00EE5CF1">
      <w:pPr>
        <w:spacing w:before="120" w:after="240"/>
        <w:ind w:left="700"/>
        <w:contextualSpacing/>
        <w:jc w:val="both"/>
        <w:rPr>
          <w:rFonts w:ascii="Arial" w:hAnsi="Arial" w:cs="Arial"/>
          <w:b/>
          <w:bCs/>
          <w:spacing w:val="20"/>
          <w:szCs w:val="23"/>
        </w:rPr>
      </w:pPr>
      <w:r w:rsidRPr="000F7669">
        <w:rPr>
          <w:rFonts w:ascii="Arial" w:hAnsi="Arial" w:cs="Arial"/>
          <w:b/>
          <w:bCs/>
          <w:spacing w:val="20"/>
          <w:szCs w:val="23"/>
        </w:rPr>
        <w:t>Rendición de cuentas.</w:t>
      </w:r>
    </w:p>
    <w:p w:rsidR="000A34CE" w:rsidRDefault="000A34CE" w:rsidP="00EE5CF1">
      <w:pPr>
        <w:spacing w:before="120" w:after="240"/>
        <w:ind w:left="700"/>
        <w:contextualSpacing/>
        <w:jc w:val="both"/>
        <w:rPr>
          <w:rFonts w:ascii="Arial" w:hAnsi="Arial" w:cs="Arial"/>
          <w:b/>
          <w:bCs/>
          <w:spacing w:val="20"/>
          <w:szCs w:val="23"/>
        </w:rPr>
      </w:pPr>
    </w:p>
    <w:p w:rsidR="00EE5CF1" w:rsidRDefault="00EE5CF1" w:rsidP="00EE5CF1">
      <w:pPr>
        <w:spacing w:before="120" w:after="240"/>
        <w:ind w:left="700"/>
        <w:contextualSpacing/>
        <w:jc w:val="both"/>
        <w:rPr>
          <w:rFonts w:ascii="Arial" w:hAnsi="Arial" w:cs="Arial"/>
          <w:spacing w:val="20"/>
          <w:szCs w:val="23"/>
        </w:rPr>
      </w:pPr>
      <w:r w:rsidRPr="000F7669">
        <w:rPr>
          <w:rFonts w:ascii="Arial" w:hAnsi="Arial" w:cs="Arial"/>
          <w:spacing w:val="20"/>
          <w:szCs w:val="23"/>
        </w:rPr>
        <w:t>Un gobierno transparente a la luz de la ciudadanía y de los órganos de control, evaluación y fiscalización estatales y federales, es aquél que presenta informes sobre el ejercicio del gasto y genera reportes de manera oportuna. Por ello, se buscó el diálogo y la apertura al público en los términos de la Ley de Transparencia y Acceso a la Información Pública para el Estado de Oaxaca y se avanza en la entrega de información de manera efectiva ante los órganos de control y fiscalización.</w:t>
      </w:r>
    </w:p>
    <w:p w:rsidR="000A34CE" w:rsidRPr="000F7669" w:rsidRDefault="000A34CE" w:rsidP="00EE5CF1">
      <w:pPr>
        <w:spacing w:before="120" w:after="240"/>
        <w:ind w:left="700"/>
        <w:contextualSpacing/>
        <w:jc w:val="both"/>
        <w:rPr>
          <w:rFonts w:ascii="Arial" w:hAnsi="Arial"/>
          <w:spacing w:val="20"/>
        </w:rPr>
      </w:pPr>
    </w:p>
    <w:p w:rsidR="000A34CE" w:rsidRDefault="00EE5CF1" w:rsidP="00EE5CF1">
      <w:pPr>
        <w:spacing w:before="120" w:after="240"/>
        <w:ind w:left="700"/>
        <w:contextualSpacing/>
        <w:jc w:val="both"/>
        <w:rPr>
          <w:rFonts w:ascii="Arial" w:hAnsi="Arial" w:cs="Arial"/>
          <w:b/>
          <w:bCs/>
          <w:spacing w:val="20"/>
          <w:szCs w:val="23"/>
        </w:rPr>
      </w:pPr>
      <w:r w:rsidRPr="000F7669">
        <w:rPr>
          <w:rFonts w:ascii="Arial" w:hAnsi="Arial" w:cs="Arial"/>
          <w:b/>
          <w:bCs/>
          <w:spacing w:val="20"/>
          <w:szCs w:val="23"/>
        </w:rPr>
        <w:t xml:space="preserve">Avance en la armonización contable. </w:t>
      </w:r>
    </w:p>
    <w:p w:rsidR="000A34CE" w:rsidRDefault="000A34CE" w:rsidP="00EE5CF1">
      <w:pPr>
        <w:spacing w:before="120" w:after="240"/>
        <w:ind w:left="700"/>
        <w:contextualSpacing/>
        <w:jc w:val="both"/>
        <w:rPr>
          <w:rFonts w:ascii="Arial" w:hAnsi="Arial" w:cs="Arial"/>
          <w:b/>
          <w:bCs/>
          <w:spacing w:val="20"/>
          <w:szCs w:val="23"/>
        </w:rPr>
      </w:pPr>
    </w:p>
    <w:p w:rsidR="00EE5CF1" w:rsidRDefault="00EE5CF1" w:rsidP="00EE5CF1">
      <w:pPr>
        <w:spacing w:before="120" w:after="240"/>
        <w:ind w:left="700"/>
        <w:contextualSpacing/>
        <w:jc w:val="both"/>
        <w:rPr>
          <w:rFonts w:ascii="Arial" w:hAnsi="Arial" w:cs="Arial"/>
          <w:spacing w:val="20"/>
          <w:szCs w:val="23"/>
        </w:rPr>
      </w:pPr>
      <w:r w:rsidRPr="000F7669">
        <w:rPr>
          <w:rFonts w:ascii="Arial" w:hAnsi="Arial" w:cs="Arial"/>
          <w:spacing w:val="20"/>
          <w:szCs w:val="23"/>
        </w:rPr>
        <w:t>Se continuaron los trabajos para el cumplimiento de los acuerdos emitidos por el Consejo Nacional de Armonización Contable (CONAC), con énfasis en las rectificaciones y precisiones de las partidas de gasto y en la atención de las necesidades derivadas de la actuación diaria de los ejecutores de gasto.</w:t>
      </w:r>
    </w:p>
    <w:p w:rsidR="000A34CE" w:rsidRPr="000F7669" w:rsidRDefault="000A34CE" w:rsidP="00EE5CF1">
      <w:pPr>
        <w:spacing w:before="120" w:after="240"/>
        <w:ind w:left="700"/>
        <w:contextualSpacing/>
        <w:jc w:val="both"/>
        <w:rPr>
          <w:rFonts w:ascii="Arial" w:hAnsi="Arial"/>
          <w:spacing w:val="20"/>
        </w:rPr>
      </w:pPr>
    </w:p>
    <w:p w:rsidR="000A34CE" w:rsidRDefault="00EE5CF1" w:rsidP="00EE5CF1">
      <w:pPr>
        <w:spacing w:before="120" w:after="240"/>
        <w:ind w:left="700"/>
        <w:contextualSpacing/>
        <w:jc w:val="both"/>
        <w:rPr>
          <w:rFonts w:ascii="Arial" w:hAnsi="Arial" w:cs="Arial"/>
          <w:b/>
          <w:bCs/>
          <w:spacing w:val="20"/>
          <w:szCs w:val="23"/>
        </w:rPr>
      </w:pPr>
      <w:r w:rsidRPr="000F7669">
        <w:rPr>
          <w:rFonts w:ascii="Arial" w:hAnsi="Arial" w:cs="Arial"/>
          <w:b/>
          <w:bCs/>
          <w:spacing w:val="20"/>
          <w:szCs w:val="23"/>
        </w:rPr>
        <w:t>Mejora administrativa.</w:t>
      </w:r>
    </w:p>
    <w:p w:rsidR="000A34CE" w:rsidRDefault="000A34CE" w:rsidP="00EE5CF1">
      <w:pPr>
        <w:spacing w:before="120" w:after="240"/>
        <w:ind w:left="700"/>
        <w:contextualSpacing/>
        <w:jc w:val="both"/>
        <w:rPr>
          <w:rFonts w:ascii="Arial" w:hAnsi="Arial" w:cs="Arial"/>
          <w:spacing w:val="20"/>
          <w:szCs w:val="23"/>
        </w:rPr>
      </w:pPr>
    </w:p>
    <w:p w:rsidR="00EE5CF1" w:rsidRDefault="00EE5CF1" w:rsidP="00EE5CF1">
      <w:pPr>
        <w:spacing w:before="120" w:after="240"/>
        <w:ind w:left="700"/>
        <w:contextualSpacing/>
        <w:jc w:val="both"/>
        <w:rPr>
          <w:rFonts w:ascii="Arial" w:hAnsi="Arial" w:cs="Arial"/>
          <w:spacing w:val="20"/>
          <w:szCs w:val="23"/>
        </w:rPr>
      </w:pPr>
      <w:r w:rsidRPr="000F7669">
        <w:rPr>
          <w:rFonts w:ascii="Arial" w:hAnsi="Arial" w:cs="Arial"/>
          <w:spacing w:val="20"/>
          <w:szCs w:val="23"/>
        </w:rPr>
        <w:t xml:space="preserve">Se </w:t>
      </w:r>
      <w:proofErr w:type="spellStart"/>
      <w:r w:rsidRPr="000F7669">
        <w:rPr>
          <w:rFonts w:ascii="Arial" w:hAnsi="Arial" w:cs="Arial"/>
          <w:spacing w:val="20"/>
          <w:szCs w:val="23"/>
        </w:rPr>
        <w:t>eficientó</w:t>
      </w:r>
      <w:proofErr w:type="spellEnd"/>
      <w:r w:rsidRPr="000F7669">
        <w:rPr>
          <w:rFonts w:ascii="Arial" w:hAnsi="Arial" w:cs="Arial"/>
          <w:spacing w:val="20"/>
          <w:szCs w:val="23"/>
        </w:rPr>
        <w:t xml:space="preserve"> la coordinación interinstitucional reduciendo la duplicidad de esfuerzos entre dependencias y entidades; se reforzaron áreas de interés público y se reformó la Ley Orgánica del Poder Ejecutivo del Estado de Oaxaca.</w:t>
      </w:r>
    </w:p>
    <w:p w:rsidR="000A34CE" w:rsidRPr="000F7669" w:rsidRDefault="000A34CE" w:rsidP="00EE5CF1">
      <w:pPr>
        <w:spacing w:before="120" w:after="240"/>
        <w:ind w:left="700"/>
        <w:contextualSpacing/>
        <w:jc w:val="both"/>
        <w:rPr>
          <w:rFonts w:ascii="Arial" w:hAnsi="Arial"/>
          <w:spacing w:val="20"/>
        </w:rPr>
      </w:pP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Finalmente, para mejorar la gestión presupuestal, este año se adecuó el Sistema Integral de Presupuesto (SINPRES 2015), cuyo objetivo fue facilitar la rendición de cuentas, mejorar el control del ejercicio del gasto a nivel de Unidad Responsable y por destino del mismo, cimentando la posibilidad de evaluaciones por resultados así como el manejo y obtención de la información en tiempo real que resulte útil para la toma de decisiones. Lo anterior</w:t>
      </w:r>
      <w:r w:rsidR="008D24A0">
        <w:rPr>
          <w:rFonts w:ascii="Arial" w:hAnsi="Arial" w:cs="Arial"/>
          <w:spacing w:val="20"/>
          <w:szCs w:val="23"/>
        </w:rPr>
        <w:t>,</w:t>
      </w:r>
      <w:r w:rsidRPr="000F7669">
        <w:rPr>
          <w:rFonts w:ascii="Arial" w:hAnsi="Arial" w:cs="Arial"/>
          <w:spacing w:val="20"/>
          <w:szCs w:val="23"/>
        </w:rPr>
        <w:t xml:space="preserve"> para </w:t>
      </w:r>
      <w:r w:rsidR="000A34CE" w:rsidRPr="000F7669">
        <w:rPr>
          <w:rFonts w:ascii="Arial" w:hAnsi="Arial" w:cs="Arial"/>
          <w:spacing w:val="20"/>
          <w:szCs w:val="23"/>
        </w:rPr>
        <w:t>él</w:t>
      </w:r>
      <w:r w:rsidRPr="000F7669">
        <w:rPr>
          <w:rFonts w:ascii="Arial" w:hAnsi="Arial" w:cs="Arial"/>
          <w:spacing w:val="20"/>
          <w:szCs w:val="23"/>
        </w:rPr>
        <w:t xml:space="preserve"> cumplimiento de la Ley General de Contabilidad Gubernamental y los acuerdos que emite el Consejo Nacional de Armonización Contable (CONAC)</w:t>
      </w:r>
      <w:r w:rsidR="008D24A0">
        <w:rPr>
          <w:rFonts w:ascii="Arial" w:hAnsi="Arial" w:cs="Arial"/>
          <w:spacing w:val="20"/>
          <w:szCs w:val="23"/>
        </w:rPr>
        <w:t>.</w:t>
      </w:r>
    </w:p>
    <w:p w:rsidR="00EE5CF1" w:rsidRDefault="00EE5CF1" w:rsidP="00EE5CF1">
      <w:pPr>
        <w:spacing w:before="120" w:after="240"/>
        <w:contextualSpacing/>
        <w:jc w:val="both"/>
        <w:rPr>
          <w:rFonts w:ascii="Arial" w:hAnsi="Arial" w:cs="Arial"/>
          <w:b/>
          <w:bCs/>
          <w:color w:val="000000"/>
          <w:spacing w:val="20"/>
          <w:szCs w:val="23"/>
        </w:rPr>
      </w:pPr>
      <w:r w:rsidRPr="000F7669">
        <w:rPr>
          <w:rFonts w:ascii="Arial" w:hAnsi="Arial"/>
          <w:color w:val="1F497D" w:themeColor="text2"/>
          <w:spacing w:val="20"/>
        </w:rPr>
        <w:lastRenderedPageBreak/>
        <w:t xml:space="preserve"> </w:t>
      </w:r>
      <w:r w:rsidRPr="000F7669">
        <w:rPr>
          <w:rFonts w:ascii="Arial" w:hAnsi="Arial" w:cs="Arial"/>
          <w:b/>
          <w:bCs/>
          <w:color w:val="000000"/>
          <w:spacing w:val="20"/>
          <w:szCs w:val="23"/>
        </w:rPr>
        <w:t>4.2.- OBJETIVOS DEL PRESUPUESTO DE EGRESOS</w:t>
      </w:r>
    </w:p>
    <w:p w:rsidR="006B48AC" w:rsidRPr="000F7669" w:rsidRDefault="006B48AC" w:rsidP="00EE5CF1">
      <w:pPr>
        <w:spacing w:before="120" w:after="240"/>
        <w:contextualSpacing/>
        <w:jc w:val="both"/>
        <w:rPr>
          <w:rFonts w:ascii="Arial" w:hAnsi="Arial"/>
          <w:spacing w:val="20"/>
        </w:rPr>
      </w:pPr>
    </w:p>
    <w:p w:rsidR="006B48AC" w:rsidRDefault="00EE5CF1" w:rsidP="00EE5CF1">
      <w:pPr>
        <w:spacing w:before="120" w:after="240"/>
        <w:contextualSpacing/>
        <w:jc w:val="both"/>
        <w:rPr>
          <w:rFonts w:ascii="Arial" w:hAnsi="Arial"/>
          <w:spacing w:val="20"/>
        </w:rPr>
      </w:pPr>
      <w:r w:rsidRPr="000F7669">
        <w:rPr>
          <w:rFonts w:ascii="Arial" w:hAnsi="Arial" w:cs="Arial"/>
          <w:spacing w:val="20"/>
          <w:szCs w:val="23"/>
        </w:rPr>
        <w:t>El gasto público de la presente Administración, hace énfasis en el seguimiento, la evaluación y en el cumplimiento de las disposiciones normativas federales y estatales, en relación a la contabilidad gubernamental, transparencia y rendición de cuentas, así como mejoras en la gestión de la inversión pública estatal.</w:t>
      </w:r>
    </w:p>
    <w:p w:rsidR="006B48AC" w:rsidRDefault="006B48AC"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propósito del Presupuesto de Egresos, es mantener durante su ejercicio finanzas públicas sanas que contribuyan a trabajar en un ambiente económico general, vigoroso y saludable manteniendo un equilibrio financiero con relación a los ingresos. Solo con finanzas públicas sanas, con fuentes de financiamiento sólidas, estables, permanentes y con el esfuerzo de todos, se podrá: cumplir con las funciones que señala la constitución y las leyes subyacentes; respaldar financieramente las metas contenidas en el Plan Estatal de Desarrollo 2011-2016 (PED) y los programas sectoriales; y, poner en marcha políticas públicas que fomenten el empleo, el desarrollo social y sustentable del Estado.</w:t>
      </w:r>
    </w:p>
    <w:p w:rsidR="006B48AC" w:rsidRPr="000F7669" w:rsidRDefault="006B48AC"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presente Administración, busca generar mayor valor público que permita  recuperar la confianza perdida por las y los oaxaqueños en sus gobernantes, generando bienes y servicios que contribuyan a una mejor calidad de vida para todos, tomando en cuenta las justas demandas del pueblo oaxaqueño en la dirección del quehacer gubernamental, mediante instrumentos de la planeación estratégica, perfectamente definidos en el Plan Estatal de Desarrollo 2011-2016 (PED 2011-2016), priorizando el dialogo y el acercamiento del gabinete al pueblo de Oaxaca de manera presencial mediante las audiencias públicas realizadas por este Gobierno.</w:t>
      </w:r>
    </w:p>
    <w:p w:rsidR="006B48AC" w:rsidRPr="000F7669" w:rsidRDefault="006B48AC"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Presupuesto de Egresos</w:t>
      </w:r>
      <w:r w:rsidR="008D24A0">
        <w:rPr>
          <w:rFonts w:ascii="Arial" w:hAnsi="Arial" w:cs="Arial"/>
          <w:spacing w:val="20"/>
          <w:szCs w:val="23"/>
        </w:rPr>
        <w:t>,</w:t>
      </w:r>
      <w:r w:rsidRPr="000F7669">
        <w:rPr>
          <w:rFonts w:ascii="Arial" w:hAnsi="Arial" w:cs="Arial"/>
          <w:spacing w:val="20"/>
          <w:szCs w:val="23"/>
        </w:rPr>
        <w:t xml:space="preserve"> es la herramienta fundamental para el logro de las metas  y objetivos de los programas de cada Eje de Gobierno contenidos en el PED, de tal forma que al término de esta administración gubernamental se hayan cumplido con los compromisos establecidos en ese documento rector para el desarrollo del Estado, por lo que durante el 2015 el Ejecutivo del Estado a través de la Secretaría de Finanzas aplicó el Reglamento de la Ley Estatal de Presupuesto y Responsabilidad Hacendaria, mismo que fue aprobado por el Congreso del Estado en diciembre de 2014, un avance importante para reglamentar aún más el ejercicio de los recursos públicos, fortaleciendo los criterios de </w:t>
      </w:r>
      <w:r w:rsidRPr="000F7669">
        <w:rPr>
          <w:rFonts w:ascii="Arial" w:hAnsi="Arial" w:cs="Arial"/>
          <w:spacing w:val="20"/>
          <w:szCs w:val="23"/>
        </w:rPr>
        <w:lastRenderedPageBreak/>
        <w:t>racionalidad, austeridad, honradez, transparencia y rendición de cuentas.</w:t>
      </w:r>
    </w:p>
    <w:p w:rsidR="006B48AC" w:rsidRPr="000F7669" w:rsidRDefault="006B48AC"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la integración del Presupuesto de Egresos 2015, presentado a la Legislatura del Estado en el mes de noviembre de 2014, como lo marca la Ley Estatal de Presupuesto y Responsabilidad Hacendaria, se utilizaron los catálogos presupuestales diseñados y alineados a la Ley General de Contabilidad Gubernamental, a los acuerdos emitidos por el Consejo Nacional de Armonización Contable (CONAC), al Plan Estatal de Desarrollo de Oaxaca 2011-2016</w:t>
      </w:r>
      <w:r w:rsidR="008D24A0">
        <w:rPr>
          <w:rFonts w:ascii="Arial" w:hAnsi="Arial" w:cs="Arial"/>
          <w:spacing w:val="20"/>
          <w:szCs w:val="23"/>
        </w:rPr>
        <w:t>,</w:t>
      </w:r>
      <w:r w:rsidRPr="000F7669">
        <w:rPr>
          <w:rFonts w:ascii="Arial" w:hAnsi="Arial" w:cs="Arial"/>
          <w:spacing w:val="20"/>
          <w:szCs w:val="23"/>
        </w:rPr>
        <w:t xml:space="preserve"> y a las demás disposiciones aplicables en materia de planeación, programación y </w:t>
      </w:r>
      <w:proofErr w:type="spellStart"/>
      <w:r w:rsidRPr="000F7669">
        <w:rPr>
          <w:rFonts w:ascii="Arial" w:hAnsi="Arial" w:cs="Arial"/>
          <w:spacing w:val="20"/>
          <w:szCs w:val="23"/>
        </w:rPr>
        <w:t>presupuestación</w:t>
      </w:r>
      <w:proofErr w:type="spellEnd"/>
      <w:r w:rsidRPr="000F7669">
        <w:rPr>
          <w:rFonts w:ascii="Arial" w:hAnsi="Arial" w:cs="Arial"/>
          <w:spacing w:val="20"/>
          <w:szCs w:val="23"/>
        </w:rPr>
        <w:t xml:space="preserve"> del gasto público.</w:t>
      </w:r>
    </w:p>
    <w:p w:rsidR="006B48AC" w:rsidRPr="000F7669" w:rsidRDefault="006B48AC"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Lo anterior</w:t>
      </w:r>
      <w:r w:rsidR="008D24A0">
        <w:rPr>
          <w:rFonts w:ascii="Arial" w:hAnsi="Arial" w:cs="Arial"/>
          <w:spacing w:val="20"/>
          <w:szCs w:val="23"/>
        </w:rPr>
        <w:t>,</w:t>
      </w:r>
      <w:r w:rsidRPr="000F7669">
        <w:rPr>
          <w:rFonts w:ascii="Arial" w:hAnsi="Arial" w:cs="Arial"/>
          <w:spacing w:val="20"/>
          <w:szCs w:val="23"/>
        </w:rPr>
        <w:t xml:space="preserve"> permite mediante la utilización de los sistemas de información y técnicas actualizadas para el manejo presupuestario, dar cuenta del ejercicio del Presupuesto de Egresos 2015, lo cual va ligado a diferentes niveles que requieren las técnicas y leyes, especialmente a los 4 ejes estratégicos del PED: Estado de Derecho, Gobernabilidad y Seguridad; Crecimiento Económico, Competitividad y Empleo; Desarrollo Social y Humano; y, Gobierno Honesto y de Resultados.</w:t>
      </w:r>
    </w:p>
    <w:p w:rsidR="006B48AC" w:rsidRPr="000F7669" w:rsidRDefault="006B48AC"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uso de criterios homogéneos en la integración de información financiera, presupuestal y contable, ha permitido medir la eficacia y eficiencia del gasto público aplicado, para el registró seguimiento a los egresos públicos en concordancia con las disposiciones emitidas por el Gobierno Federal, para la administración de las haciendas estatales en el ejercicio fiscal. Este registro presupuestal basado en la estructura programática tiene como finalidad privilegiar la transparencia en el ejercicio de los recursos públicos y proporcionar a la ciudadanía información precisa sobre la pregunta ¿En qué gasta el gobierno</w:t>
      </w:r>
      <w:proofErr w:type="gramStart"/>
      <w:r w:rsidRPr="000F7669">
        <w:rPr>
          <w:rFonts w:ascii="Arial" w:hAnsi="Arial" w:cs="Arial"/>
          <w:spacing w:val="20"/>
          <w:szCs w:val="23"/>
        </w:rPr>
        <w:t>?</w:t>
      </w:r>
      <w:r w:rsidR="006B48AC">
        <w:rPr>
          <w:rFonts w:ascii="Arial" w:hAnsi="Arial" w:cs="Arial"/>
          <w:spacing w:val="20"/>
          <w:szCs w:val="23"/>
        </w:rPr>
        <w:t>.</w:t>
      </w:r>
      <w:proofErr w:type="gramEnd"/>
    </w:p>
    <w:p w:rsidR="006B48AC" w:rsidRPr="000F7669" w:rsidRDefault="006B48AC" w:rsidP="00EE5CF1">
      <w:pPr>
        <w:spacing w:before="120" w:after="240"/>
        <w:contextualSpacing/>
        <w:jc w:val="both"/>
        <w:rPr>
          <w:rFonts w:ascii="Arial" w:hAnsi="Arial"/>
          <w:spacing w:val="20"/>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 xml:space="preserve">Por otra parte, la orientación social del gasto público se priorizó acciones en todas las áreas  para incrementar el gasto de inversión, cuyo objetivo ha sido abatir los índices de pobreza, rezago y marginación, a través de la planeación y evaluación socioeconómica de los programas y proyectos. </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 xml:space="preserve">En cuanto a infraestructura social básica, se consideró aplicar la inversión prioritaria en dotación de agua potable, drenaje y alcantarillado, electrificación, salud y vivienda, así como también en proyectos de conectividad interestatal como son carreteras, troncales, </w:t>
      </w:r>
      <w:r w:rsidRPr="000F7669">
        <w:rPr>
          <w:rFonts w:ascii="Arial" w:hAnsi="Arial" w:cs="Arial"/>
          <w:spacing w:val="20"/>
          <w:szCs w:val="23"/>
        </w:rPr>
        <w:lastRenderedPageBreak/>
        <w:t>alimentadoras y rurales; proyectos productivos, estratégicos y de logística productiva.</w:t>
      </w:r>
    </w:p>
    <w:p w:rsidR="00EE5CF1" w:rsidRPr="000F7669" w:rsidRDefault="00EE5CF1" w:rsidP="00EE5CF1">
      <w:pPr>
        <w:contextualSpacing/>
        <w:jc w:val="both"/>
        <w:rPr>
          <w:rFonts w:ascii="Arial" w:hAnsi="Arial" w:cs="Arial"/>
          <w:spacing w:val="20"/>
          <w:szCs w:val="23"/>
        </w:rPr>
      </w:pPr>
    </w:p>
    <w:p w:rsidR="00EE5CF1" w:rsidRPr="000F7669" w:rsidRDefault="00EE5CF1" w:rsidP="00EE5CF1">
      <w:pPr>
        <w:contextualSpacing/>
        <w:jc w:val="both"/>
        <w:rPr>
          <w:rFonts w:ascii="Arial" w:hAnsi="Arial" w:cs="Arial"/>
          <w:spacing w:val="20"/>
          <w:szCs w:val="23"/>
        </w:rPr>
      </w:pPr>
      <w:r w:rsidRPr="000F7669">
        <w:rPr>
          <w:rFonts w:ascii="Arial" w:hAnsi="Arial" w:cs="Arial"/>
          <w:spacing w:val="20"/>
          <w:szCs w:val="23"/>
        </w:rPr>
        <w:t>El Gobierno del Estado asumió el compromiso de administrar las fuentes federalizadas de forma responsable como lo es el Fondo de Aportaciones para la Nómina Educativa y Gasto Operativo, de igual manera, se estableció el compromiso para que el Fondo de Aportaciones para los Servicios de Salud se destinara a la atención de las necesidades de la población que no tiene acceso a la seguridad social, hecho con el cual la ciudadanía se vio  favorecida con más recursos para el abatimiento de los índices de pobreza en el Estado; así</w:t>
      </w:r>
      <w:r w:rsidR="008D24A0">
        <w:rPr>
          <w:rFonts w:ascii="Arial" w:hAnsi="Arial" w:cs="Arial"/>
          <w:spacing w:val="20"/>
          <w:szCs w:val="23"/>
        </w:rPr>
        <w:t>,</w:t>
      </w:r>
      <w:r w:rsidRPr="000F7669">
        <w:rPr>
          <w:rFonts w:ascii="Arial" w:hAnsi="Arial" w:cs="Arial"/>
          <w:spacing w:val="20"/>
          <w:szCs w:val="23"/>
        </w:rPr>
        <w:t xml:space="preserve"> se ejercieron los</w:t>
      </w:r>
      <w:r w:rsidR="008D24A0">
        <w:rPr>
          <w:rFonts w:ascii="Arial" w:hAnsi="Arial" w:cs="Arial"/>
          <w:spacing w:val="20"/>
          <w:szCs w:val="23"/>
        </w:rPr>
        <w:t xml:space="preserve"> siguientes fondos</w:t>
      </w:r>
      <w:r w:rsidRPr="000F7669">
        <w:rPr>
          <w:rFonts w:ascii="Arial" w:hAnsi="Arial" w:cs="Arial"/>
          <w:spacing w:val="20"/>
          <w:szCs w:val="23"/>
        </w:rPr>
        <w:t>: Fondo de Aportaciones para la Infraestructura Social, Fondo de Aportaciones Múltiples, Fondo de Aportaciones para la Educación  Tecnológica y de Adultos, Fondo de Aportaciones para la Seguridad Pública de los Estados y del Distrito Federal y el Fondo de Aportaciones para el Fortalecimiento de la Entidades Federativas.</w:t>
      </w:r>
    </w:p>
    <w:p w:rsidR="00EE5CF1" w:rsidRPr="000F7669" w:rsidRDefault="00EE5CF1" w:rsidP="00EE5CF1">
      <w:pPr>
        <w:pStyle w:val="xl35"/>
        <w:pBdr>
          <w:left w:val="none" w:sz="0" w:space="0" w:color="auto"/>
          <w:right w:val="none" w:sz="0" w:space="0" w:color="auto"/>
        </w:pBdr>
        <w:spacing w:before="0" w:beforeAutospacing="0" w:after="0" w:afterAutospacing="0"/>
        <w:contextualSpacing/>
        <w:jc w:val="both"/>
        <w:rPr>
          <w:rFonts w:ascii="Arial" w:hAnsi="Arial" w:cs="Arial"/>
          <w:b/>
          <w:spacing w:val="20"/>
          <w:lang w:val="es-ES"/>
        </w:rPr>
      </w:pPr>
    </w:p>
    <w:p w:rsidR="00EE5CF1" w:rsidRPr="000F7669" w:rsidRDefault="00EE5CF1" w:rsidP="00EE5CF1">
      <w:pPr>
        <w:pStyle w:val="Prrafodelista"/>
        <w:ind w:left="1428"/>
        <w:contextualSpacing/>
        <w:jc w:val="both"/>
        <w:rPr>
          <w:rFonts w:ascii="Arial" w:hAnsi="Arial" w:cs="Arial"/>
          <w:sz w:val="24"/>
          <w:highlight w:val="yellow"/>
        </w:rPr>
      </w:pPr>
      <w:r w:rsidRPr="000F7669">
        <w:rPr>
          <w:rFonts w:ascii="Arial" w:hAnsi="Arial" w:cs="Arial"/>
          <w:b/>
          <w:spacing w:val="20"/>
          <w:sz w:val="24"/>
        </w:rPr>
        <w:br w:type="page"/>
      </w:r>
    </w:p>
    <w:p w:rsidR="00EE5CF1" w:rsidRPr="000F7669" w:rsidRDefault="00EE5CF1" w:rsidP="00EE5CF1">
      <w:pPr>
        <w:pStyle w:val="xl35"/>
        <w:pBdr>
          <w:left w:val="none" w:sz="0" w:space="0" w:color="auto"/>
          <w:right w:val="none" w:sz="0" w:space="0" w:color="auto"/>
        </w:pBdr>
        <w:spacing w:before="0" w:beforeAutospacing="0" w:after="0" w:afterAutospacing="0"/>
        <w:contextualSpacing/>
        <w:jc w:val="both"/>
        <w:rPr>
          <w:rFonts w:ascii="Arial" w:hAnsi="Arial" w:cs="Arial"/>
          <w:b/>
          <w:spacing w:val="20"/>
        </w:rPr>
      </w:pPr>
      <w:r w:rsidRPr="000F7669">
        <w:rPr>
          <w:rFonts w:ascii="Arial" w:hAnsi="Arial" w:cs="Arial"/>
          <w:b/>
          <w:spacing w:val="20"/>
        </w:rPr>
        <w:lastRenderedPageBreak/>
        <w:t xml:space="preserve">4.3.- PRESUPUESTO DEVENGADO EN CLASIFICACIÓN POR TIPO Y OBJETO DEL GASTO </w:t>
      </w:r>
    </w:p>
    <w:p w:rsidR="00EE5CF1" w:rsidRPr="000F7669" w:rsidRDefault="00EE5CF1" w:rsidP="00EE5CF1">
      <w:pPr>
        <w:autoSpaceDE w:val="0"/>
        <w:autoSpaceDN w:val="0"/>
        <w:adjustRightInd w:val="0"/>
        <w:contextualSpacing/>
        <w:jc w:val="both"/>
        <w:rPr>
          <w:rFonts w:ascii="Arial" w:hAnsi="Arial"/>
          <w:highlight w:val="yellow"/>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este informe</w:t>
      </w:r>
      <w:r w:rsidR="00982321">
        <w:rPr>
          <w:rFonts w:ascii="Arial" w:hAnsi="Arial" w:cs="Arial"/>
          <w:spacing w:val="20"/>
          <w:szCs w:val="23"/>
        </w:rPr>
        <w:t>,</w:t>
      </w:r>
      <w:r w:rsidRPr="000F7669">
        <w:rPr>
          <w:rFonts w:ascii="Arial" w:hAnsi="Arial" w:cs="Arial"/>
          <w:spacing w:val="20"/>
          <w:szCs w:val="23"/>
        </w:rPr>
        <w:t xml:space="preserve"> se presenta la clasificación por tipo y objeto del gasto considerando el destino y la naturaleza de los bienes y servicios utilizados por los entes públicos, en cumplimiento de sus atribuciones y responsabilidades.</w:t>
      </w:r>
    </w:p>
    <w:p w:rsidR="006B48AC" w:rsidRPr="000F7669" w:rsidRDefault="006B48AC" w:rsidP="00EE5CF1">
      <w:pPr>
        <w:spacing w:after="240"/>
        <w:contextualSpacing/>
        <w:jc w:val="both"/>
        <w:rPr>
          <w:rFonts w:ascii="Arial" w:hAnsi="Arial" w:cs="Arial"/>
          <w:spacing w:val="20"/>
          <w:szCs w:val="23"/>
        </w:rPr>
      </w:pPr>
    </w:p>
    <w:p w:rsidR="00EE5CF1" w:rsidRPr="000F7669" w:rsidRDefault="00EE5CF1" w:rsidP="00EE5CF1">
      <w:pPr>
        <w:autoSpaceDE w:val="0"/>
        <w:autoSpaceDN w:val="0"/>
        <w:adjustRightInd w:val="0"/>
        <w:contextualSpacing/>
        <w:jc w:val="both"/>
        <w:rPr>
          <w:rFonts w:ascii="Arial" w:hAnsi="Arial" w:cs="Arial"/>
          <w:spacing w:val="20"/>
          <w:szCs w:val="23"/>
        </w:rPr>
      </w:pPr>
      <w:r w:rsidRPr="000F7669">
        <w:rPr>
          <w:rFonts w:ascii="Arial" w:hAnsi="Arial" w:cs="Arial"/>
          <w:spacing w:val="20"/>
          <w:szCs w:val="23"/>
        </w:rPr>
        <w:t>El propósito principal de esta clasificación</w:t>
      </w:r>
      <w:r w:rsidR="00982321">
        <w:rPr>
          <w:rFonts w:ascii="Arial" w:hAnsi="Arial" w:cs="Arial"/>
          <w:spacing w:val="20"/>
          <w:szCs w:val="23"/>
        </w:rPr>
        <w:t>,</w:t>
      </w:r>
      <w:r w:rsidRPr="000F7669">
        <w:rPr>
          <w:rFonts w:ascii="Arial" w:hAnsi="Arial" w:cs="Arial"/>
          <w:spacing w:val="20"/>
          <w:szCs w:val="23"/>
        </w:rPr>
        <w:t xml:space="preserve"> es el registro de los gastos que se realizan en el proceso presupuestario. Resume, ordena y presenta los gastos programados en el presupuesto de acuerdo con la naturaleza económica de los bienes, servicios, activos y pasivos financieros, en el marco del presupuesto de egresos</w:t>
      </w:r>
      <w:r w:rsidR="00982321">
        <w:rPr>
          <w:rFonts w:ascii="Arial" w:hAnsi="Arial" w:cs="Arial"/>
          <w:spacing w:val="20"/>
          <w:szCs w:val="23"/>
        </w:rPr>
        <w:t>.</w:t>
      </w:r>
    </w:p>
    <w:p w:rsidR="00EE5CF1" w:rsidRPr="000F7669" w:rsidRDefault="00EE5CF1" w:rsidP="00EE5CF1">
      <w:pPr>
        <w:autoSpaceDE w:val="0"/>
        <w:autoSpaceDN w:val="0"/>
        <w:adjustRightInd w:val="0"/>
        <w:contextualSpacing/>
        <w:jc w:val="both"/>
        <w:rPr>
          <w:rFonts w:ascii="Arial" w:hAnsi="Arial" w:cs="Arial"/>
          <w:spacing w:val="20"/>
          <w:szCs w:val="23"/>
        </w:rPr>
      </w:pPr>
    </w:p>
    <w:p w:rsidR="00EE5CF1" w:rsidRPr="000F7669" w:rsidRDefault="00EE5CF1" w:rsidP="00EE5CF1">
      <w:pPr>
        <w:autoSpaceDE w:val="0"/>
        <w:autoSpaceDN w:val="0"/>
        <w:adjustRightInd w:val="0"/>
        <w:contextualSpacing/>
        <w:jc w:val="both"/>
        <w:rPr>
          <w:rFonts w:ascii="Arial" w:hAnsi="Arial" w:cs="Arial"/>
          <w:spacing w:val="20"/>
          <w:szCs w:val="23"/>
        </w:rPr>
      </w:pPr>
      <w:r w:rsidRPr="000F7669">
        <w:rPr>
          <w:rFonts w:ascii="Arial" w:hAnsi="Arial" w:cs="Arial"/>
          <w:spacing w:val="20"/>
          <w:szCs w:val="23"/>
        </w:rPr>
        <w:t>El clasificador por tipo y objeto del gasto</w:t>
      </w:r>
      <w:r w:rsidR="00982321">
        <w:rPr>
          <w:rFonts w:ascii="Arial" w:hAnsi="Arial" w:cs="Arial"/>
          <w:spacing w:val="20"/>
          <w:szCs w:val="23"/>
        </w:rPr>
        <w:t>,</w:t>
      </w:r>
      <w:r w:rsidRPr="000F7669">
        <w:rPr>
          <w:rFonts w:ascii="Arial" w:hAnsi="Arial" w:cs="Arial"/>
          <w:spacing w:val="20"/>
          <w:szCs w:val="23"/>
        </w:rPr>
        <w:t xml:space="preserve"> permite que la información presupuestaria pueda presentarse de tal forma que cualquier persona pueda tener fácil acceso, proporcionando al Estado una herramienta de seguimiento, mediante el cual se dé cuenta sobre el grado de cumplimiento de las prioridades estatales.</w:t>
      </w:r>
    </w:p>
    <w:p w:rsidR="00EE5CF1" w:rsidRPr="000F7669" w:rsidRDefault="00EE5CF1" w:rsidP="00EE5CF1">
      <w:pPr>
        <w:autoSpaceDE w:val="0"/>
        <w:autoSpaceDN w:val="0"/>
        <w:adjustRightInd w:val="0"/>
        <w:contextualSpacing/>
        <w:jc w:val="both"/>
        <w:rPr>
          <w:rFonts w:ascii="Arial" w:hAnsi="Arial" w:cs="Arial"/>
          <w:spacing w:val="20"/>
          <w:szCs w:val="23"/>
        </w:rPr>
      </w:pPr>
    </w:p>
    <w:p w:rsidR="00EE5CF1" w:rsidRDefault="00EE5CF1" w:rsidP="00EE5CF1">
      <w:pPr>
        <w:autoSpaceDE w:val="0"/>
        <w:autoSpaceDN w:val="0"/>
        <w:adjustRightInd w:val="0"/>
        <w:contextualSpacing/>
        <w:jc w:val="both"/>
        <w:rPr>
          <w:rFonts w:ascii="Arial" w:hAnsi="Arial" w:cs="Arial"/>
          <w:spacing w:val="20"/>
          <w:szCs w:val="23"/>
        </w:rPr>
      </w:pPr>
      <w:r w:rsidRPr="000F7669">
        <w:rPr>
          <w:rFonts w:ascii="Arial" w:hAnsi="Arial" w:cs="Arial"/>
          <w:spacing w:val="20"/>
          <w:szCs w:val="23"/>
        </w:rPr>
        <w:t>Permite una clasificación de las erogaciones, consistente, con criterios internacionales y contables, claro, preciso, integral y útil, que posibilite un adecuado registro y exposición de las operaciones y que facilite la interrelación con las cuentas patrimoniales</w:t>
      </w:r>
      <w:r w:rsidR="00982321">
        <w:rPr>
          <w:rFonts w:ascii="Arial" w:hAnsi="Arial" w:cs="Arial"/>
          <w:spacing w:val="20"/>
          <w:szCs w:val="23"/>
        </w:rPr>
        <w:t>,</w:t>
      </w:r>
      <w:r w:rsidRPr="000F7669">
        <w:rPr>
          <w:rFonts w:ascii="Arial" w:hAnsi="Arial" w:cs="Arial"/>
          <w:spacing w:val="20"/>
          <w:szCs w:val="23"/>
        </w:rPr>
        <w:t xml:space="preserve"> ya que su aplicación es organizada y coherente en tipos, capítulos, conceptos y partidas presupuestarias. Los componentes de este clasificador fueron definidos por la Secretaría de Finanzas, con base en los clasificadores emitidos por el Consejo Nacional de Armonización Contable (CONAC), con lo que se dio cumplimiento con las disposiciones de Contabilidad Gubernamental del CONAC. En este sentido</w:t>
      </w:r>
      <w:r w:rsidR="00982321">
        <w:rPr>
          <w:rFonts w:ascii="Arial" w:hAnsi="Arial" w:cs="Arial"/>
          <w:spacing w:val="20"/>
          <w:szCs w:val="23"/>
        </w:rPr>
        <w:t>,</w:t>
      </w:r>
      <w:r w:rsidRPr="000F7669">
        <w:rPr>
          <w:rFonts w:ascii="Arial" w:hAnsi="Arial" w:cs="Arial"/>
          <w:spacing w:val="20"/>
          <w:szCs w:val="23"/>
        </w:rPr>
        <w:t xml:space="preserve"> el gasto se distribuyó en gasto corriente, gasto de capital y amortización de deuda.</w:t>
      </w:r>
    </w:p>
    <w:p w:rsidR="006B48AC" w:rsidRPr="000F7669" w:rsidRDefault="006B48AC" w:rsidP="00EE5CF1">
      <w:pPr>
        <w:autoSpaceDE w:val="0"/>
        <w:autoSpaceDN w:val="0"/>
        <w:adjustRightInd w:val="0"/>
        <w:contextualSpacing/>
        <w:jc w:val="both"/>
        <w:rPr>
          <w:rFonts w:ascii="Arial" w:hAnsi="Arial" w:cs="Arial"/>
          <w:spacing w:val="20"/>
          <w:szCs w:val="23"/>
        </w:rPr>
      </w:pPr>
    </w:p>
    <w:p w:rsidR="00EE5CF1" w:rsidRPr="000F7669" w:rsidRDefault="00EE5CF1" w:rsidP="00EE5CF1">
      <w:pPr>
        <w:autoSpaceDE w:val="0"/>
        <w:autoSpaceDN w:val="0"/>
        <w:adjustRightInd w:val="0"/>
        <w:contextualSpacing/>
        <w:jc w:val="both"/>
        <w:rPr>
          <w:rFonts w:ascii="Arial" w:hAnsi="Arial" w:cs="Arial"/>
          <w:spacing w:val="20"/>
          <w:szCs w:val="23"/>
        </w:rPr>
      </w:pPr>
      <w:r w:rsidRPr="000F7669">
        <w:rPr>
          <w:rFonts w:ascii="Arial" w:hAnsi="Arial" w:cs="Arial"/>
          <w:spacing w:val="20"/>
          <w:szCs w:val="23"/>
        </w:rPr>
        <w:t>Del total general, el 75 por ciento se asignó a transferencias corrientes y de capital, el 12 por ciento al gasto de inversión, el 12 por ciento a gasto de operación y 1 por ciento para pago del servicio de la deuda.</w:t>
      </w:r>
    </w:p>
    <w:p w:rsidR="00EE5CF1" w:rsidRPr="000F7669" w:rsidRDefault="00EE5CF1" w:rsidP="00EE5CF1">
      <w:pPr>
        <w:spacing w:after="240"/>
        <w:contextualSpacing/>
        <w:jc w:val="both"/>
        <w:rPr>
          <w:rFonts w:ascii="Arial" w:hAnsi="Arial"/>
          <w:color w:val="1F497D" w:themeColor="text2"/>
          <w:spacing w:val="20"/>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Gasto Corriente.</w:t>
      </w:r>
    </w:p>
    <w:p w:rsidR="006B48AC" w:rsidRPr="000F7669" w:rsidRDefault="006B48AC" w:rsidP="00EE5CF1">
      <w:pPr>
        <w:spacing w:after="240"/>
        <w:contextualSpacing/>
        <w:jc w:val="both"/>
        <w:rPr>
          <w:rFonts w:ascii="Arial" w:hAnsi="Arial" w:cs="Arial"/>
          <w:b/>
          <w:bCs/>
          <w:color w:val="000000"/>
          <w:spacing w:val="20"/>
          <w:szCs w:val="23"/>
        </w:rPr>
      </w:pPr>
    </w:p>
    <w:p w:rsidR="00EE5CF1" w:rsidRPr="000F7669" w:rsidRDefault="00EE5CF1" w:rsidP="00EE5CF1">
      <w:pPr>
        <w:contextualSpacing/>
        <w:jc w:val="both"/>
        <w:rPr>
          <w:rFonts w:ascii="Arial" w:hAnsi="Arial"/>
          <w:highlight w:val="yellow"/>
        </w:rPr>
      </w:pPr>
      <w:r w:rsidRPr="000F7669">
        <w:rPr>
          <w:rFonts w:ascii="Arial" w:hAnsi="Arial" w:cs="Arial"/>
          <w:spacing w:val="20"/>
          <w:szCs w:val="23"/>
        </w:rPr>
        <w:t>El gasto corriente que se aplicó</w:t>
      </w:r>
      <w:r w:rsidR="00982321">
        <w:rPr>
          <w:rFonts w:ascii="Arial" w:hAnsi="Arial" w:cs="Arial"/>
          <w:spacing w:val="20"/>
          <w:szCs w:val="23"/>
        </w:rPr>
        <w:t>,</w:t>
      </w:r>
      <w:r w:rsidRPr="000F7669">
        <w:rPr>
          <w:rFonts w:ascii="Arial" w:hAnsi="Arial" w:cs="Arial"/>
          <w:spacing w:val="20"/>
          <w:szCs w:val="23"/>
        </w:rPr>
        <w:t xml:space="preserve"> se refleja en los capítulos de servicios personales, materiales y suministros, servicios generales, transferencias, subsidios y otras ayudas y participaciones, aportaciones y gasto reasignado a municipios.</w:t>
      </w:r>
      <w:r w:rsidRPr="000F7669">
        <w:rPr>
          <w:rFonts w:ascii="Arial" w:hAnsi="Arial"/>
          <w:highlight w:val="yellow"/>
        </w:rPr>
        <w:t xml:space="preserve"> </w:t>
      </w:r>
    </w:p>
    <w:p w:rsidR="00EE5CF1" w:rsidRPr="000F7669" w:rsidRDefault="00EE5CF1" w:rsidP="00EE5CF1">
      <w:pPr>
        <w:contextualSpacing/>
        <w:jc w:val="both"/>
        <w:rPr>
          <w:rFonts w:ascii="Arial" w:hAnsi="Arial"/>
          <w:highlight w:val="yellow"/>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Este recurso se aplicó para hacer frente a las obligaciones del Estado con los trabajadores en todas las modalidades contractuales, así como atender las demandas por revisión salarial. </w:t>
      </w:r>
    </w:p>
    <w:p w:rsidR="006B48AC" w:rsidRPr="000F7669" w:rsidRDefault="006B48AC"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Así mismo, se realizaron gastos para la adquisición de materiales y suministros; y, se aplicaron recursos para servicios básicos</w:t>
      </w:r>
      <w:r w:rsidR="00982321">
        <w:rPr>
          <w:rFonts w:ascii="Arial" w:hAnsi="Arial" w:cs="Arial"/>
          <w:spacing w:val="20"/>
          <w:szCs w:val="23"/>
        </w:rPr>
        <w:t xml:space="preserve"> tales como</w:t>
      </w:r>
      <w:r w:rsidRPr="000F7669">
        <w:rPr>
          <w:rFonts w:ascii="Arial" w:hAnsi="Arial" w:cs="Arial"/>
          <w:spacing w:val="20"/>
          <w:szCs w:val="23"/>
        </w:rPr>
        <w:t xml:space="preserve">: energía eléctrica, teléfono, agua potable, mantenimiento de equipo de transporte y maquinaria, aseguramiento de bienes patrimoniales, arrendamiento y aseguramiento de inmuebles, entre otros, lo anterior como palanca de apoyo a las actividades de las dependencias y entidades para cumplir con los bienes y servicios que se brindan a la sociedad. </w:t>
      </w:r>
    </w:p>
    <w:p w:rsidR="006B48AC" w:rsidRPr="000F7669" w:rsidRDefault="006B48AC"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Dichas adquisiciones son las herramientas base, para planear, coordinar, ejecutar y supervisar las acciones gubernamentales que promueven el desarrollo y competitividad del Estado tales como la de sostener y modernizar la administración de justicia, fortalecimiento a los cuerpos policiacos y aquellos gastos para fomentar la cultura y el deporte en la población</w:t>
      </w:r>
      <w:r w:rsidR="00982321">
        <w:rPr>
          <w:rFonts w:ascii="Arial" w:hAnsi="Arial" w:cs="Arial"/>
          <w:spacing w:val="20"/>
          <w:szCs w:val="23"/>
        </w:rPr>
        <w:t>,</w:t>
      </w:r>
      <w:r w:rsidRPr="000F7669">
        <w:rPr>
          <w:rFonts w:ascii="Arial" w:hAnsi="Arial" w:cs="Arial"/>
          <w:spacing w:val="20"/>
          <w:szCs w:val="23"/>
        </w:rPr>
        <w:t xml:space="preserve"> así como para hacer frente al saneamiento financiero.</w:t>
      </w:r>
    </w:p>
    <w:p w:rsidR="006B48AC" w:rsidRPr="000F7669" w:rsidRDefault="006B48AC"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Es importante señalar que se destinaron recursos para cubrir las obligaciones derivadas de los Proyectos de Prestación de Servicios a Largo Plazo (PPS); así como para el pago de obligaciones derivados de la bursatilización promovidos por el Estado.</w:t>
      </w:r>
    </w:p>
    <w:p w:rsidR="006B48AC" w:rsidRPr="000F7669" w:rsidRDefault="006B48AC" w:rsidP="00EE5CF1">
      <w:pPr>
        <w:spacing w:after="240"/>
        <w:contextualSpacing/>
        <w:jc w:val="both"/>
        <w:rPr>
          <w:rFonts w:ascii="Arial" w:hAnsi="Arial"/>
          <w:spacing w:val="20"/>
        </w:rPr>
      </w:pPr>
    </w:p>
    <w:p w:rsidR="00EE5CF1" w:rsidRPr="000F7669" w:rsidRDefault="00EE5CF1" w:rsidP="00EE5CF1">
      <w:pPr>
        <w:spacing w:after="240"/>
        <w:contextualSpacing/>
        <w:jc w:val="both"/>
        <w:rPr>
          <w:rFonts w:ascii="Arial" w:hAnsi="Arial"/>
          <w:spacing w:val="20"/>
        </w:rPr>
      </w:pPr>
      <w:r w:rsidRPr="000F7669">
        <w:rPr>
          <w:rFonts w:ascii="Arial" w:hAnsi="Arial" w:cs="Arial"/>
          <w:spacing w:val="20"/>
          <w:szCs w:val="23"/>
        </w:rPr>
        <w:t>El presupuesto devengado en el capítulo de transferencias, subsidios y otras ayudas</w:t>
      </w:r>
      <w:r w:rsidR="00982321">
        <w:rPr>
          <w:rFonts w:ascii="Arial" w:hAnsi="Arial" w:cs="Arial"/>
          <w:spacing w:val="20"/>
          <w:szCs w:val="23"/>
        </w:rPr>
        <w:t>,</w:t>
      </w:r>
      <w:r w:rsidRPr="000F7669">
        <w:rPr>
          <w:rFonts w:ascii="Arial" w:hAnsi="Arial" w:cs="Arial"/>
          <w:spacing w:val="20"/>
          <w:szCs w:val="23"/>
        </w:rPr>
        <w:t xml:space="preserve"> corresponden a las erogaciones realizadas por el Poder Legislativo, Poder Judicial, Órganos Autónomos y Entidades </w:t>
      </w:r>
      <w:r w:rsidR="00982321">
        <w:rPr>
          <w:rFonts w:ascii="Arial" w:hAnsi="Arial" w:cs="Arial"/>
          <w:spacing w:val="20"/>
          <w:szCs w:val="23"/>
        </w:rPr>
        <w:t>P</w:t>
      </w:r>
      <w:r w:rsidRPr="000F7669">
        <w:rPr>
          <w:rFonts w:ascii="Arial" w:hAnsi="Arial" w:cs="Arial"/>
          <w:spacing w:val="20"/>
          <w:szCs w:val="23"/>
        </w:rPr>
        <w:t>araestatales; que realizaron acciones de legislación, administración de justicia, salud, educación a los niveles básico, medio, medio superior y superior, fomento y promoción del deporte amateurs y de alto rendimiento, atención a autoridades para el desarrollo municipal, mejoramiento del medio ambiente y la implementación de los programas sociales para la atención integral de la familia, apoyo a grupos vulnerables, suministro de agua potable, mejoramiento a la vivienda, entre otros.</w:t>
      </w: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El Presupuesto de Egresos 2015</w:t>
      </w:r>
      <w:r w:rsidR="00982321">
        <w:rPr>
          <w:rFonts w:ascii="Arial" w:hAnsi="Arial" w:cs="Arial"/>
          <w:spacing w:val="20"/>
          <w:sz w:val="24"/>
          <w:szCs w:val="23"/>
          <w:lang w:val="es-ES"/>
        </w:rPr>
        <w:t>,</w:t>
      </w:r>
      <w:r w:rsidRPr="000F7669">
        <w:rPr>
          <w:rFonts w:ascii="Arial" w:hAnsi="Arial" w:cs="Arial"/>
          <w:spacing w:val="20"/>
          <w:sz w:val="24"/>
          <w:szCs w:val="23"/>
          <w:lang w:val="es-ES"/>
        </w:rPr>
        <w:t xml:space="preserve"> continuó atendiendo los compromisos del Gobierno del Estado con los Municipios al aumentar el monto, la calidad y eficiencia en el gasto público municipal, mejorar la provisión de sus servicios y consolidar la relación del Gobierno de Oaxaca con los </w:t>
      </w:r>
      <w:r w:rsidR="00982321">
        <w:rPr>
          <w:rFonts w:ascii="Arial" w:hAnsi="Arial" w:cs="Arial"/>
          <w:spacing w:val="20"/>
          <w:sz w:val="24"/>
          <w:szCs w:val="23"/>
          <w:lang w:val="es-ES"/>
        </w:rPr>
        <w:lastRenderedPageBreak/>
        <w:t>mismos</w:t>
      </w:r>
      <w:r w:rsidRPr="000F7669">
        <w:rPr>
          <w:rFonts w:ascii="Arial" w:hAnsi="Arial" w:cs="Arial"/>
          <w:spacing w:val="20"/>
          <w:sz w:val="24"/>
          <w:szCs w:val="23"/>
          <w:lang w:val="es-ES"/>
        </w:rPr>
        <w:t>, fortaleciendo el curso de la transición democrática con visión de Estado, impuls</w:t>
      </w:r>
      <w:r w:rsidR="003E3C04">
        <w:rPr>
          <w:rFonts w:ascii="Arial" w:hAnsi="Arial" w:cs="Arial"/>
          <w:spacing w:val="20"/>
          <w:sz w:val="24"/>
          <w:szCs w:val="23"/>
          <w:lang w:val="es-ES"/>
        </w:rPr>
        <w:t>ó</w:t>
      </w:r>
      <w:r w:rsidRPr="000F7669">
        <w:rPr>
          <w:rFonts w:ascii="Arial" w:hAnsi="Arial" w:cs="Arial"/>
          <w:spacing w:val="20"/>
          <w:sz w:val="24"/>
          <w:szCs w:val="23"/>
          <w:lang w:val="es-ES"/>
        </w:rPr>
        <w:t xml:space="preserve"> el crecimiento económico regional y promovió el desarrollo social y humano sustentable de Oaxaca.</w:t>
      </w: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rPr>
      </w:pPr>
      <w:r w:rsidRPr="000F7669">
        <w:rPr>
          <w:rFonts w:ascii="Arial" w:hAnsi="Arial" w:cs="Arial"/>
          <w:spacing w:val="20"/>
          <w:sz w:val="24"/>
          <w:szCs w:val="23"/>
        </w:rPr>
        <w:t xml:space="preserve">La política social del Gobierno del Estado de Oaxaca, requiere de la permanencia y consolidación del programa de austeridad presupuestal, la eliminación de gastos no prioritarios, y la contención del gasto de operación del gobierno para apuntalar una creciente reorientación del gasto público hacia el desarrollo social y la inversión. </w:t>
      </w: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rPr>
      </w:pP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rPr>
      </w:pPr>
      <w:r w:rsidRPr="000F7669">
        <w:rPr>
          <w:rFonts w:ascii="Arial" w:hAnsi="Arial" w:cs="Arial"/>
          <w:spacing w:val="20"/>
          <w:sz w:val="24"/>
          <w:szCs w:val="23"/>
        </w:rPr>
        <w:t xml:space="preserve">En este tipo de gasto se devengaron 55 mil 558 millones 397 mil 725 pesos. </w:t>
      </w: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GASTO DE CAPITAL.</w:t>
      </w:r>
    </w:p>
    <w:p w:rsidR="006B48AC" w:rsidRPr="000F7669" w:rsidRDefault="006B48AC" w:rsidP="00EE5CF1">
      <w:pPr>
        <w:spacing w:after="240"/>
        <w:contextualSpacing/>
        <w:jc w:val="both"/>
        <w:rPr>
          <w:rFonts w:ascii="Arial" w:hAnsi="Arial"/>
          <w:spacing w:val="20"/>
        </w:rPr>
      </w:pPr>
    </w:p>
    <w:p w:rsidR="00EE5CF1" w:rsidRDefault="00EE5CF1" w:rsidP="00EE5CF1">
      <w:pPr>
        <w:spacing w:after="240"/>
        <w:contextualSpacing/>
        <w:jc w:val="both"/>
        <w:rPr>
          <w:rFonts w:ascii="Arial" w:hAnsi="Arial" w:cs="Arial"/>
          <w:b/>
          <w:bCs/>
          <w:spacing w:val="20"/>
          <w:szCs w:val="23"/>
        </w:rPr>
      </w:pPr>
      <w:r w:rsidRPr="000F7669">
        <w:rPr>
          <w:rFonts w:ascii="Arial" w:hAnsi="Arial" w:cs="Arial"/>
          <w:b/>
          <w:bCs/>
          <w:spacing w:val="20"/>
          <w:szCs w:val="23"/>
        </w:rPr>
        <w:t>Inversión Pública</w:t>
      </w:r>
    </w:p>
    <w:p w:rsidR="006B48AC" w:rsidRPr="000F7669" w:rsidRDefault="006B48AC" w:rsidP="00EE5CF1">
      <w:pPr>
        <w:spacing w:after="240"/>
        <w:contextualSpacing/>
        <w:jc w:val="both"/>
        <w:rPr>
          <w:rFonts w:ascii="Arial" w:hAnsi="Arial"/>
          <w:spacing w:val="20"/>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Este capítulo se refiere a la aplicación de recursos para la infraestructura pública, proveniente del Estado y del Gobierno Federal. Comprende aquellos gastos de inversión que el sector privado no realiza por su cuenta por corresponder a actividades de carácter social o comunitario, o para el fomento de la inversión privada en el Estado. La inversión pública se destina principalmente a comunicaciones y transportes, energía e irrigación, agricultura, educación y bienestar social entre otros.</w:t>
      </w:r>
    </w:p>
    <w:p w:rsidR="006B48AC" w:rsidRPr="000F7669" w:rsidRDefault="006B48AC" w:rsidP="00EE5CF1">
      <w:pPr>
        <w:spacing w:after="240"/>
        <w:contextualSpacing/>
        <w:jc w:val="both"/>
        <w:rPr>
          <w:rFonts w:ascii="Arial" w:hAnsi="Arial"/>
          <w:spacing w:val="20"/>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Los recursos públicos aplicados por el Estado provienen de las aprobaciones de proyectos financiados por el Programa Normal Estatal (PNE), y diversos financiamientos de recursos federales que impactan principalmente en infraestructura pública donde se identifican los siguientes: Los fondos de aportaciones (Ramo 33) contemplados en la Ley de Coordinación Fiscal entre los cuales están: El Fondo de Infraestructura Social Estatal, Aportaciones Múltiples para Asistencia Social e Infraestructura Educativa Básica y Superior, Fondo de Aportaciones para el Fortalecimiento de las Entidades Federativas; los que se obtienen de programas o convenios con dependencias federales; y, los que derivan de la deuda pública autorizada por el Congreso del Estado para este concepto.</w:t>
      </w:r>
    </w:p>
    <w:p w:rsidR="006B48AC" w:rsidRPr="000F7669" w:rsidRDefault="006B48AC" w:rsidP="00EE5CF1">
      <w:pPr>
        <w:spacing w:after="240"/>
        <w:contextualSpacing/>
        <w:jc w:val="both"/>
        <w:rPr>
          <w:rFonts w:ascii="Arial" w:hAnsi="Arial"/>
          <w:spacing w:val="20"/>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Con la nueva política pública que promueve este gobierno, el ejercicio de estos recursos fue enfocado principalmente a la atención de infraestructura en trasporte; agua potable y alcantarillo; planeación </w:t>
      </w:r>
      <w:r w:rsidRPr="000F7669">
        <w:rPr>
          <w:rFonts w:ascii="Arial" w:hAnsi="Arial" w:cs="Arial"/>
          <w:spacing w:val="20"/>
          <w:szCs w:val="23"/>
        </w:rPr>
        <w:lastRenderedPageBreak/>
        <w:t>urbana; vivienda, salud; educación; mantenimiento, conservación de carreteras y caminos rurales; elaboración de estudios y evaluación de proyectos de inversión; entre otros.</w:t>
      </w:r>
    </w:p>
    <w:p w:rsidR="006B48AC" w:rsidRPr="000F7669" w:rsidRDefault="006B48AC" w:rsidP="00EE5CF1">
      <w:pPr>
        <w:spacing w:after="240"/>
        <w:contextualSpacing/>
        <w:jc w:val="both"/>
        <w:rPr>
          <w:rFonts w:ascii="Arial" w:hAnsi="Arial"/>
          <w:spacing w:val="20"/>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Los recursos aplicados en este capítulo representan la cantidad de 4 mil 155 millones 333 mil 70</w:t>
      </w:r>
      <w:r w:rsidR="00FD72CE">
        <w:rPr>
          <w:rFonts w:ascii="Arial" w:hAnsi="Arial" w:cs="Arial"/>
          <w:spacing w:val="20"/>
          <w:szCs w:val="23"/>
        </w:rPr>
        <w:t>2</w:t>
      </w:r>
      <w:r w:rsidRPr="000F7669">
        <w:rPr>
          <w:rFonts w:ascii="Arial" w:hAnsi="Arial" w:cs="Arial"/>
          <w:spacing w:val="20"/>
          <w:szCs w:val="23"/>
        </w:rPr>
        <w:t xml:space="preserve"> pesos. </w:t>
      </w:r>
    </w:p>
    <w:p w:rsidR="006B48AC" w:rsidRPr="000F7669" w:rsidRDefault="006B48AC" w:rsidP="00EE5CF1">
      <w:pPr>
        <w:spacing w:after="240"/>
        <w:contextualSpacing/>
        <w:jc w:val="both"/>
        <w:rPr>
          <w:rFonts w:ascii="Arial" w:hAnsi="Arial"/>
          <w:spacing w:val="20"/>
        </w:rPr>
      </w:pPr>
    </w:p>
    <w:p w:rsidR="00EE5CF1" w:rsidRPr="000F7669" w:rsidRDefault="00EE5CF1" w:rsidP="00EE5CF1">
      <w:pPr>
        <w:spacing w:after="240"/>
        <w:contextualSpacing/>
        <w:jc w:val="both"/>
        <w:rPr>
          <w:rFonts w:ascii="Arial" w:hAnsi="Arial"/>
          <w:spacing w:val="20"/>
        </w:rPr>
      </w:pPr>
      <w:r w:rsidRPr="000F7669">
        <w:rPr>
          <w:rFonts w:ascii="Arial" w:hAnsi="Arial" w:cs="Arial"/>
          <w:b/>
          <w:bCs/>
          <w:color w:val="000000"/>
          <w:spacing w:val="20"/>
          <w:szCs w:val="23"/>
        </w:rPr>
        <w:t>Amortización de Deuda y Disminución de Pasivo.</w:t>
      </w: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Si bien es cierto que uno de los principales objetivos planteados por la presente administración es mejorar el perfil de la deuda pública, haciéndola más manejable al disminuir la carga financiera en el gasto, por otro lado también ha sido necesaria la implementación de un Programa Estatal de Financiamiento para el Crecimiento y Desarrollo de Oaxaca, para lo cual se ha necesitado grandes cantidades de recursos que difícilmente se pueden cubrir con los recursos propios del ejercicio.</w:t>
      </w: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La utilización de la deuda pública como fuente de financiamiento  representó una decisión responsable basada en el análisis técnico de la capacidad de pago del gobierno respaldado por las calificadoras que han visto con optimismo la calidad crediticia del Estado, lo que en estos últimos años ha determinado la viabilidad del endeudamiento, es decir, la sostenibilidad de las finanzas públicas.</w:t>
      </w:r>
    </w:p>
    <w:p w:rsidR="00EE5CF1" w:rsidRPr="000F7669" w:rsidRDefault="00EE5CF1" w:rsidP="00EE5CF1">
      <w:pPr>
        <w:pStyle w:val="Prrafodelista"/>
        <w:ind w:left="0"/>
        <w:contextualSpacing/>
        <w:jc w:val="both"/>
        <w:rPr>
          <w:rFonts w:ascii="Arial" w:hAnsi="Arial"/>
          <w:color w:val="404040"/>
          <w:sz w:val="24"/>
        </w:rPr>
      </w:pPr>
    </w:p>
    <w:p w:rsidR="00EE5CF1" w:rsidRPr="000F7669" w:rsidRDefault="00EE5CF1" w:rsidP="00EE5CF1">
      <w:pPr>
        <w:spacing w:after="240"/>
        <w:contextualSpacing/>
        <w:jc w:val="both"/>
        <w:rPr>
          <w:rFonts w:ascii="Arial" w:hAnsi="Arial"/>
          <w:spacing w:val="20"/>
        </w:rPr>
      </w:pPr>
      <w:r w:rsidRPr="000F7669">
        <w:rPr>
          <w:rFonts w:ascii="Arial" w:hAnsi="Arial" w:cs="Arial"/>
          <w:spacing w:val="20"/>
          <w:szCs w:val="23"/>
        </w:rPr>
        <w:t>Derivado de los diversos créditos contratados en ejercicios anteriores y autorizados por el Congreso del Estado, pagaderos en moneda nacional, para hacer frente a las cargas financieras del Estado con mayor responsabilidad en el 2015 se devengaron en este concepto: 744 millones 984 mil 126 pesos.</w:t>
      </w:r>
    </w:p>
    <w:p w:rsidR="00EE5CF1" w:rsidRPr="000F7669" w:rsidRDefault="00EE5CF1" w:rsidP="00EE5CF1">
      <w:pPr>
        <w:contextualSpacing/>
        <w:jc w:val="center"/>
        <w:rPr>
          <w:rFonts w:ascii="Arial" w:hAnsi="Arial" w:cs="Arial"/>
          <w:b/>
          <w:bCs/>
          <w:color w:val="000000"/>
          <w:spacing w:val="20"/>
          <w:szCs w:val="23"/>
        </w:rPr>
      </w:pPr>
    </w:p>
    <w:p w:rsidR="00EE5CF1" w:rsidRDefault="005E34A5" w:rsidP="00EE5CF1">
      <w:pPr>
        <w:contextualSpacing/>
        <w:jc w:val="center"/>
        <w:rPr>
          <w:rFonts w:ascii="Arial" w:hAnsi="Arial"/>
          <w:noProof/>
          <w:lang w:val="es-MX" w:eastAsia="es-MX"/>
        </w:rPr>
      </w:pPr>
      <w:r w:rsidRPr="005E34A5">
        <w:rPr>
          <w:noProof/>
          <w:lang w:val="es-MX" w:eastAsia="es-MX"/>
        </w:rPr>
        <w:lastRenderedPageBreak/>
        <w:drawing>
          <wp:inline distT="0" distB="0" distL="0" distR="0">
            <wp:extent cx="5882005" cy="2612432"/>
            <wp:effectExtent l="19050" t="0" r="4445" b="0"/>
            <wp:docPr id="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srcRect/>
                    <a:stretch>
                      <a:fillRect/>
                    </a:stretch>
                  </pic:blipFill>
                  <pic:spPr bwMode="auto">
                    <a:xfrm>
                      <a:off x="0" y="0"/>
                      <a:ext cx="5882005" cy="2612432"/>
                    </a:xfrm>
                    <a:prstGeom prst="rect">
                      <a:avLst/>
                    </a:prstGeom>
                    <a:noFill/>
                    <a:ln w="9525">
                      <a:noFill/>
                      <a:miter lim="800000"/>
                      <a:headEnd/>
                      <a:tailEnd/>
                    </a:ln>
                  </pic:spPr>
                </pic:pic>
              </a:graphicData>
            </a:graphic>
          </wp:inline>
        </w:drawing>
      </w:r>
    </w:p>
    <w:p w:rsidR="005E34A5" w:rsidRDefault="005E34A5" w:rsidP="00EE5CF1">
      <w:pPr>
        <w:contextualSpacing/>
        <w:jc w:val="center"/>
        <w:rPr>
          <w:rFonts w:ascii="Arial" w:hAnsi="Arial"/>
          <w:noProof/>
          <w:lang w:val="es-MX" w:eastAsia="es-MX"/>
        </w:rPr>
      </w:pPr>
    </w:p>
    <w:p w:rsidR="005E34A5" w:rsidRDefault="005E34A5" w:rsidP="00EE5CF1">
      <w:pPr>
        <w:contextualSpacing/>
        <w:jc w:val="center"/>
        <w:rPr>
          <w:rFonts w:ascii="Arial" w:hAnsi="Arial"/>
          <w:noProof/>
          <w:lang w:val="es-MX" w:eastAsia="es-MX"/>
        </w:rPr>
      </w:pPr>
    </w:p>
    <w:p w:rsidR="005E34A5" w:rsidRDefault="005E34A5" w:rsidP="00EE5CF1">
      <w:pPr>
        <w:contextualSpacing/>
        <w:jc w:val="center"/>
        <w:rPr>
          <w:rFonts w:ascii="Arial" w:hAnsi="Arial"/>
          <w:noProof/>
          <w:lang w:val="es-MX" w:eastAsia="es-MX"/>
        </w:rPr>
      </w:pPr>
    </w:p>
    <w:p w:rsidR="000D496E" w:rsidRPr="000F7669" w:rsidRDefault="00432479" w:rsidP="00EE5CF1">
      <w:pPr>
        <w:contextualSpacing/>
        <w:jc w:val="center"/>
        <w:rPr>
          <w:rFonts w:ascii="Arial" w:hAnsi="Arial" w:cs="Arial"/>
          <w:b/>
          <w:bCs/>
          <w:color w:val="000000"/>
          <w:spacing w:val="20"/>
          <w:szCs w:val="23"/>
        </w:rPr>
      </w:pPr>
      <w:r w:rsidRPr="00432479">
        <w:rPr>
          <w:noProof/>
          <w:szCs w:val="23"/>
          <w:lang w:val="es-MX" w:eastAsia="es-MX"/>
        </w:rPr>
        <w:drawing>
          <wp:inline distT="0" distB="0" distL="0" distR="0">
            <wp:extent cx="5882005" cy="3136365"/>
            <wp:effectExtent l="19050" t="0" r="4445" b="0"/>
            <wp:docPr id="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srcRect/>
                    <a:stretch>
                      <a:fillRect/>
                    </a:stretch>
                  </pic:blipFill>
                  <pic:spPr bwMode="auto">
                    <a:xfrm>
                      <a:off x="0" y="0"/>
                      <a:ext cx="5882005" cy="3136365"/>
                    </a:xfrm>
                    <a:prstGeom prst="rect">
                      <a:avLst/>
                    </a:prstGeom>
                    <a:noFill/>
                    <a:ln w="9525">
                      <a:noFill/>
                      <a:miter lim="800000"/>
                      <a:headEnd/>
                      <a:tailEnd/>
                    </a:ln>
                  </pic:spPr>
                </pic:pic>
              </a:graphicData>
            </a:graphic>
          </wp:inline>
        </w:drawing>
      </w:r>
    </w:p>
    <w:p w:rsidR="00EE5CF1" w:rsidRPr="000F7669" w:rsidRDefault="00EE5CF1" w:rsidP="00EE5CF1">
      <w:pPr>
        <w:contextualSpacing/>
        <w:jc w:val="center"/>
        <w:rPr>
          <w:rFonts w:ascii="Arial" w:hAnsi="Arial" w:cs="Arial"/>
          <w:b/>
          <w:bCs/>
          <w:color w:val="000000"/>
          <w:spacing w:val="20"/>
          <w:szCs w:val="23"/>
        </w:rPr>
      </w:pPr>
    </w:p>
    <w:p w:rsidR="00EE5CF1" w:rsidRPr="000F7669" w:rsidRDefault="00EE5CF1" w:rsidP="00EE5CF1">
      <w:pPr>
        <w:contextualSpacing/>
        <w:jc w:val="center"/>
        <w:rPr>
          <w:rFonts w:ascii="Arial" w:hAnsi="Arial" w:cs="Arial"/>
          <w:b/>
          <w:bCs/>
          <w:color w:val="000000"/>
          <w:spacing w:val="20"/>
          <w:szCs w:val="23"/>
        </w:rPr>
      </w:pPr>
    </w:p>
    <w:p w:rsidR="00EE5CF1" w:rsidRPr="000F7669" w:rsidRDefault="00EE5CF1" w:rsidP="00EE5CF1">
      <w:pPr>
        <w:contextualSpacing/>
        <w:jc w:val="center"/>
        <w:rPr>
          <w:rFonts w:ascii="Arial" w:hAnsi="Arial" w:cs="Arial"/>
          <w:b/>
          <w:bCs/>
          <w:color w:val="000000"/>
          <w:spacing w:val="20"/>
          <w:szCs w:val="23"/>
        </w:rPr>
      </w:pPr>
    </w:p>
    <w:p w:rsidR="00EE5CF1" w:rsidRPr="000F7669" w:rsidRDefault="00EE5CF1" w:rsidP="00EE5CF1">
      <w:pPr>
        <w:contextualSpacing/>
        <w:jc w:val="center"/>
        <w:rPr>
          <w:rFonts w:ascii="Arial" w:hAnsi="Arial" w:cs="Arial"/>
          <w:b/>
          <w:bCs/>
          <w:color w:val="000000"/>
          <w:spacing w:val="20"/>
          <w:szCs w:val="23"/>
        </w:rPr>
      </w:pPr>
    </w:p>
    <w:p w:rsidR="00EE5CF1" w:rsidRPr="000F7669" w:rsidRDefault="00EE5CF1" w:rsidP="00EE5CF1">
      <w:pPr>
        <w:contextualSpacing/>
        <w:jc w:val="center"/>
        <w:rPr>
          <w:rFonts w:ascii="Arial" w:hAnsi="Arial" w:cs="Arial"/>
          <w:b/>
          <w:bCs/>
          <w:color w:val="000000"/>
          <w:spacing w:val="20"/>
          <w:szCs w:val="23"/>
        </w:rPr>
      </w:pPr>
    </w:p>
    <w:p w:rsidR="00EE5CF1" w:rsidRPr="000F7669" w:rsidRDefault="00EE5CF1" w:rsidP="00EE5CF1">
      <w:pPr>
        <w:contextualSpacing/>
        <w:jc w:val="center"/>
        <w:rPr>
          <w:rFonts w:ascii="Arial" w:hAnsi="Arial" w:cs="Arial"/>
          <w:b/>
          <w:bCs/>
          <w:color w:val="000000"/>
          <w:spacing w:val="20"/>
          <w:szCs w:val="23"/>
        </w:rPr>
      </w:pPr>
    </w:p>
    <w:p w:rsidR="00EE5CF1" w:rsidRDefault="00EE5CF1" w:rsidP="00EE5CF1">
      <w:pPr>
        <w:contextualSpacing/>
        <w:rPr>
          <w:rFonts w:ascii="Arial" w:hAnsi="Arial" w:cs="Arial"/>
          <w:b/>
          <w:bCs/>
          <w:color w:val="000000"/>
          <w:spacing w:val="20"/>
          <w:szCs w:val="23"/>
        </w:rPr>
      </w:pPr>
      <w:r w:rsidRPr="000F7669">
        <w:rPr>
          <w:rFonts w:ascii="Arial" w:hAnsi="Arial" w:cs="Arial"/>
          <w:b/>
          <w:bCs/>
          <w:color w:val="000000"/>
          <w:spacing w:val="20"/>
          <w:szCs w:val="23"/>
        </w:rPr>
        <w:br w:type="page"/>
      </w:r>
      <w:r w:rsidRPr="000F7669">
        <w:rPr>
          <w:rFonts w:ascii="Arial" w:hAnsi="Arial" w:cs="Arial"/>
          <w:b/>
          <w:bCs/>
          <w:color w:val="000000"/>
          <w:spacing w:val="20"/>
          <w:szCs w:val="23"/>
        </w:rPr>
        <w:lastRenderedPageBreak/>
        <w:t>4.4.- PRESUPUESTO DEVENGADO IDENTIFICADO POR CLASIFICACIÓN FUNCIONAL</w:t>
      </w:r>
    </w:p>
    <w:p w:rsidR="005E34A5" w:rsidRPr="000F7669" w:rsidRDefault="005E34A5" w:rsidP="00EE5CF1">
      <w:pPr>
        <w:contextualSpacing/>
        <w:rPr>
          <w:rFonts w:ascii="Arial" w:hAnsi="Arial" w:cs="Arial"/>
          <w:b/>
          <w:bCs/>
          <w:color w:val="000000"/>
          <w:spacing w:val="20"/>
          <w:szCs w:val="23"/>
        </w:rPr>
      </w:pPr>
    </w:p>
    <w:p w:rsidR="00EE5CF1" w:rsidRPr="005E34A5" w:rsidRDefault="00EE5CF1" w:rsidP="005E34A5">
      <w:pPr>
        <w:spacing w:after="200"/>
        <w:contextualSpacing/>
        <w:rPr>
          <w:rFonts w:ascii="Arial" w:hAnsi="Arial"/>
        </w:rPr>
      </w:pPr>
      <w:r w:rsidRPr="005E34A5">
        <w:rPr>
          <w:rFonts w:ascii="Arial" w:hAnsi="Arial"/>
        </w:rPr>
        <w:t>Clasificación funcional del gasto público.</w:t>
      </w: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 xml:space="preserve">La clasificación funcional del Presupuesto de Egresos 2015 está homologada de conformidad con las disposiciones emitidas a nivel nacional por el Consejo Nacional de Armonización Contable y con base en el principio de equilibrio presupuestario. </w:t>
      </w: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p>
    <w:p w:rsidR="00EE5CF1" w:rsidRPr="000F7669" w:rsidRDefault="00EE5CF1" w:rsidP="00EE5CF1">
      <w:pPr>
        <w:pStyle w:val="Prrafodelista"/>
        <w:autoSpaceDE w:val="0"/>
        <w:autoSpaceDN w:val="0"/>
        <w:adjustRightInd w:val="0"/>
        <w:ind w:left="0"/>
        <w:contextualSpacing/>
        <w:jc w:val="both"/>
        <w:rPr>
          <w:rFonts w:ascii="Arial" w:hAnsi="Arial" w:cs="Arial"/>
          <w:spacing w:val="20"/>
          <w:sz w:val="24"/>
          <w:szCs w:val="23"/>
          <w:lang w:val="es-ES"/>
        </w:rPr>
      </w:pPr>
      <w:r w:rsidRPr="000F7669">
        <w:rPr>
          <w:rFonts w:ascii="Arial" w:hAnsi="Arial" w:cs="Arial"/>
          <w:spacing w:val="20"/>
          <w:sz w:val="24"/>
          <w:szCs w:val="23"/>
          <w:lang w:val="es-ES"/>
        </w:rPr>
        <w:t>Conforme a esta clasificación el gasto se agrupa de acuerdo con el destino de los recursos en tres apartados básicos: La gestión gubernamental, las de desarrollo social, las productivas y uno de funciones no clasificables, las cuales forman parte del gasto no programable generalmente. De esta forma se expresan las funciones o actividades fundamentales del gobierno, y comprenden las erogaciones que tienden a lograr un mismo fin o sufragar el costo de una actividad concreta y específica; es decir, se basa en los actos realizados por las autoridades públicas y en qué y quiénes reciben el beneficio.</w:t>
      </w:r>
    </w:p>
    <w:p w:rsidR="00EE5CF1" w:rsidRPr="000F7669" w:rsidRDefault="00EE5CF1" w:rsidP="00EE5CF1">
      <w:pPr>
        <w:pStyle w:val="Prrafodelista"/>
        <w:autoSpaceDE w:val="0"/>
        <w:autoSpaceDN w:val="0"/>
        <w:adjustRightInd w:val="0"/>
        <w:ind w:left="0"/>
        <w:contextualSpacing/>
        <w:jc w:val="both"/>
        <w:rPr>
          <w:rFonts w:ascii="Arial" w:hAnsi="Arial"/>
          <w:noProof/>
          <w:sz w:val="24"/>
          <w:highlight w:val="yellow"/>
          <w:lang w:val="es-ES"/>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Clasificación Funcional del Gasto, agrupa los propósitos u objetivos socioeconómicos que persiguen los diferentes entes públicos.</w:t>
      </w:r>
    </w:p>
    <w:p w:rsidR="00F94FAA" w:rsidRPr="000F7669" w:rsidRDefault="00F94FAA"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Con dicha clasificación se identifica el presupuesto destinado a funciones de gobierno, desarrollo social, desarrollo económico y otros no clasificados; lo que ha permitido determinar los objetivos generales de las políticas públicas y los recursos financieros que se asignan para alcanzarlos.</w:t>
      </w:r>
    </w:p>
    <w:p w:rsidR="00F94FAA" w:rsidRPr="000F7669" w:rsidRDefault="00F94FAA"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información de la clasificación funcional es de interés primordial para la ciudadanía en general, para funcionarios de los tres poderes del Estado, para quienes ejercen la actividad política y para los analistas que realizan estudios sobre la ejecución de las políticas públicas.</w:t>
      </w:r>
    </w:p>
    <w:p w:rsidR="00F94FAA" w:rsidRPr="000F7669" w:rsidRDefault="00F94FAA"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Esta clasificación, forma parte del conjunto de clasificadores presupuestarios que se utilizan para la fijación de políticas, la elaboración, ejecución, evaluación y el análisis del presupuesto de egresos; presentando una estructura detallada sobre las prioridades y acciones que lleva a cabo el gobierno, por lo que es importante mencionar que cada uno de los clasificadores presupuestarios tiene una utilidad específica; sin embargo, la utilización conjunta de las mismas, </w:t>
      </w:r>
      <w:r w:rsidRPr="000F7669">
        <w:rPr>
          <w:rFonts w:ascii="Arial" w:hAnsi="Arial" w:cs="Arial"/>
          <w:spacing w:val="20"/>
          <w:szCs w:val="23"/>
        </w:rPr>
        <w:lastRenderedPageBreak/>
        <w:t>proporciona información de mayor valor agregado y apropiada para la comprensión y análisis del gasto presupuestario, ya que no es posible satisfacer todos los propósitos analíticos con una sola clasificación.</w:t>
      </w:r>
    </w:p>
    <w:p w:rsidR="00F94FAA" w:rsidRPr="000F7669" w:rsidRDefault="00F94FAA"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clasificación funcional, se vincula e interrelaciona entre otras, con las clasificaciones administrativa, programática y por objeto de gasto y se estructura en 4 finalidades: Gobierno, Desarrollo Social, Desarrollo Económico y Otras Finalidades del Sector Público.</w:t>
      </w:r>
    </w:p>
    <w:p w:rsidR="005E34A5" w:rsidRPr="000F7669" w:rsidRDefault="005E34A5"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noProof/>
          <w:lang w:val="es-MX" w:eastAsia="es-MX"/>
        </w:rPr>
      </w:pPr>
    </w:p>
    <w:p w:rsidR="005E34A5" w:rsidRDefault="005E34A5" w:rsidP="00EE5CF1">
      <w:pPr>
        <w:spacing w:before="120" w:after="240"/>
        <w:contextualSpacing/>
        <w:jc w:val="both"/>
        <w:rPr>
          <w:rFonts w:ascii="Arial" w:hAnsi="Arial"/>
          <w:noProof/>
          <w:lang w:val="es-MX" w:eastAsia="es-MX"/>
        </w:rPr>
      </w:pPr>
      <w:r w:rsidRPr="005E34A5">
        <w:rPr>
          <w:noProof/>
          <w:lang w:val="es-MX" w:eastAsia="es-MX"/>
        </w:rPr>
        <w:drawing>
          <wp:inline distT="0" distB="0" distL="0" distR="0">
            <wp:extent cx="5882005" cy="1871054"/>
            <wp:effectExtent l="19050" t="0" r="4445" b="0"/>
            <wp:docPr id="4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srcRect/>
                    <a:stretch>
                      <a:fillRect/>
                    </a:stretch>
                  </pic:blipFill>
                  <pic:spPr bwMode="auto">
                    <a:xfrm>
                      <a:off x="0" y="0"/>
                      <a:ext cx="5882005" cy="1871054"/>
                    </a:xfrm>
                    <a:prstGeom prst="rect">
                      <a:avLst/>
                    </a:prstGeom>
                    <a:noFill/>
                    <a:ln w="9525">
                      <a:noFill/>
                      <a:miter lim="800000"/>
                      <a:headEnd/>
                      <a:tailEnd/>
                    </a:ln>
                  </pic:spPr>
                </pic:pic>
              </a:graphicData>
            </a:graphic>
          </wp:inline>
        </w:drawing>
      </w:r>
    </w:p>
    <w:p w:rsidR="005E34A5" w:rsidRDefault="005E34A5" w:rsidP="00EE5CF1">
      <w:pPr>
        <w:spacing w:before="120" w:after="240"/>
        <w:contextualSpacing/>
        <w:jc w:val="both"/>
        <w:rPr>
          <w:rFonts w:ascii="Arial" w:hAnsi="Arial"/>
          <w:noProof/>
          <w:lang w:val="es-MX" w:eastAsia="es-MX"/>
        </w:rPr>
      </w:pPr>
    </w:p>
    <w:p w:rsidR="005E34A5" w:rsidRPr="000F7669" w:rsidRDefault="005E34A5"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spacing w:val="20"/>
          <w:szCs w:val="23"/>
        </w:rPr>
      </w:pPr>
    </w:p>
    <w:p w:rsidR="00EE5CF1" w:rsidRPr="000F7669" w:rsidRDefault="005E34A5" w:rsidP="00EE5CF1">
      <w:pPr>
        <w:spacing w:before="120" w:after="240"/>
        <w:contextualSpacing/>
        <w:jc w:val="both"/>
        <w:rPr>
          <w:rFonts w:ascii="Arial" w:hAnsi="Arial" w:cs="Arial"/>
          <w:spacing w:val="20"/>
          <w:szCs w:val="23"/>
        </w:rPr>
      </w:pPr>
      <w:r w:rsidRPr="005E34A5">
        <w:rPr>
          <w:noProof/>
          <w:szCs w:val="23"/>
          <w:lang w:val="es-MX" w:eastAsia="es-MX"/>
        </w:rPr>
        <w:drawing>
          <wp:inline distT="0" distB="0" distL="0" distR="0">
            <wp:extent cx="5882005" cy="1796444"/>
            <wp:effectExtent l="19050" t="0" r="4445" b="0"/>
            <wp:docPr id="4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srcRect/>
                    <a:stretch>
                      <a:fillRect/>
                    </a:stretch>
                  </pic:blipFill>
                  <pic:spPr bwMode="auto">
                    <a:xfrm>
                      <a:off x="0" y="0"/>
                      <a:ext cx="5882005" cy="1796444"/>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s="Arial"/>
          <w:spacing w:val="20"/>
          <w:szCs w:val="23"/>
        </w:rPr>
      </w:pPr>
    </w:p>
    <w:p w:rsidR="00AA2667" w:rsidRDefault="00AA2667" w:rsidP="00EE5CF1">
      <w:pPr>
        <w:spacing w:before="120" w:after="240"/>
        <w:contextualSpacing/>
        <w:jc w:val="both"/>
        <w:rPr>
          <w:rFonts w:ascii="Arial" w:hAnsi="Arial" w:cs="Arial"/>
          <w:b/>
          <w:bCs/>
          <w:spacing w:val="20"/>
          <w:szCs w:val="23"/>
        </w:rPr>
      </w:pPr>
    </w:p>
    <w:p w:rsidR="00AA2667" w:rsidRDefault="00AA2667">
      <w:pPr>
        <w:rPr>
          <w:rFonts w:ascii="Arial" w:hAnsi="Arial" w:cs="Arial"/>
          <w:b/>
          <w:bCs/>
          <w:spacing w:val="20"/>
          <w:szCs w:val="23"/>
        </w:rPr>
      </w:pPr>
      <w:r>
        <w:rPr>
          <w:rFonts w:ascii="Arial" w:hAnsi="Arial" w:cs="Arial"/>
          <w:b/>
          <w:bCs/>
          <w:spacing w:val="20"/>
          <w:szCs w:val="23"/>
        </w:rPr>
        <w:br w:type="page"/>
      </w:r>
    </w:p>
    <w:p w:rsidR="00EE5CF1" w:rsidRDefault="00EE5CF1"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lastRenderedPageBreak/>
        <w:t>4.4.1.- GOBIERNO</w:t>
      </w:r>
    </w:p>
    <w:p w:rsidR="00AA2667" w:rsidRPr="000F7669" w:rsidRDefault="00AA2667"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Está conformado por los programas destinados a una nueva gobernabilidad democrática, honesta, transparente y de resultados, la colaboración entre los poderes del Estado, la consolidación de órganos autónomos, el fortalecimiento de la autonomía indígena, el apoyo a los municipios, la seguridad pública, la  procuración e impartición de justicia, los asuntos hacendarios, la política interior, la organización de los procesos electorales, la resolución de conflictos agrarios, y la regulación y normatividad aplicable a los particulares y al propio sector público.</w:t>
      </w:r>
    </w:p>
    <w:p w:rsidR="00AA2667" w:rsidRPr="000F7669" w:rsidRDefault="00AA2667"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esta finalidad se engloban por lo regular todas aquellas actividades que se refieren a: legislación, impartición y procuración de justicia, soberanía del territorio, gobierno, medio ambiente y recursos naturales por lo que durante el ejercicio 2015  se devengaron  9 mil 581 millones 871 mil 420 pesos, lo que representa el 15 por ciento del total del presupuesto devengado.</w:t>
      </w:r>
    </w:p>
    <w:p w:rsidR="00AA2667" w:rsidRPr="000F7669" w:rsidRDefault="00AA2667" w:rsidP="00EE5CF1">
      <w:pPr>
        <w:spacing w:before="120"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Legislación:</w:t>
      </w:r>
    </w:p>
    <w:p w:rsidR="00AA2667" w:rsidRPr="000F7669" w:rsidRDefault="00AA2667"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las acciones relativas a la iniciativa, revisión, elaboración, aprobación, emisión y difusión de leyes, decretos, reglamentos, entre otras. Para el ejercicio 2015, se continuó con el programa de armonización contable a los municipios y el programa para la fiscalización del gasto federalizado, así como, acciones de vigilancia y evaluación de las funciones de los servidores públicos en materia de fiscalización, la aprobación oportuna del paquete fiscal para el ejercicio fiscal 2016, así como la aprobación de la Ley de Planeación estatal. </w:t>
      </w:r>
    </w:p>
    <w:p w:rsidR="00AA2667" w:rsidRPr="000F7669" w:rsidRDefault="00AA2667"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w:t>
      </w:r>
      <w:r w:rsidR="00AA2667">
        <w:rPr>
          <w:rFonts w:ascii="Arial" w:hAnsi="Arial" w:cs="Arial"/>
          <w:spacing w:val="20"/>
          <w:szCs w:val="23"/>
        </w:rPr>
        <w:t xml:space="preserve"> </w:t>
      </w:r>
      <w:r w:rsidRPr="000F7669">
        <w:rPr>
          <w:rFonts w:ascii="Arial" w:hAnsi="Arial" w:cs="Arial"/>
          <w:spacing w:val="20"/>
          <w:szCs w:val="23"/>
        </w:rPr>
        <w:t>795 millones 75 mil</w:t>
      </w:r>
      <w:r w:rsidR="00AA2667">
        <w:rPr>
          <w:rFonts w:ascii="Arial" w:hAnsi="Arial" w:cs="Arial"/>
          <w:spacing w:val="20"/>
          <w:szCs w:val="23"/>
        </w:rPr>
        <w:t xml:space="preserve"> </w:t>
      </w:r>
      <w:r w:rsidRPr="000F7669">
        <w:rPr>
          <w:rFonts w:ascii="Arial" w:hAnsi="Arial" w:cs="Arial"/>
          <w:spacing w:val="20"/>
          <w:szCs w:val="23"/>
        </w:rPr>
        <w:t>271 pesos lo que representó el 8 por ciento del importe devengado en esta finalidad.</w:t>
      </w:r>
    </w:p>
    <w:p w:rsidR="00AA2667" w:rsidRPr="000F7669" w:rsidRDefault="00AA2667"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spacing w:val="20"/>
          <w:szCs w:val="23"/>
        </w:rPr>
      </w:pPr>
      <w:r w:rsidRPr="000F7669">
        <w:rPr>
          <w:rFonts w:ascii="Arial" w:hAnsi="Arial" w:cs="Arial"/>
          <w:b/>
          <w:bCs/>
          <w:spacing w:val="20"/>
          <w:szCs w:val="23"/>
        </w:rPr>
        <w:t>Justicia:</w:t>
      </w:r>
    </w:p>
    <w:p w:rsidR="00AA2667" w:rsidRPr="000F7669" w:rsidRDefault="00AA2667" w:rsidP="00EE5CF1">
      <w:pPr>
        <w:spacing w:after="240"/>
        <w:contextualSpacing/>
        <w:jc w:val="both"/>
        <w:rPr>
          <w:rFonts w:ascii="Arial" w:hAnsi="Arial"/>
          <w:b/>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la administración de la procuración e impartición de justicia, así como las acciones de las fases de investigación, acopio de pruebas e indicios, hasta la imposición, ejecución y cumplimiento de resoluciones de carácter penal, civil, familiar, administrativo, laboral, electoral; del conocimiento y calificación de las infracciones e imposición de sanciones en contra de quienes presuntamente han violado la Ley o disputen un derecho, exijan su reconocimiento o en su caso impongan obligaciones; así como las acciones orientadas a la persecución oficiosa o a petición </w:t>
      </w:r>
      <w:r w:rsidRPr="000F7669">
        <w:rPr>
          <w:rFonts w:ascii="Arial" w:hAnsi="Arial" w:cs="Arial"/>
          <w:spacing w:val="20"/>
          <w:szCs w:val="23"/>
        </w:rPr>
        <w:lastRenderedPageBreak/>
        <w:t xml:space="preserve">de la parte ofendida de las conductas que transgreden las disposiciones legales, las acciones de representación de los intereses sociales en juicios y procedimientos que se realizan ante las instancias de justicia correspondientes, incluye la administración de los centros de reclusión y readaptación social, así como los programas, actividades y proyectos relacionados con los derechos humanos, entre otros destacan: Ejecución eficiente de mandamientos judiciales; atención permanente a los conflictos agrarios del Estado; fortalecimiento y operación de los reclusorios regionales y de la Penitenciaría Central del Estado; la terminación de la construcción y equipamiento del mobiliario fijo del centro de reinserción social de media seguridad; oportuna integración, determinación y seguimiento de averiguaciones previas, diseño e implementación de mecanismos de Derechos Humanos; emisión oportuna de dictámenes periciales, profesionalización de las instituciones de seguridad pública; asesoría y defensoría jurídica sin discriminación hacia la población indígena y de escasos recursos; averiguaciones, consignaciones e intervenciones; rehabilitación de internos en reclusorios del Estado; fortalecimiento del sistema de justicia penal oral; atención de los conflictos agrarios del Estado; búsqueda y localización inmediata de personas; y respuesta gubernamental para prevenir, atender y sancionar la violencia contra las mujeres en el Estado de Oaxaca. </w:t>
      </w:r>
    </w:p>
    <w:p w:rsidR="00AA2667" w:rsidRPr="000F7669" w:rsidRDefault="00AA2667" w:rsidP="00EE5CF1">
      <w:pPr>
        <w:spacing w:after="240"/>
        <w:contextualSpacing/>
        <w:jc w:val="both"/>
        <w:rPr>
          <w:rFonts w:ascii="Arial" w:hAnsi="Arial" w:cs="Arial"/>
          <w:spacing w:val="20"/>
          <w:szCs w:val="23"/>
          <w:lang w:val="es-MX"/>
        </w:rPr>
      </w:pPr>
    </w:p>
    <w:p w:rsidR="00EE5CF1" w:rsidRPr="000F7669" w:rsidRDefault="00EE5CF1" w:rsidP="00EE5CF1">
      <w:pPr>
        <w:spacing w:after="240"/>
        <w:contextualSpacing/>
        <w:jc w:val="both"/>
        <w:rPr>
          <w:rFonts w:ascii="Arial" w:hAnsi="Arial"/>
          <w:spacing w:val="20"/>
          <w:szCs w:val="23"/>
        </w:rPr>
      </w:pPr>
      <w:r w:rsidRPr="000F7669">
        <w:rPr>
          <w:rFonts w:ascii="Arial" w:hAnsi="Arial" w:cs="Arial"/>
          <w:spacing w:val="20"/>
          <w:szCs w:val="23"/>
        </w:rPr>
        <w:t>En esta función se devengaron  2 mil 325 millones 353 mil 656 pesos, lo que representa el 24  por ciento de esta finalidad.</w:t>
      </w:r>
    </w:p>
    <w:p w:rsidR="00EE5CF1" w:rsidRPr="000F7669" w:rsidRDefault="00EE5CF1" w:rsidP="00EE5CF1">
      <w:pPr>
        <w:spacing w:after="240"/>
        <w:contextualSpacing/>
        <w:jc w:val="both"/>
        <w:rPr>
          <w:rFonts w:ascii="Arial" w:hAnsi="Arial"/>
          <w:color w:val="7030A0"/>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Coordinación de la política de gobierno:</w:t>
      </w:r>
    </w:p>
    <w:p w:rsidR="00AA2667" w:rsidRPr="000F7669" w:rsidRDefault="00AA2667" w:rsidP="00EE5CF1">
      <w:pPr>
        <w:spacing w:after="240"/>
        <w:contextualSpacing/>
        <w:jc w:val="both"/>
        <w:rPr>
          <w:rFonts w:ascii="Arial" w:hAnsi="Arial"/>
          <w:color w:val="7030A0"/>
          <w:spacing w:val="20"/>
          <w:szCs w:val="23"/>
        </w:rPr>
      </w:pPr>
    </w:p>
    <w:p w:rsidR="00EE5CF1" w:rsidRDefault="00EE5CF1" w:rsidP="00EE5CF1">
      <w:pPr>
        <w:spacing w:after="240"/>
        <w:contextualSpacing/>
        <w:jc w:val="both"/>
        <w:rPr>
          <w:rFonts w:ascii="Arial" w:hAnsi="Arial" w:cs="Arial"/>
          <w:color w:val="1F497D" w:themeColor="text2"/>
          <w:spacing w:val="20"/>
          <w:szCs w:val="23"/>
        </w:rPr>
      </w:pPr>
      <w:r w:rsidRPr="000F7669">
        <w:rPr>
          <w:rFonts w:ascii="Arial" w:hAnsi="Arial" w:cs="Arial"/>
          <w:spacing w:val="20"/>
          <w:szCs w:val="23"/>
        </w:rPr>
        <w:t>Comprende las acciones enfocadas a la formulación y establecimiento de las directrices, lineamientos de acción y estrategias de gobierno en las que están la operación de la gubernatura, la política interior, preservación y cuidado del patrimonio público, la fiscalización y evaluación interna de la función pública, los asuntos jurídicos, organización de procesos electorales, política poblacional y territorial; difusión de los programas gubernamentales; entre otros destacan: Fortalecimiento del sistema democrático; difusión de los programas gubernamentales; financiamiento público a partidos políticos; desarrollo de elecciones extraordinarias; evaluación del desempeño de la administración pública estatal; fortalecimiento de la transparencia en el desempeño de los servidores públicos; fomentar y garantizar la gobernabilidad y el desarrollo</w:t>
      </w:r>
      <w:r w:rsidRPr="000F7669">
        <w:rPr>
          <w:rFonts w:ascii="Arial" w:hAnsi="Arial" w:cs="Arial"/>
          <w:color w:val="1F497D" w:themeColor="text2"/>
          <w:spacing w:val="20"/>
          <w:szCs w:val="23"/>
        </w:rPr>
        <w:t>.</w:t>
      </w:r>
    </w:p>
    <w:p w:rsidR="00AA2667" w:rsidRPr="000F7669" w:rsidRDefault="00AA2667" w:rsidP="00EE5CF1">
      <w:pPr>
        <w:spacing w:after="240"/>
        <w:contextualSpacing/>
        <w:jc w:val="both"/>
        <w:rPr>
          <w:rFonts w:ascii="Arial" w:hAnsi="Arial" w:cs="Arial"/>
          <w:color w:val="1F497D" w:themeColor="text2"/>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lastRenderedPageBreak/>
        <w:t>En esta función se devengaron un mil 160 millones 499  mil 658  pesos, lo que representa el 12  por ciento de esta finalidad.</w:t>
      </w:r>
    </w:p>
    <w:p w:rsidR="00AA2667" w:rsidRPr="000F7669" w:rsidRDefault="00AA2667"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Asuntos financieros y hacendarios:</w:t>
      </w:r>
    </w:p>
    <w:p w:rsidR="00AA2667" w:rsidRPr="000F7669" w:rsidRDefault="00AA2667"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el diseño y ejecución de los asuntos relativos a cubrir todas las acciones inherentes a los asuntos financieros y hacendarios. Entre ellos la política financiera, su reglamentación y regulación, operación de la política fiscal, gestión de tesorería y demás servicios que corresponda. </w:t>
      </w:r>
    </w:p>
    <w:p w:rsidR="00AA2667" w:rsidRPr="000F7669" w:rsidRDefault="00AA2667"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En esta función se dio seguimiento y vigilancia de la recaudación de contribuciones federales y estatales; se consolidó la estructura programática presupuestaria para la programación del gasto público; y, el pago de obligaciones de los procesos de bursatilización. </w:t>
      </w:r>
    </w:p>
    <w:p w:rsidR="00AA2667" w:rsidRPr="000F7669" w:rsidRDefault="00AA2667"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Se devengaron un mil 254  millones 450  mil 965  pesos, lo que representa el 13  por ciento de esta finalidad.</w:t>
      </w:r>
    </w:p>
    <w:p w:rsidR="00AA2667" w:rsidRPr="000F7669" w:rsidRDefault="00AA2667"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 xml:space="preserve">Asuntos de orden público y de seguridad:  </w:t>
      </w:r>
    </w:p>
    <w:p w:rsidR="00AA2667" w:rsidRPr="000F7669" w:rsidRDefault="00AA2667"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Comprende los programas, actividades y proyectos relacionados con el orden y seguridad pública, así como las acciones que realizan consensuados los gobiernos Federal, Estatal y Municipal, para la investigación y prevención de conductas delictivas; también su participación en programas conjuntos de reclutamiento, capacitación, entrenamiento, equipamiento y ejecución de acciones coordinadas, al igual que la orientación, difusión, auxilio y protección civil para prevención de desastres, entre otras, incluye los servicios de policía, servicios de protección contra incendios y la investigación y desarrollo relacionados con el orden público y la seguridad. En esta función las acciones realizadas son: Aplicación de operativos por parte de la Policía Estatal en las 8 regiones del Estado; fortalecimiento de la Policía Auxiliar Bancaria, Industrial y Comercial; programa de actualización del parque vehicular del servicio público; sistema de video vigilancia en la Costa; servicios de llamadas de emergencia; modernización, conducción y coordinación de las políticas de seguridad pública en el Estado; red nacional de telecomunicaciones; atención de emergencias y desastres en el Estado; servicios de vigilancia, control y educación vial; y, gerenciamiento del proyecto para la construcción del centro de reinserción social de media seguridad.</w:t>
      </w:r>
    </w:p>
    <w:p w:rsidR="00AA2667" w:rsidRPr="000F7669" w:rsidRDefault="00AA2667" w:rsidP="00EE5CF1">
      <w:pPr>
        <w:spacing w:after="240"/>
        <w:contextualSpacing/>
        <w:jc w:val="both"/>
        <w:rPr>
          <w:rFonts w:ascii="Arial" w:hAnsi="Arial" w:cs="Arial"/>
          <w:b/>
          <w:color w:val="7030A0"/>
          <w:spacing w:val="20"/>
          <w:szCs w:val="23"/>
        </w:rPr>
      </w:pPr>
    </w:p>
    <w:p w:rsidR="00EE5CF1" w:rsidRPr="000F7669"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lastRenderedPageBreak/>
        <w:t>Para estos conceptos se devengaron un mil 614  millones 138  mil 82  pesos, lo que representa el 17 por ciento de esta finalidad.</w:t>
      </w:r>
    </w:p>
    <w:p w:rsidR="00EE5CF1" w:rsidRPr="000F7669" w:rsidRDefault="00EE5CF1" w:rsidP="00EE5CF1">
      <w:pPr>
        <w:spacing w:after="240"/>
        <w:contextualSpacing/>
        <w:jc w:val="both"/>
        <w:rPr>
          <w:rFonts w:ascii="Arial" w:hAnsi="Arial"/>
          <w:b/>
          <w:color w:val="7030A0"/>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Otros servicios generales:</w:t>
      </w:r>
    </w:p>
    <w:p w:rsidR="00AA2667" w:rsidRPr="000F7669" w:rsidRDefault="00AA2667"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Este grupo comprende servicios que no están vinculados a una función concreta y que generalmente son de cometido de oficinas centrales de los diversos niveles del gobierno, tales como: servicios generales; de personal; requerimientos de pensiones; pago de cuotas IMSS; seguro facultativo para los jubilados, pensionados y pensionistas, planificación y estadísticas.</w:t>
      </w:r>
    </w:p>
    <w:p w:rsidR="00AA2667" w:rsidRPr="000F7669" w:rsidRDefault="00AA2667"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Se continuó con las acciones: Derecho de acceso a la información pública y protección de datos personales; cobertura de las obligaciones derivadas de los Proyectos de Prestación de Servicios a Largo Plazo (PPS); difusión sobre programas gubernamentales; servicios registrales en el Estado y la construcción de la ciudad de los archivos</w:t>
      </w:r>
      <w:r w:rsidR="00982321">
        <w:rPr>
          <w:rFonts w:ascii="Arial" w:hAnsi="Arial" w:cs="Arial"/>
          <w:spacing w:val="20"/>
          <w:szCs w:val="23"/>
        </w:rPr>
        <w:t>.</w:t>
      </w:r>
      <w:r w:rsidRPr="000F7669">
        <w:rPr>
          <w:rFonts w:ascii="Arial" w:hAnsi="Arial" w:cs="Arial"/>
          <w:spacing w:val="20"/>
          <w:szCs w:val="23"/>
        </w:rPr>
        <w:t xml:space="preserve"> </w:t>
      </w:r>
    </w:p>
    <w:p w:rsidR="00AA2667" w:rsidRPr="000F7669" w:rsidRDefault="00AA2667"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2 mil 432  millones 353  mil 787  pesos, lo que representa el 25  por ciento de esta finalidad.</w:t>
      </w:r>
    </w:p>
    <w:p w:rsidR="00AA2667" w:rsidRDefault="00AA2667" w:rsidP="00EE5CF1">
      <w:pPr>
        <w:spacing w:after="240"/>
        <w:contextualSpacing/>
        <w:jc w:val="both"/>
        <w:rPr>
          <w:rFonts w:ascii="Arial" w:hAnsi="Arial" w:cs="Arial"/>
          <w:spacing w:val="20"/>
          <w:szCs w:val="23"/>
        </w:rPr>
      </w:pPr>
    </w:p>
    <w:p w:rsidR="006E53AB" w:rsidRPr="000F7669" w:rsidRDefault="006E53AB" w:rsidP="00EE5CF1">
      <w:pPr>
        <w:spacing w:after="240"/>
        <w:contextualSpacing/>
        <w:jc w:val="both"/>
        <w:rPr>
          <w:rFonts w:ascii="Arial" w:hAnsi="Arial" w:cs="Arial"/>
          <w:spacing w:val="20"/>
          <w:szCs w:val="23"/>
        </w:rPr>
      </w:pPr>
    </w:p>
    <w:p w:rsidR="00EE5CF1" w:rsidRPr="000F7669" w:rsidRDefault="006E53AB" w:rsidP="00EE5CF1">
      <w:pPr>
        <w:spacing w:after="240"/>
        <w:contextualSpacing/>
        <w:jc w:val="both"/>
        <w:rPr>
          <w:rFonts w:ascii="Arial" w:hAnsi="Arial" w:cs="Arial"/>
          <w:b/>
          <w:color w:val="7030A0"/>
          <w:spacing w:val="20"/>
        </w:rPr>
      </w:pPr>
      <w:r w:rsidRPr="006E53AB">
        <w:rPr>
          <w:noProof/>
          <w:lang w:val="es-MX" w:eastAsia="es-MX"/>
        </w:rPr>
        <w:drawing>
          <wp:inline distT="0" distB="0" distL="0" distR="0">
            <wp:extent cx="5882005" cy="2357802"/>
            <wp:effectExtent l="19050" t="0" r="4445" b="0"/>
            <wp:docPr id="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srcRect/>
                    <a:stretch>
                      <a:fillRect/>
                    </a:stretch>
                  </pic:blipFill>
                  <pic:spPr bwMode="auto">
                    <a:xfrm>
                      <a:off x="0" y="0"/>
                      <a:ext cx="5882005" cy="2357802"/>
                    </a:xfrm>
                    <a:prstGeom prst="rect">
                      <a:avLst/>
                    </a:prstGeom>
                    <a:noFill/>
                    <a:ln w="9525">
                      <a:noFill/>
                      <a:miter lim="800000"/>
                      <a:headEnd/>
                      <a:tailEnd/>
                    </a:ln>
                  </pic:spPr>
                </pic:pic>
              </a:graphicData>
            </a:graphic>
          </wp:inline>
        </w:drawing>
      </w:r>
    </w:p>
    <w:p w:rsidR="00EE5CF1" w:rsidRPr="000F7669" w:rsidRDefault="00EE5CF1" w:rsidP="00EE5CF1">
      <w:pPr>
        <w:spacing w:after="240"/>
        <w:contextualSpacing/>
        <w:jc w:val="both"/>
        <w:rPr>
          <w:rFonts w:ascii="Arial" w:hAnsi="Arial" w:cs="Arial"/>
          <w:b/>
          <w:color w:val="7030A0"/>
          <w:spacing w:val="20"/>
        </w:rPr>
      </w:pPr>
    </w:p>
    <w:p w:rsidR="00EE5CF1" w:rsidRPr="000F7669" w:rsidRDefault="00EE5CF1" w:rsidP="00EE5CF1">
      <w:pPr>
        <w:spacing w:after="240"/>
        <w:contextualSpacing/>
        <w:jc w:val="both"/>
        <w:rPr>
          <w:rFonts w:ascii="Arial" w:hAnsi="Arial" w:cs="Arial"/>
          <w:b/>
          <w:color w:val="7030A0"/>
          <w:spacing w:val="20"/>
        </w:rPr>
      </w:pPr>
    </w:p>
    <w:p w:rsidR="00EE5CF1" w:rsidRPr="000F7669" w:rsidRDefault="002B4348" w:rsidP="00EE5CF1">
      <w:pPr>
        <w:spacing w:after="240"/>
        <w:contextualSpacing/>
        <w:jc w:val="both"/>
        <w:rPr>
          <w:rFonts w:ascii="Arial" w:hAnsi="Arial" w:cs="Arial"/>
          <w:b/>
          <w:color w:val="7030A0"/>
          <w:spacing w:val="20"/>
        </w:rPr>
      </w:pPr>
      <w:r w:rsidRPr="002B4348">
        <w:rPr>
          <w:noProof/>
          <w:lang w:val="es-MX" w:eastAsia="es-MX"/>
        </w:rPr>
        <w:lastRenderedPageBreak/>
        <w:drawing>
          <wp:inline distT="0" distB="0" distL="0" distR="0">
            <wp:extent cx="5882005" cy="1862935"/>
            <wp:effectExtent l="19050" t="0" r="4445" b="0"/>
            <wp:docPr id="5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srcRect/>
                    <a:stretch>
                      <a:fillRect/>
                    </a:stretch>
                  </pic:blipFill>
                  <pic:spPr bwMode="auto">
                    <a:xfrm>
                      <a:off x="0" y="0"/>
                      <a:ext cx="5882005" cy="1862935"/>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s="Arial"/>
          <w:b/>
          <w:bCs/>
          <w:color w:val="000000"/>
          <w:spacing w:val="20"/>
          <w:szCs w:val="23"/>
        </w:rPr>
      </w:pPr>
    </w:p>
    <w:p w:rsidR="006E53AB" w:rsidRDefault="006E53AB">
      <w:pPr>
        <w:rPr>
          <w:rFonts w:ascii="Arial" w:hAnsi="Arial" w:cs="Arial"/>
          <w:b/>
          <w:bCs/>
          <w:color w:val="000000"/>
          <w:spacing w:val="20"/>
          <w:szCs w:val="23"/>
        </w:rPr>
      </w:pPr>
      <w:r>
        <w:rPr>
          <w:rFonts w:ascii="Arial" w:hAnsi="Arial" w:cs="Arial"/>
          <w:b/>
          <w:bCs/>
          <w:color w:val="000000"/>
          <w:spacing w:val="20"/>
          <w:szCs w:val="23"/>
        </w:rPr>
        <w:br w:type="page"/>
      </w:r>
    </w:p>
    <w:p w:rsidR="00EE5CF1" w:rsidRDefault="00EE5CF1"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lastRenderedPageBreak/>
        <w:t>4.4.2.- DESARROLLO SOCIAL</w:t>
      </w:r>
    </w:p>
    <w:p w:rsidR="006E53AB" w:rsidRPr="000F7669" w:rsidRDefault="006E53AB"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Incluye programas, proyectos y actividades dirigidos a mejorar el nivel de vida de la población, que se reflejan en aspectos básicos como: Salud, vivienda, servicios urbanos, servicios rurales básicos y servicios educativos. Comprende también la recreación, cultura y otras manifestaciones sociales, así como la protección ambiental.</w:t>
      </w:r>
    </w:p>
    <w:p w:rsidR="006E53AB" w:rsidRPr="000F7669" w:rsidRDefault="006E53AB"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está finalidad en 2015 se devengaron 40 mil 334 millones 782 mil 575  pesos, lo que representa el 61 por ciento del total del presupuesto devengado.</w:t>
      </w:r>
    </w:p>
    <w:p w:rsidR="006E53AB" w:rsidRPr="000F7669" w:rsidRDefault="006E53AB" w:rsidP="00EE5CF1">
      <w:pPr>
        <w:spacing w:before="120"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spacing w:val="20"/>
          <w:szCs w:val="23"/>
        </w:rPr>
      </w:pPr>
      <w:r w:rsidRPr="000F7669">
        <w:rPr>
          <w:rFonts w:ascii="Arial" w:hAnsi="Arial" w:cs="Arial"/>
          <w:b/>
          <w:bCs/>
          <w:spacing w:val="20"/>
          <w:szCs w:val="23"/>
        </w:rPr>
        <w:t>Protección ambiental:</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Comprende los programas, proyectos y actividades encaminados a promover y fomentar la protección e investigación,  desarrollo de los recursos naturales y preservación del medio ambiente; considera la ordenación de aguas residuales y desechos, reducción de la contaminación, protección de la diversidad biológica y del paisaje e investigación y desarrollo relacionados con la protección del medio ambiente, destacan las acciones de: control y combate de plagas y enfermedades forestales;</w:t>
      </w:r>
      <w:r w:rsidRPr="000F7669">
        <w:rPr>
          <w:rFonts w:ascii="Arial" w:hAnsi="Arial"/>
          <w:szCs w:val="23"/>
        </w:rPr>
        <w:t xml:space="preserve"> </w:t>
      </w:r>
      <w:r w:rsidRPr="000F7669">
        <w:rPr>
          <w:rFonts w:ascii="Arial" w:hAnsi="Arial" w:cs="Arial"/>
          <w:spacing w:val="20"/>
          <w:szCs w:val="23"/>
        </w:rPr>
        <w:t>programa estatal obligatorio de verificación de vehículos;</w:t>
      </w:r>
      <w:r w:rsidRPr="000F7669">
        <w:rPr>
          <w:rFonts w:ascii="Arial" w:hAnsi="Arial"/>
          <w:szCs w:val="23"/>
        </w:rPr>
        <w:t xml:space="preserve"> </w:t>
      </w:r>
      <w:r w:rsidRPr="000F7669">
        <w:rPr>
          <w:rFonts w:ascii="Arial" w:hAnsi="Arial" w:cs="Arial"/>
          <w:spacing w:val="20"/>
          <w:szCs w:val="23"/>
        </w:rPr>
        <w:t xml:space="preserve">integración y operación de brigadas oficiales de prevención, tratamiento de aguas residuales, control y combate de incendios forestales  en zonas de alto riesgo; inducción, promoción y ejecución  al ordenamiento ecológico territorial del estado de Oaxaca; gestión e inspección para la evaluación del impacto y riesgo ambiental; y, construcción de sanitarios ecológicos secos. </w:t>
      </w:r>
    </w:p>
    <w:p w:rsidR="006E53AB" w:rsidRPr="000F7669" w:rsidRDefault="006E53AB" w:rsidP="00EE5CF1">
      <w:pPr>
        <w:spacing w:after="240"/>
        <w:contextualSpacing/>
        <w:jc w:val="both"/>
        <w:rPr>
          <w:rFonts w:ascii="Arial" w:hAnsi="Arial" w:cs="Arial"/>
          <w:spacing w:val="20"/>
          <w:szCs w:val="23"/>
        </w:rPr>
      </w:pPr>
    </w:p>
    <w:p w:rsidR="00EE5CF1" w:rsidRPr="000F7669"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735  millones 527  mil 706  pesos, lo que representa el 2 por ciento del presupuesto devengado en esta finalidad</w:t>
      </w:r>
      <w:r w:rsidRPr="000F7669">
        <w:rPr>
          <w:rFonts w:ascii="Arial" w:hAnsi="Arial" w:cs="Arial"/>
          <w:b/>
          <w:spacing w:val="20"/>
          <w:szCs w:val="23"/>
        </w:rPr>
        <w:t>.</w:t>
      </w:r>
    </w:p>
    <w:p w:rsidR="00EE5CF1" w:rsidRPr="000F7669" w:rsidRDefault="00EE5CF1" w:rsidP="00EE5CF1">
      <w:pPr>
        <w:spacing w:after="240"/>
        <w:contextualSpacing/>
        <w:jc w:val="both"/>
        <w:rPr>
          <w:rFonts w:ascii="Arial" w:hAnsi="Arial" w:cs="Arial"/>
          <w:b/>
          <w:bCs/>
          <w:color w:val="000000"/>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Vivienda y servicios a la comunidad:</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la administración, gestión o apoyo de programas, actividades y proyectos relacionados con la formulación, administración, coordinación, ejecución y vigilancia de políticas relacionadas con la urbanización, desarrollo comunitario, abastecimiento de agua, alumbrado público y servicios comunitarios dentro de los cuales destacan: programa de rehabilitación de vialidades urbanas con concreto asfaltico; dotación de desayunos escolares a niños de 6 a 12 años en las diferentes regiones del Estado; segunda etapa de la construcción del centro de </w:t>
      </w:r>
      <w:r w:rsidRPr="000F7669">
        <w:rPr>
          <w:rFonts w:ascii="Arial" w:hAnsi="Arial" w:cs="Arial"/>
          <w:spacing w:val="20"/>
          <w:szCs w:val="23"/>
        </w:rPr>
        <w:lastRenderedPageBreak/>
        <w:t xml:space="preserve">recreación y acondicionamiento deportivo "Venustiano Carranza" Rehabilitación de vialidades urbanas; rehabilitación de diversos Sistemas de Agua Potable en el Estado;  Remodelación y modernización del mercado “Benito Juárez”; urbanización de 135 hectáreas de desarrollo urbano integral en Salina Cruz, así como la cuarta etapa de la construcción del Museo Comunitario de </w:t>
      </w:r>
      <w:proofErr w:type="spellStart"/>
      <w:r w:rsidRPr="000F7669">
        <w:rPr>
          <w:rFonts w:ascii="Arial" w:hAnsi="Arial" w:cs="Arial"/>
          <w:spacing w:val="20"/>
          <w:szCs w:val="23"/>
        </w:rPr>
        <w:t>Teotitlan</w:t>
      </w:r>
      <w:proofErr w:type="spellEnd"/>
      <w:r w:rsidRPr="000F7669">
        <w:rPr>
          <w:rFonts w:ascii="Arial" w:hAnsi="Arial" w:cs="Arial"/>
          <w:spacing w:val="20"/>
          <w:szCs w:val="23"/>
        </w:rPr>
        <w:t xml:space="preserve"> del Valle. </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3 mil 781 millones 838 mil 563 pesos, lo que representa el 9 por ciento del presupuesto devengado en esta finalidad.</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Salud:</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los programas, proyectos y actividades relacionados con la prestación de servicios colectivos y personales de salud, entre ellos los servicios para pacientes externos; servicios médicos y hospitalarios  generales y especializados; servicios odontológicos; servicios paramédicos; centros de maternidad; servicios de residencias de la tercera edad y de convalecencia; operación de unidades médicas; caravanas de la salud; desarrollo humano oportunidades; afiliados al Seguro Popular; y otros servicios de salud. Así mismo se pueden identificar en este apartado productos, útiles y equipos médicos, productos farmacéuticos, aparatos y equipos terapéuticos. </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6 mil 243 millones 943 mil 437 pesos, lo que representa el 15 por ciento del presupuesto devengado en esta finalidad.</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Recreación, cultura y otras manifestaciones sociales:</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los programas, actividades y proyectos relacionados con la promoción, fomento y prestación de servicios culturales, recreativos y deportivos; y otras manifestaciones sociales, servicios de radio, televisión y editoriales; entre las acciones llevadas a cabo por el Gobierno del Estado en el ejercicio fiscal 2015 se encuentran los programas: apoyo a las culturas municipales; creación de una red de radiodifusión digital de radio y televisión. segunda etapa de la construcción del Centro de Iniciación Musical De Oaxaca (CIMO); talleres artísticos: Proceso Creativo con Grandes Maestros del Arte Contemporáneo de Oaxaca; construcción de infraestructura para el fomento deportivo en el </w:t>
      </w:r>
      <w:r w:rsidR="00982321">
        <w:rPr>
          <w:rFonts w:ascii="Arial" w:hAnsi="Arial" w:cs="Arial"/>
          <w:spacing w:val="20"/>
          <w:szCs w:val="23"/>
        </w:rPr>
        <w:t>E</w:t>
      </w:r>
      <w:r w:rsidRPr="000F7669">
        <w:rPr>
          <w:rFonts w:ascii="Arial" w:hAnsi="Arial" w:cs="Arial"/>
          <w:spacing w:val="20"/>
          <w:szCs w:val="23"/>
        </w:rPr>
        <w:t>stado</w:t>
      </w:r>
      <w:r w:rsidRPr="000F7669">
        <w:rPr>
          <w:rFonts w:ascii="Arial" w:hAnsi="Arial" w:cs="Arial"/>
          <w:color w:val="FF0000"/>
          <w:spacing w:val="20"/>
          <w:szCs w:val="23"/>
        </w:rPr>
        <w:t xml:space="preserve">; </w:t>
      </w:r>
      <w:r w:rsidRPr="000F7669">
        <w:rPr>
          <w:rFonts w:ascii="Arial" w:hAnsi="Arial" w:cs="Arial"/>
          <w:spacing w:val="20"/>
          <w:szCs w:val="23"/>
        </w:rPr>
        <w:t xml:space="preserve">construcción de los Polideportivos Zona Poniente en Oaxaca de Juárez y en la Heroica Ciudad de </w:t>
      </w:r>
      <w:proofErr w:type="spellStart"/>
      <w:r w:rsidRPr="000F7669">
        <w:rPr>
          <w:rFonts w:ascii="Arial" w:hAnsi="Arial" w:cs="Arial"/>
          <w:spacing w:val="20"/>
          <w:szCs w:val="23"/>
        </w:rPr>
        <w:t>Tlaxiaco</w:t>
      </w:r>
      <w:proofErr w:type="spellEnd"/>
      <w:r w:rsidRPr="000F7669">
        <w:rPr>
          <w:rFonts w:ascii="Arial" w:hAnsi="Arial" w:cs="Arial"/>
          <w:spacing w:val="20"/>
          <w:szCs w:val="23"/>
        </w:rPr>
        <w:t xml:space="preserve">, que </w:t>
      </w:r>
      <w:r w:rsidRPr="000F7669">
        <w:rPr>
          <w:rFonts w:ascii="Arial" w:hAnsi="Arial" w:cs="Arial"/>
          <w:spacing w:val="20"/>
          <w:szCs w:val="23"/>
        </w:rPr>
        <w:lastRenderedPageBreak/>
        <w:t xml:space="preserve">ofrecerán servicios gratuitos a la población, destacando disciplinas como: atletismo, beisbol, fútbol profesional, fútbol rápido, natación y pelota mixteca; modernización del parque “Ciudad de las Canteras”. </w:t>
      </w:r>
    </w:p>
    <w:p w:rsidR="006E53AB" w:rsidRPr="000F7669" w:rsidRDefault="006E53AB" w:rsidP="00EE5CF1">
      <w:pPr>
        <w:spacing w:after="240"/>
        <w:contextualSpacing/>
        <w:jc w:val="both"/>
        <w:rPr>
          <w:rFonts w:ascii="Arial" w:hAnsi="Arial" w:cs="Arial"/>
          <w:color w:val="FF0000"/>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un mil 213 millones 586 mil 39 pesos, lo que representa el 3 por ciento del presupuesto devengado en esta finalidad.</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Educación:</w:t>
      </w:r>
    </w:p>
    <w:p w:rsidR="006E53AB" w:rsidRPr="000F7669" w:rsidRDefault="006E53AB" w:rsidP="00EE5CF1">
      <w:pPr>
        <w:spacing w:after="240"/>
        <w:contextualSpacing/>
        <w:jc w:val="both"/>
        <w:rPr>
          <w:rFonts w:ascii="Arial" w:hAnsi="Arial"/>
          <w:spacing w:val="20"/>
          <w:szCs w:val="23"/>
        </w:rPr>
      </w:pPr>
    </w:p>
    <w:p w:rsidR="00EE5CF1" w:rsidRDefault="00EE5CF1" w:rsidP="00EE5CF1">
      <w:pPr>
        <w:tabs>
          <w:tab w:val="left" w:pos="9072"/>
        </w:tabs>
        <w:spacing w:after="240"/>
        <w:contextualSpacing/>
        <w:jc w:val="both"/>
        <w:rPr>
          <w:rFonts w:ascii="Arial" w:hAnsi="Arial" w:cs="Arial"/>
          <w:spacing w:val="20"/>
          <w:szCs w:val="23"/>
        </w:rPr>
      </w:pPr>
      <w:r w:rsidRPr="000F7669">
        <w:rPr>
          <w:rFonts w:ascii="Arial" w:hAnsi="Arial" w:cs="Arial"/>
          <w:spacing w:val="20"/>
          <w:szCs w:val="23"/>
        </w:rPr>
        <w:t xml:space="preserve">Comprende la prestación de los servicios educativos en todos sus niveles, en general a los programas, proyectos y actividades relacionados con la educación preescolar, primaria, secundaria general, telesecundaria, media superior, </w:t>
      </w:r>
      <w:proofErr w:type="spellStart"/>
      <w:r w:rsidRPr="000F7669">
        <w:rPr>
          <w:rFonts w:ascii="Arial" w:hAnsi="Arial" w:cs="Arial"/>
          <w:spacing w:val="20"/>
          <w:szCs w:val="23"/>
        </w:rPr>
        <w:t>telebachilleratos</w:t>
      </w:r>
      <w:proofErr w:type="spellEnd"/>
      <w:r w:rsidRPr="000F7669">
        <w:rPr>
          <w:rFonts w:ascii="Arial" w:hAnsi="Arial" w:cs="Arial"/>
          <w:spacing w:val="20"/>
          <w:szCs w:val="23"/>
        </w:rPr>
        <w:t xml:space="preserve">, técnica, de adultos, superior y postgrado; servicios auxiliares de la educación, investigación y desarrollo, relacionados con la misma; construcción de aulas; rehabilitación de escuelas; dotación de uniformes y útiles escolares a alumnos de educación básica; ampliación de espacios educativos para investigación, proyectos productivos e innovadores de alta tecnología en temas biológicos y la incursión en la robótica; y,  otras no clasificadas en los conceptos anteriores. </w:t>
      </w:r>
    </w:p>
    <w:p w:rsidR="006E53AB" w:rsidRPr="000F7669" w:rsidRDefault="006E53AB" w:rsidP="00EE5CF1">
      <w:pPr>
        <w:tabs>
          <w:tab w:val="left" w:pos="9072"/>
        </w:tabs>
        <w:spacing w:after="240"/>
        <w:contextualSpacing/>
        <w:jc w:val="both"/>
        <w:rPr>
          <w:rFonts w:ascii="Arial" w:hAnsi="Arial" w:cs="Arial"/>
          <w:spacing w:val="20"/>
          <w:szCs w:val="23"/>
        </w:rPr>
      </w:pPr>
    </w:p>
    <w:p w:rsidR="00EE5CF1" w:rsidRDefault="00EE5CF1" w:rsidP="00EE5CF1">
      <w:pPr>
        <w:tabs>
          <w:tab w:val="left" w:pos="9072"/>
        </w:tabs>
        <w:spacing w:after="240"/>
        <w:contextualSpacing/>
        <w:jc w:val="both"/>
        <w:rPr>
          <w:rFonts w:ascii="Arial" w:hAnsi="Arial" w:cs="Arial"/>
          <w:spacing w:val="20"/>
          <w:szCs w:val="23"/>
        </w:rPr>
      </w:pPr>
      <w:r w:rsidRPr="000F7669">
        <w:rPr>
          <w:rFonts w:ascii="Arial" w:hAnsi="Arial" w:cs="Arial"/>
          <w:spacing w:val="20"/>
          <w:szCs w:val="23"/>
        </w:rPr>
        <w:t>En esta función se devengaron 27 mil 66 millones 125 mil 40 pesos, lo que representa el 67 por ciento del presupuesto devengado en esta finalidad.</w:t>
      </w:r>
    </w:p>
    <w:p w:rsidR="006E53AB" w:rsidRPr="000F7669" w:rsidRDefault="006E53AB" w:rsidP="00EE5CF1">
      <w:pPr>
        <w:tabs>
          <w:tab w:val="left" w:pos="9072"/>
        </w:tabs>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Protección social:</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color w:val="C00000"/>
          <w:spacing w:val="20"/>
          <w:szCs w:val="23"/>
        </w:rPr>
      </w:pPr>
      <w:r w:rsidRPr="000F7669">
        <w:rPr>
          <w:rFonts w:ascii="Arial" w:hAnsi="Arial" w:cs="Arial"/>
          <w:spacing w:val="20"/>
          <w:szCs w:val="23"/>
        </w:rPr>
        <w:t xml:space="preserve">Comprende los programas, actividades y proyectos relacionados con la protección social que desarrollan los entes públicos en materia de incapacidad económica o laboral, edad avanzada, desempleo, exclusión social; así como, acciones relacionados con la protección social. Comprende las prestaciones económicas y sociales, los beneficios en efectivo o en especie, tanto a la población asegurada como a la no asegurada. Incluyen también el programa Bienestar de apoyo a personas con discapacidad; los gastos en servicios y transferencias a personas y familias; y, los gastos en servicios proporcionados a distintas agrupaciones; las acciones más relevantes son: Prevención y atención de la violencia contra la mujer; atención a Centros de Desarrollo Infantil; servicios tarjetas bienestar; programa de apoyo a personas con discapacidad; campaña de los derechos de niñas, niños y adolescentes; programa de desayunos escolares, coordinación para la atención de los </w:t>
      </w:r>
      <w:r w:rsidRPr="000F7669">
        <w:rPr>
          <w:rFonts w:ascii="Arial" w:hAnsi="Arial" w:cs="Arial"/>
          <w:spacing w:val="20"/>
          <w:szCs w:val="23"/>
        </w:rPr>
        <w:lastRenderedPageBreak/>
        <w:t>pueblos indígenas; centros para el desarrollo de las mujeres con perspectiva de género; y, otras acciones que privilegian el desarrollo humano de la población en Oaxaca.</w:t>
      </w:r>
      <w:r w:rsidRPr="000F7669">
        <w:rPr>
          <w:rFonts w:ascii="Arial" w:hAnsi="Arial" w:cs="Arial"/>
          <w:color w:val="C00000"/>
          <w:spacing w:val="20"/>
          <w:szCs w:val="23"/>
        </w:rPr>
        <w:t xml:space="preserve"> </w:t>
      </w:r>
    </w:p>
    <w:p w:rsidR="006E53AB" w:rsidRPr="000F7669" w:rsidRDefault="006E53AB" w:rsidP="00EE5CF1">
      <w:pPr>
        <w:spacing w:after="240"/>
        <w:contextualSpacing/>
        <w:jc w:val="both"/>
        <w:rPr>
          <w:rFonts w:ascii="Arial" w:hAnsi="Arial" w:cs="Arial"/>
          <w:color w:val="C00000"/>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un mil 181 millones 980 mil 121 pesos, lo que representa el 3 por ciento del presupuesto devengado en esta finalidad.</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Otros asuntos sociales:</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otras acciones no comprendidas en las funciones anteriores. En esta función se aplicaron recursos para apoyar y operar “la cruzada nacional contra el hambre”; operar el fondo de coinversión para disminuir los índices de marginación y pobreza en el Estado mediante proyectos que promuevan el desarrollo sustentable.  </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Para estas acciones, se devengaron 111 millones 781 mil 669 pesos. </w:t>
      </w:r>
    </w:p>
    <w:p w:rsidR="006E53AB" w:rsidRDefault="006E53AB" w:rsidP="00EE5CF1">
      <w:pPr>
        <w:spacing w:after="240"/>
        <w:contextualSpacing/>
        <w:jc w:val="both"/>
        <w:rPr>
          <w:rFonts w:ascii="Arial" w:hAnsi="Arial" w:cs="Arial"/>
          <w:spacing w:val="20"/>
          <w:szCs w:val="23"/>
        </w:rPr>
      </w:pPr>
    </w:p>
    <w:p w:rsidR="006E53AB" w:rsidRPr="000F7669" w:rsidRDefault="006E53AB" w:rsidP="00EE5CF1">
      <w:pPr>
        <w:spacing w:after="240"/>
        <w:contextualSpacing/>
        <w:jc w:val="both"/>
        <w:rPr>
          <w:rFonts w:ascii="Arial" w:hAnsi="Arial" w:cs="Arial"/>
          <w:spacing w:val="20"/>
          <w:szCs w:val="23"/>
        </w:rPr>
      </w:pPr>
    </w:p>
    <w:p w:rsidR="00EE5CF1" w:rsidRPr="000F7669" w:rsidRDefault="006E53AB" w:rsidP="00EE5CF1">
      <w:pPr>
        <w:spacing w:after="240"/>
        <w:contextualSpacing/>
        <w:jc w:val="both"/>
        <w:rPr>
          <w:rFonts w:ascii="Arial" w:hAnsi="Arial" w:cs="Arial"/>
          <w:b/>
          <w:color w:val="7030A0"/>
          <w:spacing w:val="20"/>
        </w:rPr>
      </w:pPr>
      <w:r w:rsidRPr="006E53AB">
        <w:rPr>
          <w:noProof/>
          <w:lang w:val="es-MX" w:eastAsia="es-MX"/>
        </w:rPr>
        <w:drawing>
          <wp:inline distT="0" distB="0" distL="0" distR="0">
            <wp:extent cx="5882005" cy="2524296"/>
            <wp:effectExtent l="19050" t="0" r="4445" b="0"/>
            <wp:docPr id="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srcRect/>
                    <a:stretch>
                      <a:fillRect/>
                    </a:stretch>
                  </pic:blipFill>
                  <pic:spPr bwMode="auto">
                    <a:xfrm>
                      <a:off x="0" y="0"/>
                      <a:ext cx="5882005" cy="2524296"/>
                    </a:xfrm>
                    <a:prstGeom prst="rect">
                      <a:avLst/>
                    </a:prstGeom>
                    <a:noFill/>
                    <a:ln w="9525">
                      <a:noFill/>
                      <a:miter lim="800000"/>
                      <a:headEnd/>
                      <a:tailEnd/>
                    </a:ln>
                  </pic:spPr>
                </pic:pic>
              </a:graphicData>
            </a:graphic>
          </wp:inline>
        </w:drawing>
      </w:r>
    </w:p>
    <w:p w:rsidR="00EE5CF1" w:rsidRPr="000F7669" w:rsidRDefault="00EE5CF1" w:rsidP="00EE5CF1">
      <w:pPr>
        <w:spacing w:after="240"/>
        <w:contextualSpacing/>
        <w:jc w:val="both"/>
        <w:rPr>
          <w:rFonts w:ascii="Arial" w:hAnsi="Arial" w:cs="Arial"/>
          <w:b/>
          <w:color w:val="7030A0"/>
          <w:spacing w:val="20"/>
        </w:rPr>
      </w:pPr>
    </w:p>
    <w:p w:rsidR="00EE5CF1" w:rsidRPr="000F7669" w:rsidRDefault="006E53AB" w:rsidP="00EE5CF1">
      <w:pPr>
        <w:spacing w:after="240"/>
        <w:contextualSpacing/>
        <w:jc w:val="both"/>
        <w:rPr>
          <w:rFonts w:ascii="Arial" w:hAnsi="Arial" w:cs="Arial"/>
          <w:b/>
          <w:color w:val="7030A0"/>
          <w:spacing w:val="20"/>
        </w:rPr>
      </w:pPr>
      <w:r w:rsidRPr="006E53AB">
        <w:rPr>
          <w:noProof/>
          <w:lang w:val="es-MX" w:eastAsia="es-MX"/>
        </w:rPr>
        <w:lastRenderedPageBreak/>
        <w:drawing>
          <wp:inline distT="0" distB="0" distL="0" distR="0">
            <wp:extent cx="5882005" cy="2203609"/>
            <wp:effectExtent l="19050" t="0" r="4445" b="0"/>
            <wp:docPr id="5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srcRect/>
                    <a:stretch>
                      <a:fillRect/>
                    </a:stretch>
                  </pic:blipFill>
                  <pic:spPr bwMode="auto">
                    <a:xfrm>
                      <a:off x="0" y="0"/>
                      <a:ext cx="5882005" cy="2203609"/>
                    </a:xfrm>
                    <a:prstGeom prst="rect">
                      <a:avLst/>
                    </a:prstGeom>
                    <a:noFill/>
                    <a:ln w="9525">
                      <a:noFill/>
                      <a:miter lim="800000"/>
                      <a:headEnd/>
                      <a:tailEnd/>
                    </a:ln>
                  </pic:spPr>
                </pic:pic>
              </a:graphicData>
            </a:graphic>
          </wp:inline>
        </w:drawing>
      </w:r>
    </w:p>
    <w:p w:rsidR="00EE5CF1" w:rsidRPr="000F7669" w:rsidRDefault="00EE5CF1" w:rsidP="00EE5CF1">
      <w:pPr>
        <w:spacing w:after="240"/>
        <w:contextualSpacing/>
        <w:jc w:val="both"/>
        <w:rPr>
          <w:rFonts w:ascii="Arial" w:hAnsi="Arial" w:cs="Arial"/>
          <w:b/>
          <w:color w:val="7030A0"/>
          <w:spacing w:val="20"/>
        </w:rPr>
      </w:pPr>
    </w:p>
    <w:p w:rsidR="006E53AB" w:rsidRDefault="006E53AB" w:rsidP="00EE5CF1">
      <w:pPr>
        <w:spacing w:before="120" w:after="240"/>
        <w:contextualSpacing/>
        <w:jc w:val="both"/>
        <w:rPr>
          <w:rFonts w:ascii="Arial" w:hAnsi="Arial" w:cs="Arial"/>
          <w:b/>
          <w:bCs/>
          <w:color w:val="000000"/>
          <w:spacing w:val="20"/>
          <w:szCs w:val="23"/>
        </w:rPr>
      </w:pPr>
    </w:p>
    <w:p w:rsidR="00D1241D" w:rsidRDefault="00D1241D">
      <w:pPr>
        <w:rPr>
          <w:rFonts w:ascii="Arial" w:hAnsi="Arial" w:cs="Arial"/>
          <w:b/>
          <w:bCs/>
          <w:color w:val="000000"/>
          <w:spacing w:val="20"/>
          <w:szCs w:val="23"/>
        </w:rPr>
      </w:pPr>
      <w:r>
        <w:rPr>
          <w:rFonts w:ascii="Arial" w:hAnsi="Arial" w:cs="Arial"/>
          <w:b/>
          <w:bCs/>
          <w:color w:val="000000"/>
          <w:spacing w:val="20"/>
          <w:szCs w:val="23"/>
        </w:rPr>
        <w:br w:type="page"/>
      </w:r>
    </w:p>
    <w:p w:rsidR="00EE5CF1" w:rsidRDefault="00EE5CF1"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lastRenderedPageBreak/>
        <w:t>4.4.3.- DESARROLLO ECONÓMICO</w:t>
      </w:r>
    </w:p>
    <w:p w:rsidR="006E53AB" w:rsidRPr="000F7669" w:rsidRDefault="006E53AB"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Comprende los programas y proyectos cuyo objetivo es la promoción del desarrollo económico y el fomento a la producción, promoviendo la producción de los cultivos agrícolas y forestales, la acuacultura y la pesca. Se dirige también a la comercialización agropecuaria y agroindustrial y a la producción de bienes y servicios públicos, complementándolos con los que ofrece el sector privado.</w:t>
      </w:r>
    </w:p>
    <w:p w:rsidR="006E53AB" w:rsidRPr="000F7669" w:rsidRDefault="006E53AB"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esta finalidad, en 2015 se devengaron 3 mil 389 millones 587 mil 723 pesos, lo que representa el 5 por ciento del total del presupuesto devengado.</w:t>
      </w:r>
    </w:p>
    <w:p w:rsidR="006E53AB" w:rsidRPr="000F7669" w:rsidRDefault="006E53AB" w:rsidP="00EE5CF1">
      <w:pPr>
        <w:spacing w:before="120"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Asuntos económicos, comerciales y laborales en general:</w:t>
      </w:r>
    </w:p>
    <w:p w:rsidR="006E53AB" w:rsidRPr="000F7669" w:rsidRDefault="006E53AB" w:rsidP="00EE5CF1">
      <w:pPr>
        <w:spacing w:after="240"/>
        <w:contextualSpacing/>
        <w:jc w:val="both"/>
        <w:rPr>
          <w:rFonts w:ascii="Arial" w:hAnsi="Arial"/>
          <w:spacing w:val="20"/>
          <w:szCs w:val="23"/>
        </w:rPr>
      </w:pPr>
    </w:p>
    <w:p w:rsidR="006E53AB"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Comprende la administración de asuntos y servicios económicos, comerciales y laborales en general, incluye asuntos comerciales exteriores; gestión o apoyo de programas laborales y de instituciones que se ocupan de patentes, marcas comerciales, derechos de autor, inscripción de empresas, pronósticos meteorológicos, pesas y medidas, levantamientos hidrológicos, levantamientos geodésicos, etc.; reglamentación o apoyo de actividades económicas y comerciales generales, tales como el comercio de exportación e importación en su conjunto, mercados de productos básicos y de valores de capital, controles generales de los ingresos, actividades de fomento del comercio en general, reglamentación general de monopolios y otras restricciones al comercio y al acceso al mercado, etc. Así como de la formulación, ejecución y aplicación de políticas económicas, comerciales y laborales. Destaca la construcción y remodelación de diversos mercados municipales y talleres de capacitación a productores del sector rural.</w:t>
      </w:r>
    </w:p>
    <w:p w:rsidR="00EE5CF1" w:rsidRPr="000F7669"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 </w:t>
      </w: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En esta función se devengaron 427 millones 22 mil 152 pesos, lo que representa el 13 por ciento del presupuesto devengado en esta finalidad. </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Agropecuaria, silvicultura, pesca, acuacultura y caza:</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Comprende los programas,</w:t>
      </w:r>
      <w:r w:rsidR="00982321">
        <w:rPr>
          <w:rFonts w:ascii="Arial" w:hAnsi="Arial" w:cs="Arial"/>
          <w:spacing w:val="20"/>
          <w:szCs w:val="23"/>
        </w:rPr>
        <w:t xml:space="preserve"> proyectos y</w:t>
      </w:r>
      <w:r w:rsidRPr="000F7669">
        <w:rPr>
          <w:rFonts w:ascii="Arial" w:hAnsi="Arial" w:cs="Arial"/>
          <w:spacing w:val="20"/>
          <w:szCs w:val="23"/>
        </w:rPr>
        <w:t xml:space="preserve"> actividades relacionados con: El fomento a la producción y comercialización agropecuaria, silvicultura, pesca, acuacultura y caza; la agroindustria; el desarrollo </w:t>
      </w:r>
      <w:proofErr w:type="spellStart"/>
      <w:r w:rsidRPr="000F7669">
        <w:rPr>
          <w:rFonts w:ascii="Arial" w:hAnsi="Arial" w:cs="Arial"/>
          <w:spacing w:val="20"/>
          <w:szCs w:val="23"/>
        </w:rPr>
        <w:t>hidroagrícola</w:t>
      </w:r>
      <w:proofErr w:type="spellEnd"/>
      <w:r w:rsidRPr="000F7669">
        <w:rPr>
          <w:rFonts w:ascii="Arial" w:hAnsi="Arial" w:cs="Arial"/>
          <w:spacing w:val="20"/>
          <w:szCs w:val="23"/>
        </w:rPr>
        <w:t xml:space="preserve"> y fomento forestal. Destaca el impulso a la producción del maíz de alto rendimiento en diversos municipios del </w:t>
      </w:r>
      <w:r w:rsidR="00982321">
        <w:rPr>
          <w:rFonts w:ascii="Arial" w:hAnsi="Arial" w:cs="Arial"/>
          <w:spacing w:val="20"/>
          <w:szCs w:val="23"/>
        </w:rPr>
        <w:t>E</w:t>
      </w:r>
      <w:r w:rsidRPr="000F7669">
        <w:rPr>
          <w:rFonts w:ascii="Arial" w:hAnsi="Arial" w:cs="Arial"/>
          <w:spacing w:val="20"/>
          <w:szCs w:val="23"/>
        </w:rPr>
        <w:t xml:space="preserve">stado.  </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lastRenderedPageBreak/>
        <w:t>En esta función</w:t>
      </w:r>
      <w:r w:rsidR="00982321">
        <w:rPr>
          <w:rFonts w:ascii="Arial" w:hAnsi="Arial" w:cs="Arial"/>
          <w:spacing w:val="20"/>
          <w:szCs w:val="23"/>
        </w:rPr>
        <w:t>,</w:t>
      </w:r>
      <w:r w:rsidRPr="000F7669">
        <w:rPr>
          <w:rFonts w:ascii="Arial" w:hAnsi="Arial" w:cs="Arial"/>
          <w:spacing w:val="20"/>
          <w:szCs w:val="23"/>
        </w:rPr>
        <w:t xml:space="preserve"> se devengaron 686 millones 982 mil 305 pesos, lo que representa el 20 por ciento del presupuesto devengado en esta finalidad.</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b/>
          <w:bCs/>
          <w:spacing w:val="20"/>
          <w:szCs w:val="23"/>
        </w:rPr>
      </w:pPr>
      <w:r w:rsidRPr="000F7669">
        <w:rPr>
          <w:rFonts w:ascii="Arial" w:hAnsi="Arial" w:cs="Arial"/>
          <w:b/>
          <w:bCs/>
          <w:spacing w:val="20"/>
          <w:szCs w:val="23"/>
        </w:rPr>
        <w:t>Combustibles y energía:</w:t>
      </w:r>
    </w:p>
    <w:p w:rsidR="006E53AB" w:rsidRPr="000F7669" w:rsidRDefault="006E53AB" w:rsidP="00EE5CF1">
      <w:pPr>
        <w:spacing w:after="240"/>
        <w:contextualSpacing/>
        <w:jc w:val="both"/>
        <w:rPr>
          <w:rFonts w:ascii="Arial" w:hAnsi="Arial"/>
          <w:spacing w:val="20"/>
          <w:szCs w:val="23"/>
        </w:rPr>
      </w:pPr>
    </w:p>
    <w:p w:rsidR="006E53AB"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los programas, </w:t>
      </w:r>
      <w:r w:rsidR="00982321">
        <w:rPr>
          <w:rFonts w:ascii="Arial" w:hAnsi="Arial" w:cs="Arial"/>
          <w:spacing w:val="20"/>
          <w:szCs w:val="23"/>
        </w:rPr>
        <w:t>proyectos y a</w:t>
      </w:r>
      <w:r w:rsidRPr="000F7669">
        <w:rPr>
          <w:rFonts w:ascii="Arial" w:hAnsi="Arial" w:cs="Arial"/>
          <w:spacing w:val="20"/>
          <w:szCs w:val="23"/>
        </w:rPr>
        <w:t>ctividades relacionados con la producción y comercialización de combustibles y energía, tales como el petróleo y gas natural, carbón y otros combustibles minerales sólidos, combustibles nucleares y otros, electricidad y la energía no eléctrica, dentro de esta función se firmaron y pusieron en operación convenios específicos de coordinación con la Comisión Federal de Electricidad.</w:t>
      </w:r>
    </w:p>
    <w:p w:rsidR="00EE5CF1" w:rsidRPr="000F7669"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 </w:t>
      </w: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El presupuesto devengado en 2015 para este concepto asciende a 165 millones 594 mil 766 pesos, lo que representa el 5 por ciento del presupuesto devengado en esta finalidad. </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Minería, manufacturas y construcción:</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Comprende los programas, actividades y proyectos  relacionados con la administración de asuntos y servicios relacionados con la minería, los recursos minerales (excepto combustibles minerales), manufacturas y construcción; la conservación, descubrimiento, aprovechamiento y explotación racionalizada de recursos minerales; desarrollo, ampliación o mejoramiento de las manufacturas; supervisión, reglamentación, producción y difusión de información para actividades de minería, manufactura y construcción, dentro de las cuales destacan las actividades de: Dotación de capital de trabajo para apoyo a la producción a una planta de clasificación de agregados pétreos; desarrollo artesanal; programa regional de impulso a la competitividad sectorial para el estado de Oaxaca; y, capacitación integral y asistencia técnica a artesanas y artesanos del estado de Oaxaca.</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El presupuesto devengado en 2015 para este concepto asciende a 12 millones 604 mil 844 pesos.</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Transporte:</w:t>
      </w:r>
    </w:p>
    <w:p w:rsidR="006E53AB" w:rsidRPr="000F7669" w:rsidRDefault="006E53AB" w:rsidP="00EE5CF1">
      <w:pPr>
        <w:spacing w:after="240"/>
        <w:contextualSpacing/>
        <w:jc w:val="both"/>
        <w:rPr>
          <w:rFonts w:ascii="Arial" w:hAnsi="Arial"/>
          <w:spacing w:val="20"/>
          <w:szCs w:val="23"/>
        </w:rPr>
      </w:pPr>
    </w:p>
    <w:p w:rsidR="006E53AB"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la administración de asuntos y servicios relacionados con la explotación, la utilización, la construcción y el mantenimiento de sistemas e instalaciones del transporte por carretera, ferroviario, aéreo, agua, oleoductos y gasoductos y otros sistemas. Así como su supervisión y reglamentación, de las que destacan las siguientes </w:t>
      </w:r>
      <w:r w:rsidRPr="000F7669">
        <w:rPr>
          <w:rFonts w:ascii="Arial" w:hAnsi="Arial" w:cs="Arial"/>
          <w:spacing w:val="20"/>
          <w:szCs w:val="23"/>
        </w:rPr>
        <w:lastRenderedPageBreak/>
        <w:t xml:space="preserve">acciones: Programa de permisos, </w:t>
      </w:r>
      <w:proofErr w:type="spellStart"/>
      <w:r w:rsidRPr="000F7669">
        <w:rPr>
          <w:rFonts w:ascii="Arial" w:hAnsi="Arial" w:cs="Arial"/>
          <w:spacing w:val="20"/>
          <w:szCs w:val="23"/>
        </w:rPr>
        <w:t>emplacamiento</w:t>
      </w:r>
      <w:proofErr w:type="spellEnd"/>
      <w:r w:rsidRPr="000F7669">
        <w:rPr>
          <w:rFonts w:ascii="Arial" w:hAnsi="Arial" w:cs="Arial"/>
          <w:spacing w:val="20"/>
          <w:szCs w:val="23"/>
        </w:rPr>
        <w:t>, licencias y verificación vehicular; rehabilitación de vialidades urbanas en el Estado; y, modernización, construcción y rehabilitación de caminos, carreteras y puentes de las 8 regiones del Estado.</w:t>
      </w:r>
    </w:p>
    <w:p w:rsidR="00EE5CF1" w:rsidRPr="000F7669"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 </w:t>
      </w: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w:t>
      </w:r>
      <w:r w:rsidR="00982321">
        <w:rPr>
          <w:rFonts w:ascii="Arial" w:hAnsi="Arial" w:cs="Arial"/>
          <w:spacing w:val="20"/>
          <w:szCs w:val="23"/>
        </w:rPr>
        <w:t>,</w:t>
      </w:r>
      <w:r w:rsidRPr="000F7669">
        <w:rPr>
          <w:rFonts w:ascii="Arial" w:hAnsi="Arial" w:cs="Arial"/>
          <w:spacing w:val="20"/>
          <w:szCs w:val="23"/>
        </w:rPr>
        <w:t xml:space="preserve"> se devengaron un mil 763 millones 968 mil 735 pesos, lo que representa el 52 por ciento del presupuesto devengado en esta finalidad.</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Turismo:</w:t>
      </w:r>
    </w:p>
    <w:p w:rsidR="006E53AB" w:rsidRPr="000F7669" w:rsidRDefault="006E53AB"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Comprende la administración, fomento y desarrollo de asuntos y servicios de turismo; enlace con las industrias del transporte, los hoteles y los restaurantes y otras industrias que se benefician con la presencia de turistas; la explotación de oficinas de turismo en el país y en el exterior; organización de campañas publicitarias nacionales e internacionales, la producción y difusión de literatura de promoción; entre otras. </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 xml:space="preserve">Esta finalidad incluye el fortalecimiento integral para el desarrollo de la industria del mezcal, el fortalecimiento de las rutas y productos turísticos. </w:t>
      </w:r>
    </w:p>
    <w:p w:rsidR="006E53AB" w:rsidRPr="000F7669" w:rsidRDefault="006E53AB" w:rsidP="00EE5CF1">
      <w:pPr>
        <w:spacing w:after="240"/>
        <w:contextualSpacing/>
        <w:jc w:val="both"/>
        <w:rPr>
          <w:rFonts w:ascii="Arial" w:hAnsi="Arial" w:cs="Arial"/>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242 millones 233 mil 721 pesos, lo que representa el 7 por ciento del total devengado en esta finalidad.</w:t>
      </w:r>
    </w:p>
    <w:p w:rsidR="006E53AB" w:rsidRPr="000F7669" w:rsidRDefault="006E53AB" w:rsidP="00EE5CF1">
      <w:pPr>
        <w:spacing w:after="240"/>
        <w:contextualSpacing/>
        <w:jc w:val="both"/>
        <w:rPr>
          <w:rFonts w:ascii="Arial" w:hAnsi="Arial" w:cs="Arial"/>
          <w:spacing w:val="20"/>
          <w:szCs w:val="23"/>
        </w:rPr>
      </w:pPr>
    </w:p>
    <w:p w:rsidR="00E91C2E" w:rsidRDefault="00E91C2E" w:rsidP="00EE5CF1">
      <w:pPr>
        <w:spacing w:after="240"/>
        <w:contextualSpacing/>
        <w:jc w:val="both"/>
        <w:rPr>
          <w:rFonts w:ascii="Arial" w:hAnsi="Arial" w:cs="Arial"/>
          <w:b/>
          <w:bCs/>
          <w:color w:val="000000"/>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Ciencia, tecnología e innovación:</w:t>
      </w:r>
    </w:p>
    <w:p w:rsidR="006E53AB" w:rsidRPr="000F7669" w:rsidRDefault="006E53AB" w:rsidP="00EE5CF1">
      <w:pPr>
        <w:spacing w:after="240"/>
        <w:contextualSpacing/>
        <w:jc w:val="both"/>
        <w:rPr>
          <w:rFonts w:ascii="Arial" w:hAnsi="Arial" w:cs="Arial"/>
          <w:b/>
          <w:color w:val="7030A0"/>
          <w:spacing w:val="20"/>
          <w:szCs w:val="23"/>
        </w:rPr>
      </w:pPr>
    </w:p>
    <w:p w:rsidR="00EE5CF1" w:rsidRDefault="00EE5CF1" w:rsidP="00EE5CF1">
      <w:pPr>
        <w:spacing w:after="240"/>
        <w:contextualSpacing/>
        <w:jc w:val="both"/>
        <w:rPr>
          <w:rFonts w:ascii="Arial" w:hAnsi="Arial" w:cs="Arial"/>
          <w:b/>
          <w:color w:val="7030A0"/>
          <w:spacing w:val="20"/>
          <w:szCs w:val="23"/>
        </w:rPr>
      </w:pPr>
      <w:r w:rsidRPr="000F7669">
        <w:rPr>
          <w:rFonts w:ascii="Arial" w:hAnsi="Arial" w:cs="Arial"/>
          <w:spacing w:val="20"/>
          <w:szCs w:val="23"/>
        </w:rPr>
        <w:t>Comprende los programas de investigación aplicada que consiste en investigaciones originales realizadas a fin de adquirir nuevos conocimientos orientados primordialmente a un fin u objetivo práctico concreto. El desarrollo experimental que consiste en trabajos sistemáticos, basados en conocimientos existentes logrados a partir de la investigación y la experiencia práctica, que están orientados a producir nuevos materiales, productos y dispositivos; instalar nuevos procesos, sistemas y servicios o a perfeccionar los que ya se han producido o instalado, todos relacionados con asuntos económicos</w:t>
      </w:r>
      <w:r w:rsidRPr="000F7669">
        <w:rPr>
          <w:rFonts w:ascii="Arial" w:hAnsi="Arial" w:cs="Arial"/>
          <w:b/>
          <w:color w:val="7030A0"/>
          <w:spacing w:val="20"/>
          <w:szCs w:val="23"/>
        </w:rPr>
        <w:t xml:space="preserve">. </w:t>
      </w:r>
    </w:p>
    <w:p w:rsidR="006E53AB" w:rsidRPr="000F7669" w:rsidRDefault="006E53AB" w:rsidP="00EE5CF1">
      <w:pPr>
        <w:spacing w:after="240"/>
        <w:contextualSpacing/>
        <w:jc w:val="both"/>
        <w:rPr>
          <w:rFonts w:ascii="Arial" w:hAnsi="Arial" w:cs="Arial"/>
          <w:b/>
          <w:color w:val="7030A0"/>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46 millones 760 mil 468 pesos.</w:t>
      </w:r>
    </w:p>
    <w:p w:rsidR="006E53AB" w:rsidRPr="000F7669" w:rsidRDefault="006E53AB" w:rsidP="00EE5CF1">
      <w:pPr>
        <w:spacing w:after="240"/>
        <w:contextualSpacing/>
        <w:jc w:val="both"/>
        <w:rPr>
          <w:rFonts w:ascii="Arial" w:hAnsi="Arial" w:cs="Arial"/>
          <w:spacing w:val="20"/>
          <w:szCs w:val="23"/>
        </w:rPr>
      </w:pPr>
    </w:p>
    <w:p w:rsidR="00D1241D" w:rsidRDefault="00D1241D">
      <w:pPr>
        <w:rPr>
          <w:rFonts w:ascii="Arial" w:hAnsi="Arial" w:cs="Arial"/>
          <w:b/>
          <w:bCs/>
          <w:color w:val="000000"/>
          <w:spacing w:val="20"/>
          <w:szCs w:val="23"/>
        </w:rPr>
      </w:pPr>
      <w:r>
        <w:rPr>
          <w:rFonts w:ascii="Arial" w:hAnsi="Arial" w:cs="Arial"/>
          <w:b/>
          <w:bCs/>
          <w:color w:val="000000"/>
          <w:spacing w:val="20"/>
          <w:szCs w:val="23"/>
        </w:rPr>
        <w:br w:type="page"/>
      </w: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lastRenderedPageBreak/>
        <w:t xml:space="preserve">Otras industrias y otros asuntos económicos: </w:t>
      </w:r>
    </w:p>
    <w:p w:rsidR="006E53AB" w:rsidRPr="000F7669" w:rsidRDefault="006E53AB" w:rsidP="00EE5CF1">
      <w:pPr>
        <w:spacing w:after="240"/>
        <w:contextualSpacing/>
        <w:jc w:val="both"/>
        <w:rPr>
          <w:rFonts w:ascii="Arial" w:hAnsi="Arial"/>
          <w:b/>
          <w:color w:val="7030A0"/>
          <w:spacing w:val="20"/>
          <w:szCs w:val="23"/>
        </w:rPr>
      </w:pP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Comprende el comercio, distribución, almacenamiento y depósito y otras industrias no incluidas en funciones anteriores. Incluye las actividades y prestación de servicios relacionados con asuntos económicos no consideradas en las funciones anteriores, como la construcción de la urbanización de 14 hectáreas del sector H3 en Santa María Huatulco. </w:t>
      </w: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esta función se devengaron 42 millones 265 mil 125 pesos.</w:t>
      </w:r>
    </w:p>
    <w:p w:rsidR="00EE5CF1" w:rsidRDefault="00EE5CF1" w:rsidP="00EE5CF1">
      <w:pPr>
        <w:spacing w:before="120" w:after="240"/>
        <w:contextualSpacing/>
        <w:jc w:val="both"/>
        <w:rPr>
          <w:rFonts w:ascii="Arial" w:hAnsi="Arial" w:cs="Arial"/>
          <w:b/>
          <w:color w:val="7030A0"/>
          <w:spacing w:val="20"/>
          <w:szCs w:val="23"/>
        </w:rPr>
      </w:pPr>
    </w:p>
    <w:p w:rsidR="00D1241D" w:rsidRPr="000F7669" w:rsidRDefault="00D1241D" w:rsidP="00EE5CF1">
      <w:pPr>
        <w:spacing w:before="120" w:after="240"/>
        <w:contextualSpacing/>
        <w:jc w:val="both"/>
        <w:rPr>
          <w:rFonts w:ascii="Arial" w:hAnsi="Arial" w:cs="Arial"/>
          <w:b/>
          <w:color w:val="7030A0"/>
          <w:spacing w:val="20"/>
          <w:szCs w:val="23"/>
        </w:rPr>
      </w:pPr>
    </w:p>
    <w:p w:rsidR="00EE5CF1" w:rsidRPr="000F7669" w:rsidRDefault="006E53AB" w:rsidP="00EE5CF1">
      <w:pPr>
        <w:spacing w:before="120" w:after="240"/>
        <w:contextualSpacing/>
        <w:jc w:val="both"/>
        <w:rPr>
          <w:rFonts w:ascii="Arial" w:hAnsi="Arial"/>
          <w:noProof/>
          <w:lang w:val="es-MX" w:eastAsia="es-MX"/>
        </w:rPr>
      </w:pPr>
      <w:r w:rsidRPr="006E53AB">
        <w:rPr>
          <w:noProof/>
          <w:lang w:val="es-MX" w:eastAsia="es-MX"/>
        </w:rPr>
        <w:drawing>
          <wp:inline distT="0" distB="0" distL="0" distR="0">
            <wp:extent cx="5882005" cy="3113864"/>
            <wp:effectExtent l="19050" t="0" r="4445" b="0"/>
            <wp:docPr id="5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srcRect/>
                    <a:stretch>
                      <a:fillRect/>
                    </a:stretch>
                  </pic:blipFill>
                  <pic:spPr bwMode="auto">
                    <a:xfrm>
                      <a:off x="0" y="0"/>
                      <a:ext cx="5882005" cy="3113864"/>
                    </a:xfrm>
                    <a:prstGeom prst="rect">
                      <a:avLst/>
                    </a:prstGeom>
                    <a:noFill/>
                    <a:ln w="9525">
                      <a:noFill/>
                      <a:miter lim="800000"/>
                      <a:headEnd/>
                      <a:tailEnd/>
                    </a:ln>
                  </pic:spPr>
                </pic:pic>
              </a:graphicData>
            </a:graphic>
          </wp:inline>
        </w:drawing>
      </w:r>
    </w:p>
    <w:p w:rsidR="00EE5CF1" w:rsidRDefault="00EE5CF1" w:rsidP="00EE5CF1">
      <w:pPr>
        <w:spacing w:before="120" w:after="240"/>
        <w:contextualSpacing/>
        <w:jc w:val="both"/>
        <w:rPr>
          <w:rFonts w:ascii="Arial" w:hAnsi="Arial"/>
          <w:noProof/>
          <w:lang w:val="es-MX" w:eastAsia="es-MX"/>
        </w:rPr>
      </w:pPr>
    </w:p>
    <w:p w:rsidR="002B4348" w:rsidRDefault="002B4348" w:rsidP="00EE5CF1">
      <w:pPr>
        <w:spacing w:before="120" w:after="240"/>
        <w:contextualSpacing/>
        <w:jc w:val="both"/>
        <w:rPr>
          <w:rFonts w:ascii="Arial" w:hAnsi="Arial"/>
          <w:noProof/>
          <w:lang w:val="es-MX" w:eastAsia="es-MX"/>
        </w:rPr>
      </w:pPr>
      <w:r w:rsidRPr="002B4348">
        <w:rPr>
          <w:noProof/>
          <w:lang w:val="es-MX" w:eastAsia="es-MX"/>
        </w:rPr>
        <w:drawing>
          <wp:inline distT="0" distB="0" distL="0" distR="0">
            <wp:extent cx="5882005" cy="2125803"/>
            <wp:effectExtent l="19050" t="0" r="4445" b="0"/>
            <wp:docPr id="6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srcRect/>
                    <a:stretch>
                      <a:fillRect/>
                    </a:stretch>
                  </pic:blipFill>
                  <pic:spPr bwMode="auto">
                    <a:xfrm>
                      <a:off x="0" y="0"/>
                      <a:ext cx="5882005" cy="2125803"/>
                    </a:xfrm>
                    <a:prstGeom prst="rect">
                      <a:avLst/>
                    </a:prstGeom>
                    <a:noFill/>
                    <a:ln w="9525">
                      <a:noFill/>
                      <a:miter lim="800000"/>
                      <a:headEnd/>
                      <a:tailEnd/>
                    </a:ln>
                  </pic:spPr>
                </pic:pic>
              </a:graphicData>
            </a:graphic>
          </wp:inline>
        </w:drawing>
      </w:r>
    </w:p>
    <w:p w:rsidR="002B4348" w:rsidRPr="000F7669" w:rsidRDefault="002B4348" w:rsidP="00EE5CF1">
      <w:pPr>
        <w:spacing w:before="120" w:after="240"/>
        <w:contextualSpacing/>
        <w:jc w:val="both"/>
        <w:rPr>
          <w:rFonts w:ascii="Arial" w:hAnsi="Arial"/>
          <w:noProof/>
          <w:lang w:val="es-MX" w:eastAsia="es-MX"/>
        </w:rPr>
      </w:pPr>
    </w:p>
    <w:p w:rsidR="00EE5CF1" w:rsidRPr="000F7669" w:rsidRDefault="00EE5CF1" w:rsidP="00EE5CF1">
      <w:pPr>
        <w:spacing w:before="120" w:after="240"/>
        <w:contextualSpacing/>
        <w:jc w:val="both"/>
        <w:rPr>
          <w:rFonts w:ascii="Arial" w:hAnsi="Arial" w:cs="Arial"/>
          <w:b/>
          <w:bCs/>
          <w:color w:val="000000"/>
          <w:spacing w:val="20"/>
          <w:szCs w:val="23"/>
        </w:rPr>
      </w:pPr>
    </w:p>
    <w:p w:rsidR="00EE5CF1" w:rsidRDefault="00EE5CF1" w:rsidP="00C31BA1">
      <w:pPr>
        <w:spacing w:before="120" w:after="240"/>
        <w:contextualSpacing/>
        <w:rPr>
          <w:rFonts w:ascii="Arial" w:hAnsi="Arial" w:cs="Arial"/>
          <w:b/>
          <w:bCs/>
          <w:color w:val="000000"/>
          <w:spacing w:val="20"/>
          <w:szCs w:val="23"/>
        </w:rPr>
      </w:pPr>
      <w:r w:rsidRPr="000F7669">
        <w:rPr>
          <w:rFonts w:ascii="Arial" w:hAnsi="Arial" w:cs="Arial"/>
          <w:b/>
          <w:bCs/>
          <w:color w:val="000000"/>
          <w:spacing w:val="20"/>
          <w:szCs w:val="23"/>
        </w:rPr>
        <w:t xml:space="preserve">4.4.4.- </w:t>
      </w:r>
      <w:r w:rsidR="00C31BA1" w:rsidRPr="00C31BA1">
        <w:rPr>
          <w:rFonts w:ascii="Arial" w:hAnsi="Arial" w:cs="Arial"/>
          <w:b/>
          <w:bCs/>
          <w:color w:val="000000"/>
          <w:spacing w:val="20"/>
          <w:szCs w:val="23"/>
        </w:rPr>
        <w:t>OTRAS NO CLASIFICADAS EN FUNCIONES ANTERIORES</w:t>
      </w:r>
    </w:p>
    <w:p w:rsidR="002B4348" w:rsidRPr="000F7669" w:rsidRDefault="002B4348"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Comprende los pagos de compromisos inherentes a la contratación de deuda; las transferencias, participaciones y aportaciones, entre los diferentes niveles y órdenes de gobierno no susceptibles de etiquetar en las funciones existentes. </w:t>
      </w:r>
    </w:p>
    <w:p w:rsidR="002B4348" w:rsidRPr="000F7669" w:rsidRDefault="002B4348"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esta finalidad en 2015 se devengaron 12 mil 751 millones 629 mil 446 pesos, lo que representa el 19 por ciento del total del presupuesto devengado.</w:t>
      </w:r>
    </w:p>
    <w:p w:rsidR="002B4348" w:rsidRPr="000F7669" w:rsidRDefault="002B4348" w:rsidP="00EE5CF1">
      <w:pPr>
        <w:spacing w:before="120"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Transacciones de la deuda pública / costo financiero de la deuda:</w:t>
      </w:r>
    </w:p>
    <w:p w:rsidR="002B4348" w:rsidRPr="000F7669" w:rsidRDefault="002B4348"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color w:val="7030A0"/>
          <w:spacing w:val="20"/>
          <w:szCs w:val="23"/>
        </w:rPr>
      </w:pPr>
      <w:r w:rsidRPr="000F7669">
        <w:rPr>
          <w:rFonts w:ascii="Arial" w:hAnsi="Arial" w:cs="Arial"/>
          <w:spacing w:val="20"/>
          <w:szCs w:val="23"/>
        </w:rPr>
        <w:t>Comprende los pagos de compromisos por concepto de intereses, comisiones, amortización y otras erogaciones derivadas de la contratación de deuda pública. Se refiere al pago de la deuda pública contratada y documentada, tanto con instituciones internas como externas. Así como pago de intereses y gastos por concepto de suscripción y emisión de empréstitos gubernamentales</w:t>
      </w:r>
      <w:r w:rsidRPr="000F7669">
        <w:rPr>
          <w:rFonts w:ascii="Arial" w:hAnsi="Arial" w:cs="Arial"/>
          <w:b/>
          <w:color w:val="7030A0"/>
          <w:spacing w:val="20"/>
          <w:szCs w:val="23"/>
        </w:rPr>
        <w:t xml:space="preserve">. </w:t>
      </w:r>
    </w:p>
    <w:p w:rsidR="002B4348" w:rsidRPr="000F7669" w:rsidRDefault="002B4348" w:rsidP="00EE5CF1">
      <w:pPr>
        <w:spacing w:after="240"/>
        <w:contextualSpacing/>
        <w:jc w:val="both"/>
        <w:rPr>
          <w:rFonts w:ascii="Arial" w:hAnsi="Arial" w:cs="Arial"/>
          <w:b/>
          <w:color w:val="7030A0"/>
          <w:spacing w:val="20"/>
          <w:szCs w:val="23"/>
        </w:rPr>
      </w:pPr>
    </w:p>
    <w:p w:rsidR="00EE5CF1"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un mil 174 millones 644 mil 811 pesos, lo que representa el 9 por ciento del presupuesto devengado en esta finalidad.</w:t>
      </w:r>
    </w:p>
    <w:p w:rsidR="002B4348" w:rsidRPr="000F7669" w:rsidRDefault="002B4348"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Transferencias, participaciones y aportaciones entre diferentes niveles y órdenes de gobierno:</w:t>
      </w:r>
    </w:p>
    <w:p w:rsidR="002B4348" w:rsidRPr="000F7669" w:rsidRDefault="002B4348" w:rsidP="00EE5CF1">
      <w:pPr>
        <w:spacing w:after="240"/>
        <w:contextualSpacing/>
        <w:jc w:val="both"/>
        <w:rPr>
          <w:rFonts w:ascii="Arial" w:hAnsi="Arial"/>
          <w:spacing w:val="20"/>
          <w:szCs w:val="23"/>
        </w:rPr>
      </w:pPr>
    </w:p>
    <w:p w:rsidR="00EE5CF1" w:rsidRDefault="00EE5CF1" w:rsidP="00EE5CF1">
      <w:pPr>
        <w:spacing w:after="240"/>
        <w:contextualSpacing/>
        <w:jc w:val="both"/>
        <w:rPr>
          <w:rFonts w:ascii="Arial" w:hAnsi="Arial" w:cs="Arial"/>
          <w:b/>
          <w:color w:val="7030A0"/>
          <w:spacing w:val="20"/>
          <w:szCs w:val="23"/>
        </w:rPr>
      </w:pPr>
      <w:r w:rsidRPr="000F7669">
        <w:rPr>
          <w:rFonts w:ascii="Arial" w:hAnsi="Arial" w:cs="Arial"/>
          <w:spacing w:val="20"/>
          <w:szCs w:val="23"/>
        </w:rPr>
        <w:t>Transferencias, participaciones y aportaciones entre diferentes niveles y órdenes de gobierno que son de carácter general y no están asignadas a una función determinada. Destacan principalmente las aportaciones a municipios</w:t>
      </w:r>
      <w:r w:rsidRPr="000F7669">
        <w:rPr>
          <w:rFonts w:ascii="Arial" w:hAnsi="Arial" w:cs="Arial"/>
          <w:b/>
          <w:color w:val="7030A0"/>
          <w:spacing w:val="20"/>
          <w:szCs w:val="23"/>
        </w:rPr>
        <w:t>.</w:t>
      </w:r>
    </w:p>
    <w:p w:rsidR="002B4348" w:rsidRPr="000F7669" w:rsidRDefault="002B4348" w:rsidP="00EE5CF1">
      <w:pPr>
        <w:spacing w:after="240"/>
        <w:contextualSpacing/>
        <w:jc w:val="both"/>
        <w:rPr>
          <w:rFonts w:ascii="Arial" w:hAnsi="Arial" w:cs="Arial"/>
          <w:b/>
          <w:color w:val="7030A0"/>
          <w:spacing w:val="20"/>
          <w:szCs w:val="23"/>
        </w:rPr>
      </w:pPr>
    </w:p>
    <w:p w:rsidR="00EE5CF1" w:rsidRPr="000F7669" w:rsidRDefault="00EE5CF1" w:rsidP="00EE5CF1">
      <w:pPr>
        <w:spacing w:after="240"/>
        <w:contextualSpacing/>
        <w:jc w:val="both"/>
        <w:rPr>
          <w:rFonts w:ascii="Arial" w:hAnsi="Arial" w:cs="Arial"/>
          <w:spacing w:val="20"/>
          <w:szCs w:val="23"/>
        </w:rPr>
      </w:pPr>
      <w:r w:rsidRPr="000F7669">
        <w:rPr>
          <w:rFonts w:ascii="Arial" w:hAnsi="Arial" w:cs="Arial"/>
          <w:spacing w:val="20"/>
          <w:szCs w:val="23"/>
        </w:rPr>
        <w:t>En esta función se devengaron 11 mil 574 millones 778 mil 272 pesos lo que representa el 91 por ciento de total devengado en esta finalidad.</w:t>
      </w:r>
    </w:p>
    <w:p w:rsidR="00EE5CF1" w:rsidRDefault="00EE5CF1" w:rsidP="00EE5CF1">
      <w:pPr>
        <w:spacing w:after="240"/>
        <w:contextualSpacing/>
        <w:jc w:val="both"/>
        <w:rPr>
          <w:rFonts w:ascii="Arial" w:hAnsi="Arial" w:cs="Arial"/>
          <w:b/>
          <w:color w:val="7030A0"/>
          <w:spacing w:val="20"/>
          <w:szCs w:val="23"/>
        </w:rPr>
      </w:pPr>
    </w:p>
    <w:p w:rsidR="002B4348" w:rsidRPr="000F7669" w:rsidRDefault="002B4348" w:rsidP="00EE5CF1">
      <w:pPr>
        <w:spacing w:after="240"/>
        <w:contextualSpacing/>
        <w:jc w:val="both"/>
        <w:rPr>
          <w:rFonts w:ascii="Arial" w:hAnsi="Arial" w:cs="Arial"/>
          <w:b/>
          <w:color w:val="7030A0"/>
          <w:spacing w:val="20"/>
          <w:szCs w:val="23"/>
        </w:rPr>
      </w:pPr>
    </w:p>
    <w:p w:rsidR="00EE5CF1" w:rsidRPr="000F7669" w:rsidRDefault="002B4348" w:rsidP="00EE5CF1">
      <w:pPr>
        <w:spacing w:after="240"/>
        <w:contextualSpacing/>
        <w:jc w:val="both"/>
        <w:rPr>
          <w:rFonts w:ascii="Arial" w:hAnsi="Arial" w:cs="Arial"/>
          <w:color w:val="FF0000"/>
          <w:spacing w:val="20"/>
        </w:rPr>
      </w:pPr>
      <w:r w:rsidRPr="002B4348">
        <w:rPr>
          <w:noProof/>
          <w:lang w:val="es-MX" w:eastAsia="es-MX"/>
        </w:rPr>
        <w:lastRenderedPageBreak/>
        <w:drawing>
          <wp:inline distT="0" distB="0" distL="0" distR="0">
            <wp:extent cx="5882005" cy="1544197"/>
            <wp:effectExtent l="19050" t="0" r="4445" b="0"/>
            <wp:docPr id="6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srcRect/>
                    <a:stretch>
                      <a:fillRect/>
                    </a:stretch>
                  </pic:blipFill>
                  <pic:spPr bwMode="auto">
                    <a:xfrm>
                      <a:off x="0" y="0"/>
                      <a:ext cx="5882005" cy="1544197"/>
                    </a:xfrm>
                    <a:prstGeom prst="rect">
                      <a:avLst/>
                    </a:prstGeom>
                    <a:noFill/>
                    <a:ln w="9525">
                      <a:noFill/>
                      <a:miter lim="800000"/>
                      <a:headEnd/>
                      <a:tailEnd/>
                    </a:ln>
                  </pic:spPr>
                </pic:pic>
              </a:graphicData>
            </a:graphic>
          </wp:inline>
        </w:drawing>
      </w:r>
    </w:p>
    <w:p w:rsidR="00EE5CF1" w:rsidRDefault="00EE5CF1" w:rsidP="00EE5CF1">
      <w:pPr>
        <w:spacing w:after="240"/>
        <w:contextualSpacing/>
        <w:jc w:val="both"/>
        <w:rPr>
          <w:rFonts w:ascii="Arial" w:hAnsi="Arial"/>
          <w:noProof/>
          <w:lang w:val="es-MX" w:eastAsia="es-MX"/>
        </w:rPr>
      </w:pPr>
    </w:p>
    <w:p w:rsidR="002B4348" w:rsidRPr="000F7669" w:rsidRDefault="002B4348" w:rsidP="00EE5CF1">
      <w:pPr>
        <w:spacing w:after="240"/>
        <w:contextualSpacing/>
        <w:jc w:val="both"/>
        <w:rPr>
          <w:rFonts w:ascii="Arial" w:hAnsi="Arial" w:cs="Arial"/>
          <w:color w:val="FF0000"/>
          <w:spacing w:val="20"/>
        </w:rPr>
      </w:pPr>
      <w:r w:rsidRPr="002B4348">
        <w:rPr>
          <w:noProof/>
          <w:lang w:val="es-MX" w:eastAsia="es-MX"/>
        </w:rPr>
        <w:drawing>
          <wp:inline distT="0" distB="0" distL="0" distR="0">
            <wp:extent cx="5882005" cy="1600507"/>
            <wp:effectExtent l="19050" t="0" r="4445" b="0"/>
            <wp:docPr id="6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srcRect/>
                    <a:stretch>
                      <a:fillRect/>
                    </a:stretch>
                  </pic:blipFill>
                  <pic:spPr bwMode="auto">
                    <a:xfrm>
                      <a:off x="0" y="0"/>
                      <a:ext cx="5882005" cy="1600507"/>
                    </a:xfrm>
                    <a:prstGeom prst="rect">
                      <a:avLst/>
                    </a:prstGeom>
                    <a:noFill/>
                    <a:ln w="9525">
                      <a:noFill/>
                      <a:miter lim="800000"/>
                      <a:headEnd/>
                      <a:tailEnd/>
                    </a:ln>
                  </pic:spPr>
                </pic:pic>
              </a:graphicData>
            </a:graphic>
          </wp:inline>
        </w:drawing>
      </w: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E5CF1" w:rsidRPr="000F7669" w:rsidRDefault="00EE5CF1" w:rsidP="00EE5CF1">
      <w:pPr>
        <w:contextualSpacing/>
        <w:rPr>
          <w:rFonts w:ascii="Arial" w:hAnsi="Arial" w:cs="Arial"/>
          <w:b/>
          <w:bCs/>
          <w:color w:val="000000"/>
          <w:spacing w:val="20"/>
          <w:szCs w:val="23"/>
        </w:rPr>
      </w:pPr>
    </w:p>
    <w:p w:rsidR="00E91C2E" w:rsidRDefault="00E91C2E">
      <w:pPr>
        <w:rPr>
          <w:rFonts w:ascii="Arial" w:hAnsi="Arial" w:cs="Arial"/>
          <w:b/>
          <w:bCs/>
          <w:color w:val="000000"/>
          <w:spacing w:val="20"/>
          <w:szCs w:val="23"/>
        </w:rPr>
      </w:pPr>
      <w:r>
        <w:rPr>
          <w:rFonts w:ascii="Arial" w:hAnsi="Arial" w:cs="Arial"/>
          <w:b/>
          <w:bCs/>
          <w:color w:val="000000"/>
          <w:spacing w:val="20"/>
          <w:szCs w:val="23"/>
        </w:rPr>
        <w:br w:type="page"/>
      </w:r>
    </w:p>
    <w:p w:rsidR="00EE5CF1" w:rsidRPr="000F7669" w:rsidRDefault="00EE5CF1" w:rsidP="00EE5CF1">
      <w:pPr>
        <w:contextualSpacing/>
        <w:rPr>
          <w:rFonts w:ascii="Arial" w:hAnsi="Arial" w:cs="Arial"/>
          <w:b/>
          <w:bCs/>
          <w:color w:val="000000"/>
          <w:spacing w:val="20"/>
          <w:szCs w:val="23"/>
        </w:rPr>
      </w:pPr>
      <w:r w:rsidRPr="000F7669">
        <w:rPr>
          <w:rFonts w:ascii="Arial" w:hAnsi="Arial" w:cs="Arial"/>
          <w:b/>
          <w:bCs/>
          <w:color w:val="000000"/>
          <w:spacing w:val="20"/>
          <w:szCs w:val="23"/>
        </w:rPr>
        <w:lastRenderedPageBreak/>
        <w:t>4.5.- EJES ESTRATÉGICOS DEL PLAN ESTATAL DE DESARROLLO DE OAXACA, 2011-2016</w:t>
      </w:r>
    </w:p>
    <w:p w:rsidR="00EE5CF1" w:rsidRPr="000F7669" w:rsidRDefault="00EE5CF1" w:rsidP="00EE5CF1">
      <w:pPr>
        <w:pStyle w:val="Prrafodelista"/>
        <w:contextualSpacing/>
        <w:rPr>
          <w:rFonts w:ascii="Arial" w:hAnsi="Arial"/>
          <w:sz w:val="24"/>
          <w:szCs w:val="24"/>
          <w:highlight w:val="yellow"/>
          <w:lang w:val="es-ES"/>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El sistema de planeación del desarrollo se sustenta en el Plan Estatal de Desarrollo 2011-2016, documento rector del actuar de este gobierno, el cual está elaborado en base a las necesidades estatales específicas, identificándolas en ejes, objetivos, estrategias y líneas de acción. </w:t>
      </w:r>
    </w:p>
    <w:p w:rsidR="00D16F6F" w:rsidRPr="000F7669" w:rsidRDefault="00D16F6F"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información del gasto que se rinde es la contenida en el Presupuesto de Egresos devengado en el año 2015, comprende todos los programas y acciones ejecutadas por el Gobierno del Estado en el mismo periodo. Los importes devengados en cada eje para el cumplimiento de sus propósitos, se describen a continuación:</w:t>
      </w:r>
    </w:p>
    <w:p w:rsidR="00D16F6F" w:rsidRPr="000F7669" w:rsidRDefault="00D16F6F"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spacing w:val="20"/>
          <w:szCs w:val="23"/>
        </w:rPr>
      </w:pPr>
    </w:p>
    <w:p w:rsidR="00EE5CF1" w:rsidRPr="000F7669" w:rsidRDefault="00286CB9" w:rsidP="00EE5CF1">
      <w:pPr>
        <w:spacing w:before="120" w:after="240"/>
        <w:contextualSpacing/>
        <w:jc w:val="both"/>
        <w:rPr>
          <w:rFonts w:ascii="Arial" w:hAnsi="Arial" w:cs="Arial"/>
          <w:spacing w:val="20"/>
          <w:szCs w:val="23"/>
        </w:rPr>
      </w:pPr>
      <w:r w:rsidRPr="00286CB9">
        <w:rPr>
          <w:noProof/>
          <w:szCs w:val="23"/>
          <w:lang w:val="es-MX" w:eastAsia="es-MX"/>
        </w:rPr>
        <w:drawing>
          <wp:inline distT="0" distB="0" distL="0" distR="0">
            <wp:extent cx="5882005" cy="1903267"/>
            <wp:effectExtent l="19050" t="0" r="0" b="0"/>
            <wp:docPr id="6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srcRect/>
                    <a:stretch>
                      <a:fillRect/>
                    </a:stretch>
                  </pic:blipFill>
                  <pic:spPr bwMode="auto">
                    <a:xfrm>
                      <a:off x="0" y="0"/>
                      <a:ext cx="5882005" cy="1903267"/>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spacing w:val="20"/>
          <w:szCs w:val="23"/>
        </w:rPr>
      </w:pPr>
    </w:p>
    <w:p w:rsidR="00EE5CF1" w:rsidRDefault="00286CB9" w:rsidP="00EE5CF1">
      <w:pPr>
        <w:spacing w:before="120" w:after="240"/>
        <w:contextualSpacing/>
        <w:jc w:val="both"/>
        <w:rPr>
          <w:rFonts w:ascii="Arial" w:hAnsi="Arial" w:cs="Arial"/>
          <w:spacing w:val="20"/>
          <w:szCs w:val="23"/>
        </w:rPr>
      </w:pPr>
      <w:r w:rsidRPr="00286CB9">
        <w:rPr>
          <w:noProof/>
          <w:szCs w:val="23"/>
          <w:lang w:val="es-MX" w:eastAsia="es-MX"/>
        </w:rPr>
        <w:drawing>
          <wp:inline distT="0" distB="0" distL="0" distR="0">
            <wp:extent cx="5882005" cy="1783221"/>
            <wp:effectExtent l="19050" t="0" r="4445" b="0"/>
            <wp:docPr id="28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srcRect/>
                    <a:stretch>
                      <a:fillRect/>
                    </a:stretch>
                  </pic:blipFill>
                  <pic:spPr bwMode="auto">
                    <a:xfrm>
                      <a:off x="0" y="0"/>
                      <a:ext cx="5882005" cy="1783221"/>
                    </a:xfrm>
                    <a:prstGeom prst="rect">
                      <a:avLst/>
                    </a:prstGeom>
                    <a:noFill/>
                    <a:ln w="9525">
                      <a:noFill/>
                      <a:miter lim="800000"/>
                      <a:headEnd/>
                      <a:tailEnd/>
                    </a:ln>
                  </pic:spPr>
                </pic:pic>
              </a:graphicData>
            </a:graphic>
          </wp:inline>
        </w:drawing>
      </w:r>
    </w:p>
    <w:p w:rsidR="00286CB9" w:rsidRDefault="00286CB9" w:rsidP="00EE5CF1">
      <w:pPr>
        <w:spacing w:before="120" w:after="240"/>
        <w:contextualSpacing/>
        <w:jc w:val="both"/>
        <w:rPr>
          <w:rFonts w:ascii="Arial" w:hAnsi="Arial" w:cs="Arial"/>
          <w:spacing w:val="20"/>
          <w:szCs w:val="23"/>
        </w:rPr>
      </w:pPr>
    </w:p>
    <w:p w:rsidR="00286CB9" w:rsidRPr="000F7669" w:rsidRDefault="00286CB9"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b/>
          <w:bCs/>
          <w:color w:val="000000"/>
          <w:spacing w:val="20"/>
          <w:szCs w:val="23"/>
        </w:rPr>
      </w:pPr>
    </w:p>
    <w:p w:rsidR="00EE5CF1" w:rsidRDefault="00EE5CF1"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lastRenderedPageBreak/>
        <w:t>4.5.1.- ESTADO DE DERECHO, GOBERNABILIDAD Y SEGURIDAD</w:t>
      </w:r>
    </w:p>
    <w:p w:rsidR="00286CB9" w:rsidRPr="000F7669" w:rsidRDefault="00286CB9"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Comprende las acciones de: Gestión gubernamental; nueva gobernabilidad democrática; colaboración entre poderes y consolidación de órganos autónomos; fortalecimiento del municipio; fortalecimiento de la libre determinación y autonomía indígena, certeza jurídica y justicia para todos, regularización de la tenencia de la tierra y resolución de conflictos agrarios, seguridad pública y paz social; procuración e impartición de justicia; seguridad pública; política interior; organización de los procesos electorales; resolución de conflictos agrarios;  regulación y normatividad aplicable a los  particulares y al propio sector público. </w:t>
      </w:r>
    </w:p>
    <w:p w:rsidR="00286CB9" w:rsidRPr="000F7669" w:rsidRDefault="00286CB9"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Para este Eje se devengaron 16 mil 710 millones 937 mil 530 pesos, que representó el 26 por ciento del total devengado. </w:t>
      </w:r>
    </w:p>
    <w:p w:rsidR="00286CB9" w:rsidRPr="000F7669" w:rsidRDefault="00286CB9"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Los temas que conforman este eje son:</w:t>
      </w:r>
    </w:p>
    <w:p w:rsidR="00286CB9" w:rsidRPr="000F7669" w:rsidRDefault="00286CB9"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Nueva gobernabilidad democrática</w:t>
      </w:r>
    </w:p>
    <w:p w:rsidR="00286CB9" w:rsidRPr="000F7669" w:rsidRDefault="00286CB9"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Este tema, comprende las acciones institucionales del Estado para articular la diversidad de intereses, mediar las tensiones que emergen de la pluralidad, construir acuerdos e implementar acciones que permitan dar respuesta de manera efectiva a las demandas ciudadanas, en el marco de un sistema de representación democrático y de respeto a los derechos individuales y sociales disminuyendo la brecha de inequidad, propiciando el desarrollo político, económico y social de Oaxaca, garantizando la ministración de las prerrogativas en apego al Código de Instituciones Políticas y Procedimientos Electorales del Estado de Oaxaca  y la organización de elecciones extraordinarias.</w:t>
      </w:r>
    </w:p>
    <w:p w:rsidR="00286CB9" w:rsidRPr="000F7669" w:rsidRDefault="00286CB9" w:rsidP="00EE5CF1">
      <w:pPr>
        <w:spacing w:before="120" w:after="240"/>
        <w:contextualSpacing/>
        <w:jc w:val="both"/>
        <w:rPr>
          <w:rFonts w:ascii="Arial" w:hAnsi="Arial" w:cs="Arial"/>
          <w:b/>
          <w:color w:val="7030A0"/>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Comprende acciones como la creación de una red de radiodifusión digital de radio y televisión. </w:t>
      </w:r>
    </w:p>
    <w:p w:rsidR="00286CB9" w:rsidRPr="000F7669" w:rsidRDefault="00286CB9"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spacing w:val="20"/>
          <w:szCs w:val="23"/>
        </w:rPr>
      </w:pPr>
      <w:r w:rsidRPr="000F7669">
        <w:rPr>
          <w:rFonts w:ascii="Arial" w:hAnsi="Arial" w:cs="Arial"/>
          <w:spacing w:val="20"/>
          <w:szCs w:val="23"/>
        </w:rPr>
        <w:t>A este tema se destinaron 803 millones 322 mil 295 pesos, lo que representó el 5</w:t>
      </w:r>
      <w:r w:rsidRPr="000F7669">
        <w:rPr>
          <w:rFonts w:ascii="Arial" w:hAnsi="Arial" w:cs="Arial"/>
          <w:bCs/>
          <w:spacing w:val="20"/>
          <w:szCs w:val="23"/>
        </w:rPr>
        <w:t xml:space="preserve"> </w:t>
      </w:r>
      <w:r w:rsidRPr="000F7669">
        <w:rPr>
          <w:rFonts w:ascii="Arial" w:hAnsi="Arial" w:cs="Arial"/>
          <w:spacing w:val="20"/>
          <w:szCs w:val="23"/>
        </w:rPr>
        <w:t>por ciento del monto total devengado en este eje.</w:t>
      </w:r>
    </w:p>
    <w:p w:rsidR="00EE5CF1" w:rsidRPr="000F7669" w:rsidRDefault="00EE5CF1" w:rsidP="00EE5CF1">
      <w:pPr>
        <w:spacing w:before="120" w:after="240"/>
        <w:contextualSpacing/>
        <w:jc w:val="both"/>
        <w:rPr>
          <w:rFonts w:ascii="Arial" w:hAnsi="Arial" w:cs="Arial"/>
          <w:b/>
          <w:bCs/>
          <w:color w:val="000000"/>
          <w:spacing w:val="20"/>
          <w:szCs w:val="23"/>
        </w:rPr>
      </w:pPr>
    </w:p>
    <w:p w:rsidR="00EE5CF1" w:rsidRDefault="008F433F"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 xml:space="preserve">Colaboración entre poderes y consolidación órganos autónomos </w:t>
      </w:r>
    </w:p>
    <w:p w:rsidR="00286CB9" w:rsidRPr="000F7669" w:rsidRDefault="00286CB9" w:rsidP="00EE5CF1">
      <w:pPr>
        <w:spacing w:before="120" w:after="240"/>
        <w:contextualSpacing/>
        <w:jc w:val="both"/>
        <w:rPr>
          <w:rFonts w:ascii="Arial" w:hAnsi="Arial" w:cs="Arial"/>
          <w:b/>
          <w:bCs/>
          <w:color w:val="000000"/>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Comprende las acciones y estrategias tendientes a generar equilibrio entre los poderes ejecutivo, legislativo y judicial, los órganos garantes de los derechos humanos, los procesos electorales, la transparencia y la </w:t>
      </w:r>
      <w:r w:rsidRPr="000F7669">
        <w:rPr>
          <w:rFonts w:ascii="Arial" w:hAnsi="Arial" w:cs="Arial"/>
          <w:spacing w:val="20"/>
          <w:szCs w:val="23"/>
        </w:rPr>
        <w:lastRenderedPageBreak/>
        <w:t xml:space="preserve">rendición de cuentas de los poderes públicos, que favorezcan la participación ciudadana en la construcción de la representación política y la toma de decisiones en asuntos de interés público. </w:t>
      </w:r>
    </w:p>
    <w:p w:rsidR="00286CB9" w:rsidRPr="000F7669" w:rsidRDefault="00286CB9"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bCs/>
          <w:spacing w:val="20"/>
          <w:szCs w:val="23"/>
        </w:rPr>
      </w:pPr>
      <w:r w:rsidRPr="000F7669">
        <w:rPr>
          <w:rFonts w:ascii="Arial" w:hAnsi="Arial" w:cs="Arial"/>
          <w:spacing w:val="20"/>
          <w:szCs w:val="23"/>
        </w:rPr>
        <w:t xml:space="preserve">A este tema se destinaron un mil 765 millones 687 mil 772 pesos, lo que representó el </w:t>
      </w:r>
      <w:r w:rsidRPr="000F7669">
        <w:rPr>
          <w:rFonts w:ascii="Arial" w:hAnsi="Arial" w:cs="Arial"/>
          <w:bCs/>
          <w:spacing w:val="20"/>
          <w:szCs w:val="23"/>
        </w:rPr>
        <w:t xml:space="preserve">11 </w:t>
      </w:r>
      <w:r w:rsidRPr="000F7669">
        <w:rPr>
          <w:rFonts w:ascii="Arial" w:hAnsi="Arial" w:cs="Arial"/>
          <w:spacing w:val="20"/>
          <w:szCs w:val="23"/>
        </w:rPr>
        <w:t>por ciento del monto total devengado en este eje.</w:t>
      </w:r>
    </w:p>
    <w:p w:rsidR="00EE5CF1" w:rsidRPr="000F7669" w:rsidRDefault="00EE5CF1" w:rsidP="00EE5CF1">
      <w:pPr>
        <w:spacing w:before="120" w:after="240"/>
        <w:contextualSpacing/>
        <w:jc w:val="both"/>
        <w:rPr>
          <w:rFonts w:ascii="Arial" w:hAnsi="Arial" w:cs="Arial"/>
          <w:b/>
          <w:bCs/>
          <w:color w:val="000000"/>
          <w:spacing w:val="20"/>
          <w:szCs w:val="23"/>
        </w:rPr>
      </w:pPr>
    </w:p>
    <w:p w:rsidR="00EE5CF1" w:rsidRDefault="008F433F"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Fortalecimiento del municipio</w:t>
      </w:r>
    </w:p>
    <w:p w:rsidR="00286CB9" w:rsidRPr="000F7669" w:rsidRDefault="00286CB9"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Comprende las acciones y estrategias para reforzar a los municipios como instituciones con autonomía, personalidad jurídica y patrimonio propio, aminorar las presiones de escasez de recursos a su alcance e incrementar la calidad de la gestión municipal en lo  financiero, administrativo, la captación de ingresos,  bienestar, mantener el orden público, los derechos humanos y la paz social en su territorio, a fin de que los recursos públicos cumplan con su objetivo y que éstos se apliquen preferentemente en beneficio de la población en condiciones de vulnerabilidad priorizando inversiones con mezclas de recursos. </w:t>
      </w:r>
    </w:p>
    <w:p w:rsidR="00286CB9" w:rsidRPr="000F7669" w:rsidRDefault="00286CB9" w:rsidP="00EE5CF1">
      <w:pPr>
        <w:spacing w:before="120" w:after="240"/>
        <w:contextualSpacing/>
        <w:jc w:val="both"/>
        <w:rPr>
          <w:rFonts w:ascii="Arial" w:hAnsi="Arial" w:cs="Arial"/>
          <w:spacing w:val="20"/>
          <w:szCs w:val="23"/>
        </w:rPr>
      </w:pPr>
    </w:p>
    <w:p w:rsidR="00286CB9" w:rsidRPr="00286CB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Se destinaron a este tema 11 mil 262 millones 597 mil 682 pesos, lo que representó el 67 por ciento del monto total devengado en este eje.</w:t>
      </w:r>
    </w:p>
    <w:p w:rsidR="00EE5CF1" w:rsidRPr="000F7669" w:rsidRDefault="00EE5CF1" w:rsidP="00EE5CF1">
      <w:pPr>
        <w:spacing w:before="120" w:after="240"/>
        <w:contextualSpacing/>
        <w:jc w:val="both"/>
        <w:rPr>
          <w:rFonts w:ascii="Arial" w:hAnsi="Arial" w:cs="Arial"/>
          <w:b/>
          <w:bCs/>
          <w:color w:val="000000"/>
          <w:spacing w:val="20"/>
          <w:szCs w:val="23"/>
        </w:rPr>
      </w:pPr>
    </w:p>
    <w:p w:rsidR="00EE5CF1" w:rsidRDefault="008F433F"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Fortalecimiento de la libre determinación y autonomía indígena</w:t>
      </w:r>
    </w:p>
    <w:p w:rsidR="00286CB9" w:rsidRPr="000F7669" w:rsidRDefault="00286CB9"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 población del Estado de Oaxaca es de carácter multiétnica y </w:t>
      </w:r>
      <w:proofErr w:type="spellStart"/>
      <w:r w:rsidRPr="000F7669">
        <w:rPr>
          <w:rFonts w:ascii="Arial" w:hAnsi="Arial" w:cs="Arial"/>
          <w:spacing w:val="20"/>
          <w:szCs w:val="23"/>
        </w:rPr>
        <w:t>pluricultural</w:t>
      </w:r>
      <w:proofErr w:type="spellEnd"/>
      <w:r w:rsidRPr="000F7669">
        <w:rPr>
          <w:rFonts w:ascii="Arial" w:hAnsi="Arial" w:cs="Arial"/>
          <w:spacing w:val="20"/>
          <w:szCs w:val="23"/>
        </w:rPr>
        <w:t xml:space="preserve"> por la presencia mayoritaria de pueblos y comunidades indígenas, en las que respetando su autonomía y organización social se ha promovido la integración de proyectos que mejoren sus condiciones de vida Por lo que este tema agrupa las estrategias y acciones encaminadas al fortalecimiento de la personalidad jurídica, derecho público y derechos sociales de los pueblos y comunidades indígenas, así como al fortalecimiento de las instituciones indígenas y establecimiento de mecanismos legislativos para apoyar la organización regional. </w:t>
      </w:r>
    </w:p>
    <w:p w:rsidR="00286CB9" w:rsidRPr="000F7669" w:rsidRDefault="00286CB9"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Destaca la implementación del programa de coinversión para la implementación del respeto a los derechos indígenas e impulso del desarrollo integral, intercultural y sostenible de los pueblos indígenas y </w:t>
      </w:r>
      <w:proofErr w:type="spellStart"/>
      <w:r w:rsidRPr="000F7669">
        <w:rPr>
          <w:rFonts w:ascii="Arial" w:hAnsi="Arial" w:cs="Arial"/>
          <w:spacing w:val="20"/>
          <w:szCs w:val="23"/>
        </w:rPr>
        <w:t>afromexicano</w:t>
      </w:r>
      <w:proofErr w:type="spellEnd"/>
      <w:r w:rsidRPr="000F7669">
        <w:rPr>
          <w:rFonts w:ascii="Arial" w:hAnsi="Arial" w:cs="Arial"/>
          <w:spacing w:val="20"/>
          <w:szCs w:val="23"/>
        </w:rPr>
        <w:t>.</w:t>
      </w:r>
    </w:p>
    <w:p w:rsidR="00286CB9" w:rsidRPr="000F7669" w:rsidRDefault="00286CB9"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spacing w:val="20"/>
          <w:szCs w:val="23"/>
        </w:rPr>
      </w:pPr>
      <w:r w:rsidRPr="000F7669">
        <w:rPr>
          <w:rFonts w:ascii="Arial" w:hAnsi="Arial" w:cs="Arial"/>
          <w:spacing w:val="20"/>
          <w:szCs w:val="23"/>
        </w:rPr>
        <w:t>En este año se destinaron recursos por 37 millones 622 mil 399 pesos, para su cumplimiento.</w:t>
      </w:r>
    </w:p>
    <w:p w:rsidR="00EE5CF1" w:rsidRPr="000F7669" w:rsidRDefault="00EE5CF1" w:rsidP="00EE5CF1">
      <w:pPr>
        <w:spacing w:before="120" w:after="240"/>
        <w:contextualSpacing/>
        <w:jc w:val="both"/>
        <w:rPr>
          <w:rFonts w:ascii="Arial" w:hAnsi="Arial" w:cs="Arial"/>
          <w:b/>
          <w:bCs/>
          <w:color w:val="000000"/>
          <w:spacing w:val="20"/>
          <w:szCs w:val="23"/>
        </w:rPr>
      </w:pPr>
    </w:p>
    <w:p w:rsidR="00EE5CF1" w:rsidRDefault="008F433F"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lastRenderedPageBreak/>
        <w:t>Certeza jurídica y justicia para todos</w:t>
      </w:r>
    </w:p>
    <w:p w:rsidR="00286CB9" w:rsidRPr="000F7669" w:rsidRDefault="00286CB9"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b/>
          <w:color w:val="7030A0"/>
          <w:spacing w:val="20"/>
          <w:szCs w:val="23"/>
        </w:rPr>
      </w:pPr>
      <w:r w:rsidRPr="000F7669">
        <w:rPr>
          <w:rFonts w:ascii="Arial" w:hAnsi="Arial" w:cs="Arial"/>
          <w:spacing w:val="20"/>
          <w:szCs w:val="23"/>
        </w:rPr>
        <w:t xml:space="preserve">Este tema contempla garantizar certeza jurídica y seguridad a la población oaxaqueña, así como combatir la corrupción, el abuso y tráfico de influencias e investigación de delitos, poniendo especial interés en la protección ciudadana, justicia para todos y la cultura de respeto a los derechos humanos. En el marco institucional se ha trabajado en fortalecer la procuración de justicia y como resultado en coordinación con los diferentes órdenes de gobierno en Oaxaca, se continuó con la implementación del Sistema Acusatorio </w:t>
      </w:r>
      <w:proofErr w:type="spellStart"/>
      <w:r w:rsidRPr="000F7669">
        <w:rPr>
          <w:rFonts w:ascii="Arial" w:hAnsi="Arial" w:cs="Arial"/>
          <w:spacing w:val="20"/>
          <w:szCs w:val="23"/>
        </w:rPr>
        <w:t>Adversarial</w:t>
      </w:r>
      <w:proofErr w:type="spellEnd"/>
      <w:r w:rsidRPr="000F7669">
        <w:rPr>
          <w:rFonts w:ascii="Arial" w:hAnsi="Arial" w:cs="Arial"/>
          <w:spacing w:val="20"/>
          <w:szCs w:val="23"/>
        </w:rPr>
        <w:t xml:space="preserve"> y la promoción de los juicios orales, fomentando la cultura de la legalidad y la paz social. Para ello se ha proyectado la reestructuración y modernización de las instituciones de procuración de justicia. Destacan las acciones de atención ciudadana a las personas en situación de vulnerabilidad, mujeres, indígenas y migrantes que han sido víctimas de delitos</w:t>
      </w:r>
      <w:r w:rsidRPr="000F7669">
        <w:rPr>
          <w:rFonts w:ascii="Arial" w:hAnsi="Arial" w:cs="Arial"/>
          <w:b/>
          <w:color w:val="7030A0"/>
          <w:spacing w:val="20"/>
          <w:szCs w:val="23"/>
        </w:rPr>
        <w:t xml:space="preserve">. </w:t>
      </w:r>
    </w:p>
    <w:p w:rsidR="00286CB9" w:rsidRPr="000F7669" w:rsidRDefault="00286CB9" w:rsidP="00EE5CF1">
      <w:pPr>
        <w:spacing w:before="120" w:after="240"/>
        <w:contextualSpacing/>
        <w:jc w:val="both"/>
        <w:rPr>
          <w:rFonts w:ascii="Arial" w:hAnsi="Arial" w:cs="Arial"/>
          <w:b/>
          <w:color w:val="7030A0"/>
          <w:spacing w:val="20"/>
          <w:szCs w:val="23"/>
        </w:rPr>
      </w:pPr>
    </w:p>
    <w:p w:rsidR="00EE5CF1" w:rsidRPr="000F7669" w:rsidRDefault="00EE5CF1" w:rsidP="00EE5CF1">
      <w:pPr>
        <w:spacing w:before="120" w:after="240"/>
        <w:contextualSpacing/>
        <w:jc w:val="both"/>
        <w:rPr>
          <w:rFonts w:ascii="Arial" w:hAnsi="Arial"/>
          <w:spacing w:val="20"/>
          <w:szCs w:val="23"/>
        </w:rPr>
      </w:pPr>
      <w:r w:rsidRPr="000F7669">
        <w:rPr>
          <w:rFonts w:ascii="Arial" w:hAnsi="Arial" w:cs="Arial"/>
          <w:spacing w:val="20"/>
          <w:szCs w:val="23"/>
        </w:rPr>
        <w:t>En este tema se aplicaron un mil 19 millones 178 mil 297 pesos, lo que representa el 6 por ciento del monto total devengado en este eje.</w:t>
      </w:r>
    </w:p>
    <w:p w:rsidR="00EE5CF1" w:rsidRPr="000F7669" w:rsidRDefault="00EE5CF1" w:rsidP="00EE5CF1">
      <w:pPr>
        <w:spacing w:before="120" w:after="240"/>
        <w:contextualSpacing/>
        <w:jc w:val="both"/>
        <w:rPr>
          <w:rFonts w:ascii="Arial" w:hAnsi="Arial" w:cs="Arial"/>
          <w:b/>
          <w:bCs/>
          <w:color w:val="000000"/>
          <w:spacing w:val="20"/>
          <w:szCs w:val="23"/>
        </w:rPr>
      </w:pPr>
    </w:p>
    <w:p w:rsidR="00EE5CF1" w:rsidRDefault="008F433F"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Regularización de la tenencia de la tierra y resolución de conflictos agrarios</w:t>
      </w:r>
    </w:p>
    <w:p w:rsidR="00286CB9" w:rsidRPr="000F7669" w:rsidRDefault="00286CB9"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b/>
          <w:color w:val="7030A0"/>
          <w:spacing w:val="20"/>
          <w:szCs w:val="23"/>
        </w:rPr>
      </w:pPr>
      <w:r w:rsidRPr="000F7669">
        <w:rPr>
          <w:rFonts w:ascii="Arial" w:hAnsi="Arial" w:cs="Arial"/>
          <w:spacing w:val="20"/>
          <w:szCs w:val="23"/>
        </w:rPr>
        <w:t xml:space="preserve">El Estado tiene una superficie total de 9.5 millones de hectáreas, de las cuales más del 75 por ciento pertenece a tierras comunales y ejidales, lo que indica que en su mayoría son de propiedad social, donde vive un importante núcleo de población rural; aún con limitaciones financieras el Gobierno ha realizado acciones para la atención de conflictos agrarios. </w:t>
      </w:r>
      <w:proofErr w:type="gramStart"/>
      <w:r w:rsidRPr="000F7669">
        <w:rPr>
          <w:rFonts w:ascii="Arial" w:hAnsi="Arial" w:cs="Arial"/>
          <w:spacing w:val="20"/>
          <w:szCs w:val="23"/>
        </w:rPr>
        <w:t>evitando</w:t>
      </w:r>
      <w:proofErr w:type="gramEnd"/>
      <w:r w:rsidRPr="000F7669">
        <w:rPr>
          <w:rFonts w:ascii="Arial" w:hAnsi="Arial" w:cs="Arial"/>
          <w:spacing w:val="20"/>
          <w:szCs w:val="23"/>
        </w:rPr>
        <w:t xml:space="preserve"> hechos de violencia y confrontaciones entre las comunidades, Para el ejercicio 2015 en el Estado se dio continuidad a acciones como atención de conflictos agrarios; levantamiento topográfico, investigación, recopilación de documentación referente a los  límites territoriales de nuestro estado; elaboración de títulos de propiedad; atención permanente a los conflictos agrarios del Estado y dar seguimiento a las sentencias  dictadas  por los tribunales  unitarios agrarios</w:t>
      </w:r>
      <w:r w:rsidRPr="000F7669">
        <w:rPr>
          <w:rFonts w:ascii="Arial" w:hAnsi="Arial" w:cs="Arial"/>
          <w:b/>
          <w:color w:val="7030A0"/>
          <w:spacing w:val="20"/>
          <w:szCs w:val="23"/>
        </w:rPr>
        <w:t xml:space="preserve">. </w:t>
      </w:r>
    </w:p>
    <w:p w:rsidR="00286CB9" w:rsidRPr="000F7669" w:rsidRDefault="00286CB9" w:rsidP="00EE5CF1">
      <w:pPr>
        <w:spacing w:before="120" w:after="240"/>
        <w:contextualSpacing/>
        <w:jc w:val="both"/>
        <w:rPr>
          <w:rFonts w:ascii="Arial" w:hAnsi="Arial" w:cs="Arial"/>
          <w:b/>
          <w:color w:val="7030A0"/>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2015, en este tema se devengaron 46 millones 994 mil 270 pesos.</w:t>
      </w:r>
    </w:p>
    <w:p w:rsidR="00286CB9" w:rsidRPr="000F7669" w:rsidRDefault="00286CB9"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color w:val="000000"/>
          <w:spacing w:val="20"/>
          <w:szCs w:val="23"/>
        </w:rPr>
      </w:pPr>
      <w:r w:rsidRPr="000F7669">
        <w:rPr>
          <w:rFonts w:ascii="Arial" w:hAnsi="Arial" w:cs="Arial"/>
          <w:b/>
          <w:bCs/>
          <w:color w:val="000000"/>
          <w:spacing w:val="20"/>
          <w:szCs w:val="23"/>
        </w:rPr>
        <w:t>Seguridad pública y paz social</w:t>
      </w:r>
    </w:p>
    <w:p w:rsidR="00286CB9" w:rsidRPr="000F7669" w:rsidRDefault="00286CB9"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Este tema comprende las acciones y estrategias en la prevención de los delitos, la investigación y persecución de los mismos; con cuerpos de seguridad en constante profesionalización para mantener la paz social, </w:t>
      </w:r>
      <w:r w:rsidRPr="000F7669">
        <w:rPr>
          <w:rFonts w:ascii="Arial" w:hAnsi="Arial" w:cs="Arial"/>
          <w:spacing w:val="20"/>
          <w:szCs w:val="23"/>
        </w:rPr>
        <w:lastRenderedPageBreak/>
        <w:t>así como, la sanción de las infracciones administrativas en los términos de la ley, en las respectivas competencias de cada uno de los cuerpos de seguridad. Fortalecer las capacidades institucionales y operativas; inculcar en los cuerpos de seguridad el sentido de pertenencia y lealtad; mejorar y modernizar las instituciones con equipos y métodos que se utilizan para la procuración de la seguridad pública de la población oaxaqueña.</w:t>
      </w:r>
    </w:p>
    <w:p w:rsidR="00286CB9" w:rsidRPr="000F7669" w:rsidRDefault="00286CB9"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 La seguridad pública es una prioridad para el Gobierno Federal y Estatal, ya que la paz social es resultado de la aplicación de políticas públicas en materia de seguridad, que garantizan el bienestar del patrimonio de los oaxaqueños. Con la participación de los tres niveles de Gobierno se busca mantener el orden público, garantizar la paz social, la seguridad de las personas y sus bienes, la convivencia sana y mantener el estado de derecho. Pese a las carencias en recursos humanos, materiales e infraestructura para proporcionar seguridad pública a todos los oaxaqueños, se hacen esfuerzos extraordinarios para cubrir las ocho regiones del Estado.</w:t>
      </w:r>
    </w:p>
    <w:p w:rsidR="00286CB9" w:rsidRPr="000F7669" w:rsidRDefault="00286CB9"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2015 las acciones gubernamentales se orientaron a la prevención del delito y a la atención de demandas ciudadanas por diversas incidencias delictivas en especial prevención y combate a los delitos contra la mujer. Se realizaron operativos en las 8 regiones del estado, se fortalecieron las instituciones estatales de Seguridad Pública, procuración e impartición de justicia, se implementaron acciones de reinserción social y asistencia jurídica a la población penal para su pre liberación, se implementaron rigurosos controles de confianza en los diferentes niveles de mando de los cuerpos policiacos, alineación del Estado en el programa Plataforma México.</w:t>
      </w:r>
    </w:p>
    <w:p w:rsidR="00286CB9" w:rsidRPr="000F7669" w:rsidRDefault="00286CB9"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este tema se aplicaron un mil 775 millones 534 mil 816 pesos, que representa el 11 por ciento del monto total devengado en este eje.</w:t>
      </w:r>
    </w:p>
    <w:p w:rsidR="00EE5CF1" w:rsidRPr="000F7669" w:rsidRDefault="00EE5CF1" w:rsidP="00EE5CF1">
      <w:pPr>
        <w:spacing w:before="120" w:after="240"/>
        <w:contextualSpacing/>
        <w:jc w:val="both"/>
        <w:rPr>
          <w:rFonts w:ascii="Arial" w:hAnsi="Arial" w:cs="Arial"/>
          <w:spacing w:val="20"/>
        </w:rPr>
      </w:pPr>
    </w:p>
    <w:p w:rsidR="00EE5CF1" w:rsidRPr="000F7669" w:rsidRDefault="00EE5CF1" w:rsidP="00EE5CF1">
      <w:pPr>
        <w:spacing w:before="120" w:after="240"/>
        <w:contextualSpacing/>
        <w:jc w:val="both"/>
        <w:rPr>
          <w:rFonts w:ascii="Arial" w:hAnsi="Arial" w:cs="Arial"/>
          <w:b/>
          <w:color w:val="7030A0"/>
          <w:spacing w:val="20"/>
        </w:rPr>
      </w:pPr>
    </w:p>
    <w:p w:rsidR="00EE5CF1" w:rsidRPr="000F7669" w:rsidRDefault="00736423" w:rsidP="00EE5CF1">
      <w:pPr>
        <w:spacing w:before="120" w:after="240"/>
        <w:contextualSpacing/>
        <w:jc w:val="both"/>
        <w:rPr>
          <w:rFonts w:ascii="Arial" w:hAnsi="Arial" w:cs="Arial"/>
          <w:b/>
          <w:color w:val="7030A0"/>
          <w:spacing w:val="20"/>
        </w:rPr>
      </w:pPr>
      <w:r w:rsidRPr="00736423">
        <w:rPr>
          <w:noProof/>
          <w:lang w:val="es-MX" w:eastAsia="es-MX"/>
        </w:rPr>
        <w:lastRenderedPageBreak/>
        <w:drawing>
          <wp:inline distT="0" distB="0" distL="0" distR="0">
            <wp:extent cx="5882005" cy="2222814"/>
            <wp:effectExtent l="19050" t="0" r="4445" b="0"/>
            <wp:docPr id="29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srcRect/>
                    <a:stretch>
                      <a:fillRect/>
                    </a:stretch>
                  </pic:blipFill>
                  <pic:spPr bwMode="auto">
                    <a:xfrm>
                      <a:off x="0" y="0"/>
                      <a:ext cx="5882005" cy="2222814"/>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b/>
          <w:color w:val="7030A0"/>
          <w:spacing w:val="20"/>
        </w:rPr>
      </w:pPr>
    </w:p>
    <w:p w:rsidR="00EE5CF1" w:rsidRPr="000F7669" w:rsidRDefault="00736423" w:rsidP="00EE5CF1">
      <w:pPr>
        <w:spacing w:before="120" w:after="240"/>
        <w:contextualSpacing/>
        <w:jc w:val="both"/>
        <w:rPr>
          <w:rFonts w:ascii="Arial" w:hAnsi="Arial"/>
          <w:b/>
          <w:color w:val="7030A0"/>
          <w:spacing w:val="20"/>
        </w:rPr>
      </w:pPr>
      <w:r w:rsidRPr="00736423">
        <w:rPr>
          <w:noProof/>
          <w:lang w:val="es-MX" w:eastAsia="es-MX"/>
        </w:rPr>
        <w:drawing>
          <wp:inline distT="0" distB="0" distL="0" distR="0">
            <wp:extent cx="5882005" cy="2343028"/>
            <wp:effectExtent l="19050" t="0" r="4445" b="0"/>
            <wp:docPr id="29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srcRect/>
                    <a:stretch>
                      <a:fillRect/>
                    </a:stretch>
                  </pic:blipFill>
                  <pic:spPr bwMode="auto">
                    <a:xfrm>
                      <a:off x="0" y="0"/>
                      <a:ext cx="5882005" cy="2343028"/>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b/>
          <w:color w:val="7030A0"/>
          <w:spacing w:val="20"/>
        </w:rPr>
      </w:pPr>
    </w:p>
    <w:p w:rsidR="00EE5CF1" w:rsidRPr="000F7669" w:rsidRDefault="00EE5CF1" w:rsidP="00EE5CF1">
      <w:pPr>
        <w:spacing w:before="120" w:after="240"/>
        <w:contextualSpacing/>
        <w:jc w:val="both"/>
        <w:rPr>
          <w:rFonts w:ascii="Arial" w:hAnsi="Arial" w:cs="Arial"/>
          <w:b/>
          <w:bCs/>
          <w:color w:val="000000"/>
          <w:spacing w:val="20"/>
          <w:szCs w:val="23"/>
        </w:rPr>
      </w:pPr>
    </w:p>
    <w:p w:rsidR="00EE5CF1" w:rsidRPr="000F7669" w:rsidRDefault="00EE5CF1" w:rsidP="00EE5CF1">
      <w:pPr>
        <w:spacing w:before="120" w:after="240"/>
        <w:contextualSpacing/>
        <w:jc w:val="both"/>
        <w:rPr>
          <w:rFonts w:ascii="Arial" w:hAnsi="Arial" w:cs="Arial"/>
          <w:b/>
          <w:bCs/>
          <w:color w:val="000000"/>
          <w:spacing w:val="20"/>
          <w:szCs w:val="23"/>
        </w:rPr>
      </w:pPr>
    </w:p>
    <w:p w:rsidR="00E91C2E" w:rsidRDefault="00E91C2E">
      <w:pPr>
        <w:rPr>
          <w:rFonts w:ascii="Arial" w:hAnsi="Arial" w:cs="Arial"/>
          <w:b/>
          <w:bCs/>
          <w:spacing w:val="20"/>
          <w:szCs w:val="23"/>
        </w:rPr>
      </w:pPr>
      <w:r>
        <w:rPr>
          <w:rFonts w:ascii="Arial" w:hAnsi="Arial" w:cs="Arial"/>
          <w:b/>
          <w:bCs/>
          <w:spacing w:val="20"/>
          <w:szCs w:val="23"/>
        </w:rPr>
        <w:br w:type="page"/>
      </w:r>
    </w:p>
    <w:p w:rsidR="00EE5CF1" w:rsidRDefault="00EE5CF1"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lastRenderedPageBreak/>
        <w:t>4.5.2.- CRECIMIENTO ECONÓMICO, COMPETITIVIDAD Y EMPLEO.</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Es el eje de gobierno orientado al fomento de la economía oaxaqueña, que impulsa el crecimiento económico permitiendo la atracción de inversiones, la generación de empleos y el fortalecimiento a la competitividad a través de fomentar la inversión pública e incentivar la inversión privada, impulso a la innovación y transferencia tecnológica, fortalecimiento de los programas de inversión para la atracción, ampliación y retención de inversiones.</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 Se plantean las estrategias y líneas de acción relativas al fortalecimiento de los sectores económicos estratégicos, la innovación y desarrollo tecnológico, la construcción de infraestructura y la formulación de proyectos comunitarios. </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Para 2015 se devengaron en este eje 5 mil 834 millones 820 mil 67 pesos, lo que representa el 9 por ciento del total devengado. </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Los temas que conforman este eje son:</w:t>
      </w:r>
    </w:p>
    <w:p w:rsidR="00736423" w:rsidRPr="000F7669" w:rsidRDefault="00736423"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Inversión y fomento productivo</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Acciones y estrategias encaminadas a generar riqueza para la población, mediante la atracción de inversiones públicas y privadas, la asesoría empresarial, la capacitación para el trabajo, el fomento de la productividad, la estimulación del empleo formal y la mejora y vigilancia de las condiciones laborales. Este Gobierno se ha preocupado por incentivar la inversión privada, complementada con inversión pública, considerando la diversidad cultural, las desigualdades de género y el uso sustentable de los recursos naturales. Derivado de estas políticas se financiaron proyectos y se proporcionó capacitación y asesoría a micro, pequeñas y medianas empresas, iniciativas institucionales y empresariales para la realización de proyectos estratégicos y financiamiento de actividades productivas. </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2015 se aplicaron 100 millones 205 mil 643 pesos, lo que representa el 2 por ciento del total devengado en este eje.</w:t>
      </w:r>
    </w:p>
    <w:p w:rsidR="00736423" w:rsidRPr="000F7669" w:rsidRDefault="00736423"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Empleo productivo y mejor remunerado</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El trabajo es una condición básica para la manutención de las familias, en la entidad se promueven las oportunidades de desarrollo de las </w:t>
      </w:r>
      <w:r w:rsidRPr="000F7669">
        <w:rPr>
          <w:rFonts w:ascii="Arial" w:hAnsi="Arial" w:cs="Arial"/>
          <w:spacing w:val="20"/>
          <w:szCs w:val="23"/>
        </w:rPr>
        <w:lastRenderedPageBreak/>
        <w:t>personas y el crecimiento de las comunidades y regiones del Estado, lo que permite potenciar las oportunidades de empleo con atracción de inversiones productivas, , ampliar el mercado laboral en el Estado, expansión de las micro y pequeñas empresas familiar y comunitarias, propiciar un mercado laboral incluyente para favorecer a las personas con capacidades diferentes; difusión y promoción de una cultura laboral para la inserción en la ocupación de madres trabajadoras, adultos mayores e indígenas y fomento del autoempleo.</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b/>
          <w:spacing w:val="20"/>
          <w:szCs w:val="23"/>
        </w:rPr>
      </w:pPr>
      <w:r w:rsidRPr="000F7669">
        <w:rPr>
          <w:rFonts w:ascii="Arial" w:hAnsi="Arial" w:cs="Arial"/>
          <w:spacing w:val="20"/>
          <w:szCs w:val="23"/>
        </w:rPr>
        <w:t>Dentro de las acciones realizadas en este programa destacan los talleres de capacitación y formación para el trabajo a productores y productoras; la aportación estatal al programa de apoyo al empleo; asistencia laboral y audiencias a trabajadores del estado, entre otros</w:t>
      </w:r>
      <w:r w:rsidRPr="000F7669">
        <w:rPr>
          <w:rFonts w:ascii="Arial" w:hAnsi="Arial" w:cs="Arial"/>
          <w:b/>
          <w:spacing w:val="20"/>
          <w:szCs w:val="23"/>
        </w:rPr>
        <w:t xml:space="preserve">. </w:t>
      </w:r>
    </w:p>
    <w:p w:rsidR="00736423" w:rsidRPr="000F7669" w:rsidRDefault="00736423" w:rsidP="00EE5CF1">
      <w:pPr>
        <w:spacing w:before="120" w:after="240"/>
        <w:contextualSpacing/>
        <w:jc w:val="both"/>
        <w:rPr>
          <w:rFonts w:ascii="Arial" w:hAnsi="Arial" w:cs="Arial"/>
          <w:b/>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inversión total para este eje fue de 295 millones 667 mil 651 pesos, lo que representa el 5 por ciento del total devengado en este eje.</w:t>
      </w:r>
    </w:p>
    <w:p w:rsidR="00736423" w:rsidRPr="000F7669" w:rsidRDefault="00736423" w:rsidP="00EE5CF1">
      <w:pPr>
        <w:spacing w:before="120" w:after="240"/>
        <w:contextualSpacing/>
        <w:jc w:val="both"/>
        <w:rPr>
          <w:rFonts w:ascii="Arial" w:hAnsi="Arial"/>
          <w:spacing w:val="20"/>
          <w:szCs w:val="23"/>
        </w:rPr>
      </w:pPr>
    </w:p>
    <w:p w:rsidR="00EE5CF1" w:rsidRDefault="008F433F" w:rsidP="00EE5CF1">
      <w:pPr>
        <w:spacing w:after="240"/>
        <w:contextualSpacing/>
        <w:rPr>
          <w:rFonts w:ascii="Arial" w:hAnsi="Arial" w:cs="Arial"/>
          <w:b/>
          <w:bCs/>
          <w:spacing w:val="20"/>
          <w:szCs w:val="23"/>
        </w:rPr>
      </w:pPr>
      <w:r w:rsidRPr="000F7669">
        <w:rPr>
          <w:rFonts w:ascii="Arial" w:hAnsi="Arial" w:cs="Arial"/>
          <w:b/>
          <w:bCs/>
          <w:spacing w:val="20"/>
          <w:szCs w:val="23"/>
        </w:rPr>
        <w:t xml:space="preserve">Impulso a la competitividad </w:t>
      </w:r>
    </w:p>
    <w:p w:rsidR="00736423" w:rsidRPr="000F7669" w:rsidRDefault="00736423" w:rsidP="00EE5CF1">
      <w:pPr>
        <w:spacing w:after="240"/>
        <w:contextualSpacing/>
        <w:rPr>
          <w:rFonts w:ascii="Arial" w:hAnsi="Arial" w:cs="Arial"/>
          <w:b/>
          <w:bCs/>
          <w:spacing w:val="20"/>
          <w:szCs w:val="23"/>
        </w:rPr>
      </w:pPr>
    </w:p>
    <w:p w:rsidR="00736423"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 competitividad comprende el conjunto de instituciones, políticas y factores que determinan el nivel de productividad de una economía, la capacidad para atraer y retener inversiones, dado que es un atributo resultante de factores de índole estructural, operacional e incluso hasta coyuntural, por lo que el 2015 se fortaleció y promovió el fomento comercial e industrial, entre otras actividades que se enfocaron en fortalecer la actividad económica y turística con la finalidad de atraer la inversión privada en el estado. En la medida que prevalezcan estos factores se fortalece la competitividad. </w:t>
      </w:r>
    </w:p>
    <w:p w:rsidR="00EE5CF1" w:rsidRPr="000F7669" w:rsidRDefault="00EE5CF1" w:rsidP="00EE5CF1">
      <w:pPr>
        <w:spacing w:before="120" w:after="240"/>
        <w:contextualSpacing/>
        <w:jc w:val="both"/>
        <w:rPr>
          <w:rFonts w:ascii="Arial" w:hAnsi="Arial" w:cs="Arial"/>
          <w:b/>
          <w:spacing w:val="20"/>
          <w:szCs w:val="23"/>
        </w:rPr>
      </w:pPr>
      <w:r w:rsidRPr="000F7669">
        <w:rPr>
          <w:rFonts w:ascii="Arial" w:hAnsi="Arial" w:cs="Arial"/>
          <w:b/>
          <w:spacing w:val="20"/>
          <w:szCs w:val="23"/>
        </w:rPr>
        <w:t xml:space="preserve"> </w:t>
      </w: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Esto comprende la promoción, difusión y fortalecimiento de la industria del mezcal.</w:t>
      </w:r>
    </w:p>
    <w:p w:rsidR="00736423" w:rsidRPr="000F7669" w:rsidRDefault="00736423"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spacing w:val="20"/>
          <w:szCs w:val="23"/>
        </w:rPr>
      </w:pPr>
      <w:r w:rsidRPr="000F7669">
        <w:rPr>
          <w:rFonts w:ascii="Arial" w:hAnsi="Arial" w:cs="Arial"/>
          <w:spacing w:val="20"/>
          <w:szCs w:val="23"/>
        </w:rPr>
        <w:t xml:space="preserve">La inversión total para este tema fue de 196 millones 388 mil 59 pesos, lo que representa el 3 por ciento del total devengado en este eje. </w:t>
      </w:r>
    </w:p>
    <w:p w:rsidR="00EE5CF1" w:rsidRDefault="00EE5CF1" w:rsidP="00EE5CF1">
      <w:pPr>
        <w:spacing w:after="240"/>
        <w:contextualSpacing/>
        <w:rPr>
          <w:rFonts w:ascii="Arial" w:hAnsi="Arial" w:cs="Arial"/>
          <w:b/>
          <w:bCs/>
          <w:spacing w:val="20"/>
          <w:szCs w:val="23"/>
        </w:rPr>
      </w:pPr>
      <w:r w:rsidRPr="000F7669">
        <w:rPr>
          <w:rFonts w:ascii="Arial" w:hAnsi="Arial"/>
          <w:spacing w:val="20"/>
          <w:szCs w:val="23"/>
        </w:rPr>
        <w:br/>
      </w:r>
      <w:r w:rsidR="008F433F" w:rsidRPr="000F7669">
        <w:rPr>
          <w:rFonts w:ascii="Arial" w:hAnsi="Arial" w:cs="Arial"/>
          <w:b/>
          <w:bCs/>
          <w:spacing w:val="20"/>
          <w:szCs w:val="23"/>
        </w:rPr>
        <w:t>Ciencia, tecnología e innovación</w:t>
      </w:r>
    </w:p>
    <w:p w:rsidR="00736423" w:rsidRPr="000F7669" w:rsidRDefault="00736423" w:rsidP="00EE5CF1">
      <w:pPr>
        <w:spacing w:after="240"/>
        <w:contextualSpacing/>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Comprende las estrategias y acciones enfocadas al desarrollo de ciencia y tecnología, así como el conocimiento y sus aplicaciones productivas. A través del Consejo Oaxaqueño de Ciencia y Tecnología (COCYT) se apoyaron proyectos de investigación y se participó en programas de investigación financiados por CONACYT, destinados a instituciones de </w:t>
      </w:r>
      <w:r w:rsidRPr="000F7669">
        <w:rPr>
          <w:rFonts w:ascii="Arial" w:hAnsi="Arial" w:cs="Arial"/>
          <w:spacing w:val="20"/>
          <w:szCs w:val="23"/>
        </w:rPr>
        <w:lastRenderedPageBreak/>
        <w:t xml:space="preserve">educación superior y al sector productivo, con la finalidad de propiciar la vinculación entre las instituciones educativas con las empresas establecidas en el Estado. </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El Gobierno propicia dentro del sector académico la innovación, la ciencia y la tecnología </w:t>
      </w:r>
      <w:proofErr w:type="spellStart"/>
      <w:r w:rsidRPr="000F7669">
        <w:rPr>
          <w:rFonts w:ascii="Arial" w:hAnsi="Arial" w:cs="Arial"/>
          <w:spacing w:val="20"/>
          <w:szCs w:val="23"/>
        </w:rPr>
        <w:t>através</w:t>
      </w:r>
      <w:proofErr w:type="spellEnd"/>
      <w:r w:rsidRPr="000F7669">
        <w:rPr>
          <w:rFonts w:ascii="Arial" w:hAnsi="Arial" w:cs="Arial"/>
          <w:spacing w:val="20"/>
          <w:szCs w:val="23"/>
        </w:rPr>
        <w:t xml:space="preserve"> de la difusión y divulgación de los programas orientados para el fomento a la educación.</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estos fines el Estado aplicó 277 millones 649 mil 136 pesos, lo que representa el 5 por ciento del total devengado en este eje.</w:t>
      </w:r>
    </w:p>
    <w:p w:rsidR="00736423" w:rsidRPr="000F7669" w:rsidRDefault="00736423" w:rsidP="00EE5CF1">
      <w:pPr>
        <w:spacing w:before="120" w:after="240"/>
        <w:contextualSpacing/>
        <w:jc w:val="both"/>
        <w:rPr>
          <w:rFonts w:ascii="Arial" w:hAnsi="Arial" w:cs="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Apoyo al desarrollo agropecuario, forestal y pesquero</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sector agropecuario, forestal y pesquero constituye un gran potencial para el desarrollo del Estado, que no ha podido ser explotado debidamente debido al bajo nivel de tecnología aplicada, bajos rendimientos en las cosechas de cultivos básicos, prácticas incipientes de mecanización agrícola y cultivos controlados en invernaderos.</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Se incrementó la producción y productividad del subsector pecuario, así como la promoción, mercadeo y comercialización de los productos de origen animal, en coordinación con las instituciones de los tres niveles de gobierno, para que los productores pecuarios mejoren sus ingresos y condiciones de vida.</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b/>
          <w:spacing w:val="20"/>
          <w:szCs w:val="23"/>
        </w:rPr>
      </w:pPr>
      <w:r w:rsidRPr="000F7669">
        <w:rPr>
          <w:rFonts w:ascii="Arial" w:hAnsi="Arial" w:cs="Arial"/>
          <w:spacing w:val="20"/>
          <w:szCs w:val="23"/>
        </w:rPr>
        <w:t>Los proyectos de este programa se enfocaron a: Talleres para educación ambiental a productores y campesinos; seguro agrícola catastrófico; apoyo al cultivo del maíz y sorgo; fomento a la producción pecuaria; impulso al desarrollo pesquero y acuícola en zonas potenciales; cría y explotación de ovinos; extracción de madera en bosque con manejo forestal; construcción de brechas para prevenir incendios forestales; y, control y combate de plagas y enfermedades forestales</w:t>
      </w:r>
      <w:r w:rsidRPr="000F7669">
        <w:rPr>
          <w:rFonts w:ascii="Arial" w:hAnsi="Arial" w:cs="Arial"/>
          <w:b/>
          <w:spacing w:val="20"/>
          <w:szCs w:val="23"/>
        </w:rPr>
        <w:t>.</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 inversión total fue de 605 millones 692 mil 607 pesos, lo que representa el </w:t>
      </w:r>
      <w:r w:rsidRPr="000F7669">
        <w:rPr>
          <w:rFonts w:ascii="Arial" w:hAnsi="Arial" w:cs="Arial"/>
          <w:bCs/>
          <w:spacing w:val="20"/>
          <w:szCs w:val="23"/>
        </w:rPr>
        <w:t>10</w:t>
      </w:r>
      <w:r w:rsidRPr="000F7669">
        <w:rPr>
          <w:rFonts w:ascii="Arial" w:hAnsi="Arial" w:cs="Arial"/>
          <w:spacing w:val="20"/>
          <w:szCs w:val="23"/>
        </w:rPr>
        <w:t xml:space="preserve"> por ciento del monto total devengado en este eje.</w:t>
      </w:r>
    </w:p>
    <w:p w:rsidR="00736423" w:rsidRPr="000F7669" w:rsidRDefault="00736423"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Desarrollo comunitario con identidad cultural</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b/>
          <w:spacing w:val="20"/>
          <w:szCs w:val="23"/>
        </w:rPr>
      </w:pPr>
      <w:r w:rsidRPr="000F7669">
        <w:rPr>
          <w:rFonts w:ascii="Arial" w:hAnsi="Arial" w:cs="Arial"/>
          <w:spacing w:val="20"/>
          <w:szCs w:val="23"/>
        </w:rPr>
        <w:t xml:space="preserve">Comprende las estrategias y acciones enfocadas al desarrollo económico comunitario con identidad cultural donde se promueven actividades económicas sostenibles para las familias con enfoque participativo de género, de fomento a la seguridad alimentaria de las familias, que </w:t>
      </w:r>
      <w:r w:rsidRPr="000F7669">
        <w:rPr>
          <w:rFonts w:ascii="Arial" w:hAnsi="Arial" w:cs="Arial"/>
          <w:spacing w:val="20"/>
          <w:szCs w:val="23"/>
        </w:rPr>
        <w:lastRenderedPageBreak/>
        <w:t xml:space="preserve">fortalezcan los valores e instituciones de los pueblos indígenas y el aprovechamiento de  su patrimonio natural y cultural,  tales como la agroecología, </w:t>
      </w:r>
      <w:proofErr w:type="spellStart"/>
      <w:r w:rsidRPr="000F7669">
        <w:rPr>
          <w:rFonts w:ascii="Arial" w:hAnsi="Arial" w:cs="Arial"/>
          <w:spacing w:val="20"/>
          <w:szCs w:val="23"/>
        </w:rPr>
        <w:t>agroforestería</w:t>
      </w:r>
      <w:proofErr w:type="spellEnd"/>
      <w:r w:rsidRPr="000F7669">
        <w:rPr>
          <w:rFonts w:ascii="Arial" w:hAnsi="Arial" w:cs="Arial"/>
          <w:spacing w:val="20"/>
          <w:szCs w:val="23"/>
        </w:rPr>
        <w:t xml:space="preserve"> y el turismo comunitario y ecológico, dentro de las acciones que destacan en este tema son: Desarrollo comunitario con identidad cultural; apoyo a los Municipios del estado de Oaxaca en manejo y conservación del arbolado urbano; aprovechamiento de la biodiversidad como impulso al desarrollo económico y social de las comunidades; y, desarrollo y aprovechamiento sustentable de la biodiversidad, para la adaptación al cambio climático.</w:t>
      </w:r>
      <w:r w:rsidRPr="000F7669">
        <w:rPr>
          <w:rFonts w:ascii="Arial" w:hAnsi="Arial" w:cs="Arial"/>
          <w:b/>
          <w:spacing w:val="20"/>
          <w:szCs w:val="23"/>
        </w:rPr>
        <w:t xml:space="preserve"> </w:t>
      </w:r>
    </w:p>
    <w:p w:rsidR="00736423" w:rsidRPr="000F7669" w:rsidRDefault="00736423" w:rsidP="00EE5CF1">
      <w:pPr>
        <w:spacing w:before="120" w:after="240"/>
        <w:contextualSpacing/>
        <w:jc w:val="both"/>
        <w:rPr>
          <w:rFonts w:ascii="Arial" w:hAnsi="Arial" w:cs="Arial"/>
          <w:b/>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A estos proyectos se destinaron recursos por 107 mil 900 pesos.</w:t>
      </w:r>
    </w:p>
    <w:p w:rsidR="00736423" w:rsidRPr="000F7669" w:rsidRDefault="00736423"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 xml:space="preserve">Política industrial y </w:t>
      </w:r>
      <w:proofErr w:type="spellStart"/>
      <w:r w:rsidRPr="000F7669">
        <w:rPr>
          <w:rFonts w:ascii="Arial" w:hAnsi="Arial" w:cs="Arial"/>
          <w:b/>
          <w:bCs/>
          <w:spacing w:val="20"/>
          <w:szCs w:val="23"/>
        </w:rPr>
        <w:t>mipymes</w:t>
      </w:r>
      <w:proofErr w:type="spellEnd"/>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Es compromiso del Gobierno del Estado impulsar la creación y consolidación de las Micro, Pequeñas y Medianas Empresas (</w:t>
      </w:r>
      <w:proofErr w:type="spellStart"/>
      <w:r w:rsidRPr="000F7669">
        <w:rPr>
          <w:rFonts w:ascii="Arial" w:hAnsi="Arial" w:cs="Arial"/>
          <w:spacing w:val="20"/>
          <w:szCs w:val="23"/>
        </w:rPr>
        <w:t>MIPyMES</w:t>
      </w:r>
      <w:proofErr w:type="spellEnd"/>
      <w:r w:rsidRPr="000F7669">
        <w:rPr>
          <w:rFonts w:ascii="Arial" w:hAnsi="Arial" w:cs="Arial"/>
          <w:spacing w:val="20"/>
          <w:szCs w:val="23"/>
        </w:rPr>
        <w:t>), fomentando la cultura de nuevos emprendedores empresariales, otorgar incentivos con dotación de capital de trabajo, apoyo a la investigación y desarrollo de nuevas tecnologías, formación de grupos para la reactivación empresarial y formación de nuevas empresas en áreas estratégicas de turismo, agroindustria, pesca, artesanías, manufactura, agroalimentaria, textil, mezcal, pecuaria y minera. Continuación del programa Expo-</w:t>
      </w:r>
      <w:proofErr w:type="spellStart"/>
      <w:r w:rsidRPr="000F7669">
        <w:rPr>
          <w:rFonts w:ascii="Arial" w:hAnsi="Arial" w:cs="Arial"/>
          <w:spacing w:val="20"/>
          <w:szCs w:val="23"/>
        </w:rPr>
        <w:t>PyME</w:t>
      </w:r>
      <w:proofErr w:type="spellEnd"/>
      <w:r w:rsidRPr="000F7669">
        <w:rPr>
          <w:rFonts w:ascii="Arial" w:hAnsi="Arial" w:cs="Arial"/>
          <w:spacing w:val="20"/>
          <w:szCs w:val="23"/>
        </w:rPr>
        <w:t xml:space="preserve"> 2015; programa de capacitación y asistencia técnica en el estado de Oaxaca 2015; y, financiamiento a micro, pequeñas y medianas empresas, para la realización de los trámites estatales y municipales. Destaca el fortalecimiento integral para el desarrollo de la industria del mezcal. </w:t>
      </w:r>
    </w:p>
    <w:p w:rsidR="00736423" w:rsidRPr="000F7669" w:rsidRDefault="0073642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A este temase destinaron recursos por 94 millones 37 mil 577 pesos, lo que representa el 2 por ciento del total devengado en este eje.</w:t>
      </w:r>
    </w:p>
    <w:p w:rsidR="00736423" w:rsidRPr="000F7669" w:rsidRDefault="00736423" w:rsidP="00EE5CF1">
      <w:pPr>
        <w:spacing w:before="120" w:after="240"/>
        <w:contextualSpacing/>
        <w:jc w:val="both"/>
        <w:rPr>
          <w:rFonts w:ascii="Arial" w:hAnsi="Arial" w:cs="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Turismo: palanca del desarrollo</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Oaxaca es uno de los Estados con mayor riqueza cultural y natural de México, al contar con 16 grupos étnicos, numerosas zonas arqueológicas, expresiones artísticas, gastronómicas y musicales, así como su gran diversidad geográfica y biológica. Por su historia, tradiciones y diversidad étnica, el estado cuenta también con gran potencial para el turismo cultural. </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b/>
          <w:spacing w:val="20"/>
          <w:szCs w:val="23"/>
        </w:rPr>
      </w:pPr>
      <w:r w:rsidRPr="000F7669">
        <w:rPr>
          <w:rFonts w:ascii="Arial" w:hAnsi="Arial" w:cs="Arial"/>
          <w:spacing w:val="20"/>
          <w:szCs w:val="23"/>
        </w:rPr>
        <w:t>Las principales acciones comprendidas en este programa son</w:t>
      </w:r>
      <w:proofErr w:type="gramStart"/>
      <w:r w:rsidRPr="000F7669">
        <w:rPr>
          <w:rFonts w:ascii="Arial" w:hAnsi="Arial" w:cs="Arial"/>
          <w:spacing w:val="20"/>
          <w:szCs w:val="23"/>
        </w:rPr>
        <w:t>:;</w:t>
      </w:r>
      <w:proofErr w:type="gramEnd"/>
      <w:r w:rsidRPr="000F7669">
        <w:rPr>
          <w:rFonts w:ascii="Arial" w:hAnsi="Arial" w:cs="Arial"/>
          <w:spacing w:val="20"/>
          <w:szCs w:val="23"/>
        </w:rPr>
        <w:t xml:space="preserve"> segunda etapa del mejoramiento de la imagen urbana de Santa María el </w:t>
      </w:r>
      <w:proofErr w:type="spellStart"/>
      <w:r w:rsidRPr="000F7669">
        <w:rPr>
          <w:rFonts w:ascii="Arial" w:hAnsi="Arial" w:cs="Arial"/>
          <w:spacing w:val="20"/>
          <w:szCs w:val="23"/>
        </w:rPr>
        <w:t>Tule</w:t>
      </w:r>
      <w:proofErr w:type="spellEnd"/>
      <w:r w:rsidRPr="000F7669">
        <w:rPr>
          <w:rFonts w:ascii="Arial" w:hAnsi="Arial" w:cs="Arial"/>
          <w:spacing w:val="20"/>
          <w:szCs w:val="23"/>
        </w:rPr>
        <w:t xml:space="preserve">, </w:t>
      </w:r>
      <w:r w:rsidRPr="000F7669">
        <w:rPr>
          <w:rFonts w:ascii="Arial" w:hAnsi="Arial" w:cs="Arial"/>
          <w:spacing w:val="20"/>
          <w:szCs w:val="23"/>
        </w:rPr>
        <w:lastRenderedPageBreak/>
        <w:t xml:space="preserve">realización de la </w:t>
      </w:r>
      <w:proofErr w:type="spellStart"/>
      <w:r w:rsidRPr="000F7669">
        <w:rPr>
          <w:rFonts w:ascii="Arial" w:hAnsi="Arial" w:cs="Arial"/>
          <w:spacing w:val="20"/>
          <w:szCs w:val="23"/>
        </w:rPr>
        <w:t>Guelaguetza</w:t>
      </w:r>
      <w:proofErr w:type="spellEnd"/>
      <w:r w:rsidRPr="000F7669">
        <w:rPr>
          <w:rFonts w:ascii="Arial" w:hAnsi="Arial" w:cs="Arial"/>
          <w:spacing w:val="20"/>
          <w:szCs w:val="23"/>
        </w:rPr>
        <w:t xml:space="preserve"> 2015;  mejoramiento de la imagen urbana de </w:t>
      </w:r>
      <w:proofErr w:type="spellStart"/>
      <w:r w:rsidRPr="000F7669">
        <w:rPr>
          <w:rFonts w:ascii="Arial" w:hAnsi="Arial" w:cs="Arial"/>
          <w:spacing w:val="20"/>
          <w:szCs w:val="23"/>
        </w:rPr>
        <w:t>Cuajimoloyas</w:t>
      </w:r>
      <w:proofErr w:type="spellEnd"/>
      <w:r w:rsidRPr="000F7669">
        <w:rPr>
          <w:rFonts w:ascii="Arial" w:hAnsi="Arial" w:cs="Arial"/>
          <w:spacing w:val="20"/>
          <w:szCs w:val="23"/>
        </w:rPr>
        <w:t xml:space="preserve">;  campañas en televisión de promoción turística; señalamiento turístico carretero y urbano; señalamiento  y </w:t>
      </w:r>
      <w:proofErr w:type="spellStart"/>
      <w:r w:rsidRPr="000F7669">
        <w:rPr>
          <w:rFonts w:ascii="Arial" w:hAnsi="Arial" w:cs="Arial"/>
          <w:spacing w:val="20"/>
          <w:szCs w:val="23"/>
        </w:rPr>
        <w:t>tematización</w:t>
      </w:r>
      <w:proofErr w:type="spellEnd"/>
      <w:r w:rsidRPr="000F7669">
        <w:rPr>
          <w:rFonts w:ascii="Arial" w:hAnsi="Arial" w:cs="Arial"/>
          <w:spacing w:val="20"/>
          <w:szCs w:val="23"/>
        </w:rPr>
        <w:t xml:space="preserve"> de rutas turísticas; y, la participación del Estado de Oaxaca en el “tianguis turístico Acapulco 2015”</w:t>
      </w:r>
      <w:r w:rsidRPr="000F7669">
        <w:rPr>
          <w:rFonts w:ascii="Arial" w:hAnsi="Arial" w:cs="Arial"/>
          <w:b/>
          <w:spacing w:val="20"/>
          <w:szCs w:val="23"/>
        </w:rPr>
        <w:t>.</w:t>
      </w:r>
    </w:p>
    <w:p w:rsidR="00736423" w:rsidRPr="000F7669" w:rsidRDefault="00736423" w:rsidP="00EE5CF1">
      <w:pPr>
        <w:spacing w:before="120" w:after="240"/>
        <w:contextualSpacing/>
        <w:jc w:val="both"/>
        <w:rPr>
          <w:rFonts w:ascii="Arial" w:hAnsi="Arial" w:cs="Arial"/>
          <w:b/>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Durante el ejercicio 2015 el Estado destinó recursos por 348 millones 861 mil 192 pesos, esto representa el 6 por ciento del monto total devengado en este eje.</w:t>
      </w:r>
    </w:p>
    <w:p w:rsidR="00736423" w:rsidRPr="000F7669" w:rsidRDefault="00736423"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Ordenamiento territorial, e infraestructuras</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desarrollo de Oaxaca enfrenta el reto de una enorme dispersión poblacional y una deficiente movilidad regional, rural y urbana, que complica la accesibilidad a los servicios básicos y a los mercados; esto ha contribuido al aislamiento, la desigualdad económica, la fragmentación social, las asimetrías territoriales y a la falta de oportunidades para el desarrollo humano.</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 construcción de infraestructura factor estratégico que detona el crecimiento económico, impulsa la industria de la construcción, genera empleos, da movilidad a la rotación del capital invertido y provoca un incremento sustancial en la demanda de los bienes y servicios que requiere la población. Por ello, se trabaja en programas en los que convergen los tres niveles de Gobierno para enfrentar este reto, de manera eficiente y ordenada.  Entre las acciones ejecutadas en 2015, destacan las siguientes:  terminación de la construcción y equipamiento de mobiliario fijo del Centro de Reinserción Social de media seguridad, segunda etapa de la construcción del Centro de Recreación y Acondicionamiento Deportivo “Venustiano Carranza”, construcción del Centro de Iniciación Musical de Oaxaca (CIMO), construcción del complejo deportivo zona poniente de Oaxaca de Juárez, rehabilitación de vialidades urbanas en las 8 regiones del estado,  ampliación y rehabilitación de sistemas de agua potable y funcionamiento de los Organismos Operadores de agua potable; Modernización, ampliación y conservación de caminos rurales; y, mejoramiento de viviendas. </w:t>
      </w:r>
    </w:p>
    <w:p w:rsidR="00736423" w:rsidRPr="000F7669" w:rsidRDefault="00736423" w:rsidP="00EE5CF1">
      <w:pPr>
        <w:spacing w:before="120" w:after="240"/>
        <w:contextualSpacing/>
        <w:jc w:val="both"/>
        <w:rPr>
          <w:rFonts w:ascii="Arial" w:hAnsi="Arial"/>
          <w:spacing w:val="20"/>
          <w:szCs w:val="23"/>
        </w:rPr>
      </w:pPr>
    </w:p>
    <w:p w:rsidR="00736423" w:rsidRDefault="00EE5CF1" w:rsidP="00EE5CF1">
      <w:pPr>
        <w:spacing w:before="120" w:after="240"/>
        <w:contextualSpacing/>
        <w:jc w:val="both"/>
        <w:rPr>
          <w:rFonts w:ascii="Arial" w:hAnsi="Arial" w:cs="Arial"/>
          <w:b/>
          <w:spacing w:val="20"/>
          <w:szCs w:val="23"/>
        </w:rPr>
      </w:pPr>
      <w:r w:rsidRPr="000F7669">
        <w:rPr>
          <w:rFonts w:ascii="Arial" w:hAnsi="Arial" w:cs="Arial"/>
          <w:spacing w:val="20"/>
          <w:szCs w:val="23"/>
        </w:rPr>
        <w:t>Este programa propicia las condiciones adecuadas para el incremento de la inversión en infraestructura que requiere el Estado para impulsar el desarrollo sustentable, competitivo y equitativo, mejorando el nivel de bienestar y la calidad de vida de la población.</w:t>
      </w:r>
      <w:r w:rsidRPr="000F7669">
        <w:rPr>
          <w:rFonts w:ascii="Arial" w:hAnsi="Arial" w:cs="Arial"/>
          <w:b/>
          <w:spacing w:val="20"/>
          <w:szCs w:val="23"/>
        </w:rPr>
        <w:t xml:space="preserve"> </w:t>
      </w:r>
    </w:p>
    <w:p w:rsidR="00736423" w:rsidRDefault="00736423" w:rsidP="00EE5CF1">
      <w:pPr>
        <w:spacing w:before="120" w:after="240"/>
        <w:contextualSpacing/>
        <w:jc w:val="both"/>
        <w:rPr>
          <w:rFonts w:ascii="Arial" w:hAnsi="Arial" w:cs="Arial"/>
          <w:b/>
          <w:spacing w:val="20"/>
          <w:szCs w:val="23"/>
        </w:rPr>
      </w:pP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lastRenderedPageBreak/>
        <w:t>Para el ejercicio 2015 se devengaron 3 mil 916 millones 210 mil 302 pesos, siendo una inversión de 67 por ciento del total devengado en este eje.</w:t>
      </w:r>
    </w:p>
    <w:p w:rsidR="00EE5CF1" w:rsidRDefault="00EE5CF1" w:rsidP="00EE5CF1">
      <w:pPr>
        <w:spacing w:before="120" w:after="240"/>
        <w:contextualSpacing/>
        <w:jc w:val="both"/>
        <w:rPr>
          <w:rFonts w:ascii="Arial" w:hAnsi="Arial"/>
          <w:noProof/>
          <w:lang w:val="es-MX" w:eastAsia="es-MX"/>
        </w:rPr>
      </w:pPr>
    </w:p>
    <w:p w:rsidR="00736423" w:rsidRPr="000F7669" w:rsidRDefault="00736423" w:rsidP="00EE5CF1">
      <w:pPr>
        <w:spacing w:before="120" w:after="240"/>
        <w:contextualSpacing/>
        <w:jc w:val="both"/>
        <w:rPr>
          <w:rFonts w:ascii="Arial" w:hAnsi="Arial" w:cs="Arial"/>
          <w:b/>
          <w:color w:val="7030A0"/>
          <w:spacing w:val="20"/>
          <w:szCs w:val="23"/>
        </w:rPr>
      </w:pPr>
      <w:r w:rsidRPr="00736423">
        <w:rPr>
          <w:noProof/>
          <w:szCs w:val="23"/>
          <w:lang w:val="es-MX" w:eastAsia="es-MX"/>
        </w:rPr>
        <w:drawing>
          <wp:inline distT="0" distB="0" distL="0" distR="0">
            <wp:extent cx="5882005" cy="2916596"/>
            <wp:effectExtent l="19050" t="0" r="4445" b="0"/>
            <wp:docPr id="29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srcRect/>
                    <a:stretch>
                      <a:fillRect/>
                    </a:stretch>
                  </pic:blipFill>
                  <pic:spPr bwMode="auto">
                    <a:xfrm>
                      <a:off x="0" y="0"/>
                      <a:ext cx="5882005" cy="2916596"/>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s="Arial"/>
          <w:b/>
          <w:color w:val="7030A0"/>
          <w:spacing w:val="20"/>
          <w:szCs w:val="23"/>
        </w:rPr>
      </w:pPr>
    </w:p>
    <w:p w:rsidR="00EE5CF1" w:rsidRPr="000F7669" w:rsidRDefault="00736423" w:rsidP="00EE5CF1">
      <w:pPr>
        <w:spacing w:before="120" w:after="240"/>
        <w:contextualSpacing/>
        <w:jc w:val="both"/>
        <w:rPr>
          <w:rFonts w:ascii="Arial" w:hAnsi="Arial" w:cs="Arial"/>
          <w:b/>
          <w:color w:val="7030A0"/>
          <w:spacing w:val="20"/>
          <w:szCs w:val="23"/>
        </w:rPr>
      </w:pPr>
      <w:r w:rsidRPr="00736423">
        <w:rPr>
          <w:noProof/>
          <w:szCs w:val="23"/>
          <w:lang w:val="es-MX" w:eastAsia="es-MX"/>
        </w:rPr>
        <w:drawing>
          <wp:inline distT="0" distB="0" distL="0" distR="0">
            <wp:extent cx="5882005" cy="2908085"/>
            <wp:effectExtent l="19050" t="0" r="4445" b="0"/>
            <wp:docPr id="29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srcRect/>
                    <a:stretch>
                      <a:fillRect/>
                    </a:stretch>
                  </pic:blipFill>
                  <pic:spPr bwMode="auto">
                    <a:xfrm>
                      <a:off x="0" y="0"/>
                      <a:ext cx="5882005" cy="2908085"/>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s="Arial"/>
          <w:b/>
          <w:bCs/>
          <w:spacing w:val="20"/>
          <w:szCs w:val="23"/>
        </w:rPr>
      </w:pPr>
    </w:p>
    <w:p w:rsidR="00E91C2E" w:rsidRDefault="00E91C2E">
      <w:pPr>
        <w:rPr>
          <w:rFonts w:ascii="Arial" w:hAnsi="Arial" w:cs="Arial"/>
          <w:b/>
          <w:bCs/>
          <w:spacing w:val="20"/>
          <w:szCs w:val="23"/>
        </w:rPr>
      </w:pPr>
      <w:r>
        <w:rPr>
          <w:rFonts w:ascii="Arial" w:hAnsi="Arial" w:cs="Arial"/>
          <w:b/>
          <w:bCs/>
          <w:spacing w:val="20"/>
          <w:szCs w:val="23"/>
        </w:rPr>
        <w:br w:type="page"/>
      </w:r>
    </w:p>
    <w:p w:rsidR="00EE5CF1" w:rsidRDefault="00EE5CF1"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lastRenderedPageBreak/>
        <w:t>4.5.3.- DESARROLLO SOCIAL Y HUMANO</w:t>
      </w:r>
    </w:p>
    <w:p w:rsidR="00736423" w:rsidRPr="000F7669" w:rsidRDefault="00736423"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pobreza se puede entender como un conjunto de privaciones en diversas dimensiones relevantes de la vida que afectan negativamente el bienestar general y las oportunidades de desarrollo de una persona, familia o comunidad. Entre las privaciones más relevantes se encuentran: La alimentación, la salud, la educación y el acceso a otros bienes y servicios básicos, aunque algunas aproximaciones pueden incluir otras como: el empleo, la seguridad social, los derechos civiles, la desigualdad social, entre otros.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marginación es un fenómeno estructural que se expresa en la dificultad para propagar el progreso técnico en las diferentes regiones, así como por la exclusión de grupos sociales del proceso de desarrollo y sus beneficios. Conforme a las definiciones y mediciones del Consejo Nacional de Población (CONAPO), la marginación está asociada a cuatro dimensiones fundamentales: el acceso a servicios básicos, las condiciones de la vivienda, los ingresos laborales y la educación. El grado de marginación puede agudizarse en un contexto de dispersión poblacional como es el caso de Oaxaca, que dificulte el desarrollo de las actividades económicas y un alto costo en la provisión de infraestructura y servicios.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Avanzar rápidamente en el desarrollo social y humano de la población oaxaqueña es un reto, atendido por los tres niveles de Gobierno. </w:t>
      </w:r>
    </w:p>
    <w:p w:rsidR="00A610F0" w:rsidRPr="000F7669" w:rsidRDefault="00A610F0"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el estado el Poder Ejecutivo encabeza y coordina el cumplimiento de las metas y acciones a través de la Secretaría de Desarrollo Social y Humano, que emite y vigila las reglas de operación de los Programas Bienestar, cuya ejecución se realiza a través de la misma; del Instituto Estatal de Educación Pública de Oaxaca; del Sistema para el Desarrollo Integral de la Familia del Estado de Oaxaca y el Instituto de la Juventud del Estado de Oaxaca Adicionalmente , el resto de los Ejecutores de gasto dentro de sus competencias contribuyen al logro de metas y objetivos de este eje de gobierno.</w:t>
      </w:r>
    </w:p>
    <w:p w:rsidR="00A610F0" w:rsidRPr="000F7669" w:rsidRDefault="00A610F0"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spacing w:val="20"/>
          <w:szCs w:val="23"/>
        </w:rPr>
      </w:pPr>
      <w:r w:rsidRPr="000F7669">
        <w:rPr>
          <w:rFonts w:ascii="Arial" w:hAnsi="Arial" w:cs="Arial"/>
          <w:spacing w:val="20"/>
          <w:szCs w:val="23"/>
        </w:rPr>
        <w:t xml:space="preserve">En el 2015 se devengaron en este Eje 35 mil 113 millones 67 mil 253 pesos, lo que representa el 53 por ciento del total devengado. </w:t>
      </w:r>
    </w:p>
    <w:p w:rsidR="00EE5CF1" w:rsidRPr="000F7669" w:rsidRDefault="00EE5CF1" w:rsidP="00EE5CF1">
      <w:pPr>
        <w:spacing w:before="120" w:after="240"/>
        <w:contextualSpacing/>
        <w:jc w:val="both"/>
        <w:rPr>
          <w:rFonts w:ascii="Arial" w:hAnsi="Arial"/>
          <w:spacing w:val="20"/>
          <w:szCs w:val="23"/>
        </w:rPr>
      </w:pPr>
      <w:r w:rsidRPr="000F7669">
        <w:rPr>
          <w:rFonts w:ascii="Arial" w:hAnsi="Arial" w:cs="Arial"/>
          <w:spacing w:val="20"/>
          <w:szCs w:val="23"/>
        </w:rPr>
        <w:t>Los temas que conforman este eje son:</w:t>
      </w:r>
    </w:p>
    <w:p w:rsidR="00EE5CF1" w:rsidRPr="000F7669" w:rsidRDefault="00EE5CF1" w:rsidP="00EE5CF1">
      <w:pPr>
        <w:spacing w:before="120" w:after="240"/>
        <w:contextualSpacing/>
        <w:jc w:val="both"/>
        <w:rPr>
          <w:rFonts w:ascii="Arial" w:hAnsi="Arial" w:cs="Arial"/>
          <w:b/>
          <w:bCs/>
          <w:spacing w:val="20"/>
          <w:szCs w:val="23"/>
        </w:rPr>
      </w:pPr>
    </w:p>
    <w:p w:rsidR="00E91C2E" w:rsidRDefault="00E91C2E" w:rsidP="00EE5CF1">
      <w:pPr>
        <w:spacing w:before="120" w:after="240"/>
        <w:contextualSpacing/>
        <w:jc w:val="both"/>
        <w:rPr>
          <w:rFonts w:ascii="Arial" w:hAnsi="Arial" w:cs="Arial"/>
          <w:b/>
          <w:bCs/>
          <w:spacing w:val="20"/>
          <w:szCs w:val="23"/>
        </w:rPr>
      </w:pPr>
    </w:p>
    <w:p w:rsidR="00E91C2E" w:rsidRDefault="00E91C2E" w:rsidP="00EE5CF1">
      <w:pPr>
        <w:spacing w:before="120" w:after="240"/>
        <w:contextualSpacing/>
        <w:jc w:val="both"/>
        <w:rPr>
          <w:rFonts w:ascii="Arial" w:hAnsi="Arial" w:cs="Arial"/>
          <w:b/>
          <w:bCs/>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lastRenderedPageBreak/>
        <w:t>Combate a la pobreza, la desigualdad y la marginación</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pobreza está asociada a la desigualdad y la marginación, problemas que se deben entender y atender desde la política pública, tanto por su importancia y características específicas como por su relación y efectos sobre los niveles de vida digna que impacta considerablemente en la población indígena, carentes de lo más elemental para su bienestar: sana alimentación, seguridad social, servicios de salud y servicios básicos en la vivienda; por ello, la estrategia de este Gobierno para disminuir este rezago, fue la implementación de los Programas Bienestar, a través de los cuales se otorgan apoyos directos a los grupos más vulnerables.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Las acciones más relevantes implementadas en este programa fueron: Atención y seguimiento de la implementación de Cruzada Nacional Contra el Hambre; Programa Bienestar de Micro financiamiento a la Economía Solidaria; instalación de cocinas comunitarias para asistencia alimentaria de familias en condición de riesgo; Programa de dotación de útiles y uniformes escolares a  alumnos de educación primaria; programa de apoyo a personas con discapacidad y  suministro de paquetes de materiales para la construcción de sanitarios ecológicos </w:t>
      </w:r>
    </w:p>
    <w:p w:rsidR="00A610F0" w:rsidRPr="000F7669" w:rsidRDefault="00A610F0"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la atención de este tema el Estado destinó 217 millones 135 mil 459 pesos, lo que representa el uno por ciento del total devengado en este eje.</w:t>
      </w:r>
    </w:p>
    <w:p w:rsidR="00EE5CF1" w:rsidRPr="000F7669" w:rsidRDefault="00EE5CF1" w:rsidP="00EE5CF1">
      <w:pPr>
        <w:spacing w:before="120" w:after="240"/>
        <w:contextualSpacing/>
        <w:jc w:val="both"/>
        <w:rPr>
          <w:rFonts w:ascii="Arial" w:hAnsi="Arial" w:cs="Arial"/>
          <w:b/>
          <w:bCs/>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Educación: factor de progreso</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Contempla las acciones y estrategias encauzadas a la formación en hábitos y valores que favorezcan la realización personal y la convivencia con los miembros de la comunidad, responde a las necesidades y contexto cultural, así como fortalecer la identidad y los valores solidarios, con la finalidad de aprovechar los recursos humanos, financieros, naturales y culturales, para generar oportunidades de desarrollo y con ello combatir la pobreza, la desigualdad y la marginación.</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En este contexto se pusieron en marcha las siguientes acciones: Garantizar la educación básica en el Estado; campaña nacional de alfabetización y reducción del rezago educativo en el estado de Oaxaca; programa de fortalecimiento de la calidad en educación básica 2015; fortalecimiento de la política de igualdad de género en el sector </w:t>
      </w:r>
      <w:r w:rsidRPr="000F7669">
        <w:rPr>
          <w:rFonts w:ascii="Arial" w:hAnsi="Arial" w:cs="Arial"/>
          <w:spacing w:val="20"/>
          <w:szCs w:val="23"/>
        </w:rPr>
        <w:lastRenderedPageBreak/>
        <w:t xml:space="preserve">educativo 2015; </w:t>
      </w:r>
      <w:proofErr w:type="spellStart"/>
      <w:r w:rsidRPr="000F7669">
        <w:rPr>
          <w:rFonts w:ascii="Arial" w:hAnsi="Arial" w:cs="Arial"/>
          <w:spacing w:val="20"/>
          <w:szCs w:val="23"/>
        </w:rPr>
        <w:t>telebachillerato</w:t>
      </w:r>
      <w:proofErr w:type="spellEnd"/>
      <w:r w:rsidRPr="000F7669">
        <w:rPr>
          <w:rFonts w:ascii="Arial" w:hAnsi="Arial" w:cs="Arial"/>
          <w:spacing w:val="20"/>
          <w:szCs w:val="23"/>
        </w:rPr>
        <w:t xml:space="preserve"> comunitario 2015; Programa Bienestar de Dotación de Útiles Escolares a los Alumnos de Educación Básica en Escuelas Públicas del Estado de Oaxaca; Programa Bienestar de Dotación de Uniformes Escolares a los Alumnos de Educación Básica en Escuelas Públicas del Estado de Oaxaca; Programas de Becas, Programas de becas de tiempo completo, </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También se dio atención a la educación media-superior, ampliando la cobertura educativa de la educación a distancia; equipamiento de aulas, laboratorios, talleres y bibliotecas de centros educativos; programa de fortalecimiento académico de posgrado de alta calidad; la construcción de aulas; y, la capacitación de personal docente para una educación de calidad. En educación superior, la finalidad del Gobierno del Estado es formar profesionistas de calidad por ello se aportaron los recursos a la red estatal de universidades regionales.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Asimismo, a través del Instituto Estatal de Educación para Adultos se dio atención a la población mayor para reducir el analfabetismo en el Estado bajo el modelo “Educación para la Vida y el Trabajo” (</w:t>
      </w:r>
      <w:proofErr w:type="spellStart"/>
      <w:r w:rsidRPr="000F7669">
        <w:rPr>
          <w:rFonts w:ascii="Arial" w:hAnsi="Arial" w:cs="Arial"/>
          <w:spacing w:val="20"/>
          <w:szCs w:val="23"/>
        </w:rPr>
        <w:t>MEVyT</w:t>
      </w:r>
      <w:proofErr w:type="spellEnd"/>
      <w:r w:rsidRPr="000F7669">
        <w:rPr>
          <w:rFonts w:ascii="Arial" w:hAnsi="Arial" w:cs="Arial"/>
          <w:spacing w:val="20"/>
          <w:szCs w:val="23"/>
        </w:rPr>
        <w:t xml:space="preserve">). </w:t>
      </w:r>
    </w:p>
    <w:p w:rsidR="00A610F0" w:rsidRPr="000F7669" w:rsidRDefault="00A610F0"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este tema se devengaron 26 mil 591 millones 502 mil 822 pesos, lo que representa el 76 por ciento del monto total devengado en este eje.</w:t>
      </w:r>
    </w:p>
    <w:p w:rsidR="00A610F0" w:rsidRPr="000F7669" w:rsidRDefault="00A610F0" w:rsidP="00EE5CF1">
      <w:pPr>
        <w:spacing w:before="120" w:after="240"/>
        <w:contextualSpacing/>
        <w:jc w:val="both"/>
        <w:rPr>
          <w:rFonts w:ascii="Arial" w:hAnsi="Arial" w:cs="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Arte, cultura y deporte</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este tema, en lo que respecta a arte y cultura, se contemplaron recursos para: Orquesta Sinfónica de Oaxaca; Programa de Apoyo a las Culturas Municipales (PACMYC); Banda de Música del Estado; Orquesta Primavera de Oaxaca; instrumenta verano; talleres artísticos:</w:t>
      </w:r>
      <w:r w:rsidR="001404E3">
        <w:rPr>
          <w:rFonts w:ascii="Arial" w:hAnsi="Arial" w:cs="Arial"/>
          <w:spacing w:val="20"/>
          <w:szCs w:val="23"/>
        </w:rPr>
        <w:t xml:space="preserve"> </w:t>
      </w:r>
      <w:r w:rsidRPr="000F7669">
        <w:rPr>
          <w:rFonts w:ascii="Arial" w:hAnsi="Arial" w:cs="Arial"/>
          <w:spacing w:val="20"/>
          <w:szCs w:val="23"/>
        </w:rPr>
        <w:t>construcción de la ciudad de los archivos en la ciudad de Oaxaca, sistema estatal de casas de cultura y del pueblo; XXXV feria internacional del libro Oaxaca 2015; entre otros.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cuanto a fomento deportivo, se destinaron recursos para: Apoyo a participantes de la olimpiada infantil y juvenil; fomento de actividades físicas en espacios abiertos; estímulo y capacitación a promotores deportivos; fomento de deportistas de alto rendimiento; y estímulo a deportistas con discapacidad.</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En el rubro de inversión se destinaron recursos para la construcción de centros deportivos escolares y municipales y la construcción y mejoramiento de canchas deportivas en el Estado. </w:t>
      </w:r>
    </w:p>
    <w:p w:rsidR="00A610F0" w:rsidRPr="000F7669" w:rsidRDefault="00A610F0"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este tema se aplicaron un mil 10 millones 961 mil 98 pesos, lo que representa el 3 por ciento del total devengado en este eje.</w:t>
      </w:r>
    </w:p>
    <w:p w:rsidR="00A610F0" w:rsidRPr="000F7669" w:rsidRDefault="00A610F0"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Oaxaca saludable</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este tema el compromiso de este Gobierno está orientado a la prevención y combate de enfermedades para aumentar la esperanza de vida de las oaxaqueñas y los oaxaqueños.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Las acciones en este año se orientaron a mejorar la calidad de vida de la población mediante proyectos para la reducción de sobrepeso y obesidad infantil; se proporcionó a la población orientación alimentaria para mejorar la nutrición comunitaria; abasto de medicamentos y material de curación; seguro popular; prevención y control del dengue, </w:t>
      </w:r>
      <w:proofErr w:type="spellStart"/>
      <w:r w:rsidRPr="000F7669">
        <w:rPr>
          <w:rFonts w:ascii="Arial" w:hAnsi="Arial" w:cs="Arial"/>
          <w:spacing w:val="20"/>
          <w:szCs w:val="23"/>
        </w:rPr>
        <w:t>chikungunya</w:t>
      </w:r>
      <w:proofErr w:type="spellEnd"/>
      <w:r w:rsidRPr="000F7669">
        <w:rPr>
          <w:rFonts w:ascii="Arial" w:hAnsi="Arial" w:cs="Arial"/>
          <w:spacing w:val="20"/>
          <w:szCs w:val="23"/>
        </w:rPr>
        <w:t xml:space="preserve"> y paludismo; prevención y atención médica integral y de calidad del VIH/SIDA e ITS a grupos vulnerables en un marco de respeto a los derechos humanos; y, se enfatizó la difusión de la cultura de prevención, nutrición, medicina tradicional y promoción de la salud.</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En infraestructura pública destacan: La rehabilitación, equipamiento y mantenimiento de hospitales y centros de salud en el interior del Estado; operación del seguro popular; equipamiento de unidades médicas; construcción de centros de salud con servicios ampliados en el municipio San Pablo </w:t>
      </w:r>
      <w:proofErr w:type="spellStart"/>
      <w:r w:rsidRPr="000F7669">
        <w:rPr>
          <w:rFonts w:ascii="Arial" w:hAnsi="Arial" w:cs="Arial"/>
          <w:spacing w:val="20"/>
          <w:szCs w:val="23"/>
        </w:rPr>
        <w:t>Yaganiza</w:t>
      </w:r>
      <w:proofErr w:type="spellEnd"/>
      <w:r w:rsidRPr="000F7669">
        <w:rPr>
          <w:rFonts w:ascii="Arial" w:hAnsi="Arial" w:cs="Arial"/>
          <w:spacing w:val="20"/>
          <w:szCs w:val="23"/>
        </w:rPr>
        <w:t xml:space="preserve"> y San Pablo Villa de Mitla; y, la implementación de programas federales contra riesgos sanitarios. </w:t>
      </w:r>
    </w:p>
    <w:p w:rsidR="00A610F0" w:rsidRPr="000F7669" w:rsidRDefault="00A610F0"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suma de los recursos aplicados fue de 6 mil 208 millones 939 mil 689 pesos, que representó el 18 por ciento del monto total devengado en este eje.</w:t>
      </w:r>
    </w:p>
    <w:p w:rsidR="00EE5CF1" w:rsidRPr="000F7669" w:rsidRDefault="00EE5CF1"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Nuevas realidades y necesidades sociales: niños, jóvenes, adultos mayores y familias</w:t>
      </w:r>
    </w:p>
    <w:p w:rsidR="00A610F0" w:rsidRPr="000F7669" w:rsidRDefault="00A610F0" w:rsidP="00EE5CF1">
      <w:pPr>
        <w:spacing w:before="120" w:after="240"/>
        <w:contextualSpacing/>
        <w:jc w:val="both"/>
        <w:rPr>
          <w:rFonts w:ascii="Arial" w:hAnsi="Arial" w:cs="Arial"/>
          <w:b/>
          <w:bCs/>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familia es el núcleo de toda sociedad, es aquí donde se forma el carácter, conciencia, pensamientos e ideologías de cada individuo. Por ello el bienestar de las familias y la calidad de vida de sus integrantes es una prioridad de atención para este gobierno.</w:t>
      </w:r>
    </w:p>
    <w:p w:rsidR="00A610F0" w:rsidRPr="000F7669" w:rsidRDefault="00A610F0"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 Las acciones emprendidas para mejorar el índice de desarrollo humano han estado encaminadas a </w:t>
      </w:r>
      <w:proofErr w:type="spellStart"/>
      <w:r w:rsidRPr="000F7669">
        <w:rPr>
          <w:rFonts w:ascii="Arial" w:hAnsi="Arial" w:cs="Arial"/>
          <w:spacing w:val="20"/>
          <w:szCs w:val="23"/>
        </w:rPr>
        <w:t>porporcionar</w:t>
      </w:r>
      <w:proofErr w:type="spellEnd"/>
      <w:r w:rsidRPr="000F7669">
        <w:rPr>
          <w:rFonts w:ascii="Arial" w:hAnsi="Arial" w:cs="Arial"/>
          <w:spacing w:val="20"/>
          <w:szCs w:val="23"/>
        </w:rPr>
        <w:t xml:space="preserve"> y acercar los servicios públicos  de salud y educación, así como mantenimiento y modernización de </w:t>
      </w:r>
      <w:r w:rsidRPr="000F7669">
        <w:rPr>
          <w:rFonts w:ascii="Arial" w:hAnsi="Arial" w:cs="Arial"/>
          <w:spacing w:val="20"/>
          <w:szCs w:val="23"/>
        </w:rPr>
        <w:lastRenderedPageBreak/>
        <w:t xml:space="preserve">caminos y carreteras; y apoyo a empresas familiares para promover el autoempleo, con la visión de ir mejorando las condiciones de vida de los oaxaqueños. </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atención integral a la familia y de manera particular en cada uno de sus integrantes se fortalece con los beneficios que otorgan los programas sociales, los cuales generan valor público, propiciando seguridad, confianza y credibilidad de la  población, que se complementa con acciones encaminadas a dar atención a niñas y niños en situación de calle y de escasos recursos en centros de atención infantil; y campañas promocionales sobre los derechos de las niñas y niños.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Las acciones emprendidas para este tema fueron: Campañas que garantizan los derechos de niñas, niños y adolescentes; asistencia alimentaria a sujetos vulnerables de las 8 regiones; atención en los Centros Asistenciales de Desarrollo Infantil (CADIS) y Centros de Asistencia Infantil Comunitarios (CAICS); Desayunos escolares; Programa de autoempleo juvenil; y, mecanismos interinstitucionales para la prevención y atención de la violencia contra las mujeres. </w:t>
      </w:r>
    </w:p>
    <w:p w:rsidR="00A610F0" w:rsidRPr="000F7669" w:rsidRDefault="00A610F0"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este tema se aplicaron 837 millones 862 mil 710 pesos, lo que representa el 2 por ciento del total devengado en este eje.</w:t>
      </w:r>
    </w:p>
    <w:p w:rsidR="00EE5CF1" w:rsidRPr="000F7669" w:rsidRDefault="00EE5CF1" w:rsidP="00EE5CF1">
      <w:pPr>
        <w:spacing w:before="120" w:after="240"/>
        <w:contextualSpacing/>
        <w:jc w:val="both"/>
        <w:rPr>
          <w:rFonts w:ascii="Arial" w:hAnsi="Arial" w:cs="Arial"/>
          <w:b/>
          <w:bCs/>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Atención a grupos en condición de vulnerabilidad</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atención a los grupos en condición de vulnerabilidad por pobreza, origen étnico, desplazados, estado de salud, género y discapacidad, requiere la suma de esfuerzos de los tres niveles de Gobierno, en 2015 se concretaron acciones para personas con discapacidad tales como:</w:t>
      </w:r>
      <w:r w:rsidRPr="000F7669">
        <w:rPr>
          <w:rFonts w:ascii="Arial" w:hAnsi="Arial"/>
          <w:szCs w:val="23"/>
        </w:rPr>
        <w:t xml:space="preserve"> </w:t>
      </w:r>
      <w:r w:rsidRPr="000F7669">
        <w:rPr>
          <w:rFonts w:ascii="Arial" w:hAnsi="Arial" w:cs="Arial"/>
          <w:spacing w:val="20"/>
          <w:szCs w:val="23"/>
        </w:rPr>
        <w:t xml:space="preserve">salud y rehabilitación; deporte y recreación; atención y entrega de apoyos funcionales; servicio de trasporte público adaptado y programa "Corriendo para Cambiar Historias". </w:t>
      </w:r>
    </w:p>
    <w:p w:rsidR="00A610F0" w:rsidRPr="000F7669" w:rsidRDefault="00A610F0"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spacing w:val="20"/>
          <w:szCs w:val="23"/>
        </w:rPr>
      </w:pPr>
      <w:r w:rsidRPr="000F7669">
        <w:rPr>
          <w:rFonts w:ascii="Arial" w:hAnsi="Arial" w:cs="Arial"/>
          <w:spacing w:val="20"/>
          <w:szCs w:val="23"/>
        </w:rPr>
        <w:t>En este tema se aplicaron recursos por 233 millones 981 mil 147 pesos, lo que representa el uno por ciento del total devengado en este eje.</w:t>
      </w:r>
    </w:p>
    <w:p w:rsidR="00EE5CF1" w:rsidRPr="000F7669" w:rsidRDefault="00EE5CF1" w:rsidP="00EE5CF1">
      <w:pPr>
        <w:spacing w:before="120" w:after="240"/>
        <w:contextualSpacing/>
        <w:jc w:val="both"/>
        <w:rPr>
          <w:rFonts w:ascii="Arial" w:hAnsi="Arial" w:cs="Arial"/>
          <w:bCs/>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Apoyo a migrantes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 falta de oportunidades de empleo, el abandono del campo, la falta de ingresos, la dispersión demográfica, el aislamiento de las comunidades en  situación de pobreza en las 8 regiones, son factores  determinantes </w:t>
      </w:r>
      <w:r w:rsidRPr="000F7669">
        <w:rPr>
          <w:rFonts w:ascii="Arial" w:hAnsi="Arial" w:cs="Arial"/>
          <w:spacing w:val="20"/>
          <w:szCs w:val="23"/>
        </w:rPr>
        <w:lastRenderedPageBreak/>
        <w:t>que  incentivan a la población a desplazarse a lugares que ofrezcan mejores oportunidades para él y sus familias.</w:t>
      </w:r>
    </w:p>
    <w:p w:rsidR="00A610F0" w:rsidRPr="000F7669" w:rsidRDefault="00A610F0"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Oaxaca es una de las Entidades donde este fenómeno es común, por lo que el Estado en sus estrategias realiza acciones y crea las condiciones propicias para reducirlo. Por esta situación migratoria y comunicación a través de lenguas indígenas, el Estado destinó recursos para apoyo a migrantes repatriados.</w:t>
      </w:r>
    </w:p>
    <w:p w:rsidR="00A610F0" w:rsidRPr="000F7669" w:rsidRDefault="00A610F0"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Estado invirtió en apoyo para el campo y las familias dando asesoría y financiamiento para granjas piscícolas; cultivo de verduras y hortalizas mediante micro túneles; y, micro financiamiento de negocios familiares.</w:t>
      </w:r>
    </w:p>
    <w:p w:rsidR="001404E3" w:rsidRPr="000F7669" w:rsidRDefault="001404E3"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Los recursos devengados en este tema fueron de 11 millones 951 mil 86 pesos.</w:t>
      </w:r>
    </w:p>
    <w:p w:rsidR="00A610F0" w:rsidRPr="000F7669" w:rsidRDefault="00A610F0" w:rsidP="00EE5CF1">
      <w:pPr>
        <w:spacing w:before="120" w:after="240"/>
        <w:contextualSpacing/>
        <w:jc w:val="both"/>
        <w:rPr>
          <w:rFonts w:ascii="Arial" w:hAnsi="Arial" w:cs="Arial"/>
          <w:spacing w:val="20"/>
          <w:szCs w:val="23"/>
        </w:rPr>
      </w:pPr>
    </w:p>
    <w:p w:rsidR="00EE5CF1" w:rsidRPr="000F7669" w:rsidRDefault="00AC20D4" w:rsidP="00EE5CF1">
      <w:pPr>
        <w:spacing w:before="120" w:after="240"/>
        <w:contextualSpacing/>
        <w:jc w:val="both"/>
        <w:rPr>
          <w:rFonts w:ascii="Arial" w:hAnsi="Arial" w:cs="Arial"/>
          <w:b/>
          <w:color w:val="7030A0"/>
          <w:spacing w:val="20"/>
          <w:szCs w:val="23"/>
        </w:rPr>
      </w:pPr>
      <w:r w:rsidRPr="00AC20D4">
        <w:rPr>
          <w:noProof/>
          <w:szCs w:val="23"/>
          <w:lang w:val="es-MX" w:eastAsia="es-MX"/>
        </w:rPr>
        <w:drawing>
          <wp:inline distT="0" distB="0" distL="0" distR="0">
            <wp:extent cx="5882005" cy="2394565"/>
            <wp:effectExtent l="19050" t="0" r="4445" b="0"/>
            <wp:docPr id="29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srcRect/>
                    <a:stretch>
                      <a:fillRect/>
                    </a:stretch>
                  </pic:blipFill>
                  <pic:spPr bwMode="auto">
                    <a:xfrm>
                      <a:off x="0" y="0"/>
                      <a:ext cx="5882005" cy="2394565"/>
                    </a:xfrm>
                    <a:prstGeom prst="rect">
                      <a:avLst/>
                    </a:prstGeom>
                    <a:noFill/>
                    <a:ln w="9525">
                      <a:noFill/>
                      <a:miter lim="800000"/>
                      <a:headEnd/>
                      <a:tailEnd/>
                    </a:ln>
                  </pic:spPr>
                </pic:pic>
              </a:graphicData>
            </a:graphic>
          </wp:inline>
        </w:drawing>
      </w:r>
    </w:p>
    <w:p w:rsidR="00EE5CF1" w:rsidRDefault="00EE5CF1" w:rsidP="00EE5CF1">
      <w:pPr>
        <w:spacing w:before="120" w:after="240"/>
        <w:contextualSpacing/>
        <w:jc w:val="both"/>
        <w:rPr>
          <w:rFonts w:ascii="Arial" w:hAnsi="Arial"/>
          <w:noProof/>
          <w:lang w:eastAsia="es-MX"/>
        </w:rPr>
      </w:pPr>
      <w:r w:rsidRPr="000F7669">
        <w:rPr>
          <w:rFonts w:ascii="Arial" w:hAnsi="Arial"/>
          <w:noProof/>
          <w:lang w:eastAsia="es-MX"/>
        </w:rPr>
        <w:t xml:space="preserve"> </w:t>
      </w:r>
    </w:p>
    <w:p w:rsidR="00AC20D4" w:rsidRDefault="00AC20D4" w:rsidP="00EE5CF1">
      <w:pPr>
        <w:spacing w:before="120" w:after="240"/>
        <w:contextualSpacing/>
        <w:jc w:val="both"/>
        <w:rPr>
          <w:rFonts w:ascii="Arial" w:hAnsi="Arial"/>
          <w:noProof/>
          <w:lang w:val="es-MX" w:eastAsia="es-MX"/>
        </w:rPr>
      </w:pPr>
    </w:p>
    <w:p w:rsidR="00AC20D4" w:rsidRPr="000F7669" w:rsidRDefault="00AC20D4" w:rsidP="00EE5CF1">
      <w:pPr>
        <w:spacing w:before="120" w:after="240"/>
        <w:contextualSpacing/>
        <w:jc w:val="both"/>
        <w:rPr>
          <w:rFonts w:ascii="Arial" w:hAnsi="Arial"/>
          <w:noProof/>
          <w:lang w:eastAsia="es-MX"/>
        </w:rPr>
      </w:pPr>
      <w:r w:rsidRPr="00AC20D4">
        <w:rPr>
          <w:noProof/>
          <w:lang w:val="es-MX" w:eastAsia="es-MX"/>
        </w:rPr>
        <w:lastRenderedPageBreak/>
        <w:drawing>
          <wp:inline distT="0" distB="0" distL="0" distR="0">
            <wp:extent cx="5882005" cy="2491259"/>
            <wp:effectExtent l="19050" t="0" r="4445" b="0"/>
            <wp:docPr id="29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srcRect/>
                    <a:stretch>
                      <a:fillRect/>
                    </a:stretch>
                  </pic:blipFill>
                  <pic:spPr bwMode="auto">
                    <a:xfrm>
                      <a:off x="0" y="0"/>
                      <a:ext cx="5882005" cy="2491259"/>
                    </a:xfrm>
                    <a:prstGeom prst="rect">
                      <a:avLst/>
                    </a:prstGeom>
                    <a:noFill/>
                    <a:ln w="9525">
                      <a:noFill/>
                      <a:miter lim="800000"/>
                      <a:headEnd/>
                      <a:tailEnd/>
                    </a:ln>
                  </pic:spPr>
                </pic:pic>
              </a:graphicData>
            </a:graphic>
          </wp:inline>
        </w:drawing>
      </w:r>
    </w:p>
    <w:p w:rsidR="00EE5CF1" w:rsidRDefault="00EE5CF1" w:rsidP="00EE5CF1">
      <w:pPr>
        <w:spacing w:before="120" w:after="240"/>
        <w:contextualSpacing/>
        <w:jc w:val="both"/>
        <w:rPr>
          <w:rFonts w:ascii="Arial" w:hAnsi="Arial"/>
          <w:noProof/>
          <w:lang w:val="es-MX" w:eastAsia="es-MX"/>
        </w:rPr>
      </w:pPr>
    </w:p>
    <w:p w:rsidR="00AC20D4" w:rsidRDefault="00AC20D4" w:rsidP="00EE5CF1">
      <w:pPr>
        <w:spacing w:before="120" w:after="240"/>
        <w:contextualSpacing/>
        <w:jc w:val="both"/>
        <w:rPr>
          <w:rFonts w:ascii="Arial" w:hAnsi="Arial"/>
          <w:noProof/>
          <w:lang w:val="es-MX" w:eastAsia="es-MX"/>
        </w:rPr>
      </w:pPr>
    </w:p>
    <w:p w:rsidR="00AC20D4" w:rsidRPr="000F7669" w:rsidRDefault="00AC20D4" w:rsidP="00EE5CF1">
      <w:pPr>
        <w:spacing w:before="120" w:after="240"/>
        <w:contextualSpacing/>
        <w:jc w:val="both"/>
        <w:rPr>
          <w:rFonts w:ascii="Arial" w:hAnsi="Arial"/>
          <w:noProof/>
          <w:lang w:val="es-MX" w:eastAsia="es-MX"/>
        </w:rPr>
      </w:pPr>
    </w:p>
    <w:p w:rsidR="00E91C2E" w:rsidRDefault="00E91C2E">
      <w:pPr>
        <w:rPr>
          <w:rFonts w:ascii="Arial" w:hAnsi="Arial" w:cs="Arial"/>
          <w:b/>
          <w:bCs/>
          <w:spacing w:val="20"/>
          <w:szCs w:val="23"/>
        </w:rPr>
      </w:pPr>
      <w:r>
        <w:rPr>
          <w:rFonts w:ascii="Arial" w:hAnsi="Arial" w:cs="Arial"/>
          <w:b/>
          <w:bCs/>
          <w:spacing w:val="20"/>
          <w:szCs w:val="23"/>
        </w:rPr>
        <w:br w:type="page"/>
      </w:r>
    </w:p>
    <w:p w:rsidR="00EE5CF1" w:rsidRDefault="00EE5CF1"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lastRenderedPageBreak/>
        <w:t>4.5.4.- GOBIERNO HONESTO Y DE RESULTADOS.</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Este programa impulsa un gobierno democrático, moderno, transparente y sobre todo efectivo, con una clara orientación a resultados, incluyendo los mecanismos de transparencia y rendición de cuentas que permiten evaluar los alcances y resultados de la política gubernamental, diagnósticos, estrategias y líneas de acción en el combate a la corrupción, así como, fortalecer la coordinación interinstitucional y fomentar la vocación del servidor público en la toma de decisiones que beneficien a la población del Estado.</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el ejercicio 2015 se destinaron a este Eje, 8 mil 399 millones 46 mil 314 pesos, lo que representa el 13 por ciento del total devengado.</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Los temas que conforman este eje son:</w:t>
      </w:r>
    </w:p>
    <w:p w:rsidR="00AC20D4" w:rsidRPr="000F7669" w:rsidRDefault="00AC20D4"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Transparencia, rendición de cuentas y combate a la corrupción</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Estado está obligado a dar cuenta de su actuación a la sociedad, facilitando a la ciudadanía el acceso a la información para su revisión y análisis o su utilización haciendo valer su derecho de acceso a la información pública que le confiere el artículo sexto de la Constitución Política de los Estados Unidos Mexicanos.</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Este derecho de las oaxaqueñas y los oaxaqueños se reafirma en la Ley de Transparencia y Acceso a la Información Pública. Por ello, las políticas públicas que impulsa este Gobierno se centran en temas de presupuesto y gasto público, para que los ejecutores de gasto den cuenta a la sociedad de su actuación, atendiendo solicitudes, informando a través del Portal de Trasparencia Presupuestaria del Gobierno del Estado de Oaxaca o facilitando la información de su gestión pública en sus portales de internet.</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Entre las acciones realizadas destacan: Gestión para fortalecer la transparencia en el desempeño de los servidores públicos y el correcto manejo de los recursos públicos; control y seguimiento al gasto público de inversión; coordinación de la política de transparencia, participación social y gobierno abierto; implementación de la contraloría social en los municipios y localidades de nuestro Estado; seguimiento a la evolución patrimonial de los servidores públicos obligados; Aplicación de sanciones por incumplimiento de los entes en las obligaciones normativas; hacer del conocimiento de los entes fiscalizables  las </w:t>
      </w:r>
      <w:r w:rsidRPr="000F7669">
        <w:rPr>
          <w:rFonts w:ascii="Arial" w:hAnsi="Arial" w:cs="Arial"/>
          <w:spacing w:val="20"/>
          <w:szCs w:val="23"/>
        </w:rPr>
        <w:lastRenderedPageBreak/>
        <w:t xml:space="preserve">disposiciones normativas en materia de trasparencia y rendición de cuentas y la ejecución de auditorías integrales, específicas y de seguimiento. </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2015 se devengaron 162 millones 157 mil 887 pesos, el 2 por ciento del monto total devengado en este eje.</w:t>
      </w:r>
    </w:p>
    <w:p w:rsidR="00AC20D4" w:rsidRPr="000F7669" w:rsidRDefault="00AC20D4" w:rsidP="00EE5CF1">
      <w:pPr>
        <w:spacing w:before="120" w:after="240"/>
        <w:contextualSpacing/>
        <w:jc w:val="both"/>
        <w:rPr>
          <w:rFonts w:ascii="Arial" w:hAnsi="Arial" w:cs="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Fortalecimiento de las finanzas y eficiencia del gasto público</w:t>
      </w:r>
    </w:p>
    <w:p w:rsidR="00AC20D4" w:rsidRPr="000F7669" w:rsidRDefault="00AC20D4" w:rsidP="00EE5CF1">
      <w:pPr>
        <w:spacing w:before="120" w:after="240"/>
        <w:contextualSpacing/>
        <w:jc w:val="both"/>
        <w:rPr>
          <w:rFonts w:ascii="Arial" w:hAnsi="Arial" w:cs="Arial"/>
          <w:b/>
          <w:bCs/>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propósito fundamental de este programa es contar con finanzas públicas sanas y fuertes para coadyuvar en la disminución de carencias en materia de infraestructura física y social, que inciden en altos niveles de marginación y pobreza, por lo que se requiere que las políticas públicas de la hacienda pública local promuevan y generen los recursos suficientes para financiar obras y proyectos que contribuyan al abatimiento del rezago económico que prevalece en el Estado.</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De igual forma, es fundamental que la Hacienda Pública cuente con recursos financieros y marco legal fortalecido que permita  promover y llevar a cabo proyectos de inversión pública de infraestructura como carreteras, puertos, electrificación y en general, de infraestructura física, que impulse el desarrollo de las actividades productivas permitiendo elevar los niveles de competitividad, propiciando mayor dinamismo en la generación de empleos e ingresos a la población oaxaqueña.</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El financiamiento para las funciones de la Administración Pública del Estado se realizó mediante procesos de planeación, programación y </w:t>
      </w:r>
      <w:proofErr w:type="spellStart"/>
      <w:r w:rsidRPr="000F7669">
        <w:rPr>
          <w:rFonts w:ascii="Arial" w:hAnsi="Arial" w:cs="Arial"/>
          <w:spacing w:val="20"/>
          <w:szCs w:val="23"/>
        </w:rPr>
        <w:t>presupuestación</w:t>
      </w:r>
      <w:proofErr w:type="spellEnd"/>
      <w:r w:rsidRPr="000F7669">
        <w:rPr>
          <w:rFonts w:ascii="Arial" w:hAnsi="Arial" w:cs="Arial"/>
          <w:spacing w:val="20"/>
          <w:szCs w:val="23"/>
        </w:rPr>
        <w:t xml:space="preserve"> con  enfoque de resultados a través de una nueva estructura programática definida a partir del mandato misional de cada Poder, Órgano Autónomo, Dependencia o Entidad, priorizando el gasto en las actividades que mayor impacto tienen sobre la población, cuyo objetivo se direccion</w:t>
      </w:r>
      <w:r w:rsidR="001404E3">
        <w:rPr>
          <w:rFonts w:ascii="Arial" w:hAnsi="Arial" w:cs="Arial"/>
          <w:spacing w:val="20"/>
          <w:szCs w:val="23"/>
        </w:rPr>
        <w:t>ó</w:t>
      </w:r>
      <w:r w:rsidRPr="000F7669">
        <w:rPr>
          <w:rFonts w:ascii="Arial" w:hAnsi="Arial" w:cs="Arial"/>
          <w:spacing w:val="20"/>
          <w:szCs w:val="23"/>
        </w:rPr>
        <w:t xml:space="preserve"> en la generación de valor público y gasto eficiente, por lo que se establecieron los mecanismos técnicos apropiados para su ejercicio basado en las mejores prácticas nacionales e internacionales,</w:t>
      </w:r>
      <w:r w:rsidR="00AC20D4">
        <w:rPr>
          <w:rFonts w:ascii="Arial" w:hAnsi="Arial" w:cs="Arial"/>
          <w:spacing w:val="20"/>
          <w:szCs w:val="23"/>
        </w:rPr>
        <w:t xml:space="preserve"> </w:t>
      </w:r>
      <w:r w:rsidRPr="000F7669">
        <w:rPr>
          <w:rFonts w:ascii="Arial" w:hAnsi="Arial" w:cs="Arial"/>
          <w:spacing w:val="20"/>
          <w:szCs w:val="23"/>
        </w:rPr>
        <w:t>así como, la implementación del Plan Anual de Evaluación el cual se centra en la</w:t>
      </w:r>
      <w:r w:rsidR="00AC20D4">
        <w:rPr>
          <w:rFonts w:ascii="Arial" w:hAnsi="Arial" w:cs="Arial"/>
          <w:spacing w:val="20"/>
          <w:szCs w:val="23"/>
        </w:rPr>
        <w:t xml:space="preserve"> </w:t>
      </w:r>
      <w:r w:rsidRPr="000F7669">
        <w:rPr>
          <w:rFonts w:ascii="Arial" w:hAnsi="Arial" w:cs="Arial"/>
          <w:spacing w:val="20"/>
          <w:szCs w:val="23"/>
        </w:rPr>
        <w:t>evaluación del desempeño y rendición de cuentas de los programas públicos estatales.</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Las principales acciones fueron: Seguimiento y vigilancia de la recaudación de contribuciones estatales y federales; coordinación de las funciones de planeación, programación y seguimiento de la inversión pública; eficiencia en el uso de los recursos destinados a la adquisición </w:t>
      </w:r>
      <w:r w:rsidRPr="000F7669">
        <w:rPr>
          <w:rFonts w:ascii="Arial" w:hAnsi="Arial" w:cs="Arial"/>
          <w:spacing w:val="20"/>
          <w:szCs w:val="23"/>
        </w:rPr>
        <w:lastRenderedPageBreak/>
        <w:t xml:space="preserve">de bienes y servicios para la correcta funcionalidad de la Administración Pública Estatal; control y evaluación del gasto público estatal, integración del Anteproyecto de Presupuesto de Egresos 2016; cumplimiento oportuno de los compromisos contraídos mediante el esquema de PPS; y, pago y manejo responsable de la deuda pública directa y su refinanciamiento. </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presupuesto devengado en este tema fue de 2 mil 575 millones 421 mil 334 pesos, lo que representó el 31 por ciento del monto total devengado en este eje.</w:t>
      </w:r>
    </w:p>
    <w:p w:rsidR="00AC20D4" w:rsidRPr="000F7669" w:rsidRDefault="00AC20D4"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Gobierno eficaz y eficiente</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simplificación administrativa</w:t>
      </w:r>
      <w:r w:rsidR="001404E3">
        <w:rPr>
          <w:rFonts w:ascii="Arial" w:hAnsi="Arial" w:cs="Arial"/>
          <w:spacing w:val="20"/>
          <w:szCs w:val="23"/>
        </w:rPr>
        <w:t>,</w:t>
      </w:r>
      <w:r w:rsidRPr="000F7669">
        <w:rPr>
          <w:rFonts w:ascii="Arial" w:hAnsi="Arial" w:cs="Arial"/>
          <w:spacing w:val="20"/>
          <w:szCs w:val="23"/>
        </w:rPr>
        <w:t xml:space="preserve"> equivale a llevar a cabo un proceso que consiste, por un lado, en eliminar y compactar procesos administrativos que retrasan el actuar público y que los recursos lleguen con prontitud a quien los necesita, estos procesos se han venido haciendo más por tradición que por eficiencia, por lo que este Gobierno está trabajando en una reingeniería de procesos dentro de la administración pública. Como resultado de esta reingeniería, uno de los logros más sobresalientes es la implementación de procesos eficientes y eficaces en materia de planeación, programación y </w:t>
      </w:r>
      <w:proofErr w:type="spellStart"/>
      <w:r w:rsidRPr="000F7669">
        <w:rPr>
          <w:rFonts w:ascii="Arial" w:hAnsi="Arial" w:cs="Arial"/>
          <w:spacing w:val="20"/>
          <w:szCs w:val="23"/>
        </w:rPr>
        <w:t>presupuestación</w:t>
      </w:r>
      <w:proofErr w:type="spellEnd"/>
      <w:r w:rsidRPr="000F7669">
        <w:rPr>
          <w:rFonts w:ascii="Arial" w:hAnsi="Arial" w:cs="Arial"/>
          <w:spacing w:val="20"/>
          <w:szCs w:val="23"/>
        </w:rPr>
        <w:t xml:space="preserve"> con base en resultados, donde se pretende medir la eficiencia del gasto público y los resultados de las acciones de gobierno a través de indicadores de desempeño y la implementación de la metodología de Marco Lógico mediante la integración de una nueva estructura programática armónicamente articulada y armonizada con el PED 2011-2016. Con este modelo de presupuesto se elaboró el Presupuesto de Egresos del Gobierno del Estado para el ejercicio fiscal 2015 y 2016 que permitirá el seguimiento y evaluación del Plan Estatal de Desarrollo y Sistema de Evaluación del Desempeño</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También se realizó el proyecto ejecutivo de la Red de Educación, Salud y Gobierno; </w:t>
      </w:r>
      <w:r w:rsidR="001404E3">
        <w:rPr>
          <w:rFonts w:ascii="Arial" w:hAnsi="Arial" w:cs="Arial"/>
          <w:spacing w:val="20"/>
          <w:szCs w:val="23"/>
        </w:rPr>
        <w:t>l</w:t>
      </w:r>
      <w:r w:rsidRPr="000F7669">
        <w:rPr>
          <w:rFonts w:ascii="Arial" w:hAnsi="Arial" w:cs="Arial"/>
          <w:spacing w:val="20"/>
          <w:szCs w:val="23"/>
        </w:rPr>
        <w:t xml:space="preserve">icitación de bienes y servicios que el Gobierno necesita para su operación buscando la eficiencia del gasto público; Evaluación del desempeño de la administración pública estatal; control de cuotas y aportaciones del Fondo de Pensiones; entre otros. </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En este tema se devengaron 798 millones 558 mil 505 pesos, lo que representó el 10 por ciento de este eje.</w:t>
      </w:r>
    </w:p>
    <w:p w:rsidR="00AC20D4" w:rsidRPr="000F7669" w:rsidRDefault="00AC20D4"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lastRenderedPageBreak/>
        <w:t>Profesionalización y desempeño de los servidores públicos</w:t>
      </w:r>
    </w:p>
    <w:p w:rsidR="00AC20D4" w:rsidRPr="000F7669" w:rsidRDefault="00AC20D4" w:rsidP="00EE5CF1">
      <w:pPr>
        <w:spacing w:before="120" w:after="240"/>
        <w:contextualSpacing/>
        <w:jc w:val="both"/>
        <w:rPr>
          <w:rFonts w:ascii="Arial" w:hAnsi="Arial" w:cs="Arial"/>
          <w:b/>
          <w:bCs/>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desarrollo del personal de las instituciones públicas</w:t>
      </w:r>
      <w:r w:rsidR="001404E3">
        <w:rPr>
          <w:rFonts w:ascii="Arial" w:hAnsi="Arial" w:cs="Arial"/>
          <w:spacing w:val="20"/>
          <w:szCs w:val="23"/>
        </w:rPr>
        <w:t>,</w:t>
      </w:r>
      <w:r w:rsidRPr="000F7669">
        <w:rPr>
          <w:rFonts w:ascii="Arial" w:hAnsi="Arial" w:cs="Arial"/>
          <w:spacing w:val="20"/>
          <w:szCs w:val="23"/>
        </w:rPr>
        <w:t xml:space="preserve"> comprende el reclutamiento, selección, capacitación, actualización, remuneración, promoción y evaluación, entre otras actividades. Los principales argumentos a favor de la profesionalización del servicio público son: el establecimiento de reglas claras y transparentes para el reclutamiento, provisión de servidores públicos acordes a los perfiles requeridos por el puesto y las funciones. La presente Administración para el cumplimiento de este programa implementó un programa de profesionalización a los integrantes de las instituciones de seguridad pública mediante un Sistema Integral de Desarrollo, así como la modernización y capacitación de los servidores públicos.</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este tema se devengaron 192 millones 390 mil 869 pesos, lo que representa el 2 por ciento del total devengado en este eje.</w:t>
      </w:r>
    </w:p>
    <w:p w:rsidR="00AC20D4" w:rsidRPr="000F7669" w:rsidRDefault="00AC20D4" w:rsidP="00EE5CF1">
      <w:pPr>
        <w:spacing w:before="120" w:after="240"/>
        <w:contextualSpacing/>
        <w:jc w:val="both"/>
        <w:rPr>
          <w:rFonts w:ascii="Arial" w:hAnsi="Arial" w:cs="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Dignificación y nueva cultura del servicio público</w:t>
      </w:r>
    </w:p>
    <w:p w:rsidR="00AC20D4" w:rsidRPr="000F7669" w:rsidRDefault="00AC20D4" w:rsidP="00EE5CF1">
      <w:pPr>
        <w:spacing w:before="120" w:after="240"/>
        <w:contextualSpacing/>
        <w:jc w:val="both"/>
        <w:rPr>
          <w:rFonts w:ascii="Arial" w:hAnsi="Arial" w:cs="Arial"/>
          <w:b/>
          <w:bCs/>
          <w:spacing w:val="20"/>
          <w:szCs w:val="23"/>
        </w:rPr>
      </w:pPr>
    </w:p>
    <w:p w:rsidR="00EE5CF1" w:rsidRPr="000F7669" w:rsidRDefault="00EE5CF1" w:rsidP="00EE5CF1">
      <w:pPr>
        <w:autoSpaceDE w:val="0"/>
        <w:autoSpaceDN w:val="0"/>
        <w:adjustRightInd w:val="0"/>
        <w:contextualSpacing/>
        <w:jc w:val="both"/>
        <w:rPr>
          <w:rFonts w:ascii="Arial" w:hAnsi="Arial" w:cs="Arial"/>
          <w:spacing w:val="20"/>
          <w:szCs w:val="23"/>
        </w:rPr>
      </w:pPr>
      <w:r w:rsidRPr="000F7669">
        <w:rPr>
          <w:rFonts w:ascii="Arial" w:hAnsi="Arial" w:cs="Arial"/>
          <w:spacing w:val="20"/>
          <w:szCs w:val="23"/>
        </w:rPr>
        <w:t>El propósito de este Gobierno en este tema es el de establecer una nueva visión en la que el servidor público sea un agente de cambio dentro y fuera de la organización, con sensibilidad y mayores niveles de satisfacción personal y laboral. En todo proyecto de desarrollo, que busca la innovación y la creatividad, el recurso esencial que hará la diferencia a largo plazo es el capital humano y los medios que tiene para lograrlo.</w:t>
      </w:r>
    </w:p>
    <w:p w:rsidR="00EE5CF1" w:rsidRPr="000F7669" w:rsidRDefault="00EE5CF1" w:rsidP="00EE5CF1">
      <w:pPr>
        <w:autoSpaceDE w:val="0"/>
        <w:autoSpaceDN w:val="0"/>
        <w:adjustRightInd w:val="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En Oaxaca, una visión de cambio ha permeado la administración pública para mejorar sus posibilidades de desarrollo al interior y exterior del Estado, por lo que se ha trabajado en que la estructura burocrática ya no sea concebida como un medio de control con niveles organizacionales rigurosos y verticales, donde las decisiones frecuentemente se relacionaban con el abuso de autoridad y la concentración del poder; si no, como una nueva generación de servidores públicos con una identidad clara de quien presta el servicio de forma directa y amable con el público, lo que provoca motivación y poca resistencia al cambio; con valores y creencias ampliamente extendidas, las cuales reconocen la importancia social que reviste la función pública, cuyo fin es el bien común. Todos estos factores han incidido directamente en el mejoramiento del desempeño gubernamental, reafirmando y cumpliendo uno de los objetivos de esta Administración. </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lastRenderedPageBreak/>
        <w:t>Para este tema se devengaron 973 millones 538 mil 164 pesos, lo que representa el 12 por ciento del total devengado en este eje.</w:t>
      </w:r>
    </w:p>
    <w:p w:rsidR="00AC20D4" w:rsidRPr="000F7669" w:rsidRDefault="00AC20D4" w:rsidP="00EE5CF1">
      <w:pPr>
        <w:spacing w:before="120" w:after="240"/>
        <w:contextualSpacing/>
        <w:jc w:val="both"/>
        <w:rPr>
          <w:rFonts w:ascii="Arial" w:hAnsi="Arial" w:cs="Arial"/>
          <w:spacing w:val="20"/>
          <w:szCs w:val="23"/>
        </w:rPr>
      </w:pPr>
    </w:p>
    <w:p w:rsidR="00EE5CF1" w:rsidRDefault="008F433F"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t>Coordinación institucional</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coordinación institucional que deriva de la actuación pública con políticas de desarrollo incluyentes requiere de forma conjunta estructurar sus actividades con planeación para alcanzar objetivos comunes de tal manera que el uso de los recursos públicos reduzca duplicidades y propicie complementariedades compartiendo gastos en los diferentes niveles del gobierno local, con organizaciones públicas, privadas y la participación del gobierno federal.</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coordinación institucional está  considerada como una condición necesaria para resolver o mitigar los problemas y dilemas que se han derivado del desarrollo urbano, sobre todo que promueve una elevada interacción entre los diversos actores y organizaciones en los diferentes niveles de gobierno que influyen en el progreso de las ciudades y el reordenamiento de los recursos públicos.</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tal efecto, fue necesario establecer mecanismos de coordinación que impiden duplicidades en la ejecución de programas y proyectos, como ampliar y fortalecer la coordinación entre las dependencias y entidades estatales permitiendo interactuar con los actores sociales, privados y organismos internacionales. Para este fin, en 2015 se actualizó la integración de una estructura programática, en un esfuerzo coordinado entre la Secretaría de Finanzas del Poder Ejecutivo, la Jefatura de la Gubernatura como instancia técnica de evaluación y los Ejecutores de gasto. Los programas que emanan de éstas estructuras programáticas, agrupan las acciones de los Ejecutores de gasto para obtener resultados que impacten en el desarrollo del Estado.</w:t>
      </w:r>
    </w:p>
    <w:p w:rsidR="00AC20D4" w:rsidRPr="000F7669" w:rsidRDefault="00AC20D4" w:rsidP="00EE5CF1">
      <w:pPr>
        <w:spacing w:before="120" w:after="240"/>
        <w:contextualSpacing/>
        <w:jc w:val="both"/>
        <w:rPr>
          <w:rFonts w:ascii="Arial" w:hAnsi="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Asimismo, se continuó con las audiencias públicas, donde se conjuntan los diversos actores del gobierno del Estado para dar atención integral y oportuna a la demanda ciudadana. </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Para la coordinación institucional se aplicaron recursos por 3 mil 696 millones 979 mil 554 pesos, lo que representa el 44 por ciento del monto total devengado en este eje.</w:t>
      </w:r>
    </w:p>
    <w:p w:rsidR="00AC20D4" w:rsidRPr="000F7669" w:rsidRDefault="00AC20D4"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cs="Arial"/>
          <w:b/>
          <w:color w:val="7030A0"/>
          <w:spacing w:val="20"/>
          <w:szCs w:val="23"/>
          <w:highlight w:val="yellow"/>
        </w:rPr>
      </w:pPr>
      <w:r w:rsidRPr="000F7669">
        <w:rPr>
          <w:rFonts w:ascii="Arial" w:hAnsi="Arial"/>
        </w:rPr>
        <w:lastRenderedPageBreak/>
        <w:t xml:space="preserve"> </w:t>
      </w:r>
      <w:r w:rsidR="00AC20D4" w:rsidRPr="00AC20D4">
        <w:rPr>
          <w:noProof/>
          <w:lang w:val="es-MX" w:eastAsia="es-MX"/>
        </w:rPr>
        <w:drawing>
          <wp:inline distT="0" distB="0" distL="0" distR="0">
            <wp:extent cx="5882005" cy="2327220"/>
            <wp:effectExtent l="19050" t="0" r="0" b="0"/>
            <wp:docPr id="29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srcRect/>
                    <a:stretch>
                      <a:fillRect/>
                    </a:stretch>
                  </pic:blipFill>
                  <pic:spPr bwMode="auto">
                    <a:xfrm>
                      <a:off x="0" y="0"/>
                      <a:ext cx="5882005" cy="2327220"/>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s="Arial"/>
          <w:b/>
          <w:color w:val="7030A0"/>
          <w:spacing w:val="20"/>
          <w:szCs w:val="23"/>
          <w:highlight w:val="yellow"/>
        </w:rPr>
      </w:pPr>
    </w:p>
    <w:p w:rsidR="00EE5CF1" w:rsidRDefault="00EE5CF1" w:rsidP="00EE5CF1">
      <w:pPr>
        <w:spacing w:before="120" w:after="240"/>
        <w:contextualSpacing/>
        <w:jc w:val="both"/>
        <w:rPr>
          <w:rFonts w:ascii="Arial" w:hAnsi="Arial"/>
          <w:noProof/>
          <w:lang w:val="es-MX" w:eastAsia="es-MX"/>
        </w:rPr>
      </w:pPr>
    </w:p>
    <w:p w:rsidR="00AC20D4" w:rsidRPr="000F7669" w:rsidRDefault="00AC20D4" w:rsidP="00EE5CF1">
      <w:pPr>
        <w:spacing w:before="120" w:after="240"/>
        <w:contextualSpacing/>
        <w:jc w:val="both"/>
        <w:rPr>
          <w:rFonts w:ascii="Arial" w:hAnsi="Arial" w:cs="Arial"/>
          <w:b/>
          <w:color w:val="7030A0"/>
          <w:spacing w:val="20"/>
          <w:szCs w:val="23"/>
          <w:highlight w:val="yellow"/>
        </w:rPr>
      </w:pPr>
      <w:r w:rsidRPr="00AC20D4">
        <w:rPr>
          <w:noProof/>
          <w:szCs w:val="23"/>
          <w:lang w:val="es-MX" w:eastAsia="es-MX"/>
        </w:rPr>
        <w:drawing>
          <wp:inline distT="0" distB="0" distL="0" distR="0">
            <wp:extent cx="5882005" cy="2156426"/>
            <wp:effectExtent l="19050" t="0" r="4445" b="0"/>
            <wp:docPr id="29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srcRect/>
                    <a:stretch>
                      <a:fillRect/>
                    </a:stretch>
                  </pic:blipFill>
                  <pic:spPr bwMode="auto">
                    <a:xfrm>
                      <a:off x="0" y="0"/>
                      <a:ext cx="5882005" cy="2156426"/>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olor w:val="C00000"/>
          <w:spacing w:val="20"/>
        </w:rPr>
      </w:pPr>
    </w:p>
    <w:p w:rsidR="00AC20D4" w:rsidRDefault="00AC20D4" w:rsidP="00EE5CF1">
      <w:pPr>
        <w:spacing w:before="120" w:after="240"/>
        <w:contextualSpacing/>
        <w:jc w:val="both"/>
        <w:rPr>
          <w:rFonts w:ascii="Arial" w:hAnsi="Arial" w:cs="Arial"/>
          <w:b/>
          <w:bCs/>
          <w:spacing w:val="20"/>
          <w:szCs w:val="23"/>
        </w:rPr>
      </w:pPr>
    </w:p>
    <w:p w:rsidR="00E91C2E" w:rsidRDefault="00E91C2E">
      <w:pPr>
        <w:rPr>
          <w:rFonts w:ascii="Arial" w:hAnsi="Arial" w:cs="Arial"/>
          <w:b/>
          <w:bCs/>
          <w:spacing w:val="20"/>
          <w:szCs w:val="23"/>
        </w:rPr>
      </w:pPr>
      <w:r>
        <w:rPr>
          <w:rFonts w:ascii="Arial" w:hAnsi="Arial" w:cs="Arial"/>
          <w:b/>
          <w:bCs/>
          <w:spacing w:val="20"/>
          <w:szCs w:val="23"/>
        </w:rPr>
        <w:br w:type="page"/>
      </w:r>
    </w:p>
    <w:p w:rsidR="00EE5CF1" w:rsidRDefault="00EE5CF1" w:rsidP="00EE5CF1">
      <w:pPr>
        <w:spacing w:before="120" w:after="240"/>
        <w:contextualSpacing/>
        <w:jc w:val="both"/>
        <w:rPr>
          <w:rFonts w:ascii="Arial" w:hAnsi="Arial" w:cs="Arial"/>
          <w:b/>
          <w:bCs/>
          <w:spacing w:val="20"/>
          <w:szCs w:val="23"/>
        </w:rPr>
      </w:pPr>
      <w:r w:rsidRPr="000F7669">
        <w:rPr>
          <w:rFonts w:ascii="Arial" w:hAnsi="Arial" w:cs="Arial"/>
          <w:b/>
          <w:bCs/>
          <w:spacing w:val="20"/>
          <w:szCs w:val="23"/>
        </w:rPr>
        <w:lastRenderedPageBreak/>
        <w:t>4.6.-CLASIFICACIÓN ADMINISTRATIVA</w:t>
      </w:r>
    </w:p>
    <w:p w:rsidR="00AC20D4" w:rsidRPr="000F7669" w:rsidRDefault="00AC20D4" w:rsidP="00EE5CF1">
      <w:pPr>
        <w:spacing w:before="120" w:after="240"/>
        <w:contextualSpacing/>
        <w:jc w:val="both"/>
        <w:rPr>
          <w:rFonts w:ascii="Arial" w:hAnsi="Arial" w:cs="Arial"/>
          <w:b/>
          <w:bCs/>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 clasificación Administrativa define al ejecutor o administrador directo de los recursos públicos. Permite identificar a los ejecutores y responsables del gasto público y facilita su ubicación, ya que muestra los recursos asignados a las dependencias y entidades.</w:t>
      </w:r>
    </w:p>
    <w:p w:rsidR="00AC20D4" w:rsidRPr="000F7669" w:rsidRDefault="00AC20D4" w:rsidP="00EE5CF1">
      <w:pPr>
        <w:spacing w:before="120" w:after="240"/>
        <w:contextualSpacing/>
        <w:jc w:val="both"/>
        <w:rPr>
          <w:rFonts w:ascii="Arial" w:hAnsi="Arial"/>
          <w:spacing w:val="20"/>
        </w:rPr>
      </w:pPr>
    </w:p>
    <w:p w:rsidR="00EE5CF1" w:rsidRDefault="00EE5CF1" w:rsidP="00EE5CF1">
      <w:pPr>
        <w:contextualSpacing/>
        <w:jc w:val="both"/>
        <w:rPr>
          <w:rFonts w:ascii="Arial" w:hAnsi="Arial" w:cs="Arial"/>
          <w:spacing w:val="20"/>
          <w:szCs w:val="23"/>
        </w:rPr>
      </w:pPr>
      <w:r w:rsidRPr="000F7669">
        <w:rPr>
          <w:rFonts w:ascii="Arial" w:hAnsi="Arial" w:cs="Arial"/>
          <w:spacing w:val="20"/>
          <w:szCs w:val="23"/>
        </w:rPr>
        <w:t>Tiene como propósitos básicos identificar las unidades administrativas a través de las cuales se realiza la asignación, gestión y rendición de los recursos financieros públicos, así como establecer las bases institucionales y sectoriales para la elaboración y análisis de las estadísticas fiscales, organizadas y agregadas mediante su integración y consolidación, tal como lo requieren las mejores prácticas y los modelos universales establecidos en la materia. Esta clasificación además permite delimitar con precisión el ámbito del Sector Público de cada orden de gobierno y por ende los alcances de su probable responsabilidad fiscal y cuasi fiscal.</w:t>
      </w:r>
    </w:p>
    <w:p w:rsidR="00AC20D4" w:rsidRPr="000F7669" w:rsidRDefault="00AC20D4" w:rsidP="00EE5CF1">
      <w:pPr>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Conforme a esta clasificación, el gasto público que se informa en este periodo abarca las actuaciones, en el marco de su competencia, de los Poderes Legislativo, Ejecutivo, Judicial, de los Órganos Autónomos y de los Municipios;</w:t>
      </w:r>
    </w:p>
    <w:p w:rsidR="00AC20D4" w:rsidRPr="000F7669" w:rsidRDefault="00AC20D4" w:rsidP="00EE5CF1">
      <w:pPr>
        <w:spacing w:before="120" w:after="240"/>
        <w:contextualSpacing/>
        <w:jc w:val="both"/>
        <w:rPr>
          <w:rFonts w:ascii="Arial" w:hAnsi="Arial" w:cs="Arial"/>
          <w:spacing w:val="20"/>
          <w:szCs w:val="23"/>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gasto total devengado en 2015, fue de 66 mil 57 millones 871 mil 164 pesos.</w:t>
      </w:r>
    </w:p>
    <w:p w:rsidR="00AC20D4" w:rsidRPr="000F7669" w:rsidRDefault="00AC20D4"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Con base en esta clasificación, el Poder Legislativo, el Poder Judicial y los Órganos Autónomos; en conjunto devengaron la cantidad de 3 mil 22 millones 737 mil 933 pesos que representa el 5 por ciento del monto total del presupuesto devengado durante 2015.</w:t>
      </w:r>
    </w:p>
    <w:p w:rsidR="00AC20D4" w:rsidRPr="000F7669" w:rsidRDefault="00AC20D4"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Las actividades realizadas por las dependencias de la Administración Pública Centralizada tuvieron una asignación de 13 mil 894 millones 217 mil 553 pesos que representa el 21 por ciento del monto total del presupuesto devengado durante 2015.</w:t>
      </w:r>
    </w:p>
    <w:p w:rsidR="00AC20D4" w:rsidRPr="000F7669" w:rsidRDefault="00AC20D4" w:rsidP="00EE5CF1">
      <w:pPr>
        <w:spacing w:before="120" w:after="240"/>
        <w:contextualSpacing/>
        <w:jc w:val="both"/>
        <w:rPr>
          <w:rFonts w:ascii="Arial" w:hAnsi="Arial"/>
          <w:spacing w:val="20"/>
        </w:rPr>
      </w:pP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 xml:space="preserve">Mientras tanto la Administración Pública Paraestatal devengó la cantidad de 34 mil 241 millones 129 mil 446 pesos, significando el 52 por ciento del total devengado durante el ejercicio 2015. </w:t>
      </w:r>
    </w:p>
    <w:p w:rsidR="00AC20D4" w:rsidRPr="000F7669" w:rsidRDefault="00AC20D4" w:rsidP="00EE5CF1">
      <w:pPr>
        <w:spacing w:before="120" w:after="240"/>
        <w:contextualSpacing/>
        <w:jc w:val="both"/>
        <w:rPr>
          <w:rFonts w:ascii="Arial" w:hAnsi="Arial" w:cs="Arial"/>
          <w:spacing w:val="20"/>
          <w:szCs w:val="23"/>
        </w:rPr>
      </w:pPr>
    </w:p>
    <w:p w:rsidR="00EE5CF1" w:rsidRPr="000F7669" w:rsidRDefault="00EE5CF1" w:rsidP="00EE5CF1">
      <w:pPr>
        <w:spacing w:before="120" w:after="240"/>
        <w:contextualSpacing/>
        <w:jc w:val="both"/>
        <w:rPr>
          <w:rFonts w:ascii="Arial" w:hAnsi="Arial"/>
          <w:spacing w:val="20"/>
        </w:rPr>
      </w:pPr>
      <w:r w:rsidRPr="000F7669">
        <w:rPr>
          <w:rFonts w:ascii="Arial" w:hAnsi="Arial" w:cs="Arial"/>
          <w:spacing w:val="20"/>
          <w:szCs w:val="23"/>
        </w:rPr>
        <w:lastRenderedPageBreak/>
        <w:t>Los 570 municipios que conforman el territorio del Estado de Oaxaca devengaron recursos por la cantidad de 14 mil 899 millones 786 mil 232 pesos, que representa el 23 por ciento del total que se devengo en 2015.</w:t>
      </w:r>
    </w:p>
    <w:p w:rsidR="00EE5CF1" w:rsidRDefault="00EE5CF1" w:rsidP="00EE5CF1">
      <w:pPr>
        <w:spacing w:before="120" w:after="240"/>
        <w:contextualSpacing/>
        <w:jc w:val="both"/>
        <w:rPr>
          <w:rFonts w:ascii="Arial" w:hAnsi="Arial" w:cs="Arial"/>
          <w:spacing w:val="20"/>
          <w:szCs w:val="23"/>
        </w:rPr>
      </w:pPr>
      <w:r w:rsidRPr="000F7669">
        <w:rPr>
          <w:rFonts w:ascii="Arial" w:hAnsi="Arial" w:cs="Arial"/>
          <w:spacing w:val="20"/>
          <w:szCs w:val="23"/>
        </w:rPr>
        <w:t>El gasto devengado por los municipios, está conformado por recursos recibidos de: El Fondo General de Participaciones (RAMO 28); el Subsidio para Seguridad Municipal (SUBSEMUN); el Fondo de Aportaciones para la Infraestructura Social Municipal (FAIS-FISM); el Fondo para el Fortalecimiento Municipal (FORTAMUN); el Fondo de Aportaciones para Infraestructura Educativa Básica (FAM-IEB); y, el Fondo de Aportaciones para el Fortalecimiento de Entidades Federativas (FAFEF). Asimismo comprende programas de gasto federal reasignado, como los siguientes: Turismo (RAMO 21); Aportaciones Municipales Concertadas; y, Seguridad Pública (RAMO 36).</w:t>
      </w:r>
    </w:p>
    <w:p w:rsidR="00AC20D4" w:rsidRPr="000F7669" w:rsidRDefault="00AC20D4" w:rsidP="00EE5CF1">
      <w:pPr>
        <w:spacing w:before="120" w:after="240"/>
        <w:contextualSpacing/>
        <w:jc w:val="both"/>
        <w:rPr>
          <w:rFonts w:ascii="Arial" w:hAnsi="Arial" w:cs="Arial"/>
          <w:spacing w:val="20"/>
          <w:szCs w:val="23"/>
        </w:rPr>
      </w:pPr>
    </w:p>
    <w:p w:rsidR="00EE5CF1" w:rsidRPr="000F7669" w:rsidRDefault="00442330" w:rsidP="00EE5CF1">
      <w:pPr>
        <w:spacing w:before="120" w:after="240"/>
        <w:contextualSpacing/>
        <w:jc w:val="both"/>
        <w:rPr>
          <w:rFonts w:ascii="Arial" w:hAnsi="Arial" w:cs="Arial"/>
          <w:color w:val="C00000"/>
          <w:spacing w:val="20"/>
          <w:szCs w:val="23"/>
        </w:rPr>
      </w:pPr>
      <w:r w:rsidRPr="00442330">
        <w:rPr>
          <w:noProof/>
          <w:szCs w:val="23"/>
          <w:lang w:val="es-MX" w:eastAsia="es-MX"/>
        </w:rPr>
        <w:drawing>
          <wp:inline distT="0" distB="0" distL="0" distR="0">
            <wp:extent cx="5882005" cy="1884279"/>
            <wp:effectExtent l="19050" t="0" r="4445" b="0"/>
            <wp:docPr id="4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srcRect/>
                    <a:stretch>
                      <a:fillRect/>
                    </a:stretch>
                  </pic:blipFill>
                  <pic:spPr bwMode="auto">
                    <a:xfrm>
                      <a:off x="0" y="0"/>
                      <a:ext cx="5882005" cy="1884279"/>
                    </a:xfrm>
                    <a:prstGeom prst="rect">
                      <a:avLst/>
                    </a:prstGeom>
                    <a:noFill/>
                    <a:ln w="9525">
                      <a:noFill/>
                      <a:miter lim="800000"/>
                      <a:headEnd/>
                      <a:tailEnd/>
                    </a:ln>
                  </pic:spPr>
                </pic:pic>
              </a:graphicData>
            </a:graphic>
          </wp:inline>
        </w:drawing>
      </w:r>
    </w:p>
    <w:p w:rsidR="00EE5CF1" w:rsidRDefault="00EE5CF1" w:rsidP="00EE5CF1">
      <w:pPr>
        <w:spacing w:before="120" w:after="240"/>
        <w:contextualSpacing/>
        <w:jc w:val="both"/>
        <w:rPr>
          <w:rFonts w:ascii="Arial" w:hAnsi="Arial"/>
          <w:noProof/>
          <w:lang w:val="es-MX" w:eastAsia="es-MX"/>
        </w:rPr>
      </w:pPr>
    </w:p>
    <w:p w:rsidR="00F94FAA" w:rsidRPr="000F7669" w:rsidRDefault="00F94FAA" w:rsidP="00EE5CF1">
      <w:pPr>
        <w:spacing w:before="120" w:after="240"/>
        <w:contextualSpacing/>
        <w:jc w:val="both"/>
        <w:rPr>
          <w:rFonts w:ascii="Arial" w:hAnsi="Arial" w:cs="Arial"/>
          <w:color w:val="C00000"/>
          <w:spacing w:val="20"/>
          <w:szCs w:val="23"/>
        </w:rPr>
      </w:pPr>
      <w:r w:rsidRPr="00F94FAA">
        <w:rPr>
          <w:noProof/>
          <w:szCs w:val="23"/>
          <w:lang w:val="es-MX" w:eastAsia="es-MX"/>
        </w:rPr>
        <w:drawing>
          <wp:inline distT="0" distB="0" distL="0" distR="0">
            <wp:extent cx="5882005" cy="2854621"/>
            <wp:effectExtent l="19050" t="0" r="4445" b="0"/>
            <wp:docPr id="30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srcRect/>
                    <a:stretch>
                      <a:fillRect/>
                    </a:stretch>
                  </pic:blipFill>
                  <pic:spPr bwMode="auto">
                    <a:xfrm>
                      <a:off x="0" y="0"/>
                      <a:ext cx="5882005" cy="2854621"/>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s="Arial"/>
          <w:color w:val="C00000"/>
          <w:spacing w:val="20"/>
          <w:szCs w:val="23"/>
        </w:rPr>
      </w:pPr>
    </w:p>
    <w:p w:rsidR="00EE5CF1" w:rsidRPr="000F7669" w:rsidRDefault="00EE5CF1" w:rsidP="00EE5CF1">
      <w:pPr>
        <w:spacing w:before="120" w:after="240"/>
        <w:contextualSpacing/>
        <w:jc w:val="both"/>
        <w:rPr>
          <w:rFonts w:ascii="Arial" w:hAnsi="Arial" w:cs="Arial"/>
          <w:color w:val="C00000"/>
          <w:spacing w:val="20"/>
          <w:szCs w:val="23"/>
        </w:rPr>
      </w:pPr>
    </w:p>
    <w:p w:rsidR="00EE5CF1" w:rsidRPr="000F7669" w:rsidRDefault="00F94FAA" w:rsidP="00EE5CF1">
      <w:pPr>
        <w:spacing w:before="120" w:after="240"/>
        <w:contextualSpacing/>
        <w:jc w:val="both"/>
        <w:rPr>
          <w:rFonts w:ascii="Arial" w:hAnsi="Arial"/>
          <w:noProof/>
          <w:lang w:val="es-MX" w:eastAsia="es-MX"/>
        </w:rPr>
      </w:pPr>
      <w:r w:rsidRPr="00F94FAA">
        <w:rPr>
          <w:noProof/>
          <w:lang w:val="es-MX" w:eastAsia="es-MX"/>
        </w:rPr>
        <w:drawing>
          <wp:inline distT="0" distB="0" distL="0" distR="0">
            <wp:extent cx="5882005" cy="6821801"/>
            <wp:effectExtent l="19050" t="0" r="4445" b="0"/>
            <wp:docPr id="30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a:srcRect/>
                    <a:stretch>
                      <a:fillRect/>
                    </a:stretch>
                  </pic:blipFill>
                  <pic:spPr bwMode="auto">
                    <a:xfrm>
                      <a:off x="0" y="0"/>
                      <a:ext cx="5882005" cy="6821801"/>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noProof/>
          <w:lang w:val="es-MX" w:eastAsia="es-MX"/>
        </w:rPr>
      </w:pPr>
    </w:p>
    <w:p w:rsidR="00EE5CF1" w:rsidRDefault="00EE5CF1" w:rsidP="00EE5CF1">
      <w:pPr>
        <w:spacing w:before="120" w:after="240"/>
        <w:contextualSpacing/>
        <w:jc w:val="both"/>
        <w:rPr>
          <w:rFonts w:ascii="Arial" w:hAnsi="Arial"/>
          <w:noProof/>
          <w:lang w:val="es-MX" w:eastAsia="es-MX"/>
        </w:rPr>
      </w:pPr>
    </w:p>
    <w:p w:rsidR="00F94FAA" w:rsidRPr="000F7669" w:rsidRDefault="00F94FAA" w:rsidP="00EE5CF1">
      <w:pPr>
        <w:spacing w:before="120" w:after="240"/>
        <w:contextualSpacing/>
        <w:jc w:val="both"/>
        <w:rPr>
          <w:rFonts w:ascii="Arial" w:hAnsi="Arial"/>
          <w:noProof/>
          <w:lang w:val="es-MX" w:eastAsia="es-MX"/>
        </w:rPr>
      </w:pPr>
      <w:r w:rsidRPr="00F94FAA">
        <w:rPr>
          <w:noProof/>
          <w:lang w:val="es-MX" w:eastAsia="es-MX"/>
        </w:rPr>
        <w:drawing>
          <wp:inline distT="0" distB="0" distL="0" distR="0">
            <wp:extent cx="5882005" cy="6441044"/>
            <wp:effectExtent l="19050" t="0" r="4445" b="0"/>
            <wp:docPr id="30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a:srcRect/>
                    <a:stretch>
                      <a:fillRect/>
                    </a:stretch>
                  </pic:blipFill>
                  <pic:spPr bwMode="auto">
                    <a:xfrm>
                      <a:off x="0" y="0"/>
                      <a:ext cx="5882005" cy="6441044"/>
                    </a:xfrm>
                    <a:prstGeom prst="rect">
                      <a:avLst/>
                    </a:prstGeom>
                    <a:noFill/>
                    <a:ln w="9525">
                      <a:noFill/>
                      <a:miter lim="800000"/>
                      <a:headEnd/>
                      <a:tailEnd/>
                    </a:ln>
                  </pic:spPr>
                </pic:pic>
              </a:graphicData>
            </a:graphic>
          </wp:inline>
        </w:drawing>
      </w:r>
    </w:p>
    <w:p w:rsidR="00EE5CF1" w:rsidRDefault="00EE5CF1" w:rsidP="00EE5CF1">
      <w:pPr>
        <w:spacing w:before="120" w:after="240"/>
        <w:contextualSpacing/>
        <w:jc w:val="both"/>
        <w:rPr>
          <w:rFonts w:ascii="Arial" w:hAnsi="Arial"/>
          <w:color w:val="C00000"/>
          <w:spacing w:val="20"/>
        </w:rPr>
      </w:pPr>
    </w:p>
    <w:p w:rsidR="00F94FAA" w:rsidRDefault="00F94FAA" w:rsidP="00EE5CF1">
      <w:pPr>
        <w:spacing w:before="120" w:after="240"/>
        <w:contextualSpacing/>
        <w:jc w:val="both"/>
        <w:rPr>
          <w:rFonts w:ascii="Arial" w:hAnsi="Arial"/>
          <w:color w:val="C00000"/>
          <w:spacing w:val="20"/>
        </w:rPr>
      </w:pPr>
    </w:p>
    <w:p w:rsidR="00D1241D" w:rsidRDefault="00D1241D" w:rsidP="00EE5CF1">
      <w:pPr>
        <w:spacing w:before="120" w:after="240"/>
        <w:contextualSpacing/>
        <w:jc w:val="both"/>
        <w:rPr>
          <w:rFonts w:ascii="Arial" w:hAnsi="Arial"/>
          <w:color w:val="C00000"/>
          <w:spacing w:val="20"/>
        </w:rPr>
      </w:pPr>
    </w:p>
    <w:p w:rsidR="00D1241D" w:rsidRDefault="00D1241D" w:rsidP="00EE5CF1">
      <w:pPr>
        <w:spacing w:before="120" w:after="240"/>
        <w:contextualSpacing/>
        <w:jc w:val="both"/>
        <w:rPr>
          <w:rFonts w:ascii="Arial" w:hAnsi="Arial"/>
          <w:color w:val="C00000"/>
          <w:spacing w:val="20"/>
        </w:rPr>
      </w:pPr>
    </w:p>
    <w:p w:rsidR="00D1241D" w:rsidRDefault="00D1241D" w:rsidP="00EE5CF1">
      <w:pPr>
        <w:spacing w:before="120" w:after="240"/>
        <w:contextualSpacing/>
        <w:jc w:val="both"/>
        <w:rPr>
          <w:rFonts w:ascii="Arial" w:hAnsi="Arial"/>
          <w:color w:val="C00000"/>
          <w:spacing w:val="20"/>
        </w:rPr>
      </w:pPr>
    </w:p>
    <w:p w:rsidR="00F94FAA" w:rsidRDefault="00F94FAA" w:rsidP="00EE5CF1">
      <w:pPr>
        <w:spacing w:before="120" w:after="240"/>
        <w:contextualSpacing/>
        <w:jc w:val="both"/>
        <w:rPr>
          <w:rFonts w:ascii="Arial" w:hAnsi="Arial"/>
          <w:color w:val="C00000"/>
          <w:spacing w:val="20"/>
        </w:rPr>
      </w:pPr>
    </w:p>
    <w:p w:rsidR="00F94FAA" w:rsidRDefault="00F94FAA" w:rsidP="00EE5CF1">
      <w:pPr>
        <w:spacing w:before="120" w:after="240"/>
        <w:contextualSpacing/>
        <w:jc w:val="both"/>
        <w:rPr>
          <w:rFonts w:ascii="Arial" w:hAnsi="Arial"/>
          <w:color w:val="C00000"/>
          <w:spacing w:val="20"/>
        </w:rPr>
      </w:pPr>
      <w:r w:rsidRPr="00F94FAA">
        <w:rPr>
          <w:noProof/>
          <w:lang w:val="es-MX" w:eastAsia="es-MX"/>
        </w:rPr>
        <w:drawing>
          <wp:inline distT="0" distB="0" distL="0" distR="0">
            <wp:extent cx="5882005" cy="6648614"/>
            <wp:effectExtent l="19050" t="0" r="4445" b="0"/>
            <wp:docPr id="30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a:srcRect/>
                    <a:stretch>
                      <a:fillRect/>
                    </a:stretch>
                  </pic:blipFill>
                  <pic:spPr bwMode="auto">
                    <a:xfrm>
                      <a:off x="0" y="0"/>
                      <a:ext cx="5882005" cy="6648614"/>
                    </a:xfrm>
                    <a:prstGeom prst="rect">
                      <a:avLst/>
                    </a:prstGeom>
                    <a:noFill/>
                    <a:ln w="9525">
                      <a:noFill/>
                      <a:miter lim="800000"/>
                      <a:headEnd/>
                      <a:tailEnd/>
                    </a:ln>
                  </pic:spPr>
                </pic:pic>
              </a:graphicData>
            </a:graphic>
          </wp:inline>
        </w:drawing>
      </w:r>
    </w:p>
    <w:p w:rsidR="00F94FAA" w:rsidRDefault="00F94FAA" w:rsidP="00EE5CF1">
      <w:pPr>
        <w:spacing w:before="120" w:after="240"/>
        <w:contextualSpacing/>
        <w:jc w:val="both"/>
        <w:rPr>
          <w:rFonts w:ascii="Arial" w:hAnsi="Arial"/>
          <w:color w:val="C00000"/>
          <w:spacing w:val="20"/>
        </w:rPr>
      </w:pPr>
    </w:p>
    <w:p w:rsidR="00F94FAA" w:rsidRDefault="00F94FAA" w:rsidP="00EE5CF1">
      <w:pPr>
        <w:spacing w:before="120" w:after="240"/>
        <w:contextualSpacing/>
        <w:jc w:val="both"/>
        <w:rPr>
          <w:rFonts w:ascii="Arial" w:hAnsi="Arial"/>
          <w:color w:val="C00000"/>
          <w:spacing w:val="20"/>
        </w:rPr>
      </w:pPr>
    </w:p>
    <w:p w:rsidR="00F94FAA" w:rsidRDefault="00F94FAA" w:rsidP="00EE5CF1">
      <w:pPr>
        <w:spacing w:before="120" w:after="240"/>
        <w:contextualSpacing/>
        <w:jc w:val="both"/>
        <w:rPr>
          <w:rFonts w:ascii="Arial" w:hAnsi="Arial"/>
          <w:color w:val="C00000"/>
          <w:spacing w:val="20"/>
        </w:rPr>
      </w:pPr>
    </w:p>
    <w:p w:rsidR="00F94FAA" w:rsidRDefault="00F94FAA" w:rsidP="00EE5CF1">
      <w:pPr>
        <w:spacing w:before="120" w:after="240"/>
        <w:contextualSpacing/>
        <w:jc w:val="both"/>
        <w:rPr>
          <w:rFonts w:ascii="Arial" w:hAnsi="Arial"/>
          <w:color w:val="C00000"/>
          <w:spacing w:val="20"/>
        </w:rPr>
      </w:pPr>
    </w:p>
    <w:p w:rsidR="00F94FAA" w:rsidRPr="000F7669" w:rsidRDefault="00F94FAA" w:rsidP="00EE5CF1">
      <w:pPr>
        <w:spacing w:before="120" w:after="240"/>
        <w:contextualSpacing/>
        <w:jc w:val="both"/>
        <w:rPr>
          <w:rFonts w:ascii="Arial" w:hAnsi="Arial"/>
          <w:color w:val="C00000"/>
          <w:spacing w:val="20"/>
        </w:rPr>
      </w:pPr>
    </w:p>
    <w:p w:rsidR="00EE5CF1" w:rsidRPr="000F7669" w:rsidRDefault="00442330" w:rsidP="00EE5CF1">
      <w:pPr>
        <w:spacing w:before="120" w:after="240"/>
        <w:contextualSpacing/>
        <w:jc w:val="both"/>
        <w:rPr>
          <w:rFonts w:ascii="Arial" w:hAnsi="Arial"/>
          <w:color w:val="C00000"/>
          <w:spacing w:val="20"/>
        </w:rPr>
      </w:pPr>
      <w:r w:rsidRPr="00442330">
        <w:rPr>
          <w:noProof/>
          <w:lang w:val="es-MX" w:eastAsia="es-MX"/>
        </w:rPr>
        <w:drawing>
          <wp:inline distT="0" distB="0" distL="0" distR="0">
            <wp:extent cx="5882005" cy="2376568"/>
            <wp:effectExtent l="19050" t="0" r="4445" b="0"/>
            <wp:docPr id="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srcRect/>
                    <a:stretch>
                      <a:fillRect/>
                    </a:stretch>
                  </pic:blipFill>
                  <pic:spPr bwMode="auto">
                    <a:xfrm>
                      <a:off x="0" y="0"/>
                      <a:ext cx="5882005" cy="2376568"/>
                    </a:xfrm>
                    <a:prstGeom prst="rect">
                      <a:avLst/>
                    </a:prstGeom>
                    <a:noFill/>
                    <a:ln w="9525">
                      <a:noFill/>
                      <a:miter lim="800000"/>
                      <a:headEnd/>
                      <a:tailEnd/>
                    </a:ln>
                  </pic:spPr>
                </pic:pic>
              </a:graphicData>
            </a:graphic>
          </wp:inline>
        </w:drawing>
      </w:r>
    </w:p>
    <w:p w:rsidR="00EE5CF1" w:rsidRPr="000F7669" w:rsidRDefault="00EE5CF1" w:rsidP="00EE5CF1">
      <w:pPr>
        <w:spacing w:before="120" w:after="240"/>
        <w:contextualSpacing/>
        <w:jc w:val="both"/>
        <w:rPr>
          <w:rFonts w:ascii="Arial" w:hAnsi="Arial"/>
          <w:color w:val="C00000"/>
          <w:spacing w:val="20"/>
        </w:rPr>
      </w:pPr>
    </w:p>
    <w:p w:rsidR="00EE5CF1" w:rsidRPr="000F7669" w:rsidRDefault="00EE5CF1" w:rsidP="00EE5CF1">
      <w:pPr>
        <w:spacing w:before="120" w:after="240"/>
        <w:contextualSpacing/>
        <w:jc w:val="both"/>
        <w:rPr>
          <w:rFonts w:ascii="Arial" w:hAnsi="Arial"/>
          <w:spacing w:val="20"/>
        </w:rPr>
      </w:pPr>
    </w:p>
    <w:p w:rsidR="00EE5CF1" w:rsidRPr="000F7669" w:rsidRDefault="00EE5CF1" w:rsidP="00EE5CF1">
      <w:pPr>
        <w:contextualSpacing/>
        <w:rPr>
          <w:rFonts w:ascii="Arial" w:eastAsia="Calibri" w:hAnsi="Arial"/>
        </w:rPr>
      </w:pPr>
    </w:p>
    <w:p w:rsidR="00EE5CF1" w:rsidRDefault="00EE5CF1" w:rsidP="00762698">
      <w:pPr>
        <w:contextualSpacing/>
        <w:jc w:val="both"/>
        <w:rPr>
          <w:rFonts w:ascii="Arial" w:hAnsi="Arial" w:cs="Arial"/>
          <w:b/>
          <w:spacing w:val="20"/>
          <w:kern w:val="2"/>
        </w:rPr>
      </w:pPr>
    </w:p>
    <w:p w:rsidR="00EE5CF1" w:rsidRDefault="00EE5CF1" w:rsidP="00762698">
      <w:pPr>
        <w:contextualSpacing/>
        <w:jc w:val="both"/>
        <w:rPr>
          <w:rFonts w:ascii="Arial" w:hAnsi="Arial" w:cs="Arial"/>
          <w:b/>
          <w:spacing w:val="20"/>
          <w:kern w:val="2"/>
        </w:rPr>
      </w:pPr>
    </w:p>
    <w:p w:rsidR="00EE5CF1" w:rsidRPr="00D83D8E" w:rsidRDefault="00EE5CF1" w:rsidP="00762698">
      <w:pPr>
        <w:contextualSpacing/>
        <w:jc w:val="both"/>
        <w:rPr>
          <w:rFonts w:ascii="Arial" w:hAnsi="Arial" w:cs="Arial"/>
          <w:b/>
          <w:spacing w:val="20"/>
          <w:kern w:val="2"/>
        </w:rPr>
      </w:pPr>
    </w:p>
    <w:p w:rsidR="00F35602" w:rsidRDefault="00F35602">
      <w:pPr>
        <w:rPr>
          <w:rFonts w:ascii="Arial" w:hAnsi="Arial" w:cs="Arial"/>
          <w:kern w:val="2"/>
        </w:rPr>
      </w:pPr>
      <w:r>
        <w:rPr>
          <w:rFonts w:ascii="Arial" w:hAnsi="Arial" w:cs="Arial"/>
          <w:kern w:val="2"/>
        </w:rPr>
        <w:br w:type="page"/>
      </w:r>
    </w:p>
    <w:p w:rsidR="00812F69" w:rsidRPr="0002002E" w:rsidRDefault="00812F69" w:rsidP="00812F69">
      <w:pPr>
        <w:contextualSpacing/>
        <w:rPr>
          <w:rFonts w:ascii="Arial" w:hAnsi="Arial" w:cs="Arial"/>
          <w:b/>
          <w:spacing w:val="20"/>
          <w:kern w:val="2"/>
        </w:rPr>
      </w:pPr>
      <w:r w:rsidRPr="0002002E">
        <w:rPr>
          <w:rFonts w:ascii="Arial" w:hAnsi="Arial" w:cs="Arial"/>
          <w:b/>
          <w:spacing w:val="20"/>
          <w:kern w:val="2"/>
        </w:rPr>
        <w:lastRenderedPageBreak/>
        <w:t>4.7.- GASTO DE CAPITAL.</w:t>
      </w:r>
    </w:p>
    <w:p w:rsidR="00812F69" w:rsidRPr="0002002E" w:rsidRDefault="00812F69" w:rsidP="00812F69">
      <w:pPr>
        <w:contextualSpacing/>
        <w:jc w:val="both"/>
        <w:rPr>
          <w:rFonts w:ascii="Arial" w:hAnsi="Arial" w:cs="Arial"/>
          <w:spacing w:val="20"/>
          <w:kern w:val="2"/>
        </w:rPr>
      </w:pPr>
    </w:p>
    <w:p w:rsidR="00812F69" w:rsidRPr="0002002E" w:rsidRDefault="00812F69" w:rsidP="00812F69">
      <w:pPr>
        <w:contextualSpacing/>
        <w:jc w:val="both"/>
        <w:rPr>
          <w:rFonts w:ascii="Arial" w:hAnsi="Arial" w:cs="Arial"/>
          <w:b/>
          <w:spacing w:val="20"/>
          <w:kern w:val="2"/>
        </w:rPr>
      </w:pPr>
      <w:r w:rsidRPr="0002002E">
        <w:rPr>
          <w:rFonts w:ascii="Arial" w:hAnsi="Arial" w:cs="Arial"/>
          <w:b/>
          <w:spacing w:val="20"/>
          <w:kern w:val="2"/>
        </w:rPr>
        <w:t>INVERSIÓN PÚBLICA</w:t>
      </w:r>
    </w:p>
    <w:p w:rsidR="00812F69" w:rsidRPr="0002002E" w:rsidRDefault="00812F69" w:rsidP="00812F69">
      <w:pPr>
        <w:contextualSpacing/>
        <w:jc w:val="both"/>
        <w:rPr>
          <w:rFonts w:ascii="Arial" w:hAnsi="Arial" w:cs="Arial"/>
          <w:spacing w:val="20"/>
          <w:kern w:val="2"/>
          <w:highlight w:val="yellow"/>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En este apartado se presenta un informe de la Inversión Pública devengada a través de programas y proyectos de inversión pública orientados a infraestructura física, equipamiento, y acciones encaminadas para la producción de insumos básicos y fomento de actividades productivas.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pStyle w:val="paragraph"/>
        <w:spacing w:before="0" w:beforeAutospacing="0" w:after="0" w:afterAutospacing="0"/>
        <w:contextualSpacing/>
        <w:jc w:val="both"/>
        <w:textAlignment w:val="baseline"/>
        <w:rPr>
          <w:rFonts w:ascii="Arial" w:hAnsi="Arial" w:cs="Arial"/>
          <w:spacing w:val="20"/>
          <w:kern w:val="2"/>
        </w:rPr>
      </w:pPr>
      <w:r w:rsidRPr="0002002E">
        <w:rPr>
          <w:rFonts w:ascii="Arial" w:eastAsia="Calibri" w:hAnsi="Arial" w:cs="Arial"/>
          <w:spacing w:val="20"/>
          <w:kern w:val="2"/>
          <w:lang w:val="es-ES" w:eastAsia="es-ES"/>
        </w:rPr>
        <w:t xml:space="preserve">El total devengado en este capítulo es de 9 mil 329 millones 61 mil 363 pesos. </w:t>
      </w:r>
      <w:r w:rsidRPr="0002002E">
        <w:rPr>
          <w:rFonts w:ascii="Arial" w:hAnsi="Arial" w:cs="Arial"/>
          <w:spacing w:val="20"/>
          <w:kern w:val="2"/>
        </w:rPr>
        <w:t xml:space="preserve">Dichos recursos </w:t>
      </w:r>
      <w:r w:rsidRPr="0002002E">
        <w:rPr>
          <w:rFonts w:ascii="Arial" w:eastAsia="Calibri" w:hAnsi="Arial" w:cs="Arial"/>
          <w:spacing w:val="20"/>
          <w:kern w:val="2"/>
          <w:lang w:val="es-ES" w:eastAsia="es-ES"/>
        </w:rPr>
        <w:t xml:space="preserve">provienen de tres orígenes de fuentes de financiamiento: Recursos Estatales por  la cantidad de 2 mil 158 millones 886 mil 552 pesos; Fondos de Aportaciones Federales del  Ramo General 33 por </w:t>
      </w:r>
      <w:r w:rsidR="006B41CE">
        <w:rPr>
          <w:rFonts w:ascii="Arial" w:eastAsia="Calibri" w:hAnsi="Arial" w:cs="Arial"/>
          <w:spacing w:val="20"/>
          <w:kern w:val="2"/>
          <w:lang w:val="es-ES" w:eastAsia="es-ES"/>
        </w:rPr>
        <w:t>un</w:t>
      </w:r>
      <w:r w:rsidRPr="0002002E">
        <w:rPr>
          <w:rFonts w:ascii="Arial" w:eastAsia="Calibri" w:hAnsi="Arial" w:cs="Arial"/>
          <w:spacing w:val="20"/>
          <w:kern w:val="2"/>
          <w:lang w:val="es-ES" w:eastAsia="es-ES"/>
        </w:rPr>
        <w:t xml:space="preserve"> mil 730 millones 966 mil 354 pesos; y Recursos Federales (Gasto Federal Reasignado al Estado) por 5 mil 439 millones 202 mil 458 pesos.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Estos recursos  fueron devengados por dependencias y entidades de la Administración Pública Estatal, Poder  Judicial, Organismos Autónomos y por los Municipios.</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b/>
          <w:spacing w:val="20"/>
          <w:kern w:val="2"/>
        </w:rPr>
      </w:pPr>
      <w:r w:rsidRPr="0002002E">
        <w:rPr>
          <w:rFonts w:ascii="Arial" w:eastAsia="Calibri" w:hAnsi="Arial" w:cs="Arial"/>
          <w:b/>
          <w:spacing w:val="20"/>
          <w:kern w:val="2"/>
        </w:rPr>
        <w:t xml:space="preserve">Recursos Estatales </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El total de recursos estatales ejercidos es de 2 mil 158 millones 886 mil 552 pesos; las Contribuciones Locales por la cantidad de </w:t>
      </w:r>
      <w:r w:rsidRPr="0002002E">
        <w:rPr>
          <w:rFonts w:ascii="Arial" w:eastAsia="Calibri" w:hAnsi="Arial" w:cs="Arial"/>
          <w:spacing w:val="20"/>
          <w:kern w:val="2"/>
        </w:rPr>
        <w:t xml:space="preserve">716 millones 189 mil 898 pesos </w:t>
      </w:r>
      <w:r w:rsidRPr="0002002E">
        <w:rPr>
          <w:rFonts w:ascii="Arial" w:eastAsia="Calibri" w:hAnsi="Arial" w:cs="Arial"/>
          <w:spacing w:val="20"/>
          <w:kern w:val="2"/>
          <w:lang w:val="es-ES" w:eastAsia="es-ES"/>
        </w:rPr>
        <w:t>que se devengaron principalmente a través de: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contextualSpacing/>
        <w:jc w:val="both"/>
        <w:rPr>
          <w:rFonts w:ascii="Arial" w:eastAsia="Calibri" w:hAnsi="Arial" w:cs="Arial"/>
          <w:bCs/>
          <w:spacing w:val="20"/>
          <w:kern w:val="2"/>
          <w:lang w:val="es-MX"/>
        </w:rPr>
      </w:pPr>
      <w:r w:rsidRPr="0002002E">
        <w:rPr>
          <w:rFonts w:ascii="Arial" w:eastAsia="Calibri" w:hAnsi="Arial" w:cs="Arial"/>
          <w:spacing w:val="20"/>
          <w:kern w:val="2"/>
          <w:lang w:val="es-MX"/>
        </w:rPr>
        <w:t xml:space="preserve">El </w:t>
      </w:r>
      <w:r w:rsidRPr="0002002E">
        <w:rPr>
          <w:rFonts w:ascii="Arial" w:eastAsia="Calibri" w:hAnsi="Arial" w:cs="Arial"/>
          <w:bCs/>
          <w:spacing w:val="20"/>
          <w:kern w:val="2"/>
          <w:lang w:val="es-MX"/>
        </w:rPr>
        <w:t xml:space="preserve">Colegio de Estudios Científicos y Tecnológicos del Estado de Oaxaca  devengó la suma de 649 mil 267 pesos invertidos a actividades en la educación media superior; la Secretaría de Seguridad Publica justificó 9 millones 99 mil 36 pesos, destinados a la  prevención del delito por sistema de video vigilancia c-4, a la seguridad  y protección de las personas y su patrimonio y a los servicios de profesionalización policial;  para la Secretaría de las Culturas y Artes de Oaxaca se designaron  41 millones 508 mil 262 pesos a la gestión de las políticas culturales promoción y difusión de la diversidad cultural, así como al  fortalecimiento a la formación y capacitación artística y cultural y al fomento del desarrollo cultural sustentable del estado; en lo que respecta la Comisión Estatal de Vivienda  devengó la cantidad de 53 millones 417 mil 65 pesos para el mejoramiento de vivienda y </w:t>
      </w:r>
      <w:r w:rsidRPr="0002002E">
        <w:rPr>
          <w:rFonts w:ascii="Arial" w:eastAsia="Calibri" w:hAnsi="Arial" w:cs="Arial"/>
          <w:bCs/>
          <w:spacing w:val="20"/>
          <w:kern w:val="2"/>
          <w:lang w:val="es-MX"/>
        </w:rPr>
        <w:lastRenderedPageBreak/>
        <w:t>regeneración urbana, construcción de vivienda y construcción de vivienda derivado de desastres naturales; para la Secretaría de las Infraestructuras y el Ordenamiento Territorial Sustentable, le fueron asignados 27 millones 190 mil 791 pesos para el desarrollo de infraestructura social básica y productiva, y para actividades centrales para la infraestructura pública.</w:t>
      </w:r>
    </w:p>
    <w:p w:rsidR="00812F69" w:rsidRPr="0002002E" w:rsidRDefault="00812F69" w:rsidP="00812F69">
      <w:pPr>
        <w:contextualSpacing/>
        <w:jc w:val="both"/>
        <w:rPr>
          <w:rFonts w:ascii="Arial" w:eastAsia="Calibri" w:hAnsi="Arial" w:cs="Arial"/>
          <w:bCs/>
          <w:spacing w:val="20"/>
          <w:kern w:val="2"/>
          <w:lang w:val="es-MX"/>
        </w:rPr>
      </w:pPr>
    </w:p>
    <w:p w:rsidR="00812F69" w:rsidRPr="0002002E" w:rsidRDefault="00812F69" w:rsidP="00812F69">
      <w:pPr>
        <w:contextualSpacing/>
        <w:jc w:val="both"/>
        <w:rPr>
          <w:rFonts w:ascii="Arial" w:eastAsia="Calibri" w:hAnsi="Arial" w:cs="Arial"/>
          <w:bCs/>
          <w:spacing w:val="20"/>
          <w:kern w:val="2"/>
          <w:lang w:val="es-MX"/>
        </w:rPr>
      </w:pPr>
      <w:r w:rsidRPr="0002002E">
        <w:rPr>
          <w:rFonts w:ascii="Arial" w:eastAsia="Calibri" w:hAnsi="Arial" w:cs="Arial"/>
          <w:bCs/>
          <w:spacing w:val="20"/>
          <w:kern w:val="2"/>
          <w:lang w:val="es-MX"/>
        </w:rPr>
        <w:t>Por su parte la Secretaría de Turismo y Desarrollo Económico devengó un total de 108 millones 971 mil 993 pesos, destinado al desarrollo turístico y empresarial y al fomento comercial industrial; a la Secretaría de Desarrollo Agropecuario, Pesca y Acuacultura le fueron otorgados 119 millones 582 mil 646 pesos</w:t>
      </w:r>
      <w:r w:rsidRPr="0002002E">
        <w:rPr>
          <w:rFonts w:ascii="Arial" w:eastAsia="Calibri" w:hAnsi="Arial" w:cs="Arial"/>
          <w:b/>
          <w:bCs/>
          <w:spacing w:val="20"/>
          <w:kern w:val="2"/>
          <w:lang w:val="es-MX"/>
        </w:rPr>
        <w:t xml:space="preserve">, </w:t>
      </w:r>
      <w:r w:rsidRPr="0002002E">
        <w:rPr>
          <w:rFonts w:ascii="Arial" w:eastAsia="Calibri" w:hAnsi="Arial" w:cs="Arial"/>
          <w:bCs/>
          <w:spacing w:val="20"/>
          <w:kern w:val="2"/>
          <w:lang w:val="es-MX"/>
        </w:rPr>
        <w:t>dicha cantidad fue destinada principalmente al</w:t>
      </w:r>
      <w:r w:rsidRPr="0002002E">
        <w:rPr>
          <w:rFonts w:ascii="Arial" w:eastAsia="Calibri" w:hAnsi="Arial" w:cs="Arial"/>
          <w:b/>
          <w:bCs/>
          <w:spacing w:val="20"/>
          <w:kern w:val="2"/>
          <w:lang w:val="es-MX"/>
        </w:rPr>
        <w:t xml:space="preserve">  </w:t>
      </w:r>
      <w:r w:rsidRPr="0002002E">
        <w:rPr>
          <w:rFonts w:ascii="Arial" w:eastAsia="Calibri" w:hAnsi="Arial" w:cs="Arial"/>
          <w:bCs/>
          <w:spacing w:val="20"/>
          <w:kern w:val="2"/>
          <w:lang w:val="es-MX"/>
        </w:rPr>
        <w:t>desarrollo agrícola y pecuario, y al  convenio de coordinación para el desarrollo rural sustentable; Caminos y Aeropistas de Oaxaca devengó 26 millones 65 mil 906 pesos para caminos rurales y carreteras alimentadoras; al Instituto del Patrimonio Cultural del Estado de Oaxaca le fueron designados 5 millones 710 mil 633 pesos para la restauración y conservación del patrimonio cultural.</w:t>
      </w:r>
    </w:p>
    <w:p w:rsidR="00812F69" w:rsidRPr="0002002E" w:rsidRDefault="00812F69" w:rsidP="00812F69">
      <w:pPr>
        <w:contextualSpacing/>
        <w:jc w:val="both"/>
        <w:rPr>
          <w:rFonts w:ascii="Arial" w:eastAsia="Calibri" w:hAnsi="Arial" w:cs="Arial"/>
          <w:bCs/>
          <w:spacing w:val="20"/>
          <w:kern w:val="2"/>
          <w:lang w:val="es-MX"/>
        </w:rPr>
      </w:pPr>
    </w:p>
    <w:p w:rsidR="00812F69" w:rsidRPr="0002002E" w:rsidRDefault="00812F69" w:rsidP="00812F69">
      <w:pPr>
        <w:contextualSpacing/>
        <w:jc w:val="both"/>
        <w:rPr>
          <w:rFonts w:ascii="Arial" w:eastAsia="Calibri" w:hAnsi="Arial" w:cs="Arial"/>
          <w:bCs/>
          <w:spacing w:val="20"/>
          <w:kern w:val="2"/>
          <w:lang w:val="es-MX"/>
        </w:rPr>
      </w:pPr>
      <w:r w:rsidRPr="0002002E">
        <w:rPr>
          <w:rFonts w:ascii="Arial" w:eastAsia="Calibri" w:hAnsi="Arial" w:cs="Arial"/>
          <w:bCs/>
          <w:spacing w:val="20"/>
          <w:kern w:val="2"/>
          <w:lang w:val="es-MX"/>
        </w:rPr>
        <w:t>El Instituto Estatal de Educación para Adultos devengó 40 millones 14 mil 150 pesos, invertidos en su totalidad a la educación para jóvenes y adultos; los Servicios de Agua Potable y Alcantarillado de Oaxaca destino 9 millones 789 mil 949 pesos al sistema de agua potable y a los sistemas de alcantarillado sanitario y pluvial; la Comisión Estatal Forestal devengó 19 millones 296 mil 912 pesos para la restauración forestal, protección y vigilancia forestal, planeación forestal y fomento forestal; la Universidad Autónoma "Benito Juárez" de Oaxaca devengó 250 mil pesos en educación de nivel superior con programas educativos de calidad; a través de los Municipios se devengó 6 millones 374 mil 671 pesos; la Procuraduría General de Justicia  del Estado devengó 731 mil 51 pesos principalmente en procuración de justicia; la Secretaría del Trabajo devengó la suma de 20 millones 80 mil pesos, especialmente en el fomento al empleo mediante el  Programa de Apoyo al Empleo (PAE).</w:t>
      </w:r>
    </w:p>
    <w:p w:rsidR="00812F69" w:rsidRPr="0002002E" w:rsidRDefault="00812F69" w:rsidP="00812F69">
      <w:pPr>
        <w:contextualSpacing/>
        <w:jc w:val="both"/>
        <w:rPr>
          <w:rFonts w:ascii="Arial" w:eastAsia="Calibri" w:hAnsi="Arial" w:cs="Arial"/>
          <w:bCs/>
          <w:spacing w:val="20"/>
          <w:kern w:val="2"/>
          <w:lang w:val="es-MX"/>
        </w:rPr>
      </w:pPr>
    </w:p>
    <w:p w:rsidR="00812F69" w:rsidRPr="0002002E" w:rsidRDefault="00812F69" w:rsidP="00812F69">
      <w:pPr>
        <w:contextualSpacing/>
        <w:jc w:val="both"/>
        <w:rPr>
          <w:rFonts w:ascii="Arial" w:eastAsia="Calibri" w:hAnsi="Arial" w:cs="Arial"/>
          <w:bCs/>
          <w:spacing w:val="20"/>
          <w:kern w:val="2"/>
          <w:lang w:val="es-MX"/>
        </w:rPr>
      </w:pPr>
      <w:r w:rsidRPr="0002002E">
        <w:rPr>
          <w:rFonts w:ascii="Arial" w:eastAsia="Calibri" w:hAnsi="Arial" w:cs="Arial"/>
          <w:bCs/>
          <w:spacing w:val="20"/>
          <w:kern w:val="2"/>
          <w:lang w:val="es-MX"/>
        </w:rPr>
        <w:t xml:space="preserve">3 millones 470 mil 887 pesos fueron devengados por la Secretaría de Asuntos Indígenas primordialmente en los derechos de los pueblos indígenas y </w:t>
      </w:r>
      <w:proofErr w:type="spellStart"/>
      <w:r w:rsidRPr="0002002E">
        <w:rPr>
          <w:rFonts w:ascii="Arial" w:eastAsia="Calibri" w:hAnsi="Arial" w:cs="Arial"/>
          <w:bCs/>
          <w:spacing w:val="20"/>
          <w:kern w:val="2"/>
          <w:lang w:val="es-MX"/>
        </w:rPr>
        <w:t>afromexicano</w:t>
      </w:r>
      <w:proofErr w:type="spellEnd"/>
      <w:r w:rsidRPr="0002002E">
        <w:rPr>
          <w:rFonts w:ascii="Arial" w:eastAsia="Calibri" w:hAnsi="Arial" w:cs="Arial"/>
          <w:bCs/>
          <w:spacing w:val="20"/>
          <w:kern w:val="2"/>
          <w:lang w:val="es-MX"/>
        </w:rPr>
        <w:t xml:space="preserve">; la Secretaría de Finanzas devengó por su parte 90 millones 121 mil 250 pesos en aportaciones estatales a fideicomisos; el Secretariado Ejecutivo del Sistema Estatal de Seguridad Publica destino 37 millones 314 mil 828 pesos a diferentes acciones para el fortalecimiento de su sistema; la Comisión Estatal del Agua aplicó un total de 27 millones 283 mil 144 pesos en el sistema de agua potable, al </w:t>
      </w:r>
      <w:r w:rsidRPr="0002002E">
        <w:rPr>
          <w:rFonts w:ascii="Arial" w:eastAsia="Calibri" w:hAnsi="Arial" w:cs="Arial"/>
          <w:bCs/>
          <w:spacing w:val="20"/>
          <w:kern w:val="2"/>
          <w:lang w:val="es-MX"/>
        </w:rPr>
        <w:lastRenderedPageBreak/>
        <w:t>sistema de tratamiento de aguas residuales, en la administración del servicio y al rescate y regeneración de ríos y arroyos; la Corporación Oaxaqueña de Radio y Televisión devengó 38 millones 408 mil 899 pesos en la programación y transmisión de radio y televisión.</w:t>
      </w:r>
    </w:p>
    <w:p w:rsidR="00812F69" w:rsidRPr="0002002E" w:rsidRDefault="00812F69" w:rsidP="00812F69">
      <w:pPr>
        <w:contextualSpacing/>
        <w:jc w:val="both"/>
        <w:rPr>
          <w:rFonts w:ascii="Arial" w:eastAsia="Calibri" w:hAnsi="Arial" w:cs="Arial"/>
          <w:bCs/>
          <w:spacing w:val="20"/>
          <w:kern w:val="2"/>
          <w:lang w:val="es-MX"/>
        </w:rPr>
      </w:pPr>
    </w:p>
    <w:p w:rsidR="00812F69" w:rsidRPr="0002002E" w:rsidRDefault="00812F69" w:rsidP="00812F69">
      <w:pPr>
        <w:contextualSpacing/>
        <w:jc w:val="both"/>
        <w:rPr>
          <w:rFonts w:ascii="Arial" w:eastAsia="Calibri" w:hAnsi="Arial" w:cs="Arial"/>
          <w:bCs/>
          <w:spacing w:val="20"/>
          <w:kern w:val="2"/>
          <w:lang w:val="es-MX"/>
        </w:rPr>
      </w:pPr>
      <w:r w:rsidRPr="0002002E">
        <w:rPr>
          <w:rFonts w:ascii="Arial" w:eastAsia="Calibri" w:hAnsi="Arial" w:cs="Arial"/>
          <w:bCs/>
          <w:spacing w:val="20"/>
          <w:kern w:val="2"/>
          <w:lang w:val="es-MX"/>
        </w:rPr>
        <w:t xml:space="preserve">La Coordinación Estatal de Protección Civil de Oaxaca devengó </w:t>
      </w:r>
      <w:r w:rsidR="006B41CE">
        <w:rPr>
          <w:rFonts w:ascii="Arial" w:eastAsia="Calibri" w:hAnsi="Arial" w:cs="Arial"/>
          <w:bCs/>
          <w:spacing w:val="20"/>
          <w:kern w:val="2"/>
          <w:lang w:val="es-MX"/>
        </w:rPr>
        <w:t>un</w:t>
      </w:r>
      <w:r w:rsidRPr="0002002E">
        <w:rPr>
          <w:rFonts w:ascii="Arial" w:eastAsia="Calibri" w:hAnsi="Arial" w:cs="Arial"/>
          <w:bCs/>
          <w:spacing w:val="20"/>
          <w:kern w:val="2"/>
          <w:lang w:val="es-MX"/>
        </w:rPr>
        <w:t xml:space="preserve"> millón 298 mil 954 pesos en la promoción de la protección civil; Servicios de Salud del Estado de Oaxaca fue designado con 2 millones 469 mil 961 pesos, dicha cantidad fue destinada a la atención médica; el Instituto de la Juventud del Estado de Oaxaca devengó </w:t>
      </w:r>
      <w:r w:rsidR="006B41CE">
        <w:rPr>
          <w:rFonts w:ascii="Arial" w:eastAsia="Calibri" w:hAnsi="Arial" w:cs="Arial"/>
          <w:bCs/>
          <w:spacing w:val="20"/>
          <w:kern w:val="2"/>
          <w:lang w:val="es-MX"/>
        </w:rPr>
        <w:t>un</w:t>
      </w:r>
      <w:r w:rsidRPr="0002002E">
        <w:rPr>
          <w:rFonts w:ascii="Arial" w:eastAsia="Calibri" w:hAnsi="Arial" w:cs="Arial"/>
          <w:bCs/>
          <w:spacing w:val="20"/>
          <w:kern w:val="2"/>
          <w:lang w:val="es-MX"/>
        </w:rPr>
        <w:t xml:space="preserve"> millón 546 mil 479 pesos en la promoción y fomento a la juventud.</w:t>
      </w:r>
    </w:p>
    <w:p w:rsidR="00812F69" w:rsidRPr="0002002E" w:rsidRDefault="00812F69" w:rsidP="00812F69">
      <w:pPr>
        <w:contextualSpacing/>
        <w:jc w:val="both"/>
        <w:rPr>
          <w:rFonts w:ascii="Arial" w:eastAsia="Calibri" w:hAnsi="Arial" w:cs="Arial"/>
          <w:bCs/>
          <w:spacing w:val="20"/>
          <w:kern w:val="2"/>
          <w:lang w:val="es-MX"/>
        </w:rPr>
      </w:pPr>
    </w:p>
    <w:p w:rsidR="00812F69" w:rsidRPr="0002002E" w:rsidRDefault="00812F69" w:rsidP="00812F69">
      <w:pPr>
        <w:contextualSpacing/>
        <w:jc w:val="both"/>
        <w:rPr>
          <w:rFonts w:ascii="Arial" w:eastAsia="Calibri" w:hAnsi="Arial" w:cs="Arial"/>
          <w:bCs/>
          <w:spacing w:val="20"/>
          <w:kern w:val="2"/>
          <w:lang w:val="es-MX"/>
        </w:rPr>
      </w:pPr>
      <w:r w:rsidRPr="0002002E">
        <w:rPr>
          <w:rFonts w:ascii="Arial" w:eastAsia="Calibri" w:hAnsi="Arial" w:cs="Arial"/>
          <w:bCs/>
          <w:spacing w:val="20"/>
          <w:kern w:val="2"/>
          <w:lang w:val="es-MX"/>
        </w:rPr>
        <w:t>2 millones de pesos fue la cantidad que el Fondo para el Fomento Estatal de las Actividades Productivas de Oaxaca destino al financiamiento de actividades productivas; de igual manera la Coordinación General del Comité Estatal de Planeación para el Desarrollo de Oaxaca devengó la misma cantidad enfocándose en la operación sectorial.</w:t>
      </w:r>
    </w:p>
    <w:p w:rsidR="00812F69" w:rsidRPr="0002002E" w:rsidRDefault="00812F69" w:rsidP="00812F69">
      <w:pPr>
        <w:contextualSpacing/>
        <w:jc w:val="both"/>
        <w:rPr>
          <w:rFonts w:ascii="Arial" w:eastAsia="Calibri" w:hAnsi="Arial" w:cs="Arial"/>
          <w:bCs/>
          <w:spacing w:val="20"/>
          <w:kern w:val="2"/>
          <w:lang w:val="es-MX"/>
        </w:rPr>
      </w:pPr>
    </w:p>
    <w:p w:rsidR="00812F69" w:rsidRPr="0002002E" w:rsidRDefault="00812F69" w:rsidP="00812F69">
      <w:pPr>
        <w:contextualSpacing/>
        <w:jc w:val="both"/>
        <w:rPr>
          <w:rFonts w:ascii="Arial" w:eastAsia="Calibri" w:hAnsi="Arial" w:cs="Arial"/>
          <w:bCs/>
          <w:spacing w:val="20"/>
          <w:kern w:val="2"/>
          <w:lang w:val="es-MX"/>
        </w:rPr>
      </w:pPr>
      <w:r w:rsidRPr="0002002E">
        <w:rPr>
          <w:rFonts w:ascii="Arial" w:eastAsia="Calibri" w:hAnsi="Arial" w:cs="Arial"/>
          <w:bCs/>
          <w:spacing w:val="20"/>
          <w:kern w:val="2"/>
          <w:lang w:val="es-MX"/>
        </w:rPr>
        <w:t xml:space="preserve">El Centro de Diseño de Oaxaca por su lado devengó la cantidad de 370 mil 911 pesos en la promoción y difusión del diseño en la escena cultural de Oaxaca; el Centro de las Artes de San Agustín puso mayor énfasis en el fortalecimiento de la educación artística devengando la suma de 732 mil 645 pesos; la Comisión Estatal de Cultura Física y Deporte destino 18 millones 777 mil 860 pesos a la promoción y fomento de la activación física y del deporte; el Instituto Oaxaqueño de las Artesanías fortaleció el fomento y promoción artesanal con </w:t>
      </w:r>
      <w:r w:rsidR="006B41CE">
        <w:rPr>
          <w:rFonts w:ascii="Arial" w:eastAsia="Calibri" w:hAnsi="Arial" w:cs="Arial"/>
          <w:bCs/>
          <w:spacing w:val="20"/>
          <w:kern w:val="2"/>
          <w:lang w:val="es-MX"/>
        </w:rPr>
        <w:t>un</w:t>
      </w:r>
      <w:r w:rsidRPr="0002002E">
        <w:rPr>
          <w:rFonts w:ascii="Arial" w:eastAsia="Calibri" w:hAnsi="Arial" w:cs="Arial"/>
          <w:bCs/>
          <w:spacing w:val="20"/>
          <w:kern w:val="2"/>
          <w:lang w:val="es-MX"/>
        </w:rPr>
        <w:t xml:space="preserve"> millón 161 mil 748 pesos; finalmente la Defensoría de los Derechos Humanos del Pueblo de Oaxaca devengó 500 mil pesos en la prevención y defensa de los derechos humanos.</w:t>
      </w:r>
    </w:p>
    <w:p w:rsidR="00812F69" w:rsidRPr="0002002E" w:rsidRDefault="00812F69" w:rsidP="00812F69">
      <w:pPr>
        <w:contextualSpacing/>
        <w:jc w:val="both"/>
        <w:rPr>
          <w:rFonts w:ascii="Arial" w:eastAsia="Calibri" w:hAnsi="Arial" w:cs="Arial"/>
          <w:bCs/>
          <w:spacing w:val="20"/>
          <w:kern w:val="2"/>
          <w:lang w:val="es-MX"/>
        </w:rPr>
      </w:pPr>
    </w:p>
    <w:p w:rsidR="00812F69" w:rsidRPr="0002002E" w:rsidRDefault="00812F69" w:rsidP="00812F69">
      <w:pPr>
        <w:contextualSpacing/>
        <w:jc w:val="both"/>
        <w:rPr>
          <w:rFonts w:ascii="Arial" w:eastAsia="Calibri" w:hAnsi="Arial" w:cs="Arial"/>
          <w:bCs/>
          <w:spacing w:val="20"/>
          <w:kern w:val="2"/>
        </w:rPr>
      </w:pPr>
      <w:r w:rsidRPr="0002002E">
        <w:rPr>
          <w:rFonts w:ascii="Arial" w:eastAsia="Calibri" w:hAnsi="Arial" w:cs="Arial"/>
          <w:spacing w:val="20"/>
          <w:kern w:val="2"/>
        </w:rPr>
        <w:t xml:space="preserve">En lo que respecta a las Aportaciones Municipales se devengaron recursos por </w:t>
      </w:r>
      <w:r w:rsidRPr="0002002E">
        <w:rPr>
          <w:rFonts w:ascii="Arial" w:eastAsia="Calibri" w:hAnsi="Arial" w:cs="Arial"/>
          <w:spacing w:val="20"/>
          <w:kern w:val="2"/>
          <w:lang w:val="es-MX"/>
        </w:rPr>
        <w:t xml:space="preserve"> </w:t>
      </w:r>
      <w:r w:rsidRPr="0002002E">
        <w:rPr>
          <w:rFonts w:ascii="Arial" w:eastAsia="Calibri" w:hAnsi="Arial" w:cs="Arial"/>
          <w:bCs/>
          <w:spacing w:val="20"/>
          <w:kern w:val="2"/>
        </w:rPr>
        <w:t xml:space="preserve">5 millones 255 mil 344 pesos, de los cuales corresponde 2 millones 719 mil 728 pesos al Instituto del Patrimonio Cultural del Estado de Oaxaca; 2 millones 232 mil 949 pesos a servicios de salud del estado de Oaxaca y 302 mil 667 pesos a la Comisión Estatal del Agua. </w:t>
      </w:r>
    </w:p>
    <w:p w:rsidR="00812F69" w:rsidRPr="0002002E" w:rsidRDefault="00812F69" w:rsidP="00812F69">
      <w:pPr>
        <w:contextualSpacing/>
        <w:jc w:val="both"/>
        <w:rPr>
          <w:rFonts w:ascii="Arial" w:eastAsia="Calibri" w:hAnsi="Arial" w:cs="Arial"/>
          <w:bCs/>
          <w:spacing w:val="20"/>
          <w:kern w:val="2"/>
        </w:rPr>
      </w:pPr>
    </w:p>
    <w:p w:rsidR="00812F69" w:rsidRPr="0002002E" w:rsidRDefault="00812F69" w:rsidP="00812F69">
      <w:pPr>
        <w:contextualSpacing/>
        <w:jc w:val="both"/>
        <w:rPr>
          <w:rFonts w:ascii="Arial" w:eastAsia="Calibri" w:hAnsi="Arial" w:cs="Arial"/>
          <w:bCs/>
          <w:spacing w:val="20"/>
          <w:kern w:val="2"/>
        </w:rPr>
      </w:pPr>
      <w:r w:rsidRPr="0002002E">
        <w:rPr>
          <w:rFonts w:ascii="Arial" w:eastAsia="Calibri" w:hAnsi="Arial" w:cs="Arial"/>
          <w:bCs/>
          <w:spacing w:val="20"/>
          <w:kern w:val="2"/>
        </w:rPr>
        <w:t>La contribución de Donativos ascendieron a 5 millones 521 mil 949 pesos cantidad devengada de la siguiente manera: Secretaria de las Culturas y Artes de Oaxaca por 4 millones 22 mil 112 pesos, Centro de las Artes de San Agustín</w:t>
      </w:r>
      <w:r w:rsidRPr="0002002E">
        <w:rPr>
          <w:rFonts w:ascii="Arial" w:eastAsia="Calibri" w:hAnsi="Arial" w:cs="Arial"/>
          <w:bCs/>
          <w:spacing w:val="20"/>
          <w:kern w:val="2"/>
          <w:lang w:val="es-MX"/>
        </w:rPr>
        <w:t xml:space="preserve"> por </w:t>
      </w:r>
      <w:r w:rsidRPr="0002002E">
        <w:rPr>
          <w:rFonts w:ascii="Arial" w:eastAsia="Calibri" w:hAnsi="Arial" w:cs="Arial"/>
          <w:bCs/>
          <w:spacing w:val="20"/>
          <w:kern w:val="2"/>
        </w:rPr>
        <w:t xml:space="preserve">499 mil 924 pesos y el Instituto del Patrimonio Cultural del Estado de Oaxaca por 999 mil 913 pesos. </w:t>
      </w:r>
    </w:p>
    <w:p w:rsidR="00812F69" w:rsidRPr="0002002E" w:rsidRDefault="00812F69" w:rsidP="00812F69">
      <w:pPr>
        <w:contextualSpacing/>
        <w:jc w:val="both"/>
        <w:rPr>
          <w:rFonts w:ascii="Arial" w:eastAsia="Calibri" w:hAnsi="Arial" w:cs="Arial"/>
          <w:bCs/>
          <w:spacing w:val="20"/>
          <w:kern w:val="2"/>
        </w:rPr>
      </w:pPr>
    </w:p>
    <w:p w:rsidR="00812F69" w:rsidRPr="0002002E" w:rsidRDefault="00812F69" w:rsidP="00812F69">
      <w:pPr>
        <w:contextualSpacing/>
        <w:jc w:val="both"/>
        <w:rPr>
          <w:rFonts w:ascii="Arial" w:eastAsia="Calibri" w:hAnsi="Arial" w:cs="Arial"/>
          <w:bCs/>
          <w:spacing w:val="20"/>
          <w:kern w:val="2"/>
        </w:rPr>
      </w:pPr>
      <w:r w:rsidRPr="0002002E">
        <w:rPr>
          <w:rFonts w:ascii="Arial" w:eastAsia="Calibri" w:hAnsi="Arial" w:cs="Arial"/>
          <w:bCs/>
          <w:spacing w:val="20"/>
          <w:kern w:val="2"/>
        </w:rPr>
        <w:t>756 millones 4 mil 367 pesos es la suma de la contribución de Créditos, empréstitos y prestamos, distribuido de la siguiente forma: Comisión Estatal de Vivienda</w:t>
      </w:r>
      <w:r w:rsidRPr="0002002E">
        <w:rPr>
          <w:rFonts w:ascii="Arial" w:eastAsia="Calibri" w:hAnsi="Arial" w:cs="Arial"/>
          <w:bCs/>
          <w:spacing w:val="20"/>
          <w:kern w:val="2"/>
          <w:lang w:val="es-MX"/>
        </w:rPr>
        <w:t xml:space="preserve"> por </w:t>
      </w:r>
      <w:r w:rsidRPr="0002002E">
        <w:rPr>
          <w:rFonts w:ascii="Arial" w:eastAsia="Calibri" w:hAnsi="Arial" w:cs="Arial"/>
          <w:bCs/>
          <w:spacing w:val="20"/>
          <w:kern w:val="2"/>
        </w:rPr>
        <w:t>5 millones 668 mil 11 pesos, Secretaría de las Infraestructuras y el Ordenamiento Territorial Sustentable 184 millones 372 mil 174 pesos, Secretaria de Turismo y Desarrollo Económico por 13 millones 600 mil pesos, Secretaría de Desarrollo Agropecuario, Pesca y Acuacultura por 61 millones 261 mil 147 pesos, Secretaría de Finanzas  por 108 millones 804 mil 496 pesos, Universidad de la Sierra Sur por 5 millones 519 mil 329 pesos, Comisión Estatal Forestal por 2 millones 960 mil 3 pesos, Fideicomiso para el Desarrollo Logístico del Estado de Oaxaca por 26 millones 84 mil pesos, Secretaría de Seguridad Publica 8 millones 458 mil 480 pesos, Secretaria de Administración por 67 millones 5 mil 477 pesos, Caminos y Aeropistas de Oaxaca</w:t>
      </w:r>
      <w:r w:rsidRPr="0002002E">
        <w:rPr>
          <w:rFonts w:ascii="Arial" w:eastAsia="Calibri" w:hAnsi="Arial" w:cs="Arial"/>
          <w:bCs/>
          <w:spacing w:val="20"/>
          <w:kern w:val="2"/>
          <w:lang w:val="es-MX"/>
        </w:rPr>
        <w:t xml:space="preserve"> por </w:t>
      </w:r>
      <w:r w:rsidRPr="0002002E">
        <w:rPr>
          <w:rFonts w:ascii="Arial" w:eastAsia="Calibri" w:hAnsi="Arial" w:cs="Arial"/>
          <w:bCs/>
          <w:spacing w:val="20"/>
          <w:kern w:val="2"/>
        </w:rPr>
        <w:t>477 mil 28 pesos, Comisión Estatal del Agua 7 millones 752 mil 621 pesos, Corporación Oaxaqueña de Radio y Televisión 2 millones 114 mil 862 pesos, Instituto del Patrimonio Cultural del Edo. De Oaxaca</w:t>
      </w:r>
      <w:r w:rsidRPr="0002002E">
        <w:rPr>
          <w:rFonts w:ascii="Arial" w:eastAsia="Calibri" w:hAnsi="Arial" w:cs="Arial"/>
          <w:bCs/>
          <w:spacing w:val="20"/>
          <w:kern w:val="2"/>
          <w:lang w:val="es-MX"/>
        </w:rPr>
        <w:t xml:space="preserve"> </w:t>
      </w:r>
      <w:r w:rsidRPr="0002002E">
        <w:rPr>
          <w:rFonts w:ascii="Arial" w:eastAsia="Calibri" w:hAnsi="Arial" w:cs="Arial"/>
          <w:bCs/>
          <w:spacing w:val="20"/>
          <w:kern w:val="2"/>
        </w:rPr>
        <w:t>19 mil 811 pesos, Instituto Oaxaqueño Constructor de Infraestructura Física Educativa por 27millones 163 mil 482 pesos, Servicios de Salud del Estado de Oaxaca</w:t>
      </w:r>
      <w:r w:rsidRPr="0002002E">
        <w:rPr>
          <w:rFonts w:ascii="Arial" w:eastAsia="Calibri" w:hAnsi="Arial" w:cs="Arial"/>
          <w:bCs/>
          <w:spacing w:val="20"/>
          <w:kern w:val="2"/>
          <w:lang w:val="es-MX"/>
        </w:rPr>
        <w:t xml:space="preserve"> </w:t>
      </w:r>
      <w:r w:rsidRPr="0002002E">
        <w:rPr>
          <w:rFonts w:ascii="Arial" w:eastAsia="Calibri" w:hAnsi="Arial" w:cs="Arial"/>
          <w:bCs/>
          <w:spacing w:val="20"/>
          <w:kern w:val="2"/>
        </w:rPr>
        <w:t>25 millones 72 mil 815 pesos y Servicios de Agua Potable y Alcantarillado de Oaxaca</w:t>
      </w:r>
      <w:r w:rsidRPr="0002002E">
        <w:rPr>
          <w:rFonts w:ascii="Arial" w:eastAsia="Calibri" w:hAnsi="Arial" w:cs="Arial"/>
          <w:bCs/>
          <w:spacing w:val="20"/>
          <w:kern w:val="2"/>
          <w:lang w:val="es-MX"/>
        </w:rPr>
        <w:t xml:space="preserve"> por la cantidad de </w:t>
      </w:r>
      <w:r w:rsidRPr="0002002E">
        <w:rPr>
          <w:rFonts w:ascii="Arial" w:eastAsia="Calibri" w:hAnsi="Arial" w:cs="Arial"/>
          <w:bCs/>
          <w:spacing w:val="20"/>
          <w:kern w:val="2"/>
        </w:rPr>
        <w:t xml:space="preserve">25 mil 424 pesos y por medio de los municipios </w:t>
      </w:r>
      <w:r w:rsidRPr="0002002E">
        <w:rPr>
          <w:rFonts w:ascii="Arial" w:eastAsia="Calibri" w:hAnsi="Arial" w:cs="Arial"/>
          <w:bCs/>
          <w:spacing w:val="20"/>
          <w:kern w:val="2"/>
          <w:lang w:val="es-MX"/>
        </w:rPr>
        <w:t xml:space="preserve">p </w:t>
      </w:r>
      <w:r w:rsidRPr="0002002E">
        <w:rPr>
          <w:rFonts w:ascii="Arial" w:eastAsia="Calibri" w:hAnsi="Arial" w:cs="Arial"/>
          <w:bCs/>
          <w:spacing w:val="20"/>
          <w:kern w:val="2"/>
        </w:rPr>
        <w:t>209 millones 645 mil 207 pesos.</w:t>
      </w:r>
    </w:p>
    <w:p w:rsidR="00812F69" w:rsidRPr="0002002E" w:rsidRDefault="00812F69" w:rsidP="00812F69">
      <w:pPr>
        <w:contextualSpacing/>
        <w:jc w:val="both"/>
        <w:rPr>
          <w:rFonts w:ascii="Arial" w:eastAsia="Calibri" w:hAnsi="Arial" w:cs="Arial"/>
          <w:bCs/>
          <w:spacing w:val="20"/>
          <w:kern w:val="2"/>
        </w:rPr>
      </w:pPr>
    </w:p>
    <w:p w:rsidR="00812F69" w:rsidRPr="0002002E" w:rsidRDefault="00812F69" w:rsidP="00812F69">
      <w:pPr>
        <w:contextualSpacing/>
        <w:jc w:val="both"/>
        <w:rPr>
          <w:rFonts w:ascii="Arial" w:eastAsia="Calibri" w:hAnsi="Arial" w:cs="Arial"/>
          <w:bCs/>
          <w:spacing w:val="20"/>
          <w:kern w:val="2"/>
        </w:rPr>
      </w:pPr>
      <w:proofErr w:type="spellStart"/>
      <w:r w:rsidRPr="0002002E">
        <w:rPr>
          <w:rFonts w:ascii="Arial" w:eastAsia="Calibri" w:hAnsi="Arial" w:cs="Arial"/>
          <w:bCs/>
          <w:spacing w:val="20"/>
          <w:kern w:val="2"/>
          <w:lang w:eastAsia="es-MX"/>
        </w:rPr>
        <w:t>Banobras</w:t>
      </w:r>
      <w:proofErr w:type="spellEnd"/>
      <w:r w:rsidRPr="0002002E">
        <w:rPr>
          <w:rFonts w:ascii="Arial" w:eastAsia="Calibri" w:hAnsi="Arial" w:cs="Arial"/>
          <w:bCs/>
          <w:spacing w:val="20"/>
          <w:kern w:val="2"/>
          <w:lang w:eastAsia="es-MX"/>
        </w:rPr>
        <w:t xml:space="preserve"> por su parte contribuyo con un total de 675 millones 914 mil 994 pesos devengados como a continuación se describe: Secretaría de las Infraestructuras y el Ordenamiento Territorial Sustentable devengó </w:t>
      </w:r>
      <w:r w:rsidR="00A65FD8">
        <w:rPr>
          <w:rFonts w:ascii="Arial" w:eastAsia="Calibri" w:hAnsi="Arial" w:cs="Arial"/>
          <w:bCs/>
          <w:spacing w:val="20"/>
          <w:kern w:val="2"/>
          <w:lang w:eastAsia="es-MX"/>
        </w:rPr>
        <w:t>un</w:t>
      </w:r>
      <w:r w:rsidRPr="0002002E">
        <w:rPr>
          <w:rFonts w:ascii="Arial" w:eastAsia="Calibri" w:hAnsi="Arial" w:cs="Arial"/>
          <w:bCs/>
          <w:spacing w:val="20"/>
          <w:kern w:val="2"/>
          <w:lang w:eastAsia="es-MX"/>
        </w:rPr>
        <w:t xml:space="preserve"> millón 92 mil 228 pesos, Caminos y Aeropistas de Oaxaca devengó 492 millones 12 mil 761 pesos, Comisión Estatal del Agua devengó 25 millones 979 mil 639 pesos, Comisión Estatal de Vivienda 9 millones 844 mil 959 pesos, Tribunal Superior de Justicia 76 millones 840 mil 742 pesos y por medio de los Municipios se </w:t>
      </w:r>
      <w:r w:rsidRPr="0002002E">
        <w:rPr>
          <w:rFonts w:ascii="Arial" w:eastAsia="Calibri" w:hAnsi="Arial" w:cs="Arial"/>
          <w:bCs/>
          <w:spacing w:val="20"/>
          <w:kern w:val="2"/>
          <w:lang w:val="es-MX" w:eastAsia="es-MX"/>
        </w:rPr>
        <w:t xml:space="preserve">devengó </w:t>
      </w:r>
      <w:r w:rsidRPr="0002002E">
        <w:rPr>
          <w:rFonts w:ascii="Arial" w:eastAsia="Calibri" w:hAnsi="Arial" w:cs="Arial"/>
          <w:bCs/>
          <w:spacing w:val="20"/>
          <w:kern w:val="2"/>
          <w:lang w:eastAsia="es-MX"/>
        </w:rPr>
        <w:t>70 millones 144 mil 665 pesos.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bCs/>
          <w:spacing w:val="20"/>
          <w:kern w:val="2"/>
        </w:rPr>
      </w:pPr>
    </w:p>
    <w:p w:rsidR="00812F69" w:rsidRPr="0002002E" w:rsidRDefault="00812F69" w:rsidP="00812F69">
      <w:pPr>
        <w:contextualSpacing/>
        <w:jc w:val="both"/>
        <w:rPr>
          <w:rFonts w:ascii="Arial" w:eastAsia="Calibri" w:hAnsi="Arial" w:cs="Arial"/>
          <w:b/>
          <w:spacing w:val="20"/>
          <w:kern w:val="2"/>
        </w:rPr>
      </w:pPr>
      <w:r w:rsidRPr="0002002E">
        <w:rPr>
          <w:rFonts w:ascii="Arial" w:eastAsia="Calibri" w:hAnsi="Arial" w:cs="Arial"/>
          <w:b/>
          <w:spacing w:val="20"/>
          <w:kern w:val="2"/>
        </w:rPr>
        <w:t>Fondos de Aportaciones Federales</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Los recursos financieros transferidos al Estado con fines específicos, a través de los Fondos de Aportaciones para la Infraestructura Social Estatal (FISE), Múltiples para Asistencia Social (FAM - FAAS), Múltiples para Infraestructura Educativa Básica (FAM-FAIEB), Múltiples para Infraestructura Educativa Superior (FAM - FAIES), Múltiples para Infraestructura Educativa Media Superior (FAM – FAIEMS) para la Seguridad Pública de los Estados y del Distrito Federal (FASP), para </w:t>
      </w:r>
      <w:r w:rsidRPr="0002002E">
        <w:rPr>
          <w:rFonts w:ascii="Arial" w:eastAsia="Calibri" w:hAnsi="Arial" w:cs="Arial"/>
          <w:spacing w:val="20"/>
          <w:kern w:val="2"/>
          <w:lang w:val="es-ES" w:eastAsia="es-ES"/>
        </w:rPr>
        <w:lastRenderedPageBreak/>
        <w:t xml:space="preserve">Infraestructura en Salud (FASSA) y para el Fortalecimiento de las Entidades Federativas  (FAFEF), deben registrarse como propios y ejercerse conforme a las leyes estatales en términos de lo establecido en el Capítulo V de la Ley de Coordinación Fiscal; en este sentido se devengaron </w:t>
      </w:r>
      <w:r w:rsidR="00A65FD8">
        <w:rPr>
          <w:rFonts w:ascii="Arial" w:eastAsia="Calibri" w:hAnsi="Arial" w:cs="Arial"/>
          <w:spacing w:val="20"/>
          <w:kern w:val="2"/>
          <w:lang w:val="es-ES" w:eastAsia="es-ES"/>
        </w:rPr>
        <w:t>un</w:t>
      </w:r>
      <w:r w:rsidRPr="0002002E">
        <w:rPr>
          <w:rFonts w:ascii="Arial" w:eastAsia="Calibri" w:hAnsi="Arial" w:cs="Arial"/>
          <w:spacing w:val="20"/>
          <w:kern w:val="2"/>
          <w:lang w:val="es-ES" w:eastAsia="es-ES"/>
        </w:rPr>
        <w:t xml:space="preserve"> mil 730 millones 966 mil 354 pesos de la siguiente manera: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Del FISE se devengaron 383 millones 650 mil 696 pesos, de los cuales, Caminos y Aeropistas de Oaxaca devengo la cantidad de 53 millones 964 mil 404 pesos; se aplicaron 17 millones 363 mil 253 pesos a cargo de la Comisión Estatal del Agua; la Secretaría de las Infraestructuras y el Ordenamiento Territorial Sustentable realizó una inversión de 25 millones 852 mil 253 pesos,</w:t>
      </w:r>
      <w:r w:rsidR="00A65FD8">
        <w:rPr>
          <w:rFonts w:ascii="Arial" w:eastAsia="Calibri" w:hAnsi="Arial" w:cs="Arial"/>
          <w:spacing w:val="20"/>
          <w:kern w:val="2"/>
          <w:lang w:val="es-ES" w:eastAsia="es-ES"/>
        </w:rPr>
        <w:t xml:space="preserve"> </w:t>
      </w:r>
      <w:r w:rsidRPr="0002002E">
        <w:rPr>
          <w:rFonts w:ascii="Arial" w:eastAsia="Calibri" w:hAnsi="Arial" w:cs="Arial"/>
          <w:spacing w:val="20"/>
          <w:kern w:val="2"/>
          <w:lang w:val="es-ES" w:eastAsia="es-ES"/>
        </w:rPr>
        <w:t>la Secretaría de Turismo y Desarrollo Económico devengó recursos por 7 millones 213 mil 676 pesos; con lo que respecta al Desarrollo Agropecuario, pesquero y de acuacultura se devengaron recursos por 8 millones 308 mil 355 pesos por parte de la Secretaría de Desarrollo Agropecuario, Pesca y Acuacultura; la Secretaría de Finanzas aplicó recursos por 43 millones 966 mil 667 pesos; en mejoramiento de vivienda se aplicaron 24 millones 445 mil 194 pesos a cargo de la Comisión Estatal de Vivienda; Instituto Oaxaqueño Constructor de Infraestructura Física Educativa devengó 66 mil 342 pesos; en atención médica se aplicaron recursos por la cantidad de 7 millones 500 mil  pesos a cargo de los Servicios de Salud del Estado de Oaxaca; y complementando el gasto como parte de la inversión concertada con los Municipios se devengaron 194 millones 970 mil 552 pesos.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Con recursos del FAM-FAAS, se devengaron 540 millones 780 mil 874 pesos a cargo del Sistema para el Desarrollo Integral de la Familia del Estado de Oaxaca, en diversos programas de asistencia alimentaria como son desayunos escolares, sujetos vulnerables, y familias en desamparo.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Del FAM-FAIEB, se devengaron recursos por la cantidad de 119 millones 273 mil 894 pesos, los cuales se destinaron principalmente en reparaciones generales en planteles de educación preescolar (urbano, indígena y rural), primaria, secundaria (general, técnica y telesecundaria),  construcción de módulos sanitarios en planteles de educación preescolar (urbano, indígena y rural), primaria, secundaria (general, técnica y telesecundaria), construcción de aulas didácticas, aulas de medios, módulos sanitarios y laboratorios; equipamiento de aulas didácticas, aulas de medios, laboratorios y talleres en planteles de </w:t>
      </w:r>
      <w:r w:rsidRPr="0002002E">
        <w:rPr>
          <w:rFonts w:ascii="Arial" w:eastAsia="Calibri" w:hAnsi="Arial" w:cs="Arial"/>
          <w:spacing w:val="20"/>
          <w:kern w:val="2"/>
          <w:lang w:val="es-ES" w:eastAsia="es-ES"/>
        </w:rPr>
        <w:lastRenderedPageBreak/>
        <w:t>educación secundaria (general, técnica y telesecundaria), a través del Instituto Oaxaqueño Constructor de Infraestructura Física Educativa, por un monto de 100 millones 904 mil 202 pesos; la Secretaría de las Infraestructuras y el Ordenamiento Territorial Sustentable devengó recursos por 4 millones 885 mil 557 pesos; y a través de la inversión concertada con los Mun</w:t>
      </w:r>
      <w:r w:rsidR="00A65FD8">
        <w:rPr>
          <w:rFonts w:ascii="Arial" w:eastAsia="Calibri" w:hAnsi="Arial" w:cs="Arial"/>
          <w:spacing w:val="20"/>
          <w:kern w:val="2"/>
          <w:lang w:val="es-ES" w:eastAsia="es-ES"/>
        </w:rPr>
        <w:t xml:space="preserve">icipios un monto de 13 millones </w:t>
      </w:r>
      <w:r w:rsidRPr="0002002E">
        <w:rPr>
          <w:rFonts w:ascii="Arial" w:eastAsia="Calibri" w:hAnsi="Arial" w:cs="Arial"/>
          <w:spacing w:val="20"/>
          <w:kern w:val="2"/>
          <w:lang w:val="es-ES" w:eastAsia="es-ES"/>
        </w:rPr>
        <w:t>484 mil 135 pesos.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A través del FAM-FAIES, se ejercieron recursos por la cantidad de 55 millones 458 mil 702 pesos para construcción de edificios, aulas, salas de cómputo, equipamiento para  laboratorios y aulas interactivas, realizada  a través del Instituto Oaxaqueño Constructor de Infraestructura Física Educativa con un monto de 23 millones 961 mil 788 pesos, por medio de la Universidad Autónoma Benito Juárez de Oaxaca se devengaron 13 millones 483 mil 121 pesos, la Universidad de la Cañada devengó recursos por 417 mil 381 pesos; por su parte la Universidad de la Sierra Juárez , 349 mil 31 pesos, la Universidad de la  Sierra Sur  devengó 3 millones 172 mil 262 pesos; a través de la Universidad del Istmo se devengaron 2 millones 454 mil 594 pesos, asimismo la  Universidad del Mar devengó 5 millones 985 mil 415 pesos, por su parte la Universidad del </w:t>
      </w:r>
      <w:proofErr w:type="spellStart"/>
      <w:r w:rsidRPr="0002002E">
        <w:rPr>
          <w:rFonts w:ascii="Arial" w:eastAsia="Calibri" w:hAnsi="Arial" w:cs="Arial"/>
          <w:spacing w:val="20"/>
          <w:kern w:val="2"/>
          <w:lang w:val="es-ES" w:eastAsia="es-ES"/>
        </w:rPr>
        <w:t>Papaloapan</w:t>
      </w:r>
      <w:proofErr w:type="spellEnd"/>
      <w:r w:rsidRPr="0002002E">
        <w:rPr>
          <w:rFonts w:ascii="Arial" w:eastAsia="Calibri" w:hAnsi="Arial" w:cs="Arial"/>
          <w:spacing w:val="20"/>
          <w:kern w:val="2"/>
          <w:lang w:val="es-ES" w:eastAsia="es-ES"/>
        </w:rPr>
        <w:t xml:space="preserve"> aplicó 2 millones 443 mil 773 pesos y la Universidad Tecnológica de la Mixteca devengó 3 millones 191 mil 337 pesos.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Del FASSA se devengaron recursos por la cantidad de 7 millones 603 mil 883 pesos, que corresponden al programa de atención médica para la construcción del Banco de Leche Materna en Salina Cruz, adecuaciones y rehabilitaciones de diversos edificios; de los Servicios de Salud de Oaxaca.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Los recursos correspondientes al FASP, fueron aplicados a través de los  diferentes convenios de la Federación en materia de seguridad pública por el orden de los 185 millones 807 mil 349 pesos, los cuales se devengaron para el fortalecimiento de las capacidades, profesionalización de las instituciones de seguridad pública, servicio de llamadas de emergencia 066 y denuncia anónima 089, red nacional de telecomunicaciones, registro público vehicular, fortalecimiento de las instituciones estatales de seguridad pública, nuevo sistema de justicia penal, instrumentación de la estrategia en el combate al secuestro,  devengando un monto de 40 millones 458 mil 252 pesos a la Secretaría de Seguridad Pública; </w:t>
      </w:r>
      <w:r w:rsidR="00A65FD8">
        <w:rPr>
          <w:rFonts w:ascii="Arial" w:eastAsia="Calibri" w:hAnsi="Arial" w:cs="Arial"/>
          <w:spacing w:val="20"/>
          <w:kern w:val="2"/>
          <w:lang w:val="es-ES" w:eastAsia="es-ES"/>
        </w:rPr>
        <w:t>un</w:t>
      </w:r>
      <w:r w:rsidRPr="0002002E">
        <w:rPr>
          <w:rFonts w:ascii="Arial" w:eastAsia="Calibri" w:hAnsi="Arial" w:cs="Arial"/>
          <w:spacing w:val="20"/>
          <w:kern w:val="2"/>
          <w:lang w:val="es-ES" w:eastAsia="es-ES"/>
        </w:rPr>
        <w:t xml:space="preserve"> millón 251 mil  747 pesos a cargo de la Procuraduría General de Justicia del Estado; y 144 millones 97 </w:t>
      </w:r>
      <w:r w:rsidRPr="0002002E">
        <w:rPr>
          <w:rFonts w:ascii="Arial" w:eastAsia="Calibri" w:hAnsi="Arial" w:cs="Arial"/>
          <w:spacing w:val="20"/>
          <w:kern w:val="2"/>
          <w:lang w:val="es-ES" w:eastAsia="es-ES"/>
        </w:rPr>
        <w:lastRenderedPageBreak/>
        <w:t>mil 350 pesos al Secretariado Ejecutivo del Sistema Estatal de Seguridad Pública.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Del FAFEF, se devengaron  recursos por la cantidad de 437 millones 221 mil 593 pesos, de los cuales 26 millones 342 mil 221 pesos devengó Caminos y Aeropistas de Oaxaca, por su parte 22 millones 46 mil 610 pesos se destinaron a la Comisión Estatal del Agua; la  Secretaría de las Infraestructuras y el Ordenamiento Territorial Sustentable devengó 122 millones 462 mil 122 pesos, a través </w:t>
      </w:r>
      <w:r w:rsidR="00A65FD8" w:rsidRPr="0002002E">
        <w:rPr>
          <w:rFonts w:ascii="Arial" w:eastAsia="Calibri" w:hAnsi="Arial" w:cs="Arial"/>
          <w:spacing w:val="20"/>
          <w:kern w:val="2"/>
          <w:lang w:val="es-ES" w:eastAsia="es-ES"/>
        </w:rPr>
        <w:t>del</w:t>
      </w:r>
      <w:r w:rsidRPr="0002002E">
        <w:rPr>
          <w:rFonts w:ascii="Arial" w:eastAsia="Calibri" w:hAnsi="Arial" w:cs="Arial"/>
          <w:spacing w:val="20"/>
          <w:kern w:val="2"/>
          <w:lang w:val="es-ES" w:eastAsia="es-ES"/>
        </w:rPr>
        <w:t xml:space="preserve"> Instituto Oaxaqueño Constructor de Infraestructura Física Educativa se devengaron 36 millones 9 mil 800 pesos. Los Servicios de Agua Potable y Alcantarillado de Oaxaca devengó 5 millones 214 mil 806 pesos, se destinaron 12 millones 869 mil 945 pesos a la Secretaría de Turismo y Desarrollo Económico, a través de la Secretaría de Desarrollo Agropecuario, Pesca y Acuacultura se devengaron </w:t>
      </w:r>
      <w:r w:rsidR="00A65FD8">
        <w:rPr>
          <w:rFonts w:ascii="Arial" w:eastAsia="Calibri" w:hAnsi="Arial" w:cs="Arial"/>
          <w:spacing w:val="20"/>
          <w:kern w:val="2"/>
          <w:lang w:val="es-ES" w:eastAsia="es-ES"/>
        </w:rPr>
        <w:t>un</w:t>
      </w:r>
      <w:r w:rsidRPr="0002002E">
        <w:rPr>
          <w:rFonts w:ascii="Arial" w:eastAsia="Calibri" w:hAnsi="Arial" w:cs="Arial"/>
          <w:spacing w:val="20"/>
          <w:kern w:val="2"/>
          <w:lang w:val="es-ES" w:eastAsia="es-ES"/>
        </w:rPr>
        <w:t xml:space="preserve"> millón 500 mil pesos, así como también la Secretaría de Finanzas devengó recursos por 19 millones 812 mil 408 pesos, a la Secretaría de Administración se le destinaron recursos por 3 millones 993 mil 179 pesos, así mismo al Instituto del Patrimonio Cultural del Estado de Oaxaca devengó 9 millones 299 mil 926 pesos; y finalmente con relación a la inversión concertada con Municipios se devengaron 177 millones 670 mil 576 pesos.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widowControl w:val="0"/>
        <w:tabs>
          <w:tab w:val="left" w:pos="4536"/>
        </w:tabs>
        <w:autoSpaceDE w:val="0"/>
        <w:autoSpaceDN w:val="0"/>
        <w:adjustRightInd w:val="0"/>
        <w:ind w:right="4018"/>
        <w:contextualSpacing/>
        <w:jc w:val="both"/>
        <w:rPr>
          <w:rFonts w:ascii="Arial" w:eastAsia="Calibri" w:hAnsi="Arial" w:cs="Arial"/>
          <w:b/>
          <w:spacing w:val="20"/>
          <w:kern w:val="2"/>
        </w:rPr>
      </w:pPr>
      <w:r w:rsidRPr="0002002E">
        <w:rPr>
          <w:rFonts w:ascii="Arial" w:eastAsia="Calibri" w:hAnsi="Arial" w:cs="Arial"/>
          <w:b/>
          <w:spacing w:val="20"/>
          <w:kern w:val="2"/>
        </w:rPr>
        <w:t>Gasto Federal Reasignado al Estado</w:t>
      </w:r>
    </w:p>
    <w:p w:rsidR="00812F69" w:rsidRPr="0002002E" w:rsidRDefault="00812F69" w:rsidP="00812F69">
      <w:pPr>
        <w:widowControl w:val="0"/>
        <w:tabs>
          <w:tab w:val="left" w:pos="4536"/>
        </w:tabs>
        <w:autoSpaceDE w:val="0"/>
        <w:autoSpaceDN w:val="0"/>
        <w:adjustRightInd w:val="0"/>
        <w:ind w:right="4018"/>
        <w:contextualSpacing/>
        <w:jc w:val="both"/>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De recursos federales autorizados en el Presupuesto de Egresos de la Federación para el Estado y Municipios cuya transferencia se formaliza a través de diferentes instrumentos jurídicos y/o administrativos que Dependencias Federales suscriben para tal efecto, se devengó la cantidad de 5 mil  439  millones 208 mil 458 pesos.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Se devengaron recursos del Ramo 4, Gobernación; con la Secretaría de Gobernación por la cantidad de 43 millones 693 mil 944 pesos, para la modernización de registro civil mediante la Secretaria de General de Gobierno por un monto de 730 mil 367 pesos, a través de la Secretaría de Finanzas se devengaron 924 mil 885 pesos, para el programa de  implementación del sistema de justicia penal el Tribunal Superior de Justicia devengó  </w:t>
      </w:r>
      <w:r w:rsidRPr="0002002E">
        <w:rPr>
          <w:rFonts w:ascii="Arial" w:eastAsia="Calibri" w:hAnsi="Arial" w:cs="Arial"/>
          <w:spacing w:val="20"/>
          <w:kern w:val="2"/>
        </w:rPr>
        <w:t xml:space="preserve">34 millones 750 mil  527 pesos y para el Secretariado Ejecutivo del Sistema Estatal de Seguridad Púbica se destinaron 7 millones 288 mil 165 pesos.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t xml:space="preserve">En lo que respecta al Ramo 6, Hacienda y Crédito Público, el Instituto de la Mujer Oaxaqueña devengó recursos por </w:t>
      </w:r>
      <w:r w:rsidRPr="0002002E">
        <w:rPr>
          <w:rFonts w:ascii="Arial" w:eastAsia="Calibri" w:hAnsi="Arial" w:cs="Arial"/>
          <w:spacing w:val="20"/>
          <w:kern w:val="2"/>
        </w:rPr>
        <w:t xml:space="preserve">16 millones 866 mil 891 </w:t>
      </w:r>
      <w:r w:rsidRPr="0002002E">
        <w:rPr>
          <w:rFonts w:ascii="Arial" w:eastAsia="Calibri" w:hAnsi="Arial" w:cs="Arial"/>
          <w:spacing w:val="20"/>
          <w:kern w:val="2"/>
        </w:rPr>
        <w:lastRenderedPageBreak/>
        <w:t xml:space="preserve">pesos, Caminos y Aeropistas de Oaxaca destino 26 millones 824 mil 444 pesos para el programa de Infraestructura Indígena mientras que la Comisión Estatal del Agua devengó </w:t>
      </w:r>
      <w:r w:rsidRPr="0002002E">
        <w:rPr>
          <w:rFonts w:ascii="Arial" w:eastAsia="Calibri" w:hAnsi="Arial" w:cs="Arial"/>
          <w:spacing w:val="20"/>
          <w:kern w:val="2"/>
          <w:lang w:val="es-ES"/>
        </w:rPr>
        <w:t xml:space="preserve">5 millones 64 mil 67 pesos y mediante la inversión concertada con municipios se devengaron </w:t>
      </w:r>
      <w:r w:rsidRPr="0002002E">
        <w:rPr>
          <w:rFonts w:ascii="Arial" w:eastAsia="Calibri" w:hAnsi="Arial" w:cs="Arial"/>
          <w:spacing w:val="20"/>
          <w:kern w:val="2"/>
        </w:rPr>
        <w:t>350</w:t>
      </w:r>
      <w:r w:rsidR="00DA7DDA">
        <w:rPr>
          <w:rFonts w:ascii="Arial" w:eastAsia="Calibri" w:hAnsi="Arial" w:cs="Arial"/>
          <w:spacing w:val="20"/>
          <w:kern w:val="2"/>
        </w:rPr>
        <w:t xml:space="preserve"> </w:t>
      </w:r>
      <w:r w:rsidRPr="0002002E">
        <w:rPr>
          <w:rFonts w:ascii="Arial" w:eastAsia="Calibri" w:hAnsi="Arial" w:cs="Arial"/>
          <w:spacing w:val="20"/>
          <w:kern w:val="2"/>
        </w:rPr>
        <w:t>millones 640 mil 390 pesos.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t xml:space="preserve">A través del Ramo 8, </w:t>
      </w:r>
      <w:proofErr w:type="spellStart"/>
      <w:r w:rsidRPr="0002002E">
        <w:rPr>
          <w:rFonts w:ascii="Arial" w:eastAsia="Calibri" w:hAnsi="Arial" w:cs="Arial"/>
          <w:spacing w:val="20"/>
          <w:kern w:val="2"/>
        </w:rPr>
        <w:t>Agrícultura</w:t>
      </w:r>
      <w:proofErr w:type="spellEnd"/>
      <w:r w:rsidRPr="0002002E">
        <w:rPr>
          <w:rFonts w:ascii="Arial" w:eastAsia="Calibri" w:hAnsi="Arial" w:cs="Arial"/>
          <w:spacing w:val="20"/>
          <w:kern w:val="2"/>
        </w:rPr>
        <w:t xml:space="preserve">, Ganadería, Desarrollo Rural Pesca y Alimentación; se convino 133 millones 675 mil 662 pesos, los cuales fueron devengados por la Secretaría de Desarrollo Agropecuario, Pesca y Acuacultura destinados para seguro catastrófico en diferentes regiones del Estado.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La Secretaría de Comunicaciones y Transportes convino recursos con el Estado a través del Ramo 9, por </w:t>
      </w:r>
      <w:r w:rsidRPr="0002002E">
        <w:rPr>
          <w:rFonts w:ascii="Arial" w:eastAsia="Calibri" w:hAnsi="Arial" w:cs="Arial"/>
          <w:spacing w:val="20"/>
          <w:kern w:val="2"/>
        </w:rPr>
        <w:t xml:space="preserve">2 millones 607 mil 320 pesos, para la  modernización y ampliación del camino Rosario Ibarra - San Rafael - Santa Úrsula - Los Reyes - Cerro de Oro tramo del km. 0+000 al km. 11+895.59 </w:t>
      </w:r>
      <w:proofErr w:type="spellStart"/>
      <w:r w:rsidRPr="0002002E">
        <w:rPr>
          <w:rFonts w:ascii="Arial" w:eastAsia="Calibri" w:hAnsi="Arial" w:cs="Arial"/>
          <w:spacing w:val="20"/>
          <w:kern w:val="2"/>
        </w:rPr>
        <w:t>Subtramo</w:t>
      </w:r>
      <w:proofErr w:type="spellEnd"/>
      <w:r w:rsidRPr="0002002E">
        <w:rPr>
          <w:rFonts w:ascii="Arial" w:eastAsia="Calibri" w:hAnsi="Arial" w:cs="Arial"/>
          <w:spacing w:val="20"/>
          <w:kern w:val="2"/>
        </w:rPr>
        <w:t xml:space="preserve"> a modernizar del km. 7+700 al km. 8+700</w:t>
      </w:r>
      <w:r w:rsidRPr="0002002E">
        <w:rPr>
          <w:rFonts w:ascii="Arial" w:eastAsia="Calibri" w:hAnsi="Arial" w:cs="Arial"/>
          <w:spacing w:val="20"/>
          <w:kern w:val="2"/>
          <w:lang w:val="es-ES" w:eastAsia="es-ES"/>
        </w:rPr>
        <w:t>; A cargo de Caminos y Aeropistas de Oaxaca. </w:t>
      </w:r>
    </w:p>
    <w:p w:rsidR="006545A6" w:rsidRPr="0002002E" w:rsidRDefault="006545A6"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t xml:space="preserve">A través del Ramo 10 Economía, se devengaron </w:t>
      </w:r>
      <w:r w:rsidRPr="0002002E">
        <w:rPr>
          <w:rFonts w:ascii="Arial" w:eastAsia="Calibri" w:hAnsi="Arial" w:cs="Arial"/>
          <w:spacing w:val="20"/>
          <w:kern w:val="2"/>
        </w:rPr>
        <w:t xml:space="preserve">68millones 326 mil 674 pesos, </w:t>
      </w:r>
      <w:r w:rsidRPr="0002002E">
        <w:rPr>
          <w:rFonts w:ascii="Arial" w:eastAsia="Calibri" w:hAnsi="Arial" w:cs="Arial"/>
          <w:spacing w:val="20"/>
          <w:kern w:val="2"/>
          <w:lang w:val="es-ES" w:eastAsia="es-ES"/>
        </w:rPr>
        <w:t>principalmente para el impulso a la competitividad, para el fortalecimiento de la industria del mezcal, capacitación y asistencia técnica para la realización de diagnósticos financieros para las </w:t>
      </w:r>
      <w:proofErr w:type="spellStart"/>
      <w:r w:rsidRPr="0002002E">
        <w:rPr>
          <w:rFonts w:ascii="Arial" w:eastAsia="Calibri" w:hAnsi="Arial" w:cs="Arial"/>
          <w:spacing w:val="20"/>
          <w:kern w:val="2"/>
          <w:lang w:val="es-ES" w:eastAsia="es-ES"/>
        </w:rPr>
        <w:t>MIPyMES</w:t>
      </w:r>
      <w:proofErr w:type="spellEnd"/>
      <w:r w:rsidRPr="0002002E">
        <w:rPr>
          <w:rFonts w:ascii="Arial" w:eastAsia="Calibri" w:hAnsi="Arial" w:cs="Arial"/>
          <w:spacing w:val="20"/>
          <w:kern w:val="2"/>
          <w:lang w:val="es-ES" w:eastAsia="es-ES"/>
        </w:rPr>
        <w:t>, y la realización de la feria del mezcal, por mencionar algunas.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Default="00812F69" w:rsidP="00812F69">
      <w:pPr>
        <w:pStyle w:val="paragraph"/>
        <w:spacing w:before="0" w:beforeAutospacing="0" w:after="0" w:afterAutospacing="0"/>
        <w:contextualSpacing/>
        <w:jc w:val="both"/>
        <w:textAlignment w:val="baseline"/>
        <w:rPr>
          <w:rFonts w:ascii="Arial" w:eastAsia="Calibri" w:hAnsi="Arial" w:cs="Arial"/>
          <w:bCs/>
          <w:spacing w:val="20"/>
          <w:kern w:val="2"/>
        </w:rPr>
      </w:pPr>
      <w:r w:rsidRPr="0002002E">
        <w:rPr>
          <w:rFonts w:ascii="Arial" w:eastAsia="Calibri" w:hAnsi="Arial" w:cs="Arial"/>
          <w:spacing w:val="20"/>
          <w:kern w:val="2"/>
          <w:lang w:val="es-ES" w:eastAsia="es-ES"/>
        </w:rPr>
        <w:t xml:space="preserve">En lo que respecta al Ramo 11 Educación, se devengaron recursos por 218 millones 248 mil 652 pesos; a </w:t>
      </w:r>
      <w:proofErr w:type="spellStart"/>
      <w:r w:rsidRPr="0002002E">
        <w:rPr>
          <w:rFonts w:ascii="Arial" w:eastAsia="Calibri" w:hAnsi="Arial" w:cs="Arial"/>
          <w:spacing w:val="20"/>
          <w:kern w:val="2"/>
          <w:lang w:val="es-ES" w:eastAsia="es-ES"/>
        </w:rPr>
        <w:t>traves</w:t>
      </w:r>
      <w:proofErr w:type="spellEnd"/>
      <w:r w:rsidRPr="0002002E">
        <w:rPr>
          <w:rFonts w:ascii="Arial" w:eastAsia="Calibri" w:hAnsi="Arial" w:cs="Arial"/>
          <w:spacing w:val="20"/>
          <w:kern w:val="2"/>
          <w:lang w:val="es-ES" w:eastAsia="es-ES"/>
        </w:rPr>
        <w:t xml:space="preserve"> del Instituto Oaxaqueño Constructor de Infraestructura Física Educativa se destinaron 70 millones 219</w:t>
      </w:r>
      <w:r w:rsidR="006545A6">
        <w:rPr>
          <w:rFonts w:ascii="Arial" w:eastAsia="Calibri" w:hAnsi="Arial" w:cs="Arial"/>
          <w:spacing w:val="20"/>
          <w:kern w:val="2"/>
          <w:lang w:val="es-ES" w:eastAsia="es-ES"/>
        </w:rPr>
        <w:t xml:space="preserve"> </w:t>
      </w:r>
      <w:r w:rsidRPr="0002002E">
        <w:rPr>
          <w:rFonts w:ascii="Arial" w:eastAsia="Calibri" w:hAnsi="Arial" w:cs="Arial"/>
          <w:spacing w:val="20"/>
          <w:kern w:val="2"/>
          <w:lang w:val="es-ES" w:eastAsia="es-ES"/>
        </w:rPr>
        <w:t xml:space="preserve">mil 576 pesos, para la Universidad Tecnológica De Los Valles Centrales, 2 millones 71 mil 873 pesos, asimismo para la Universidad del Mar se devengaron 83 mil 494 pesos y mediante la  Comisión Estatal De Cultura Física Y Deporte 24 millones 98 mil 239 pesos. Para el Instituto De La Juventud Del Estado De Oaxaca se devengaron recursos por </w:t>
      </w:r>
      <w:r w:rsidR="006545A6">
        <w:rPr>
          <w:rFonts w:ascii="Arial" w:eastAsia="Calibri" w:hAnsi="Arial" w:cs="Arial"/>
          <w:spacing w:val="20"/>
          <w:kern w:val="2"/>
          <w:lang w:val="es-ES" w:eastAsia="es-ES"/>
        </w:rPr>
        <w:t>un</w:t>
      </w:r>
      <w:r w:rsidRPr="0002002E">
        <w:rPr>
          <w:rFonts w:ascii="Arial" w:eastAsia="Calibri" w:hAnsi="Arial" w:cs="Arial"/>
          <w:spacing w:val="20"/>
          <w:kern w:val="2"/>
          <w:lang w:val="es-ES" w:eastAsia="es-ES"/>
        </w:rPr>
        <w:t xml:space="preserve"> millón 842 mil 200 pesos; mediante el Centro De Las Artes De San Agustín se destinaron 6 millones 145 mil 260 pesos,  la Secretaría de las Culturas y Artes de Oaxaca devengó </w:t>
      </w:r>
      <w:r w:rsidRPr="0002002E">
        <w:rPr>
          <w:rFonts w:ascii="Arial" w:eastAsia="Calibri" w:hAnsi="Arial" w:cs="Arial"/>
          <w:spacing w:val="20"/>
          <w:kern w:val="2"/>
        </w:rPr>
        <w:t>3 millones 129 mil 450 pesos,  principalmente para los programas de: “Fomento del Desarrollo cultural y sustentable”, “</w:t>
      </w:r>
      <w:r w:rsidRPr="0002002E">
        <w:rPr>
          <w:rFonts w:ascii="Arial" w:eastAsia="Calibri" w:hAnsi="Arial" w:cs="Arial"/>
          <w:bCs/>
          <w:spacing w:val="20"/>
          <w:kern w:val="2"/>
        </w:rPr>
        <w:t xml:space="preserve">Salvaguarda Y Fortalecimiento Del Patrimonio Cultural Material E Inmaterial” y “Fortalecimiento A La Formación Y Capacitación Artística Y Cultural”. El </w:t>
      </w:r>
      <w:r w:rsidRPr="0002002E">
        <w:rPr>
          <w:rFonts w:ascii="Arial" w:eastAsia="Calibri" w:hAnsi="Arial" w:cs="Arial"/>
          <w:spacing w:val="20"/>
          <w:kern w:val="2"/>
          <w:lang w:val="es-ES" w:eastAsia="es-ES"/>
        </w:rPr>
        <w:t xml:space="preserve">Instituto Del Patrimonio Cultural Del Estado de Oaxaca devengó recursos </w:t>
      </w:r>
      <w:r w:rsidRPr="0002002E">
        <w:rPr>
          <w:rFonts w:ascii="Arial" w:eastAsia="Calibri" w:hAnsi="Arial" w:cs="Arial"/>
          <w:spacing w:val="20"/>
          <w:kern w:val="2"/>
          <w:lang w:val="es-ES" w:eastAsia="es-ES"/>
        </w:rPr>
        <w:lastRenderedPageBreak/>
        <w:t xml:space="preserve">por 19 millones 409 mil 922 pesos; a través del a Secretaria de Turismo Y Desarrollo Económico se devengaron recursos por </w:t>
      </w:r>
      <w:r w:rsidRPr="0002002E">
        <w:rPr>
          <w:rFonts w:ascii="Arial" w:eastAsia="Calibri" w:hAnsi="Arial" w:cs="Arial"/>
          <w:spacing w:val="20"/>
          <w:kern w:val="2"/>
        </w:rPr>
        <w:t xml:space="preserve">13 millones 961 mil 464 pesos. Mediante la Secretaría de Administración </w:t>
      </w:r>
      <w:proofErr w:type="spellStart"/>
      <w:r w:rsidRPr="0002002E">
        <w:rPr>
          <w:rFonts w:ascii="Arial" w:eastAsia="Calibri" w:hAnsi="Arial" w:cs="Arial"/>
          <w:spacing w:val="20"/>
          <w:kern w:val="2"/>
        </w:rPr>
        <w:t>igualemente</w:t>
      </w:r>
      <w:proofErr w:type="spellEnd"/>
      <w:r w:rsidRPr="0002002E">
        <w:rPr>
          <w:rFonts w:ascii="Arial" w:eastAsia="Calibri" w:hAnsi="Arial" w:cs="Arial"/>
          <w:spacing w:val="20"/>
          <w:kern w:val="2"/>
        </w:rPr>
        <w:t xml:space="preserve"> se devengaron </w:t>
      </w:r>
      <w:r w:rsidRPr="0002002E">
        <w:rPr>
          <w:rFonts w:ascii="Arial" w:eastAsia="Calibri" w:hAnsi="Arial" w:cs="Arial"/>
          <w:spacing w:val="20"/>
          <w:kern w:val="2"/>
          <w:lang w:val="es-ES"/>
        </w:rPr>
        <w:t xml:space="preserve">10 millones 659 mil 618 pesos, para rescate y modernización de los archivos históricos del estado de Oaxaca; 997mil 980 pesos se destinaron al Fomento y promoción artesanal a través del </w:t>
      </w:r>
      <w:r w:rsidRPr="0002002E">
        <w:rPr>
          <w:rFonts w:ascii="Arial" w:eastAsia="Calibri" w:hAnsi="Arial" w:cs="Arial"/>
          <w:bCs/>
          <w:spacing w:val="20"/>
          <w:kern w:val="2"/>
          <w:lang w:val="es-ES"/>
        </w:rPr>
        <w:t xml:space="preserve">Instituto Oaxaqueño De Las Artesanías,  y por medio del Colegio de Estudios Científicos Y Tecnológicos del Estado de Oaxaca se devengaron </w:t>
      </w:r>
      <w:r w:rsidRPr="0002002E">
        <w:rPr>
          <w:rFonts w:ascii="Arial" w:eastAsia="Calibri" w:hAnsi="Arial" w:cs="Arial"/>
          <w:spacing w:val="20"/>
          <w:kern w:val="2"/>
          <w:lang w:val="es-ES"/>
        </w:rPr>
        <w:t xml:space="preserve">325 mil 290 pesos. Para el </w:t>
      </w:r>
      <w:r w:rsidRPr="0002002E">
        <w:rPr>
          <w:rFonts w:ascii="Arial" w:eastAsia="Calibri" w:hAnsi="Arial" w:cs="Arial"/>
          <w:bCs/>
          <w:spacing w:val="20"/>
          <w:kern w:val="2"/>
          <w:lang w:val="es-ES"/>
        </w:rPr>
        <w:t xml:space="preserve">Instituto de Capacitación y Productividad para el Trabajo del Estado de Oaxaca, se destinaron </w:t>
      </w:r>
      <w:r w:rsidRPr="0002002E">
        <w:rPr>
          <w:rFonts w:ascii="Arial" w:eastAsia="Calibri" w:hAnsi="Arial" w:cs="Arial"/>
          <w:spacing w:val="20"/>
          <w:kern w:val="2"/>
          <w:lang w:val="es-ES"/>
        </w:rPr>
        <w:t>13 millones 78 mil 228 pesos, para el programa de “P</w:t>
      </w:r>
      <w:r w:rsidRPr="0002002E">
        <w:rPr>
          <w:rFonts w:ascii="Arial" w:eastAsia="Calibri" w:hAnsi="Arial" w:cs="Arial"/>
          <w:bCs/>
          <w:spacing w:val="20"/>
          <w:kern w:val="2"/>
          <w:lang w:val="es-ES"/>
        </w:rPr>
        <w:t xml:space="preserve">romoción y fomento a la capacitación para y en el trabajo”; y para el equipamiento y rehabilitación de escuelas de nivel medio superior se devengó recursos por </w:t>
      </w:r>
      <w:r w:rsidRPr="0002002E">
        <w:rPr>
          <w:rFonts w:ascii="Arial" w:eastAsia="Calibri" w:hAnsi="Arial" w:cs="Arial"/>
          <w:spacing w:val="20"/>
          <w:kern w:val="2"/>
          <w:lang w:val="es-ES"/>
        </w:rPr>
        <w:t xml:space="preserve">9 millones 400 mil 524 pesos esto a través  de la Universidad Autónoma “Benito Juárez” de Oaxaca. Para la </w:t>
      </w:r>
      <w:r w:rsidRPr="0002002E">
        <w:rPr>
          <w:rFonts w:ascii="Arial" w:eastAsia="Calibri" w:hAnsi="Arial" w:cs="Arial"/>
          <w:bCs/>
          <w:spacing w:val="20"/>
          <w:kern w:val="2"/>
        </w:rPr>
        <w:t xml:space="preserve">Universidad de la Sierra Sur se destinaron recursos por </w:t>
      </w:r>
      <w:r w:rsidR="006545A6">
        <w:rPr>
          <w:rFonts w:ascii="Arial" w:eastAsia="Calibri" w:hAnsi="Arial" w:cs="Arial"/>
          <w:bCs/>
          <w:spacing w:val="20"/>
          <w:kern w:val="2"/>
        </w:rPr>
        <w:t>un</w:t>
      </w:r>
      <w:r w:rsidRPr="0002002E">
        <w:rPr>
          <w:rFonts w:ascii="Arial" w:eastAsia="Calibri" w:hAnsi="Arial" w:cs="Arial"/>
          <w:spacing w:val="20"/>
          <w:kern w:val="2"/>
        </w:rPr>
        <w:t xml:space="preserve"> millón 54 mil 196 pesos, y para la Universidad del Istmo se devengaron recursos por </w:t>
      </w:r>
      <w:r w:rsidR="006545A6">
        <w:rPr>
          <w:rFonts w:ascii="Arial" w:eastAsia="Calibri" w:hAnsi="Arial" w:cs="Arial"/>
          <w:spacing w:val="20"/>
          <w:kern w:val="2"/>
        </w:rPr>
        <w:t>un</w:t>
      </w:r>
      <w:r w:rsidRPr="0002002E">
        <w:rPr>
          <w:rFonts w:ascii="Arial" w:eastAsia="Calibri" w:hAnsi="Arial" w:cs="Arial"/>
          <w:spacing w:val="20"/>
          <w:kern w:val="2"/>
        </w:rPr>
        <w:t xml:space="preserve"> millón 239 mil 868 pesos. Por último la </w:t>
      </w:r>
      <w:r w:rsidRPr="0002002E">
        <w:rPr>
          <w:rFonts w:ascii="Arial" w:eastAsia="Calibri" w:hAnsi="Arial" w:cs="Arial"/>
          <w:bCs/>
          <w:spacing w:val="20"/>
          <w:kern w:val="2"/>
          <w:lang w:val="es-ES"/>
        </w:rPr>
        <w:t xml:space="preserve">Universidad Tecnológica de los Valles Centrales devengó </w:t>
      </w:r>
      <w:r w:rsidRPr="0002002E">
        <w:rPr>
          <w:rFonts w:ascii="Arial" w:eastAsia="Calibri" w:hAnsi="Arial" w:cs="Arial"/>
          <w:bCs/>
          <w:spacing w:val="20"/>
          <w:kern w:val="2"/>
        </w:rPr>
        <w:t xml:space="preserve">5 millones 531 mil 470 pesos. </w:t>
      </w:r>
    </w:p>
    <w:p w:rsidR="006545A6" w:rsidRPr="0002002E" w:rsidRDefault="006545A6" w:rsidP="00812F69">
      <w:pPr>
        <w:pStyle w:val="paragraph"/>
        <w:spacing w:before="0" w:beforeAutospacing="0" w:after="0" w:afterAutospacing="0"/>
        <w:contextualSpacing/>
        <w:jc w:val="both"/>
        <w:textAlignment w:val="baseline"/>
        <w:rPr>
          <w:rFonts w:ascii="Arial" w:eastAsia="Calibri" w:hAnsi="Arial" w:cs="Arial"/>
          <w:bCs/>
          <w:spacing w:val="20"/>
          <w:kern w:val="2"/>
          <w:lang w:val="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Del Ramo 12 Salud, se devengaron recursos por </w:t>
      </w:r>
      <w:r w:rsidRPr="0002002E">
        <w:rPr>
          <w:rFonts w:ascii="Arial" w:eastAsia="Calibri" w:hAnsi="Arial" w:cs="Arial"/>
          <w:spacing w:val="20"/>
          <w:kern w:val="2"/>
        </w:rPr>
        <w:t>55 millones 711 mil 566 pesos</w:t>
      </w:r>
      <w:r w:rsidRPr="0002002E">
        <w:rPr>
          <w:rFonts w:ascii="Arial" w:eastAsia="Calibri" w:hAnsi="Arial" w:cs="Arial"/>
          <w:spacing w:val="20"/>
          <w:kern w:val="2"/>
          <w:lang w:val="es-ES" w:eastAsia="es-ES"/>
        </w:rPr>
        <w:t xml:space="preserve">; de los cuales los Servicios de Salud de Oaxaca aplicaron </w:t>
      </w:r>
      <w:r w:rsidRPr="0002002E">
        <w:rPr>
          <w:rFonts w:ascii="Arial" w:eastAsia="Calibri" w:hAnsi="Arial" w:cs="Arial"/>
          <w:spacing w:val="20"/>
          <w:kern w:val="2"/>
        </w:rPr>
        <w:t xml:space="preserve">13 millones 454 mil 796 pesos </w:t>
      </w:r>
      <w:r w:rsidRPr="0002002E">
        <w:rPr>
          <w:rFonts w:ascii="Arial" w:eastAsia="Calibri" w:hAnsi="Arial" w:cs="Arial"/>
          <w:spacing w:val="20"/>
          <w:kern w:val="2"/>
          <w:lang w:val="es-ES" w:eastAsia="es-ES"/>
        </w:rPr>
        <w:t xml:space="preserve">siendo lo más relevantes: equipamientos de centros de salud en diversas partes del estado, construcción de centros de salud, así como la ampliación de algunos otros, y rehabilitación de unidades de consulta externa;  así mismo la Secretaría de Salud devengó </w:t>
      </w:r>
      <w:r w:rsidRPr="0002002E">
        <w:rPr>
          <w:rFonts w:ascii="Arial" w:eastAsia="Calibri" w:hAnsi="Arial" w:cs="Arial"/>
          <w:spacing w:val="20"/>
          <w:kern w:val="2"/>
        </w:rPr>
        <w:t xml:space="preserve">42 millones 256 mil 770 pesos para </w:t>
      </w:r>
      <w:r w:rsidRPr="0002002E">
        <w:rPr>
          <w:rFonts w:ascii="Arial" w:eastAsia="Calibri" w:hAnsi="Arial" w:cs="Arial"/>
          <w:spacing w:val="20"/>
          <w:kern w:val="2"/>
          <w:lang w:val="es-ES" w:eastAsia="es-ES"/>
        </w:rPr>
        <w:t>equipamiento de infraestructura para acreditación de unidades médicas, fortalecimiento de infraestructura médica, entre otras.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Con transferencias del Ramo 16 Medio Ambiente y Recursos Naturales, se devengaron </w:t>
      </w:r>
      <w:r w:rsidRPr="0002002E">
        <w:rPr>
          <w:rFonts w:ascii="Arial" w:eastAsia="Calibri" w:hAnsi="Arial" w:cs="Arial"/>
          <w:spacing w:val="20"/>
          <w:kern w:val="2"/>
        </w:rPr>
        <w:t xml:space="preserve">183 millones 972 mil 517 pesos; </w:t>
      </w:r>
      <w:r w:rsidRPr="0002002E">
        <w:rPr>
          <w:rFonts w:ascii="Arial" w:eastAsia="Calibri" w:hAnsi="Arial" w:cs="Arial"/>
          <w:spacing w:val="20"/>
          <w:kern w:val="2"/>
          <w:lang w:val="es-ES" w:eastAsia="es-ES"/>
        </w:rPr>
        <w:t xml:space="preserve">de los cuales corresponden Instituto Estatal de Ecología y Desarrollo Sustentable </w:t>
      </w:r>
      <w:r w:rsidRPr="0002002E">
        <w:rPr>
          <w:rFonts w:ascii="Arial" w:eastAsia="Calibri" w:hAnsi="Arial" w:cs="Arial"/>
          <w:spacing w:val="20"/>
          <w:kern w:val="2"/>
        </w:rPr>
        <w:t xml:space="preserve">13 millones 796 mil 58 pesos </w:t>
      </w:r>
      <w:r w:rsidRPr="0002002E">
        <w:rPr>
          <w:rFonts w:ascii="Arial" w:eastAsia="Calibri" w:hAnsi="Arial" w:cs="Arial"/>
          <w:spacing w:val="20"/>
          <w:kern w:val="2"/>
          <w:lang w:val="es-ES" w:eastAsia="es-ES"/>
        </w:rPr>
        <w:t xml:space="preserve">para </w:t>
      </w:r>
      <w:r w:rsidRPr="0002002E">
        <w:rPr>
          <w:rFonts w:ascii="Arial" w:eastAsia="Calibri" w:hAnsi="Arial" w:cs="Arial"/>
          <w:spacing w:val="20"/>
          <w:kern w:val="2"/>
        </w:rPr>
        <w:t xml:space="preserve">acciones de adaptación y mitigación al cambio climático, bajo un esquema de manejo </w:t>
      </w:r>
      <w:proofErr w:type="spellStart"/>
      <w:r w:rsidRPr="0002002E">
        <w:rPr>
          <w:rFonts w:ascii="Arial" w:eastAsia="Calibri" w:hAnsi="Arial" w:cs="Arial"/>
          <w:spacing w:val="20"/>
          <w:kern w:val="2"/>
        </w:rPr>
        <w:t>territorialen</w:t>
      </w:r>
      <w:proofErr w:type="spellEnd"/>
      <w:r w:rsidRPr="0002002E">
        <w:rPr>
          <w:rFonts w:ascii="Arial" w:eastAsia="Calibri" w:hAnsi="Arial" w:cs="Arial"/>
          <w:spacing w:val="20"/>
          <w:kern w:val="2"/>
        </w:rPr>
        <w:t xml:space="preserve"> el corredor biológico </w:t>
      </w:r>
      <w:proofErr w:type="spellStart"/>
      <w:r w:rsidRPr="0002002E">
        <w:rPr>
          <w:rFonts w:ascii="Arial" w:eastAsia="Calibri" w:hAnsi="Arial" w:cs="Arial"/>
          <w:spacing w:val="20"/>
          <w:kern w:val="2"/>
        </w:rPr>
        <w:t>oaxaca</w:t>
      </w:r>
      <w:proofErr w:type="spellEnd"/>
      <w:r w:rsidRPr="0002002E">
        <w:rPr>
          <w:rFonts w:ascii="Arial" w:eastAsia="Calibri" w:hAnsi="Arial" w:cs="Arial"/>
          <w:spacing w:val="20"/>
          <w:kern w:val="2"/>
        </w:rPr>
        <w:t>, estudios de factibilidad ambiental para infraestructura, entre otros. L</w:t>
      </w:r>
      <w:r w:rsidRPr="0002002E">
        <w:rPr>
          <w:rFonts w:ascii="Arial" w:eastAsia="Calibri" w:hAnsi="Arial" w:cs="Arial"/>
          <w:spacing w:val="20"/>
          <w:kern w:val="2"/>
          <w:lang w:val="es-ES" w:eastAsia="es-ES"/>
        </w:rPr>
        <w:t xml:space="preserve">a Comisión Estatal Forestal devengó 7 millones 71 mil 707 pesos, a través de la </w:t>
      </w:r>
      <w:r w:rsidRPr="0002002E">
        <w:rPr>
          <w:rFonts w:ascii="Arial" w:eastAsia="Calibri" w:hAnsi="Arial" w:cs="Arial"/>
          <w:bCs/>
          <w:spacing w:val="20"/>
          <w:kern w:val="2"/>
        </w:rPr>
        <w:t xml:space="preserve">Secretaria de las Infraestructuras y el Ordenamiento Territorial Sustentable se devengaron </w:t>
      </w:r>
      <w:r w:rsidRPr="0002002E">
        <w:rPr>
          <w:rFonts w:ascii="Arial" w:eastAsia="Calibri" w:hAnsi="Arial" w:cs="Arial"/>
          <w:spacing w:val="20"/>
          <w:kern w:val="2"/>
        </w:rPr>
        <w:t xml:space="preserve">37 millones 970 mil 798 pesos, mediante </w:t>
      </w:r>
      <w:r w:rsidRPr="0002002E">
        <w:rPr>
          <w:rFonts w:ascii="Arial" w:eastAsia="Calibri" w:hAnsi="Arial" w:cs="Arial"/>
          <w:spacing w:val="20"/>
          <w:kern w:val="2"/>
          <w:lang w:val="es-ES" w:eastAsia="es-ES"/>
        </w:rPr>
        <w:t xml:space="preserve">la Comisión Estatal del Agua se destinaron </w:t>
      </w:r>
      <w:r w:rsidRPr="0002002E">
        <w:rPr>
          <w:rFonts w:ascii="Arial" w:eastAsia="Calibri" w:hAnsi="Arial" w:cs="Arial"/>
          <w:spacing w:val="20"/>
          <w:kern w:val="2"/>
        </w:rPr>
        <w:t xml:space="preserve">112 millones 781 mil 385 pesos, </w:t>
      </w:r>
      <w:r w:rsidRPr="0002002E">
        <w:rPr>
          <w:rFonts w:ascii="Arial" w:eastAsia="Calibri" w:hAnsi="Arial" w:cs="Arial"/>
          <w:spacing w:val="20"/>
          <w:kern w:val="2"/>
          <w:lang w:val="es-ES" w:eastAsia="es-ES"/>
        </w:rPr>
        <w:t xml:space="preserve">para los programas: Agua Potable, Alcantarillado y Saneamiento en Zonas Urbanas; Programa para la </w:t>
      </w:r>
      <w:r w:rsidRPr="0002002E">
        <w:rPr>
          <w:rFonts w:ascii="Arial" w:eastAsia="Calibri" w:hAnsi="Arial" w:cs="Arial"/>
          <w:spacing w:val="20"/>
          <w:kern w:val="2"/>
          <w:lang w:val="es-ES" w:eastAsia="es-ES"/>
        </w:rPr>
        <w:lastRenderedPageBreak/>
        <w:t xml:space="preserve">Sostenibilidad de los Servicios de Agua Potable y Saneamiento en Comunidades Rurales; Programa para el Tratamiento de Aguas Residuales; entre otros. Los Servicios de Agua Potable y Alcantarillado de Oaxaca devengó </w:t>
      </w:r>
      <w:r w:rsidRPr="0002002E">
        <w:rPr>
          <w:rFonts w:ascii="Arial" w:eastAsia="Calibri" w:hAnsi="Arial" w:cs="Arial"/>
          <w:spacing w:val="20"/>
          <w:kern w:val="2"/>
        </w:rPr>
        <w:t>5 millones 786 mil 579 pesos, y finalmente p</w:t>
      </w:r>
      <w:proofErr w:type="spellStart"/>
      <w:r w:rsidRPr="0002002E">
        <w:rPr>
          <w:rFonts w:ascii="Arial" w:eastAsia="Calibri" w:hAnsi="Arial" w:cs="Arial"/>
          <w:spacing w:val="20"/>
          <w:kern w:val="2"/>
          <w:lang w:val="es-ES" w:eastAsia="es-ES"/>
        </w:rPr>
        <w:t>or</w:t>
      </w:r>
      <w:proofErr w:type="spellEnd"/>
      <w:r w:rsidRPr="0002002E">
        <w:rPr>
          <w:rFonts w:ascii="Arial" w:eastAsia="Calibri" w:hAnsi="Arial" w:cs="Arial"/>
          <w:spacing w:val="20"/>
          <w:kern w:val="2"/>
          <w:lang w:val="es-ES" w:eastAsia="es-ES"/>
        </w:rPr>
        <w:t xml:space="preserve"> parte de los Municipios se devengaron </w:t>
      </w:r>
      <w:r w:rsidRPr="0002002E">
        <w:rPr>
          <w:rFonts w:ascii="Arial" w:eastAsia="Calibri" w:hAnsi="Arial" w:cs="Arial"/>
          <w:spacing w:val="20"/>
          <w:kern w:val="2"/>
        </w:rPr>
        <w:t>6 millones 565 mil 990 pesos.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De recursos provenientes del Ramo 20 Desarrollo Social, se devengaron </w:t>
      </w:r>
      <w:r w:rsidRPr="0002002E">
        <w:rPr>
          <w:rFonts w:ascii="Arial" w:eastAsia="Calibri" w:hAnsi="Arial" w:cs="Arial"/>
          <w:spacing w:val="20"/>
          <w:kern w:val="2"/>
        </w:rPr>
        <w:t xml:space="preserve">13 millones 700 mil 518 pesos </w:t>
      </w:r>
      <w:r w:rsidRPr="0002002E">
        <w:rPr>
          <w:rFonts w:ascii="Arial" w:eastAsia="Calibri" w:hAnsi="Arial" w:cs="Arial"/>
          <w:spacing w:val="20"/>
          <w:kern w:val="2"/>
          <w:lang w:val="es-ES" w:eastAsia="es-ES"/>
        </w:rPr>
        <w:t>a través del Instituto de la Mujer Oaxaqueña para el programa “Prevención, atención, y protección para mujeres en situación de violencia de género”.</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Para el sector turístico, provenientes del Ramo 21 se devengaron </w:t>
      </w:r>
      <w:r w:rsidRPr="0002002E">
        <w:rPr>
          <w:rFonts w:ascii="Arial" w:eastAsia="Calibri" w:hAnsi="Arial" w:cs="Arial"/>
          <w:spacing w:val="20"/>
          <w:kern w:val="2"/>
        </w:rPr>
        <w:t xml:space="preserve">37 millones 739 mil 265 pesos, para </w:t>
      </w:r>
      <w:r w:rsidRPr="0002002E">
        <w:rPr>
          <w:rFonts w:ascii="Arial" w:eastAsia="Calibri" w:hAnsi="Arial" w:cs="Arial"/>
          <w:spacing w:val="20"/>
          <w:kern w:val="2"/>
          <w:lang w:val="es-ES" w:eastAsia="es-ES"/>
        </w:rPr>
        <w:t xml:space="preserve">mejoramiento de la imagen urbana de San Agustinillo, centros de medicina tradicional en </w:t>
      </w:r>
      <w:proofErr w:type="spellStart"/>
      <w:r w:rsidRPr="0002002E">
        <w:rPr>
          <w:rFonts w:ascii="Arial" w:eastAsia="Calibri" w:hAnsi="Arial" w:cs="Arial"/>
          <w:spacing w:val="20"/>
          <w:kern w:val="2"/>
          <w:lang w:val="es-ES" w:eastAsia="es-ES"/>
        </w:rPr>
        <w:t>Capulalpam</w:t>
      </w:r>
      <w:proofErr w:type="spellEnd"/>
      <w:r w:rsidRPr="0002002E">
        <w:rPr>
          <w:rFonts w:ascii="Arial" w:eastAsia="Calibri" w:hAnsi="Arial" w:cs="Arial"/>
          <w:spacing w:val="20"/>
          <w:kern w:val="2"/>
          <w:lang w:val="es-ES" w:eastAsia="es-ES"/>
        </w:rPr>
        <w:t xml:space="preserve"> de Méndez pueblo mágico, construcción de paraderos turísticos, a través de la Secretaría de Turismo y Desarrollo Económico.</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t xml:space="preserve">Del Ramo General 23, se devengaron recursos por la cantidad de </w:t>
      </w:r>
      <w:r w:rsidRPr="0002002E">
        <w:rPr>
          <w:rFonts w:ascii="Arial" w:eastAsia="Calibri" w:hAnsi="Arial" w:cs="Arial"/>
          <w:spacing w:val="20"/>
          <w:kern w:val="2"/>
        </w:rPr>
        <w:t xml:space="preserve">4 mil   237 millones 570 mil 913 pesos, los cuales se devengaron, </w:t>
      </w:r>
      <w:r w:rsidRPr="0002002E">
        <w:rPr>
          <w:rFonts w:ascii="Arial" w:eastAsia="Calibri" w:hAnsi="Arial" w:cs="Arial"/>
          <w:spacing w:val="20"/>
          <w:kern w:val="2"/>
          <w:lang w:val="es-ES" w:eastAsia="es-ES"/>
        </w:rPr>
        <w:t xml:space="preserve">a través del Fondo de Apoyo a Migrantes, </w:t>
      </w:r>
      <w:r w:rsidRPr="0002002E">
        <w:rPr>
          <w:rFonts w:ascii="Arial" w:eastAsia="Calibri" w:hAnsi="Arial" w:cs="Arial"/>
          <w:spacing w:val="20"/>
          <w:kern w:val="2"/>
        </w:rPr>
        <w:t xml:space="preserve">10 millones 912 mil 978 pesos, para el Fondo Metropolitano se aplicaron recursos por </w:t>
      </w:r>
      <w:r w:rsidRPr="0002002E">
        <w:rPr>
          <w:rFonts w:ascii="Arial" w:eastAsia="Calibri" w:hAnsi="Arial" w:cs="Arial"/>
          <w:spacing w:val="20"/>
          <w:kern w:val="2"/>
          <w:lang w:val="es-ES"/>
        </w:rPr>
        <w:t xml:space="preserve">77 millones 655 mil 296 pesos, para el </w:t>
      </w:r>
      <w:r w:rsidRPr="0002002E">
        <w:rPr>
          <w:rFonts w:ascii="Arial" w:eastAsia="Calibri" w:hAnsi="Arial" w:cs="Arial"/>
          <w:spacing w:val="20"/>
          <w:kern w:val="2"/>
        </w:rPr>
        <w:t xml:space="preserve"> </w:t>
      </w:r>
      <w:r w:rsidRPr="0002002E">
        <w:rPr>
          <w:rFonts w:ascii="Arial" w:eastAsia="Calibri" w:hAnsi="Arial" w:cs="Arial"/>
          <w:spacing w:val="20"/>
          <w:kern w:val="2"/>
          <w:lang w:val="es-ES" w:eastAsia="es-ES"/>
        </w:rPr>
        <w:t xml:space="preserve">Fondo Regional se destinaron </w:t>
      </w:r>
      <w:r w:rsidRPr="0002002E">
        <w:rPr>
          <w:rFonts w:ascii="Arial" w:eastAsia="Calibri" w:hAnsi="Arial" w:cs="Arial"/>
          <w:spacing w:val="20"/>
          <w:kern w:val="2"/>
        </w:rPr>
        <w:t xml:space="preserve">913 millones 48 mil 309 pesos; 186 millones 995 mil 469 pesos mediante </w:t>
      </w:r>
      <w:r w:rsidRPr="0002002E">
        <w:rPr>
          <w:rFonts w:ascii="Arial" w:eastAsia="Calibri" w:hAnsi="Arial" w:cs="Arial"/>
          <w:spacing w:val="20"/>
          <w:kern w:val="2"/>
          <w:lang w:val="es-ES" w:eastAsia="es-ES"/>
        </w:rPr>
        <w:t>Programas Regionales, Fondo de Pavimentación y Desarrollo Municipal</w:t>
      </w:r>
      <w:r w:rsidR="006545A6">
        <w:rPr>
          <w:rFonts w:ascii="Arial" w:eastAsia="Calibri" w:hAnsi="Arial" w:cs="Arial"/>
          <w:spacing w:val="20"/>
          <w:kern w:val="2"/>
          <w:lang w:val="es-ES" w:eastAsia="es-ES"/>
        </w:rPr>
        <w:t xml:space="preserve"> </w:t>
      </w:r>
      <w:r w:rsidRPr="0002002E">
        <w:rPr>
          <w:rFonts w:ascii="Arial" w:eastAsia="Calibri" w:hAnsi="Arial" w:cs="Arial"/>
          <w:spacing w:val="20"/>
          <w:kern w:val="2"/>
          <w:lang w:val="es-ES" w:eastAsia="es-ES"/>
        </w:rPr>
        <w:t xml:space="preserve">con </w:t>
      </w:r>
      <w:r w:rsidRPr="0002002E">
        <w:rPr>
          <w:rFonts w:ascii="Arial" w:eastAsia="Calibri" w:hAnsi="Arial" w:cs="Arial"/>
          <w:spacing w:val="20"/>
          <w:kern w:val="2"/>
        </w:rPr>
        <w:t xml:space="preserve">267 </w:t>
      </w:r>
      <w:r w:rsidRPr="0002002E">
        <w:rPr>
          <w:rFonts w:ascii="Arial" w:eastAsia="Calibri" w:hAnsi="Arial" w:cs="Arial"/>
          <w:spacing w:val="20"/>
          <w:kern w:val="2"/>
          <w:lang w:val="es-ES" w:eastAsia="es-ES"/>
        </w:rPr>
        <w:t>millones</w:t>
      </w:r>
      <w:r w:rsidRPr="0002002E">
        <w:rPr>
          <w:rFonts w:ascii="Arial" w:eastAsia="Calibri" w:hAnsi="Arial" w:cs="Arial"/>
          <w:spacing w:val="20"/>
          <w:kern w:val="2"/>
        </w:rPr>
        <w:t xml:space="preserve"> 125 </w:t>
      </w:r>
      <w:r w:rsidRPr="0002002E">
        <w:rPr>
          <w:rFonts w:ascii="Arial" w:eastAsia="Calibri" w:hAnsi="Arial" w:cs="Arial"/>
          <w:spacing w:val="20"/>
          <w:kern w:val="2"/>
          <w:lang w:val="es-ES" w:eastAsia="es-ES"/>
        </w:rPr>
        <w:t>mil</w:t>
      </w:r>
      <w:r w:rsidR="006545A6">
        <w:rPr>
          <w:rFonts w:ascii="Arial" w:eastAsia="Calibri" w:hAnsi="Arial" w:cs="Arial"/>
          <w:spacing w:val="20"/>
          <w:kern w:val="2"/>
          <w:lang w:val="es-ES" w:eastAsia="es-ES"/>
        </w:rPr>
        <w:t xml:space="preserve">  </w:t>
      </w:r>
      <w:r w:rsidRPr="0002002E">
        <w:rPr>
          <w:rFonts w:ascii="Arial" w:eastAsia="Calibri" w:hAnsi="Arial" w:cs="Arial"/>
          <w:spacing w:val="20"/>
          <w:kern w:val="2"/>
        </w:rPr>
        <w:t xml:space="preserve">45 pesos, con cargo al </w:t>
      </w:r>
      <w:r w:rsidRPr="0002002E">
        <w:rPr>
          <w:rFonts w:ascii="Arial" w:eastAsia="Calibri" w:hAnsi="Arial" w:cs="Arial"/>
          <w:bCs/>
          <w:spacing w:val="20"/>
          <w:kern w:val="2"/>
        </w:rPr>
        <w:t xml:space="preserve">Fondo para la </w:t>
      </w:r>
      <w:proofErr w:type="spellStart"/>
      <w:r w:rsidRPr="0002002E">
        <w:rPr>
          <w:rFonts w:ascii="Arial" w:eastAsia="Calibri" w:hAnsi="Arial" w:cs="Arial"/>
          <w:bCs/>
          <w:spacing w:val="20"/>
          <w:kern w:val="2"/>
        </w:rPr>
        <w:t>Accesabilidad</w:t>
      </w:r>
      <w:proofErr w:type="spellEnd"/>
      <w:r w:rsidRPr="0002002E">
        <w:rPr>
          <w:rFonts w:ascii="Arial" w:eastAsia="Calibri" w:hAnsi="Arial" w:cs="Arial"/>
          <w:bCs/>
          <w:spacing w:val="20"/>
          <w:kern w:val="2"/>
        </w:rPr>
        <w:t xml:space="preserve"> en el Transporte  Público para personas con discapacidad, </w:t>
      </w:r>
      <w:r w:rsidRPr="0002002E">
        <w:rPr>
          <w:rFonts w:ascii="Arial" w:eastAsia="Calibri" w:hAnsi="Arial" w:cs="Arial"/>
          <w:spacing w:val="20"/>
          <w:kern w:val="2"/>
        </w:rPr>
        <w:t xml:space="preserve">15 millones 644 mil 821 pesos;  </w:t>
      </w:r>
      <w:r w:rsidRPr="0002002E">
        <w:rPr>
          <w:rFonts w:ascii="Arial" w:eastAsia="Calibri" w:hAnsi="Arial" w:cs="Arial"/>
          <w:spacing w:val="20"/>
          <w:kern w:val="2"/>
          <w:lang w:val="es-ES" w:eastAsia="es-ES"/>
        </w:rPr>
        <w:t xml:space="preserve">con el Fondo de Cultura se devengaron </w:t>
      </w:r>
      <w:r w:rsidRPr="0002002E">
        <w:rPr>
          <w:rFonts w:ascii="Arial" w:eastAsia="Calibri" w:hAnsi="Arial" w:cs="Arial"/>
          <w:bCs/>
          <w:spacing w:val="20"/>
          <w:kern w:val="2"/>
          <w:lang w:val="es-ES"/>
        </w:rPr>
        <w:t xml:space="preserve">80 millones 682 mil, para el Fondo de Infraestructura Deportiva se destinó </w:t>
      </w:r>
      <w:r w:rsidRPr="0002002E">
        <w:rPr>
          <w:rFonts w:ascii="Arial" w:eastAsia="Calibri" w:hAnsi="Arial" w:cs="Arial"/>
          <w:spacing w:val="20"/>
          <w:kern w:val="2"/>
        </w:rPr>
        <w:t xml:space="preserve">228 millones 669 mil 61 pesos, </w:t>
      </w:r>
      <w:r w:rsidRPr="0002002E">
        <w:rPr>
          <w:rFonts w:ascii="Arial" w:eastAsia="Calibri" w:hAnsi="Arial" w:cs="Arial"/>
          <w:spacing w:val="20"/>
          <w:kern w:val="2"/>
          <w:lang w:val="es-ES" w:eastAsia="es-ES"/>
        </w:rPr>
        <w:t xml:space="preserve">en el Fondo de Proyectos de Desarrollo Regional </w:t>
      </w:r>
      <w:r w:rsidRPr="0002002E">
        <w:rPr>
          <w:rFonts w:ascii="Arial" w:eastAsia="Calibri" w:hAnsi="Arial" w:cs="Arial"/>
          <w:spacing w:val="20"/>
          <w:kern w:val="2"/>
        </w:rPr>
        <w:t>260</w:t>
      </w:r>
      <w:r w:rsidRPr="0002002E">
        <w:rPr>
          <w:rFonts w:ascii="Arial" w:eastAsia="Calibri" w:hAnsi="Arial" w:cs="Arial"/>
          <w:spacing w:val="20"/>
          <w:kern w:val="2"/>
          <w:lang w:val="es-ES" w:eastAsia="es-ES"/>
        </w:rPr>
        <w:t xml:space="preserve"> millones </w:t>
      </w:r>
      <w:r w:rsidRPr="0002002E">
        <w:rPr>
          <w:rFonts w:ascii="Arial" w:eastAsia="Calibri" w:hAnsi="Arial" w:cs="Arial"/>
          <w:spacing w:val="20"/>
          <w:kern w:val="2"/>
        </w:rPr>
        <w:t xml:space="preserve">820 </w:t>
      </w:r>
      <w:r w:rsidRPr="0002002E">
        <w:rPr>
          <w:rFonts w:ascii="Arial" w:eastAsia="Calibri" w:hAnsi="Arial" w:cs="Arial"/>
          <w:spacing w:val="20"/>
          <w:kern w:val="2"/>
          <w:lang w:val="es-ES" w:eastAsia="es-ES"/>
        </w:rPr>
        <w:t>mil </w:t>
      </w:r>
      <w:r w:rsidRPr="0002002E">
        <w:rPr>
          <w:rFonts w:ascii="Arial" w:eastAsia="Calibri" w:hAnsi="Arial" w:cs="Arial"/>
          <w:spacing w:val="20"/>
          <w:kern w:val="2"/>
        </w:rPr>
        <w:t xml:space="preserve">26 pesos; </w:t>
      </w:r>
      <w:r w:rsidRPr="0002002E">
        <w:rPr>
          <w:rFonts w:ascii="Arial" w:eastAsia="Calibri" w:hAnsi="Arial" w:cs="Arial"/>
          <w:spacing w:val="20"/>
          <w:kern w:val="2"/>
          <w:lang w:val="es-ES" w:eastAsia="es-ES"/>
        </w:rPr>
        <w:t xml:space="preserve">dentro de Contingencias Económicas se devengaron </w:t>
      </w:r>
      <w:r w:rsidRPr="0002002E">
        <w:rPr>
          <w:rFonts w:ascii="Arial" w:eastAsia="Calibri" w:hAnsi="Arial" w:cs="Arial"/>
          <w:spacing w:val="20"/>
          <w:kern w:val="2"/>
        </w:rPr>
        <w:t xml:space="preserve">2 mil </w:t>
      </w:r>
      <w:r w:rsidR="006545A6">
        <w:rPr>
          <w:rFonts w:ascii="Arial" w:eastAsia="Calibri" w:hAnsi="Arial" w:cs="Arial"/>
          <w:spacing w:val="20"/>
          <w:kern w:val="2"/>
        </w:rPr>
        <w:t>1</w:t>
      </w:r>
      <w:r w:rsidRPr="0002002E">
        <w:rPr>
          <w:rFonts w:ascii="Arial" w:eastAsia="Calibri" w:hAnsi="Arial" w:cs="Arial"/>
          <w:spacing w:val="20"/>
          <w:kern w:val="2"/>
        </w:rPr>
        <w:t xml:space="preserve">52 millones 666 mil 247 pesos. </w:t>
      </w:r>
      <w:r w:rsidRPr="0002002E">
        <w:rPr>
          <w:rFonts w:ascii="Arial" w:eastAsia="Calibri" w:hAnsi="Arial" w:cs="Arial"/>
          <w:spacing w:val="20"/>
          <w:kern w:val="2"/>
          <w:lang w:val="es-ES" w:eastAsia="es-ES"/>
        </w:rPr>
        <w:t xml:space="preserve">Para el Fondo Sur Sureste se destinaron </w:t>
      </w:r>
      <w:r w:rsidRPr="0002002E">
        <w:rPr>
          <w:rFonts w:ascii="Arial" w:eastAsia="Calibri" w:hAnsi="Arial" w:cs="Arial"/>
          <w:spacing w:val="20"/>
          <w:kern w:val="2"/>
          <w:lang w:val="es-ES"/>
        </w:rPr>
        <w:t xml:space="preserve">33 millones 151 mil 661 pesos y </w:t>
      </w:r>
      <w:r w:rsidRPr="0002002E">
        <w:rPr>
          <w:rFonts w:ascii="Arial" w:eastAsia="Calibri" w:hAnsi="Arial" w:cs="Arial"/>
          <w:spacing w:val="20"/>
          <w:kern w:val="2"/>
          <w:lang w:val="es-ES" w:eastAsia="es-ES"/>
        </w:rPr>
        <w:t xml:space="preserve">finalmente para Programas de Desarrollo Regional se devengaron </w:t>
      </w:r>
      <w:r w:rsidRPr="0002002E">
        <w:rPr>
          <w:rFonts w:ascii="Arial" w:eastAsia="Calibri" w:hAnsi="Arial" w:cs="Arial"/>
          <w:spacing w:val="20"/>
          <w:kern w:val="2"/>
        </w:rPr>
        <w:t xml:space="preserve">10 millones 200 mil pesos.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Dentro de estos programas se incluye infraestructura siendo las obras más relevantes las siguientes: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t>Establecimientos productivos en comunidades rurales; construcción del Centro de Recreación y Acondicionamiento Deportivo "Venustiano Carranza" 2a. etapa; e</w:t>
      </w:r>
      <w:proofErr w:type="spellStart"/>
      <w:r w:rsidRPr="0002002E">
        <w:rPr>
          <w:rFonts w:ascii="Arial" w:eastAsia="Calibri" w:hAnsi="Arial" w:cs="Arial"/>
          <w:spacing w:val="20"/>
          <w:kern w:val="2"/>
        </w:rPr>
        <w:t>laboracion</w:t>
      </w:r>
      <w:proofErr w:type="spellEnd"/>
      <w:r w:rsidRPr="0002002E">
        <w:rPr>
          <w:rFonts w:ascii="Arial" w:eastAsia="Calibri" w:hAnsi="Arial" w:cs="Arial"/>
          <w:spacing w:val="20"/>
          <w:kern w:val="2"/>
        </w:rPr>
        <w:t xml:space="preserve"> del </w:t>
      </w:r>
      <w:proofErr w:type="spellStart"/>
      <w:r w:rsidRPr="0002002E">
        <w:rPr>
          <w:rFonts w:ascii="Arial" w:eastAsia="Calibri" w:hAnsi="Arial" w:cs="Arial"/>
          <w:spacing w:val="20"/>
          <w:kern w:val="2"/>
        </w:rPr>
        <w:t>lan</w:t>
      </w:r>
      <w:proofErr w:type="spellEnd"/>
      <w:r w:rsidRPr="0002002E">
        <w:rPr>
          <w:rFonts w:ascii="Arial" w:eastAsia="Calibri" w:hAnsi="Arial" w:cs="Arial"/>
          <w:spacing w:val="20"/>
          <w:kern w:val="2"/>
        </w:rPr>
        <w:t xml:space="preserve"> de desarrollo urbano del centro de </w:t>
      </w:r>
      <w:proofErr w:type="spellStart"/>
      <w:r w:rsidRPr="0002002E">
        <w:rPr>
          <w:rFonts w:ascii="Arial" w:eastAsia="Calibri" w:hAnsi="Arial" w:cs="Arial"/>
          <w:spacing w:val="20"/>
          <w:kern w:val="2"/>
        </w:rPr>
        <w:t>poblacion</w:t>
      </w:r>
      <w:proofErr w:type="spellEnd"/>
      <w:r w:rsidRPr="0002002E">
        <w:rPr>
          <w:rFonts w:ascii="Arial" w:eastAsia="Calibri" w:hAnsi="Arial" w:cs="Arial"/>
          <w:spacing w:val="20"/>
          <w:kern w:val="2"/>
        </w:rPr>
        <w:t xml:space="preserve"> de Santa Catarina </w:t>
      </w:r>
      <w:proofErr w:type="spellStart"/>
      <w:r w:rsidRPr="0002002E">
        <w:rPr>
          <w:rFonts w:ascii="Arial" w:eastAsia="Calibri" w:hAnsi="Arial" w:cs="Arial"/>
          <w:spacing w:val="20"/>
          <w:kern w:val="2"/>
        </w:rPr>
        <w:t>Juquila</w:t>
      </w:r>
      <w:proofErr w:type="spellEnd"/>
      <w:r w:rsidRPr="0002002E">
        <w:rPr>
          <w:rFonts w:ascii="Arial" w:eastAsia="Calibri" w:hAnsi="Arial" w:cs="Arial"/>
          <w:spacing w:val="20"/>
          <w:kern w:val="2"/>
        </w:rPr>
        <w:t xml:space="preserve">, Ampliación y mejora de obras de electrificación en diversas localidades del Estado, Rehabilitación de </w:t>
      </w:r>
      <w:r w:rsidRPr="0002002E">
        <w:rPr>
          <w:rFonts w:ascii="Arial" w:eastAsia="Calibri" w:hAnsi="Arial" w:cs="Arial"/>
          <w:spacing w:val="20"/>
          <w:kern w:val="2"/>
        </w:rPr>
        <w:lastRenderedPageBreak/>
        <w:t xml:space="preserve">vialidades urbanas, Clausura (2a. Etapa) del relleno sanitario del municipio de </w:t>
      </w:r>
      <w:r w:rsidR="006545A6">
        <w:rPr>
          <w:rFonts w:ascii="Arial" w:eastAsia="Calibri" w:hAnsi="Arial" w:cs="Arial"/>
          <w:spacing w:val="20"/>
          <w:kern w:val="2"/>
        </w:rPr>
        <w:t>O</w:t>
      </w:r>
      <w:r w:rsidRPr="0002002E">
        <w:rPr>
          <w:rFonts w:ascii="Arial" w:eastAsia="Calibri" w:hAnsi="Arial" w:cs="Arial"/>
          <w:spacing w:val="20"/>
          <w:kern w:val="2"/>
        </w:rPr>
        <w:t xml:space="preserve">axaca de </w:t>
      </w:r>
      <w:proofErr w:type="spellStart"/>
      <w:r w:rsidR="006545A6">
        <w:rPr>
          <w:rFonts w:ascii="Arial" w:eastAsia="Calibri" w:hAnsi="Arial" w:cs="Arial"/>
          <w:spacing w:val="20"/>
          <w:kern w:val="2"/>
        </w:rPr>
        <w:t>J</w:t>
      </w:r>
      <w:r w:rsidRPr="0002002E">
        <w:rPr>
          <w:rFonts w:ascii="Arial" w:eastAsia="Calibri" w:hAnsi="Arial" w:cs="Arial"/>
          <w:spacing w:val="20"/>
          <w:kern w:val="2"/>
        </w:rPr>
        <w:t>uarez</w:t>
      </w:r>
      <w:proofErr w:type="spellEnd"/>
      <w:r w:rsidRPr="0002002E">
        <w:rPr>
          <w:rFonts w:ascii="Arial" w:eastAsia="Calibri" w:hAnsi="Arial" w:cs="Arial"/>
          <w:spacing w:val="20"/>
          <w:kern w:val="2"/>
        </w:rPr>
        <w:t xml:space="preserve"> y municipios conurbados, Construcción del edificio H para biblioteca y aulas de la facultad de contaduría y administración de la UABJO (1a.etapa),Construcción del centro de salud en la localidad de Santa Cruz </w:t>
      </w:r>
      <w:proofErr w:type="spellStart"/>
      <w:r w:rsidRPr="0002002E">
        <w:rPr>
          <w:rFonts w:ascii="Arial" w:eastAsia="Calibri" w:hAnsi="Arial" w:cs="Arial"/>
          <w:spacing w:val="20"/>
          <w:kern w:val="2"/>
        </w:rPr>
        <w:t>Mitlatongo</w:t>
      </w:r>
      <w:proofErr w:type="spellEnd"/>
      <w:r w:rsidRPr="0002002E">
        <w:rPr>
          <w:rFonts w:ascii="Arial" w:eastAsia="Calibri" w:hAnsi="Arial" w:cs="Arial"/>
          <w:spacing w:val="20"/>
          <w:kern w:val="2"/>
        </w:rPr>
        <w:t xml:space="preserve">; terminación de la construcción y equipamiento del mobiliario fijo del centro de </w:t>
      </w:r>
      <w:proofErr w:type="spellStart"/>
      <w:r w:rsidRPr="0002002E">
        <w:rPr>
          <w:rFonts w:ascii="Arial" w:eastAsia="Calibri" w:hAnsi="Arial" w:cs="Arial"/>
          <w:spacing w:val="20"/>
          <w:kern w:val="2"/>
        </w:rPr>
        <w:t>reinsercion</w:t>
      </w:r>
      <w:proofErr w:type="spellEnd"/>
      <w:r w:rsidRPr="0002002E">
        <w:rPr>
          <w:rFonts w:ascii="Arial" w:eastAsia="Calibri" w:hAnsi="Arial" w:cs="Arial"/>
          <w:spacing w:val="20"/>
          <w:kern w:val="2"/>
        </w:rPr>
        <w:t xml:space="preserve"> social de media seguridad, </w:t>
      </w:r>
      <w:r w:rsidRPr="0002002E">
        <w:rPr>
          <w:rFonts w:ascii="Arial" w:eastAsia="Calibri" w:hAnsi="Arial" w:cs="Arial"/>
          <w:spacing w:val="20"/>
          <w:kern w:val="2"/>
          <w:lang w:val="es-ES"/>
        </w:rPr>
        <w:t>Urbanización de 135 hectáreas del desarrollo urbano integral (DUI) Salina Cruz Oaxaca (polígono 14)</w:t>
      </w:r>
      <w:r w:rsidRPr="0002002E">
        <w:rPr>
          <w:rFonts w:ascii="Arial" w:eastAsia="Calibri" w:hAnsi="Arial" w:cs="Arial"/>
          <w:spacing w:val="20"/>
          <w:kern w:val="2"/>
        </w:rPr>
        <w:t>, construcción de la ciudad de los archivos en Oaxaca,  por mencionar algunas.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_tradnl"/>
        </w:rPr>
      </w:pPr>
      <w:r w:rsidRPr="0002002E">
        <w:rPr>
          <w:rFonts w:ascii="Arial" w:eastAsia="Calibri" w:hAnsi="Arial" w:cs="Arial"/>
          <w:spacing w:val="20"/>
          <w:kern w:val="2"/>
        </w:rPr>
        <w:t xml:space="preserve">En el sector de comunicaciones y transportes se realizaron varias obras para la construcción de caminos rurales y </w:t>
      </w:r>
      <w:proofErr w:type="spellStart"/>
      <w:r w:rsidRPr="0002002E">
        <w:rPr>
          <w:rFonts w:ascii="Arial" w:eastAsia="Calibri" w:hAnsi="Arial" w:cs="Arial"/>
          <w:spacing w:val="20"/>
          <w:kern w:val="2"/>
        </w:rPr>
        <w:t>rehabilitacion</w:t>
      </w:r>
      <w:proofErr w:type="spellEnd"/>
      <w:r w:rsidRPr="0002002E">
        <w:rPr>
          <w:rFonts w:ascii="Arial" w:eastAsia="Calibri" w:hAnsi="Arial" w:cs="Arial"/>
          <w:spacing w:val="20"/>
          <w:kern w:val="2"/>
        </w:rPr>
        <w:t xml:space="preserve"> de carreteras alimentadoras,  </w:t>
      </w:r>
      <w:proofErr w:type="spellStart"/>
      <w:r w:rsidRPr="0002002E">
        <w:rPr>
          <w:rFonts w:ascii="Arial" w:eastAsia="Calibri" w:hAnsi="Arial" w:cs="Arial"/>
          <w:spacing w:val="20"/>
          <w:kern w:val="2"/>
        </w:rPr>
        <w:t>Construccion</w:t>
      </w:r>
      <w:proofErr w:type="spellEnd"/>
      <w:r w:rsidRPr="0002002E">
        <w:rPr>
          <w:rFonts w:ascii="Arial" w:eastAsia="Calibri" w:hAnsi="Arial" w:cs="Arial"/>
          <w:spacing w:val="20"/>
          <w:kern w:val="2"/>
        </w:rPr>
        <w:t xml:space="preserve"> del camino el </w:t>
      </w:r>
      <w:proofErr w:type="spellStart"/>
      <w:r w:rsidRPr="0002002E">
        <w:rPr>
          <w:rFonts w:ascii="Arial" w:eastAsia="Calibri" w:hAnsi="Arial" w:cs="Arial"/>
          <w:spacing w:val="20"/>
          <w:kern w:val="2"/>
        </w:rPr>
        <w:t>Jicaro-Rodulfo</w:t>
      </w:r>
      <w:proofErr w:type="spellEnd"/>
      <w:r w:rsidRPr="0002002E">
        <w:rPr>
          <w:rFonts w:ascii="Arial" w:eastAsia="Calibri" w:hAnsi="Arial" w:cs="Arial"/>
          <w:spacing w:val="20"/>
          <w:kern w:val="2"/>
        </w:rPr>
        <w:t xml:space="preserve"> Figueroa-San Antonio </w:t>
      </w:r>
      <w:proofErr w:type="spellStart"/>
      <w:r w:rsidRPr="0002002E">
        <w:rPr>
          <w:rFonts w:ascii="Arial" w:eastAsia="Calibri" w:hAnsi="Arial" w:cs="Arial"/>
          <w:spacing w:val="20"/>
          <w:kern w:val="2"/>
        </w:rPr>
        <w:t>CHimalapa</w:t>
      </w:r>
      <w:proofErr w:type="spellEnd"/>
      <w:r w:rsidRPr="0002002E">
        <w:rPr>
          <w:rFonts w:ascii="Arial" w:eastAsia="Calibri" w:hAnsi="Arial" w:cs="Arial"/>
          <w:spacing w:val="20"/>
          <w:kern w:val="2"/>
        </w:rPr>
        <w:t xml:space="preserve">-Nuevo  San Juan-La Libertad tramo del km 0+000 al km 138+000, </w:t>
      </w:r>
      <w:proofErr w:type="spellStart"/>
      <w:r w:rsidRPr="0002002E">
        <w:rPr>
          <w:rFonts w:ascii="Arial" w:eastAsia="Calibri" w:hAnsi="Arial" w:cs="Arial"/>
          <w:spacing w:val="20"/>
          <w:kern w:val="2"/>
        </w:rPr>
        <w:t>subtramo</w:t>
      </w:r>
      <w:proofErr w:type="spellEnd"/>
      <w:r w:rsidRPr="0002002E">
        <w:rPr>
          <w:rFonts w:ascii="Arial" w:eastAsia="Calibri" w:hAnsi="Arial" w:cs="Arial"/>
          <w:spacing w:val="20"/>
          <w:kern w:val="2"/>
        </w:rPr>
        <w:t xml:space="preserve"> del km 116+600 al km 120+700; Reconstrucción del camino </w:t>
      </w:r>
      <w:proofErr w:type="spellStart"/>
      <w:r w:rsidRPr="0002002E">
        <w:rPr>
          <w:rFonts w:ascii="Arial" w:eastAsia="Calibri" w:hAnsi="Arial" w:cs="Arial"/>
          <w:spacing w:val="20"/>
          <w:kern w:val="2"/>
        </w:rPr>
        <w:t>e.c.</w:t>
      </w:r>
      <w:proofErr w:type="spellEnd"/>
      <w:r w:rsidRPr="0002002E">
        <w:rPr>
          <w:rFonts w:ascii="Arial" w:eastAsia="Calibri" w:hAnsi="Arial" w:cs="Arial"/>
          <w:spacing w:val="20"/>
          <w:kern w:val="2"/>
        </w:rPr>
        <w:t xml:space="preserve"> (Oaxaca-Sola de Vega) - Santa María Sola-Santo Domingo </w:t>
      </w:r>
      <w:proofErr w:type="spellStart"/>
      <w:r w:rsidRPr="0002002E">
        <w:rPr>
          <w:rFonts w:ascii="Arial" w:eastAsia="Calibri" w:hAnsi="Arial" w:cs="Arial"/>
          <w:spacing w:val="20"/>
          <w:kern w:val="2"/>
        </w:rPr>
        <w:t>Teojomulco</w:t>
      </w:r>
      <w:proofErr w:type="spellEnd"/>
      <w:r w:rsidRPr="0002002E">
        <w:rPr>
          <w:rFonts w:ascii="Arial" w:eastAsia="Calibri" w:hAnsi="Arial" w:cs="Arial"/>
          <w:spacing w:val="20"/>
          <w:kern w:val="2"/>
        </w:rPr>
        <w:t xml:space="preserve">-Santa Cruz </w:t>
      </w:r>
      <w:proofErr w:type="spellStart"/>
      <w:r w:rsidRPr="0002002E">
        <w:rPr>
          <w:rFonts w:ascii="Arial" w:eastAsia="Calibri" w:hAnsi="Arial" w:cs="Arial"/>
          <w:spacing w:val="20"/>
          <w:kern w:val="2"/>
        </w:rPr>
        <w:t>Zenzontepec</w:t>
      </w:r>
      <w:proofErr w:type="spellEnd"/>
      <w:r w:rsidRPr="0002002E">
        <w:rPr>
          <w:rFonts w:ascii="Arial" w:eastAsia="Calibri" w:hAnsi="Arial" w:cs="Arial"/>
          <w:spacing w:val="20"/>
          <w:kern w:val="2"/>
        </w:rPr>
        <w:t xml:space="preserve"> del km 0+000 al km 112+000, </w:t>
      </w:r>
      <w:proofErr w:type="spellStart"/>
      <w:r w:rsidRPr="0002002E">
        <w:rPr>
          <w:rFonts w:ascii="Arial" w:eastAsia="Calibri" w:hAnsi="Arial" w:cs="Arial"/>
          <w:spacing w:val="20"/>
          <w:kern w:val="2"/>
        </w:rPr>
        <w:t>subtramo</w:t>
      </w:r>
      <w:proofErr w:type="spellEnd"/>
      <w:r w:rsidRPr="0002002E">
        <w:rPr>
          <w:rFonts w:ascii="Arial" w:eastAsia="Calibri" w:hAnsi="Arial" w:cs="Arial"/>
          <w:spacing w:val="20"/>
          <w:kern w:val="2"/>
        </w:rPr>
        <w:t xml:space="preserve"> del km 13+000 al km 19+000 tramos parciales y 2 losas de concreto armado ubicadas en los km 82+148; Construcción de un puente vehicular </w:t>
      </w:r>
      <w:proofErr w:type="spellStart"/>
      <w:r w:rsidRPr="0002002E">
        <w:rPr>
          <w:rFonts w:ascii="Arial" w:eastAsia="Calibri" w:hAnsi="Arial" w:cs="Arial"/>
          <w:spacing w:val="20"/>
          <w:kern w:val="2"/>
        </w:rPr>
        <w:t>e.c</w:t>
      </w:r>
      <w:proofErr w:type="spellEnd"/>
      <w:r w:rsidRPr="0002002E">
        <w:rPr>
          <w:rFonts w:ascii="Arial" w:eastAsia="Calibri" w:hAnsi="Arial" w:cs="Arial"/>
          <w:spacing w:val="20"/>
          <w:kern w:val="2"/>
        </w:rPr>
        <w:t xml:space="preserve"> (autopista Barranca Larga- Ventanilla)- Santa Catarina </w:t>
      </w:r>
      <w:proofErr w:type="spellStart"/>
      <w:r w:rsidRPr="0002002E">
        <w:rPr>
          <w:rFonts w:ascii="Arial" w:eastAsia="Calibri" w:hAnsi="Arial" w:cs="Arial"/>
          <w:spacing w:val="20"/>
          <w:kern w:val="2"/>
        </w:rPr>
        <w:t>Coatlán</w:t>
      </w:r>
      <w:proofErr w:type="spellEnd"/>
      <w:r w:rsidRPr="0002002E">
        <w:rPr>
          <w:rFonts w:ascii="Arial" w:eastAsia="Calibri" w:hAnsi="Arial" w:cs="Arial"/>
          <w:spacing w:val="20"/>
          <w:kern w:val="2"/>
          <w:lang w:val="es-ES" w:eastAsia="es-ES"/>
        </w:rPr>
        <w:t xml:space="preserve">, </w:t>
      </w:r>
      <w:r w:rsidRPr="0002002E">
        <w:rPr>
          <w:rFonts w:ascii="Arial" w:eastAsia="Calibri" w:hAnsi="Arial" w:cs="Arial"/>
          <w:spacing w:val="20"/>
          <w:kern w:val="2"/>
          <w:lang w:val="es-ES"/>
        </w:rPr>
        <w:t xml:space="preserve">Conservación de la carretera </w:t>
      </w:r>
      <w:proofErr w:type="spellStart"/>
      <w:r w:rsidRPr="0002002E">
        <w:rPr>
          <w:rFonts w:ascii="Arial" w:eastAsia="Calibri" w:hAnsi="Arial" w:cs="Arial"/>
          <w:spacing w:val="20"/>
          <w:kern w:val="2"/>
          <w:lang w:val="es-ES"/>
        </w:rPr>
        <w:t>e.c.</w:t>
      </w:r>
      <w:proofErr w:type="spellEnd"/>
      <w:r w:rsidRPr="0002002E">
        <w:rPr>
          <w:rFonts w:ascii="Arial" w:eastAsia="Calibri" w:hAnsi="Arial" w:cs="Arial"/>
          <w:spacing w:val="20"/>
          <w:kern w:val="2"/>
          <w:lang w:val="es-ES"/>
        </w:rPr>
        <w:t>(</w:t>
      </w:r>
      <w:proofErr w:type="spellStart"/>
      <w:r w:rsidRPr="0002002E">
        <w:rPr>
          <w:rFonts w:ascii="Arial" w:eastAsia="Calibri" w:hAnsi="Arial" w:cs="Arial"/>
          <w:spacing w:val="20"/>
          <w:kern w:val="2"/>
          <w:lang w:val="es-ES"/>
        </w:rPr>
        <w:t>Huajuapan</w:t>
      </w:r>
      <w:proofErr w:type="spellEnd"/>
      <w:r w:rsidRPr="0002002E">
        <w:rPr>
          <w:rFonts w:ascii="Arial" w:eastAsia="Calibri" w:hAnsi="Arial" w:cs="Arial"/>
          <w:spacing w:val="20"/>
          <w:kern w:val="2"/>
          <w:lang w:val="es-ES"/>
        </w:rPr>
        <w:t xml:space="preserve"> - </w:t>
      </w:r>
      <w:proofErr w:type="spellStart"/>
      <w:r w:rsidRPr="0002002E">
        <w:rPr>
          <w:rFonts w:ascii="Arial" w:eastAsia="Calibri" w:hAnsi="Arial" w:cs="Arial"/>
          <w:spacing w:val="20"/>
          <w:kern w:val="2"/>
          <w:lang w:val="es-ES"/>
        </w:rPr>
        <w:t>Juxtlahuaca</w:t>
      </w:r>
      <w:proofErr w:type="spellEnd"/>
      <w:r w:rsidRPr="0002002E">
        <w:rPr>
          <w:rFonts w:ascii="Arial" w:eastAsia="Calibri" w:hAnsi="Arial" w:cs="Arial"/>
          <w:spacing w:val="20"/>
          <w:kern w:val="2"/>
          <w:lang w:val="es-ES"/>
        </w:rPr>
        <w:t xml:space="preserve">) </w:t>
      </w:r>
      <w:proofErr w:type="spellStart"/>
      <w:r w:rsidRPr="0002002E">
        <w:rPr>
          <w:rFonts w:ascii="Arial" w:eastAsia="Calibri" w:hAnsi="Arial" w:cs="Arial"/>
          <w:spacing w:val="20"/>
          <w:kern w:val="2"/>
          <w:lang w:val="es-ES"/>
        </w:rPr>
        <w:t>Ixpantepec</w:t>
      </w:r>
      <w:proofErr w:type="spellEnd"/>
      <w:r w:rsidRPr="0002002E">
        <w:rPr>
          <w:rFonts w:ascii="Arial" w:eastAsia="Calibri" w:hAnsi="Arial" w:cs="Arial"/>
          <w:spacing w:val="20"/>
          <w:kern w:val="2"/>
          <w:lang w:val="es-ES"/>
        </w:rPr>
        <w:t xml:space="preserve"> nieves - </w:t>
      </w:r>
      <w:proofErr w:type="spellStart"/>
      <w:r w:rsidRPr="0002002E">
        <w:rPr>
          <w:rFonts w:ascii="Arial" w:eastAsia="Calibri" w:hAnsi="Arial" w:cs="Arial"/>
          <w:spacing w:val="20"/>
          <w:kern w:val="2"/>
          <w:lang w:val="es-ES"/>
        </w:rPr>
        <w:t>Silacayoapam</w:t>
      </w:r>
      <w:proofErr w:type="spellEnd"/>
      <w:r w:rsidRPr="0002002E">
        <w:rPr>
          <w:rFonts w:ascii="Arial" w:eastAsia="Calibri" w:hAnsi="Arial" w:cs="Arial"/>
          <w:spacing w:val="20"/>
          <w:kern w:val="2"/>
          <w:lang w:val="es-ES"/>
        </w:rPr>
        <w:t xml:space="preserve"> del km. 0+000 al km. 28+000 tramos parciales; Conservación de la carretera </w:t>
      </w:r>
      <w:proofErr w:type="spellStart"/>
      <w:r w:rsidRPr="0002002E">
        <w:rPr>
          <w:rFonts w:ascii="Arial" w:eastAsia="Calibri" w:hAnsi="Arial" w:cs="Arial"/>
          <w:spacing w:val="20"/>
          <w:kern w:val="2"/>
          <w:lang w:val="es-ES"/>
        </w:rPr>
        <w:t>Huajuapan</w:t>
      </w:r>
      <w:proofErr w:type="spellEnd"/>
      <w:r w:rsidRPr="0002002E">
        <w:rPr>
          <w:rFonts w:ascii="Arial" w:eastAsia="Calibri" w:hAnsi="Arial" w:cs="Arial"/>
          <w:spacing w:val="20"/>
          <w:kern w:val="2"/>
          <w:lang w:val="es-ES"/>
        </w:rPr>
        <w:t xml:space="preserve">-Mariscala tramo del km 0+000 al km 60+000, tramos aislados. Modernización y ampliación del camino La Venta- san francisco </w:t>
      </w:r>
      <w:proofErr w:type="spellStart"/>
      <w:r w:rsidRPr="0002002E">
        <w:rPr>
          <w:rFonts w:ascii="Arial" w:eastAsia="Calibri" w:hAnsi="Arial" w:cs="Arial"/>
          <w:spacing w:val="20"/>
          <w:kern w:val="2"/>
          <w:lang w:val="es-ES"/>
        </w:rPr>
        <w:t>ozolotepec</w:t>
      </w:r>
      <w:proofErr w:type="spellEnd"/>
      <w:r w:rsidRPr="0002002E">
        <w:rPr>
          <w:rFonts w:ascii="Arial" w:eastAsia="Calibri" w:hAnsi="Arial" w:cs="Arial"/>
          <w:spacing w:val="20"/>
          <w:kern w:val="2"/>
          <w:lang w:val="es-ES"/>
        </w:rPr>
        <w:t xml:space="preserve"> tramo del km 0+000 al km 90+000, </w:t>
      </w:r>
      <w:proofErr w:type="spellStart"/>
      <w:r w:rsidRPr="0002002E">
        <w:rPr>
          <w:rFonts w:ascii="Arial" w:eastAsia="Calibri" w:hAnsi="Arial" w:cs="Arial"/>
          <w:spacing w:val="20"/>
          <w:kern w:val="2"/>
          <w:lang w:val="es-ES"/>
        </w:rPr>
        <w:t>subtramo</w:t>
      </w:r>
      <w:proofErr w:type="spellEnd"/>
      <w:r w:rsidRPr="0002002E">
        <w:rPr>
          <w:rFonts w:ascii="Arial" w:eastAsia="Calibri" w:hAnsi="Arial" w:cs="Arial"/>
          <w:spacing w:val="20"/>
          <w:kern w:val="2"/>
          <w:lang w:val="es-ES"/>
        </w:rPr>
        <w:t xml:space="preserve"> del km  43+460 al km 45+660</w:t>
      </w:r>
      <w:r w:rsidRPr="0002002E">
        <w:rPr>
          <w:rFonts w:ascii="Arial" w:eastAsia="Calibri" w:hAnsi="Arial" w:cs="Arial"/>
          <w:spacing w:val="20"/>
          <w:kern w:val="2"/>
          <w:lang w:val="es-ES" w:eastAsia="es-ES"/>
        </w:rPr>
        <w:t>, entre otros.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rPr>
      </w:pPr>
      <w:r w:rsidRPr="0002002E">
        <w:rPr>
          <w:rFonts w:ascii="Arial" w:eastAsia="Calibri" w:hAnsi="Arial" w:cs="Arial"/>
          <w:spacing w:val="20"/>
          <w:kern w:val="2"/>
          <w:lang w:val="es-ES" w:eastAsia="es-ES"/>
        </w:rPr>
        <w:t xml:space="preserve">En el sector salud se devengaron recursos para el </w:t>
      </w:r>
      <w:r w:rsidRPr="0002002E">
        <w:rPr>
          <w:rFonts w:ascii="Arial" w:eastAsia="Calibri" w:hAnsi="Arial" w:cs="Arial"/>
          <w:spacing w:val="20"/>
          <w:kern w:val="2"/>
        </w:rPr>
        <w:t xml:space="preserve">Servicio de transporte público adaptado para personas con discapacidad en el estado de Oaxaca; </w:t>
      </w:r>
      <w:proofErr w:type="spellStart"/>
      <w:r w:rsidRPr="0002002E">
        <w:rPr>
          <w:rFonts w:ascii="Arial" w:eastAsia="Calibri" w:hAnsi="Arial" w:cs="Arial"/>
          <w:spacing w:val="20"/>
          <w:kern w:val="2"/>
        </w:rPr>
        <w:t>asi</w:t>
      </w:r>
      <w:proofErr w:type="spellEnd"/>
      <w:r w:rsidRPr="0002002E">
        <w:rPr>
          <w:rFonts w:ascii="Arial" w:eastAsia="Calibri" w:hAnsi="Arial" w:cs="Arial"/>
          <w:spacing w:val="20"/>
          <w:kern w:val="2"/>
        </w:rPr>
        <w:t xml:space="preserve"> como el fomento a la cultura </w:t>
      </w:r>
      <w:proofErr w:type="spellStart"/>
      <w:r w:rsidRPr="0002002E">
        <w:rPr>
          <w:rFonts w:ascii="Arial" w:eastAsia="Calibri" w:hAnsi="Arial" w:cs="Arial"/>
          <w:spacing w:val="20"/>
          <w:kern w:val="2"/>
        </w:rPr>
        <w:t>fisica</w:t>
      </w:r>
      <w:proofErr w:type="spellEnd"/>
      <w:r w:rsidRPr="0002002E">
        <w:rPr>
          <w:rFonts w:ascii="Arial" w:eastAsia="Calibri" w:hAnsi="Arial" w:cs="Arial"/>
          <w:spacing w:val="20"/>
          <w:kern w:val="2"/>
        </w:rPr>
        <w:t xml:space="preserve"> y deportiva a </w:t>
      </w:r>
      <w:proofErr w:type="spellStart"/>
      <w:r w:rsidRPr="0002002E">
        <w:rPr>
          <w:rFonts w:ascii="Arial" w:eastAsia="Calibri" w:hAnsi="Arial" w:cs="Arial"/>
          <w:spacing w:val="20"/>
          <w:kern w:val="2"/>
        </w:rPr>
        <w:t>traves</w:t>
      </w:r>
      <w:proofErr w:type="spellEnd"/>
      <w:r w:rsidRPr="0002002E">
        <w:rPr>
          <w:rFonts w:ascii="Arial" w:eastAsia="Calibri" w:hAnsi="Arial" w:cs="Arial"/>
          <w:spacing w:val="20"/>
          <w:kern w:val="2"/>
        </w:rPr>
        <w:t xml:space="preserve"> de la </w:t>
      </w:r>
      <w:r w:rsidRPr="0002002E">
        <w:rPr>
          <w:rFonts w:ascii="Arial" w:eastAsia="Calibri" w:hAnsi="Arial" w:cs="Arial"/>
          <w:spacing w:val="20"/>
          <w:kern w:val="2"/>
          <w:lang w:val="es-ES"/>
        </w:rPr>
        <w:t xml:space="preserve">construcción y equipamiento de  gimnasios al aire libre circuito de la salud,  rehabilitación y equipamiento  del parque deportivo Luis Donaldo Colosio, rehabilitación y equipamiento del gimnasio Ricardo Flores </w:t>
      </w:r>
      <w:proofErr w:type="spellStart"/>
      <w:r w:rsidRPr="0002002E">
        <w:rPr>
          <w:rFonts w:ascii="Arial" w:eastAsia="Calibri" w:hAnsi="Arial" w:cs="Arial"/>
          <w:spacing w:val="20"/>
          <w:kern w:val="2"/>
          <w:lang w:val="es-ES"/>
        </w:rPr>
        <w:t>Magón</w:t>
      </w:r>
      <w:proofErr w:type="spellEnd"/>
      <w:r w:rsidRPr="0002002E">
        <w:rPr>
          <w:rFonts w:ascii="Arial" w:eastAsia="Calibri" w:hAnsi="Arial" w:cs="Arial"/>
          <w:spacing w:val="20"/>
          <w:kern w:val="2"/>
          <w:lang w:val="es-ES"/>
        </w:rPr>
        <w:t xml:space="preserve">, la rehabilitación del Centro Estatal de Deportes de Combate CEDECOM, rehabilitación de la Unidad Deportiva Santa Lucía CAPCE, </w:t>
      </w:r>
      <w:r w:rsidRPr="0002002E">
        <w:rPr>
          <w:rFonts w:ascii="Arial" w:eastAsia="Calibri" w:hAnsi="Arial" w:cs="Arial"/>
          <w:spacing w:val="20"/>
          <w:kern w:val="2"/>
          <w:lang w:val="es-ES_tradnl"/>
        </w:rPr>
        <w:t xml:space="preserve">la </w:t>
      </w:r>
      <w:r w:rsidRPr="0002002E">
        <w:rPr>
          <w:rFonts w:ascii="Arial" w:eastAsia="Calibri" w:hAnsi="Arial" w:cs="Arial"/>
          <w:spacing w:val="20"/>
          <w:kern w:val="2"/>
          <w:lang w:val="es-ES"/>
        </w:rPr>
        <w:t xml:space="preserve">rehabilitación y equipamiento del Parque de la Ciudad de las Canteras, </w:t>
      </w:r>
      <w:proofErr w:type="spellStart"/>
      <w:r w:rsidRPr="0002002E">
        <w:rPr>
          <w:rFonts w:ascii="Arial" w:eastAsia="Calibri" w:hAnsi="Arial" w:cs="Arial"/>
          <w:spacing w:val="20"/>
          <w:kern w:val="2"/>
        </w:rPr>
        <w:t>Construccion</w:t>
      </w:r>
      <w:proofErr w:type="spellEnd"/>
      <w:r w:rsidRPr="0002002E">
        <w:rPr>
          <w:rFonts w:ascii="Arial" w:eastAsia="Calibri" w:hAnsi="Arial" w:cs="Arial"/>
          <w:spacing w:val="20"/>
          <w:kern w:val="2"/>
        </w:rPr>
        <w:t xml:space="preserve"> de unidad </w:t>
      </w:r>
      <w:r w:rsidR="006545A6" w:rsidRPr="0002002E">
        <w:rPr>
          <w:rFonts w:ascii="Arial" w:eastAsia="Calibri" w:hAnsi="Arial" w:cs="Arial"/>
          <w:spacing w:val="20"/>
          <w:kern w:val="2"/>
        </w:rPr>
        <w:t>médica</w:t>
      </w:r>
      <w:r w:rsidRPr="0002002E">
        <w:rPr>
          <w:rFonts w:ascii="Arial" w:eastAsia="Calibri" w:hAnsi="Arial" w:cs="Arial"/>
          <w:spacing w:val="20"/>
          <w:kern w:val="2"/>
        </w:rPr>
        <w:t xml:space="preserve"> en barranca larga </w:t>
      </w:r>
      <w:proofErr w:type="spellStart"/>
      <w:r w:rsidRPr="0002002E">
        <w:rPr>
          <w:rFonts w:ascii="Arial" w:eastAsia="Calibri" w:hAnsi="Arial" w:cs="Arial"/>
          <w:spacing w:val="20"/>
          <w:kern w:val="2"/>
        </w:rPr>
        <w:t>Ejutla</w:t>
      </w:r>
      <w:proofErr w:type="spellEnd"/>
      <w:r w:rsidRPr="0002002E">
        <w:rPr>
          <w:rFonts w:ascii="Arial" w:eastAsia="Calibri" w:hAnsi="Arial" w:cs="Arial"/>
          <w:spacing w:val="20"/>
          <w:kern w:val="2"/>
        </w:rPr>
        <w:t xml:space="preserve"> de Crespo,  </w:t>
      </w:r>
      <w:proofErr w:type="spellStart"/>
      <w:r w:rsidRPr="0002002E">
        <w:rPr>
          <w:rFonts w:ascii="Arial" w:eastAsia="Calibri" w:hAnsi="Arial" w:cs="Arial"/>
          <w:spacing w:val="20"/>
          <w:kern w:val="2"/>
        </w:rPr>
        <w:t>construccion</w:t>
      </w:r>
      <w:proofErr w:type="spellEnd"/>
      <w:r w:rsidRPr="0002002E">
        <w:rPr>
          <w:rFonts w:ascii="Arial" w:eastAsia="Calibri" w:hAnsi="Arial" w:cs="Arial"/>
          <w:spacing w:val="20"/>
          <w:kern w:val="2"/>
        </w:rPr>
        <w:t xml:space="preserve"> de centro avanzado de </w:t>
      </w:r>
      <w:proofErr w:type="spellStart"/>
      <w:r w:rsidRPr="0002002E">
        <w:rPr>
          <w:rFonts w:ascii="Arial" w:eastAsia="Calibri" w:hAnsi="Arial" w:cs="Arial"/>
          <w:spacing w:val="20"/>
          <w:kern w:val="2"/>
        </w:rPr>
        <w:t>atencion</w:t>
      </w:r>
      <w:proofErr w:type="spellEnd"/>
      <w:r w:rsidRPr="0002002E">
        <w:rPr>
          <w:rFonts w:ascii="Arial" w:eastAsia="Calibri" w:hAnsi="Arial" w:cs="Arial"/>
          <w:spacing w:val="20"/>
          <w:kern w:val="2"/>
        </w:rPr>
        <w:t xml:space="preserve"> primaria a la salud en San </w:t>
      </w:r>
      <w:proofErr w:type="spellStart"/>
      <w:r w:rsidRPr="0002002E">
        <w:rPr>
          <w:rFonts w:ascii="Arial" w:eastAsia="Calibri" w:hAnsi="Arial" w:cs="Arial"/>
          <w:spacing w:val="20"/>
          <w:kern w:val="2"/>
        </w:rPr>
        <w:t>Sebastian</w:t>
      </w:r>
      <w:proofErr w:type="spellEnd"/>
      <w:r w:rsidRPr="0002002E">
        <w:rPr>
          <w:rFonts w:ascii="Arial" w:eastAsia="Calibri" w:hAnsi="Arial" w:cs="Arial"/>
          <w:spacing w:val="20"/>
          <w:kern w:val="2"/>
        </w:rPr>
        <w:t xml:space="preserve"> </w:t>
      </w:r>
      <w:proofErr w:type="spellStart"/>
      <w:r w:rsidRPr="0002002E">
        <w:rPr>
          <w:rFonts w:ascii="Arial" w:eastAsia="Calibri" w:hAnsi="Arial" w:cs="Arial"/>
          <w:spacing w:val="20"/>
          <w:kern w:val="2"/>
        </w:rPr>
        <w:t>Coatlan</w:t>
      </w:r>
      <w:proofErr w:type="spellEnd"/>
      <w:r w:rsidRPr="0002002E">
        <w:rPr>
          <w:rFonts w:ascii="Arial" w:eastAsia="Calibri" w:hAnsi="Arial" w:cs="Arial"/>
          <w:spacing w:val="20"/>
          <w:kern w:val="2"/>
        </w:rPr>
        <w:t xml:space="preserve">, </w:t>
      </w:r>
      <w:proofErr w:type="spellStart"/>
      <w:r w:rsidRPr="0002002E">
        <w:rPr>
          <w:rFonts w:ascii="Arial" w:eastAsia="Calibri" w:hAnsi="Arial" w:cs="Arial"/>
          <w:spacing w:val="20"/>
          <w:kern w:val="2"/>
        </w:rPr>
        <w:t>terminacion</w:t>
      </w:r>
      <w:proofErr w:type="spellEnd"/>
      <w:r w:rsidRPr="0002002E">
        <w:rPr>
          <w:rFonts w:ascii="Arial" w:eastAsia="Calibri" w:hAnsi="Arial" w:cs="Arial"/>
          <w:spacing w:val="20"/>
          <w:kern w:val="2"/>
        </w:rPr>
        <w:t xml:space="preserve"> de la construcción del  Hospital de la Mujer Oaxaqueña</w:t>
      </w:r>
      <w:r w:rsidRPr="0002002E">
        <w:rPr>
          <w:rFonts w:ascii="Arial" w:eastAsia="Calibri" w:hAnsi="Arial" w:cs="Arial"/>
          <w:spacing w:val="20"/>
          <w:kern w:val="2"/>
          <w:lang w:val="es-ES"/>
        </w:rPr>
        <w:t xml:space="preserve">, entre otras.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lastRenderedPageBreak/>
        <w:t>Para el sector de agua y saneamiento básico se devengaron recursos  en diversas obras de sistemas de agua potable y alcantarillado, entre las que destacan,</w:t>
      </w:r>
      <w:r w:rsidRPr="0002002E">
        <w:rPr>
          <w:rFonts w:ascii="Arial" w:eastAsia="Calibri" w:hAnsi="Arial" w:cs="Arial"/>
          <w:spacing w:val="20"/>
          <w:kern w:val="2"/>
        </w:rPr>
        <w:t xml:space="preserve"> la construcción de sistemas de agua potable en varios municipios del Estado; </w:t>
      </w:r>
      <w:proofErr w:type="spellStart"/>
      <w:r w:rsidRPr="0002002E">
        <w:rPr>
          <w:rFonts w:ascii="Arial" w:eastAsia="Calibri" w:hAnsi="Arial" w:cs="Arial"/>
          <w:spacing w:val="20"/>
          <w:kern w:val="2"/>
        </w:rPr>
        <w:t>construccion</w:t>
      </w:r>
      <w:proofErr w:type="spellEnd"/>
      <w:r w:rsidRPr="0002002E">
        <w:rPr>
          <w:rFonts w:ascii="Arial" w:eastAsia="Calibri" w:hAnsi="Arial" w:cs="Arial"/>
          <w:spacing w:val="20"/>
          <w:kern w:val="2"/>
        </w:rPr>
        <w:t xml:space="preserve"> del colector pluvial boulevard aeropuerto </w:t>
      </w:r>
      <w:proofErr w:type="gramStart"/>
      <w:r w:rsidRPr="0002002E">
        <w:rPr>
          <w:rFonts w:ascii="Arial" w:eastAsia="Calibri" w:hAnsi="Arial" w:cs="Arial"/>
          <w:spacing w:val="20"/>
          <w:kern w:val="2"/>
        </w:rPr>
        <w:t>( fraccionamiento</w:t>
      </w:r>
      <w:proofErr w:type="gramEnd"/>
      <w:r w:rsidRPr="0002002E">
        <w:rPr>
          <w:rFonts w:ascii="Arial" w:eastAsia="Calibri" w:hAnsi="Arial" w:cs="Arial"/>
          <w:spacing w:val="20"/>
          <w:kern w:val="2"/>
        </w:rPr>
        <w:t xml:space="preserve"> </w:t>
      </w:r>
      <w:proofErr w:type="spellStart"/>
      <w:r w:rsidRPr="0002002E">
        <w:rPr>
          <w:rFonts w:ascii="Arial" w:eastAsia="Calibri" w:hAnsi="Arial" w:cs="Arial"/>
          <w:spacing w:val="20"/>
          <w:kern w:val="2"/>
        </w:rPr>
        <w:t>bacocho</w:t>
      </w:r>
      <w:proofErr w:type="spellEnd"/>
      <w:r w:rsidRPr="0002002E">
        <w:rPr>
          <w:rFonts w:ascii="Arial" w:eastAsia="Calibri" w:hAnsi="Arial" w:cs="Arial"/>
          <w:spacing w:val="20"/>
          <w:kern w:val="2"/>
        </w:rPr>
        <w:t xml:space="preserve">), </w:t>
      </w:r>
      <w:proofErr w:type="spellStart"/>
      <w:r w:rsidRPr="0002002E">
        <w:rPr>
          <w:rFonts w:ascii="Arial" w:eastAsia="Calibri" w:hAnsi="Arial" w:cs="Arial"/>
          <w:spacing w:val="20"/>
          <w:kern w:val="2"/>
        </w:rPr>
        <w:t>reposicion</w:t>
      </w:r>
      <w:proofErr w:type="spellEnd"/>
      <w:r w:rsidRPr="0002002E">
        <w:rPr>
          <w:rFonts w:ascii="Arial" w:eastAsia="Calibri" w:hAnsi="Arial" w:cs="Arial"/>
          <w:spacing w:val="20"/>
          <w:kern w:val="2"/>
        </w:rPr>
        <w:t xml:space="preserve"> del  pozo </w:t>
      </w:r>
      <w:r w:rsidR="00B741E6" w:rsidRPr="0002002E">
        <w:rPr>
          <w:rFonts w:ascii="Arial" w:eastAsia="Calibri" w:hAnsi="Arial" w:cs="Arial"/>
          <w:spacing w:val="20"/>
          <w:kern w:val="2"/>
        </w:rPr>
        <w:t>número</w:t>
      </w:r>
      <w:r w:rsidRPr="0002002E">
        <w:rPr>
          <w:rFonts w:ascii="Arial" w:eastAsia="Calibri" w:hAnsi="Arial" w:cs="Arial"/>
          <w:spacing w:val="20"/>
          <w:kern w:val="2"/>
        </w:rPr>
        <w:t xml:space="preserve"> 5 del barrio </w:t>
      </w:r>
      <w:proofErr w:type="spellStart"/>
      <w:r w:rsidRPr="0002002E">
        <w:rPr>
          <w:rFonts w:ascii="Arial" w:eastAsia="Calibri" w:hAnsi="Arial" w:cs="Arial"/>
          <w:spacing w:val="20"/>
          <w:kern w:val="2"/>
        </w:rPr>
        <w:t>emiliano</w:t>
      </w:r>
      <w:proofErr w:type="spellEnd"/>
      <w:r w:rsidRPr="0002002E">
        <w:rPr>
          <w:rFonts w:ascii="Arial" w:eastAsia="Calibri" w:hAnsi="Arial" w:cs="Arial"/>
          <w:spacing w:val="20"/>
          <w:kern w:val="2"/>
        </w:rPr>
        <w:t xml:space="preserve"> zapata, construcción del sistema de alcantarillado sanitario en varios municipios del Estado. Rehabilitación y puesta en marcha de plantas de tratamiento de aguas residuales, </w:t>
      </w:r>
      <w:proofErr w:type="spellStart"/>
      <w:r w:rsidRPr="0002002E">
        <w:rPr>
          <w:rFonts w:ascii="Arial" w:eastAsia="Calibri" w:hAnsi="Arial" w:cs="Arial"/>
          <w:spacing w:val="20"/>
          <w:kern w:val="2"/>
        </w:rPr>
        <w:t>asi</w:t>
      </w:r>
      <w:proofErr w:type="spellEnd"/>
      <w:r w:rsidRPr="0002002E">
        <w:rPr>
          <w:rFonts w:ascii="Arial" w:eastAsia="Calibri" w:hAnsi="Arial" w:cs="Arial"/>
          <w:spacing w:val="20"/>
          <w:kern w:val="2"/>
        </w:rPr>
        <w:t xml:space="preserve"> como para la </w:t>
      </w:r>
      <w:r w:rsidRPr="0002002E">
        <w:rPr>
          <w:rFonts w:ascii="Arial" w:eastAsia="Calibri" w:hAnsi="Arial" w:cs="Arial"/>
          <w:spacing w:val="20"/>
          <w:kern w:val="2"/>
          <w:lang w:val="es-ES"/>
        </w:rPr>
        <w:t>supervisión técnica; por mencionar algunas.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t xml:space="preserve">Con la aplicación de los recursos a cargo de los Municipios se ejecutaron las obras siguientes: </w:t>
      </w:r>
      <w:r w:rsidRPr="0002002E">
        <w:rPr>
          <w:rFonts w:ascii="Arial" w:eastAsia="Calibri" w:hAnsi="Arial" w:cs="Arial"/>
          <w:spacing w:val="20"/>
          <w:kern w:val="2"/>
        </w:rPr>
        <w:t xml:space="preserve">Construcción de unidad </w:t>
      </w:r>
      <w:r w:rsidR="00B741E6" w:rsidRPr="0002002E">
        <w:rPr>
          <w:rFonts w:ascii="Arial" w:eastAsia="Calibri" w:hAnsi="Arial" w:cs="Arial"/>
          <w:spacing w:val="20"/>
          <w:kern w:val="2"/>
        </w:rPr>
        <w:t>médica</w:t>
      </w:r>
      <w:r w:rsidRPr="0002002E">
        <w:rPr>
          <w:rFonts w:ascii="Arial" w:eastAsia="Calibri" w:hAnsi="Arial" w:cs="Arial"/>
          <w:spacing w:val="20"/>
          <w:kern w:val="2"/>
        </w:rPr>
        <w:t xml:space="preserve"> rural en San Pablo </w:t>
      </w:r>
      <w:proofErr w:type="spellStart"/>
      <w:r w:rsidRPr="0002002E">
        <w:rPr>
          <w:rFonts w:ascii="Arial" w:eastAsia="Calibri" w:hAnsi="Arial" w:cs="Arial"/>
          <w:spacing w:val="20"/>
          <w:kern w:val="2"/>
        </w:rPr>
        <w:t>Coatlan</w:t>
      </w:r>
      <w:proofErr w:type="spellEnd"/>
      <w:r w:rsidRPr="0002002E">
        <w:rPr>
          <w:rFonts w:ascii="Arial" w:eastAsia="Calibri" w:hAnsi="Arial" w:cs="Arial"/>
          <w:spacing w:val="20"/>
          <w:kern w:val="2"/>
        </w:rPr>
        <w:t xml:space="preserve">, Continuación de la construcción del museo comunitario de </w:t>
      </w:r>
      <w:proofErr w:type="spellStart"/>
      <w:r w:rsidRPr="0002002E">
        <w:rPr>
          <w:rFonts w:ascii="Arial" w:eastAsia="Calibri" w:hAnsi="Arial" w:cs="Arial"/>
          <w:spacing w:val="20"/>
          <w:kern w:val="2"/>
        </w:rPr>
        <w:t>Teotitlan</w:t>
      </w:r>
      <w:proofErr w:type="spellEnd"/>
      <w:r w:rsidRPr="0002002E">
        <w:rPr>
          <w:rFonts w:ascii="Arial" w:eastAsia="Calibri" w:hAnsi="Arial" w:cs="Arial"/>
          <w:spacing w:val="20"/>
          <w:kern w:val="2"/>
        </w:rPr>
        <w:t xml:space="preserve"> del Valle (4a. Etapa), y de varias casas de cultura en diferentes zonas del Estado, r</w:t>
      </w:r>
      <w:proofErr w:type="spellStart"/>
      <w:r w:rsidRPr="0002002E">
        <w:rPr>
          <w:rFonts w:ascii="Arial" w:eastAsia="Calibri" w:hAnsi="Arial" w:cs="Arial"/>
          <w:spacing w:val="20"/>
          <w:kern w:val="2"/>
          <w:lang w:val="es-ES"/>
        </w:rPr>
        <w:t>econstrucción</w:t>
      </w:r>
      <w:proofErr w:type="spellEnd"/>
      <w:r w:rsidRPr="0002002E">
        <w:rPr>
          <w:rFonts w:ascii="Arial" w:eastAsia="Calibri" w:hAnsi="Arial" w:cs="Arial"/>
          <w:spacing w:val="20"/>
          <w:kern w:val="2"/>
          <w:lang w:val="es-ES"/>
        </w:rPr>
        <w:t xml:space="preserve"> del camino San Andrés </w:t>
      </w:r>
      <w:proofErr w:type="spellStart"/>
      <w:r w:rsidRPr="0002002E">
        <w:rPr>
          <w:rFonts w:ascii="Arial" w:eastAsia="Calibri" w:hAnsi="Arial" w:cs="Arial"/>
          <w:spacing w:val="20"/>
          <w:kern w:val="2"/>
          <w:lang w:val="es-ES"/>
        </w:rPr>
        <w:t>Huaxpaltepec</w:t>
      </w:r>
      <w:proofErr w:type="spellEnd"/>
      <w:r w:rsidRPr="0002002E">
        <w:rPr>
          <w:rFonts w:ascii="Arial" w:eastAsia="Calibri" w:hAnsi="Arial" w:cs="Arial"/>
          <w:spacing w:val="20"/>
          <w:kern w:val="2"/>
          <w:lang w:val="es-ES"/>
        </w:rPr>
        <w:t xml:space="preserve">-Santa María </w:t>
      </w:r>
      <w:proofErr w:type="spellStart"/>
      <w:r w:rsidRPr="0002002E">
        <w:rPr>
          <w:rFonts w:ascii="Arial" w:eastAsia="Calibri" w:hAnsi="Arial" w:cs="Arial"/>
          <w:spacing w:val="20"/>
          <w:kern w:val="2"/>
          <w:lang w:val="es-ES"/>
        </w:rPr>
        <w:t>Huazolotitlán</w:t>
      </w:r>
      <w:proofErr w:type="spellEnd"/>
      <w:r w:rsidRPr="0002002E">
        <w:rPr>
          <w:rFonts w:ascii="Arial" w:eastAsia="Calibri" w:hAnsi="Arial" w:cs="Arial"/>
          <w:spacing w:val="20"/>
          <w:kern w:val="2"/>
          <w:lang w:val="es-ES"/>
        </w:rPr>
        <w:t xml:space="preserve">- José María Morelos-Santa María </w:t>
      </w:r>
      <w:proofErr w:type="spellStart"/>
      <w:r w:rsidRPr="0002002E">
        <w:rPr>
          <w:rFonts w:ascii="Arial" w:eastAsia="Calibri" w:hAnsi="Arial" w:cs="Arial"/>
          <w:spacing w:val="20"/>
          <w:kern w:val="2"/>
          <w:lang w:val="es-ES"/>
        </w:rPr>
        <w:t>Chicometepec</w:t>
      </w:r>
      <w:proofErr w:type="spellEnd"/>
      <w:r w:rsidRPr="0002002E">
        <w:rPr>
          <w:rFonts w:ascii="Arial" w:eastAsia="Calibri" w:hAnsi="Arial" w:cs="Arial"/>
          <w:spacing w:val="20"/>
          <w:kern w:val="2"/>
          <w:lang w:val="es-ES"/>
        </w:rPr>
        <w:t xml:space="preserve"> (La boquilla), tramo del km 0+000 al km 21+200  tramos parciales, modernización y ampliación del camino Santa María </w:t>
      </w:r>
      <w:proofErr w:type="spellStart"/>
      <w:r w:rsidRPr="0002002E">
        <w:rPr>
          <w:rFonts w:ascii="Arial" w:eastAsia="Calibri" w:hAnsi="Arial" w:cs="Arial"/>
          <w:spacing w:val="20"/>
          <w:kern w:val="2"/>
          <w:lang w:val="es-ES"/>
        </w:rPr>
        <w:t>Zoquitlán</w:t>
      </w:r>
      <w:proofErr w:type="spellEnd"/>
      <w:r w:rsidRPr="0002002E">
        <w:rPr>
          <w:rFonts w:ascii="Arial" w:eastAsia="Calibri" w:hAnsi="Arial" w:cs="Arial"/>
          <w:spacing w:val="20"/>
          <w:kern w:val="2"/>
          <w:lang w:val="es-ES"/>
        </w:rPr>
        <w:t xml:space="preserve"> </w:t>
      </w:r>
      <w:proofErr w:type="spellStart"/>
      <w:r w:rsidRPr="0002002E">
        <w:rPr>
          <w:rFonts w:ascii="Arial" w:eastAsia="Calibri" w:hAnsi="Arial" w:cs="Arial"/>
          <w:spacing w:val="20"/>
          <w:kern w:val="2"/>
          <w:lang w:val="es-ES"/>
        </w:rPr>
        <w:t>e.c.</w:t>
      </w:r>
      <w:proofErr w:type="spellEnd"/>
      <w:r w:rsidRPr="0002002E">
        <w:rPr>
          <w:rFonts w:ascii="Arial" w:eastAsia="Calibri" w:hAnsi="Arial" w:cs="Arial"/>
          <w:spacing w:val="20"/>
          <w:kern w:val="2"/>
          <w:lang w:val="es-ES"/>
        </w:rPr>
        <w:t xml:space="preserve"> (Oaxaca - Tehuantepec) tramo del km 0+000 al km 18+080, </w:t>
      </w:r>
      <w:proofErr w:type="spellStart"/>
      <w:r w:rsidRPr="0002002E">
        <w:rPr>
          <w:rFonts w:ascii="Arial" w:eastAsia="Calibri" w:hAnsi="Arial" w:cs="Arial"/>
          <w:spacing w:val="20"/>
          <w:kern w:val="2"/>
          <w:lang w:val="es-ES"/>
        </w:rPr>
        <w:t>subtramo</w:t>
      </w:r>
      <w:proofErr w:type="spellEnd"/>
      <w:r w:rsidRPr="0002002E">
        <w:rPr>
          <w:rFonts w:ascii="Arial" w:eastAsia="Calibri" w:hAnsi="Arial" w:cs="Arial"/>
          <w:spacing w:val="20"/>
          <w:kern w:val="2"/>
          <w:lang w:val="es-ES"/>
        </w:rPr>
        <w:t xml:space="preserve"> a modernizar del km 0+000 al km 2+000;</w:t>
      </w:r>
      <w:r w:rsidRPr="0002002E">
        <w:rPr>
          <w:rFonts w:ascii="Arial" w:eastAsia="Calibri" w:hAnsi="Arial" w:cs="Arial"/>
          <w:spacing w:val="20"/>
          <w:kern w:val="2"/>
          <w:lang w:val="es-ES" w:eastAsia="es-ES"/>
        </w:rPr>
        <w:t xml:space="preserve"> </w:t>
      </w:r>
      <w:r w:rsidRPr="0002002E">
        <w:rPr>
          <w:rFonts w:ascii="Arial" w:eastAsia="Calibri" w:hAnsi="Arial" w:cs="Arial"/>
          <w:spacing w:val="20"/>
          <w:kern w:val="2"/>
          <w:lang w:val="es-ES"/>
        </w:rPr>
        <w:t xml:space="preserve">ampliación y modernización del camino Santa María </w:t>
      </w:r>
      <w:proofErr w:type="spellStart"/>
      <w:r w:rsidRPr="0002002E">
        <w:rPr>
          <w:rFonts w:ascii="Arial" w:eastAsia="Calibri" w:hAnsi="Arial" w:cs="Arial"/>
          <w:spacing w:val="20"/>
          <w:kern w:val="2"/>
          <w:lang w:val="es-ES"/>
        </w:rPr>
        <w:t>Nutio</w:t>
      </w:r>
      <w:proofErr w:type="spellEnd"/>
      <w:r w:rsidRPr="0002002E">
        <w:rPr>
          <w:rFonts w:ascii="Arial" w:eastAsia="Calibri" w:hAnsi="Arial" w:cs="Arial"/>
          <w:spacing w:val="20"/>
          <w:kern w:val="2"/>
          <w:lang w:val="es-ES"/>
        </w:rPr>
        <w:t xml:space="preserve">-San </w:t>
      </w:r>
      <w:proofErr w:type="spellStart"/>
      <w:r w:rsidRPr="0002002E">
        <w:rPr>
          <w:rFonts w:ascii="Arial" w:eastAsia="Calibri" w:hAnsi="Arial" w:cs="Arial"/>
          <w:spacing w:val="20"/>
          <w:kern w:val="2"/>
          <w:lang w:val="es-ES"/>
        </w:rPr>
        <w:t>pedro</w:t>
      </w:r>
      <w:proofErr w:type="spellEnd"/>
      <w:r w:rsidRPr="0002002E">
        <w:rPr>
          <w:rFonts w:ascii="Arial" w:eastAsia="Calibri" w:hAnsi="Arial" w:cs="Arial"/>
          <w:spacing w:val="20"/>
          <w:kern w:val="2"/>
          <w:lang w:val="es-ES"/>
        </w:rPr>
        <w:t xml:space="preserve"> </w:t>
      </w:r>
      <w:proofErr w:type="spellStart"/>
      <w:r w:rsidRPr="0002002E">
        <w:rPr>
          <w:rFonts w:ascii="Arial" w:eastAsia="Calibri" w:hAnsi="Arial" w:cs="Arial"/>
          <w:spacing w:val="20"/>
          <w:kern w:val="2"/>
          <w:lang w:val="es-ES"/>
        </w:rPr>
        <w:t>Atoyac</w:t>
      </w:r>
      <w:proofErr w:type="spellEnd"/>
      <w:r w:rsidRPr="0002002E">
        <w:rPr>
          <w:rFonts w:ascii="Arial" w:eastAsia="Calibri" w:hAnsi="Arial" w:cs="Arial"/>
          <w:spacing w:val="20"/>
          <w:kern w:val="2"/>
          <w:lang w:val="es-ES"/>
        </w:rPr>
        <w:t xml:space="preserve">, tramo del km. 0+000 al km. 2+292.96, </w:t>
      </w:r>
      <w:proofErr w:type="spellStart"/>
      <w:r w:rsidRPr="0002002E">
        <w:rPr>
          <w:rFonts w:ascii="Arial" w:eastAsia="Calibri" w:hAnsi="Arial" w:cs="Arial"/>
          <w:spacing w:val="20"/>
          <w:kern w:val="2"/>
          <w:lang w:val="es-ES"/>
        </w:rPr>
        <w:t>subtramo</w:t>
      </w:r>
      <w:proofErr w:type="spellEnd"/>
      <w:r w:rsidRPr="0002002E">
        <w:rPr>
          <w:rFonts w:ascii="Arial" w:eastAsia="Calibri" w:hAnsi="Arial" w:cs="Arial"/>
          <w:spacing w:val="20"/>
          <w:kern w:val="2"/>
          <w:lang w:val="es-ES"/>
        </w:rPr>
        <w:t xml:space="preserve"> del km 0+000 al km 0+940.24, c</w:t>
      </w:r>
      <w:proofErr w:type="spellStart"/>
      <w:r w:rsidRPr="0002002E">
        <w:rPr>
          <w:rFonts w:ascii="Arial" w:eastAsia="Calibri" w:hAnsi="Arial" w:cs="Arial"/>
          <w:spacing w:val="20"/>
          <w:kern w:val="2"/>
        </w:rPr>
        <w:t>onstrucción</w:t>
      </w:r>
      <w:proofErr w:type="spellEnd"/>
      <w:r w:rsidRPr="0002002E">
        <w:rPr>
          <w:rFonts w:ascii="Arial" w:eastAsia="Calibri" w:hAnsi="Arial" w:cs="Arial"/>
          <w:spacing w:val="20"/>
          <w:kern w:val="2"/>
        </w:rPr>
        <w:t xml:space="preserve"> de puente vehicular Río Neblina ubicado en el km 8+294.20 del camino luz de luna- San Juan </w:t>
      </w:r>
      <w:proofErr w:type="spellStart"/>
      <w:r w:rsidRPr="0002002E">
        <w:rPr>
          <w:rFonts w:ascii="Arial" w:eastAsia="Calibri" w:hAnsi="Arial" w:cs="Arial"/>
          <w:spacing w:val="20"/>
          <w:kern w:val="2"/>
        </w:rPr>
        <w:t>Lachao</w:t>
      </w:r>
      <w:proofErr w:type="spellEnd"/>
      <w:r w:rsidRPr="0002002E">
        <w:rPr>
          <w:rFonts w:ascii="Arial" w:eastAsia="Calibri" w:hAnsi="Arial" w:cs="Arial"/>
          <w:spacing w:val="20"/>
          <w:kern w:val="2"/>
        </w:rPr>
        <w:t xml:space="preserve">, </w:t>
      </w:r>
      <w:r w:rsidRPr="0002002E">
        <w:rPr>
          <w:rFonts w:ascii="Arial" w:eastAsia="Calibri" w:hAnsi="Arial" w:cs="Arial"/>
          <w:spacing w:val="20"/>
          <w:kern w:val="2"/>
          <w:lang w:val="es-ES"/>
        </w:rPr>
        <w:t>construcción de puente vehicular sobre el arroyo los "</w:t>
      </w:r>
      <w:proofErr w:type="spellStart"/>
      <w:r w:rsidRPr="0002002E">
        <w:rPr>
          <w:rFonts w:ascii="Arial" w:eastAsia="Calibri" w:hAnsi="Arial" w:cs="Arial"/>
          <w:spacing w:val="20"/>
          <w:kern w:val="2"/>
          <w:lang w:val="es-ES"/>
        </w:rPr>
        <w:t>Cuiles</w:t>
      </w:r>
      <w:proofErr w:type="spellEnd"/>
      <w:r w:rsidRPr="0002002E">
        <w:rPr>
          <w:rFonts w:ascii="Arial" w:eastAsia="Calibri" w:hAnsi="Arial" w:cs="Arial"/>
          <w:spacing w:val="20"/>
          <w:kern w:val="2"/>
          <w:lang w:val="es-ES"/>
        </w:rPr>
        <w:t xml:space="preserve"> " ubicado en el km 0+500 del camino Santa María Colotepec- Las Carretas - Junta del Potrero-El Camalote, construcción del puente peatonal colgante de santo domingo de Morelos; construcción de aulas en la escuela secundaria (Técnica no 242), y construcción de techados y canchas de sus múltiples, construcción de andador peatonal en la localidad la nueva esperanza, pavimentación con concreto hidráulico calle 5 de mayo en San Lucas </w:t>
      </w:r>
      <w:proofErr w:type="spellStart"/>
      <w:r w:rsidRPr="0002002E">
        <w:rPr>
          <w:rFonts w:ascii="Arial" w:eastAsia="Calibri" w:hAnsi="Arial" w:cs="Arial"/>
          <w:spacing w:val="20"/>
          <w:kern w:val="2"/>
          <w:lang w:val="es-ES"/>
        </w:rPr>
        <w:t>Ojitlán</w:t>
      </w:r>
      <w:proofErr w:type="spellEnd"/>
      <w:r w:rsidRPr="0002002E">
        <w:rPr>
          <w:rFonts w:ascii="Arial" w:eastAsia="Calibri" w:hAnsi="Arial" w:cs="Arial"/>
          <w:spacing w:val="20"/>
          <w:kern w:val="2"/>
          <w:lang w:val="es-ES"/>
        </w:rPr>
        <w:t xml:space="preserve">, así como también </w:t>
      </w:r>
      <w:r w:rsidRPr="0002002E">
        <w:rPr>
          <w:rFonts w:ascii="Arial" w:eastAsia="Calibri" w:hAnsi="Arial" w:cs="Arial"/>
          <w:spacing w:val="20"/>
          <w:kern w:val="2"/>
        </w:rPr>
        <w:t xml:space="preserve">pavimentación de calles en varios municipios, ampliación de alumbrado público en la población de San Blas Atempa,  </w:t>
      </w:r>
      <w:r w:rsidRPr="0002002E">
        <w:rPr>
          <w:rFonts w:ascii="Arial" w:eastAsia="Calibri" w:hAnsi="Arial" w:cs="Arial"/>
          <w:spacing w:val="20"/>
          <w:kern w:val="2"/>
          <w:lang w:val="es-ES"/>
        </w:rPr>
        <w:t>construcción de pavimento de concreto asfalto en la carretera rancho llano, c</w:t>
      </w:r>
      <w:proofErr w:type="spellStart"/>
      <w:r w:rsidRPr="0002002E">
        <w:rPr>
          <w:rFonts w:ascii="Arial" w:eastAsia="Calibri" w:hAnsi="Arial" w:cs="Arial"/>
          <w:spacing w:val="20"/>
          <w:kern w:val="2"/>
        </w:rPr>
        <w:t>onstrucción</w:t>
      </w:r>
      <w:proofErr w:type="spellEnd"/>
      <w:r w:rsidRPr="0002002E">
        <w:rPr>
          <w:rFonts w:ascii="Arial" w:eastAsia="Calibri" w:hAnsi="Arial" w:cs="Arial"/>
          <w:spacing w:val="20"/>
          <w:kern w:val="2"/>
        </w:rPr>
        <w:t xml:space="preserve"> de la </w:t>
      </w:r>
      <w:proofErr w:type="spellStart"/>
      <w:r w:rsidRPr="0002002E">
        <w:rPr>
          <w:rFonts w:ascii="Arial" w:eastAsia="Calibri" w:hAnsi="Arial" w:cs="Arial"/>
          <w:spacing w:val="20"/>
          <w:kern w:val="2"/>
        </w:rPr>
        <w:t>linea</w:t>
      </w:r>
      <w:proofErr w:type="spellEnd"/>
      <w:r w:rsidRPr="0002002E">
        <w:rPr>
          <w:rFonts w:ascii="Arial" w:eastAsia="Calibri" w:hAnsi="Arial" w:cs="Arial"/>
          <w:spacing w:val="20"/>
          <w:kern w:val="2"/>
        </w:rPr>
        <w:t xml:space="preserve"> de conducción de agua potable en diferentes cabeceras y localidades de municipios diversos, s</w:t>
      </w:r>
      <w:proofErr w:type="spellStart"/>
      <w:r w:rsidRPr="0002002E">
        <w:rPr>
          <w:rFonts w:ascii="Arial" w:eastAsia="Calibri" w:hAnsi="Arial" w:cs="Arial"/>
          <w:spacing w:val="20"/>
          <w:kern w:val="2"/>
          <w:lang w:val="es-ES"/>
        </w:rPr>
        <w:t>ustitución</w:t>
      </w:r>
      <w:proofErr w:type="spellEnd"/>
      <w:r w:rsidRPr="0002002E">
        <w:rPr>
          <w:rFonts w:ascii="Arial" w:eastAsia="Calibri" w:hAnsi="Arial" w:cs="Arial"/>
          <w:spacing w:val="20"/>
          <w:kern w:val="2"/>
          <w:lang w:val="es-ES"/>
        </w:rPr>
        <w:t xml:space="preserve"> de  luminarias y postes, así mismo construcción de drenajes sanitarios, entre otros. </w:t>
      </w:r>
    </w:p>
    <w:p w:rsidR="00812F69" w:rsidRDefault="00812F69" w:rsidP="00812F69">
      <w:pPr>
        <w:contextualSpacing/>
        <w:jc w:val="both"/>
        <w:rPr>
          <w:rFonts w:ascii="Arial" w:eastAsia="Calibri" w:hAnsi="Arial" w:cs="Arial"/>
          <w:b/>
          <w:spacing w:val="20"/>
          <w:kern w:val="2"/>
        </w:rPr>
      </w:pPr>
    </w:p>
    <w:p w:rsidR="00E91C2E" w:rsidRDefault="00E91C2E" w:rsidP="00812F69">
      <w:pPr>
        <w:contextualSpacing/>
        <w:jc w:val="both"/>
        <w:rPr>
          <w:rFonts w:ascii="Arial" w:eastAsia="Calibri" w:hAnsi="Arial" w:cs="Arial"/>
          <w:b/>
          <w:spacing w:val="20"/>
          <w:kern w:val="2"/>
        </w:rPr>
      </w:pPr>
    </w:p>
    <w:p w:rsidR="00E91C2E" w:rsidRPr="0002002E" w:rsidRDefault="00E91C2E" w:rsidP="00812F69">
      <w:pPr>
        <w:contextualSpacing/>
        <w:jc w:val="both"/>
        <w:rPr>
          <w:rFonts w:ascii="Arial" w:eastAsia="Calibri" w:hAnsi="Arial" w:cs="Arial"/>
          <w:b/>
          <w:spacing w:val="20"/>
          <w:kern w:val="2"/>
        </w:rPr>
      </w:pPr>
    </w:p>
    <w:p w:rsidR="00812F69" w:rsidRPr="0002002E" w:rsidRDefault="00812F69" w:rsidP="00812F69">
      <w:pPr>
        <w:contextualSpacing/>
        <w:jc w:val="both"/>
        <w:rPr>
          <w:rFonts w:ascii="Arial" w:eastAsia="Calibri" w:hAnsi="Arial" w:cs="Arial"/>
          <w:b/>
          <w:spacing w:val="20"/>
          <w:kern w:val="2"/>
        </w:rPr>
      </w:pPr>
    </w:p>
    <w:p w:rsidR="00812F69" w:rsidRPr="0002002E" w:rsidRDefault="00812F69" w:rsidP="00812F69">
      <w:pPr>
        <w:contextualSpacing/>
        <w:jc w:val="both"/>
        <w:rPr>
          <w:rFonts w:ascii="Arial" w:eastAsia="Calibri" w:hAnsi="Arial" w:cs="Arial"/>
          <w:b/>
          <w:spacing w:val="20"/>
          <w:kern w:val="2"/>
        </w:rPr>
      </w:pPr>
      <w:r w:rsidRPr="0002002E">
        <w:rPr>
          <w:rFonts w:ascii="Arial" w:eastAsia="Calibri" w:hAnsi="Arial" w:cs="Arial"/>
          <w:b/>
          <w:spacing w:val="20"/>
          <w:kern w:val="2"/>
        </w:rPr>
        <w:lastRenderedPageBreak/>
        <w:t>Entes ejecutores</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Los recursos de inversión pública ejercidos en el año 2015 fueron aplicados por el Poder Judicial a través del Tribunal Superior de Justicia; y del Poder Ejecutivo a través de las dependencias y entidades de la Administración Pública, órganos autónomos y Municipios.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A continuación se desagregan los recursos ejercidos por estos entes públicos en el capítulo de Gasto de Capital, desglosando el importe, la fuente y las acciones en las que fueron aplicados. </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b/>
          <w:spacing w:val="20"/>
          <w:kern w:val="2"/>
        </w:rPr>
      </w:pPr>
      <w:r w:rsidRPr="0002002E">
        <w:rPr>
          <w:rFonts w:ascii="Arial" w:eastAsia="Calibri" w:hAnsi="Arial" w:cs="Arial"/>
          <w:b/>
          <w:spacing w:val="20"/>
          <w:kern w:val="2"/>
        </w:rPr>
        <w:t>Poder Judicial</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El Tribunal Superior de Justicia  devengó 111 millones 591 mil 268 pesos de recursos federales y estatales para la implementación del sistema de justicia penal acusatorio con acciones como el equipamiento tecnológico del centro de justicia “Sola de Vega”, el sistema de red, voz y datos del centro de justicia “</w:t>
      </w:r>
      <w:proofErr w:type="spellStart"/>
      <w:r w:rsidRPr="0002002E">
        <w:rPr>
          <w:rFonts w:ascii="Arial" w:eastAsia="Calibri" w:hAnsi="Arial" w:cs="Arial"/>
          <w:spacing w:val="20"/>
          <w:kern w:val="2"/>
        </w:rPr>
        <w:t>Miahuatlán</w:t>
      </w:r>
      <w:proofErr w:type="spellEnd"/>
      <w:r w:rsidRPr="0002002E">
        <w:rPr>
          <w:rFonts w:ascii="Arial" w:eastAsia="Calibri" w:hAnsi="Arial" w:cs="Arial"/>
          <w:spacing w:val="20"/>
          <w:kern w:val="2"/>
        </w:rPr>
        <w:t>”, la capacitación especializada para Agentes del Ministerio Público, Jueces, mediadores y conciliadores en el sistema penal acusatorio, Capacitación básica para policías preventivos y oficiales de guardia y custodia.</w:t>
      </w:r>
    </w:p>
    <w:p w:rsidR="00812F69" w:rsidRPr="0002002E" w:rsidRDefault="00812F69" w:rsidP="00812F69">
      <w:pPr>
        <w:contextualSpacing/>
        <w:jc w:val="both"/>
        <w:rPr>
          <w:rFonts w:ascii="Arial" w:eastAsia="Calibri" w:hAnsi="Arial" w:cs="Arial"/>
          <w:b/>
          <w:spacing w:val="20"/>
          <w:kern w:val="2"/>
        </w:rPr>
      </w:pPr>
    </w:p>
    <w:p w:rsidR="00812F69" w:rsidRPr="0002002E" w:rsidRDefault="00812F69" w:rsidP="00812F69">
      <w:pPr>
        <w:contextualSpacing/>
        <w:jc w:val="both"/>
        <w:rPr>
          <w:rFonts w:ascii="Arial" w:eastAsia="Calibri" w:hAnsi="Arial" w:cs="Arial"/>
          <w:b/>
          <w:spacing w:val="20"/>
          <w:kern w:val="2"/>
        </w:rPr>
      </w:pPr>
      <w:r w:rsidRPr="0002002E">
        <w:rPr>
          <w:rFonts w:ascii="Arial" w:eastAsia="Calibri" w:hAnsi="Arial" w:cs="Arial"/>
          <w:b/>
          <w:spacing w:val="20"/>
          <w:kern w:val="2"/>
        </w:rPr>
        <w:t>Poder Ejecutivo</w:t>
      </w:r>
    </w:p>
    <w:p w:rsidR="00812F69" w:rsidRPr="0002002E" w:rsidRDefault="00812F69" w:rsidP="00812F69">
      <w:pPr>
        <w:contextualSpacing/>
        <w:jc w:val="both"/>
        <w:rPr>
          <w:rFonts w:ascii="Arial" w:eastAsia="Calibri" w:hAnsi="Arial" w:cs="Arial"/>
          <w:b/>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b/>
          <w:spacing w:val="20"/>
          <w:kern w:val="2"/>
          <w:lang w:val="es-ES" w:eastAsia="es-ES"/>
        </w:rPr>
      </w:pPr>
      <w:r w:rsidRPr="0002002E">
        <w:rPr>
          <w:rFonts w:ascii="Arial" w:eastAsia="Calibri" w:hAnsi="Arial" w:cs="Arial"/>
          <w:b/>
          <w:spacing w:val="20"/>
          <w:kern w:val="2"/>
          <w:lang w:val="es-ES" w:eastAsia="es-ES"/>
        </w:rPr>
        <w:t>Administración Pública Centralizada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La Secretaría General de Gobierno devengó recursos por la cantidad de 730 mil 367 pesos en acciones del programa “modernización integral del registro civil”.</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 xml:space="preserve">La Procuraduría General de Justicia devengó recursos por la cantidad de </w:t>
      </w:r>
      <w:r w:rsidR="00B741E6">
        <w:rPr>
          <w:rFonts w:ascii="Arial" w:eastAsia="Calibri" w:hAnsi="Arial" w:cs="Arial"/>
          <w:spacing w:val="20"/>
          <w:kern w:val="2"/>
        </w:rPr>
        <w:t>un</w:t>
      </w:r>
      <w:r w:rsidRPr="0002002E">
        <w:rPr>
          <w:rFonts w:ascii="Arial" w:eastAsia="Calibri" w:hAnsi="Arial" w:cs="Arial"/>
          <w:spacing w:val="20"/>
          <w:kern w:val="2"/>
        </w:rPr>
        <w:t xml:space="preserve"> millón 982 mil 798 pesos, destinados a la procuración de justicia en acciones para el fortalecimiento de las instituciones de seguridad pública 731 mil 51 pesos correspondiente a recursos estatales, y procuración e impartición de justicia y el acceso a la justicia para mujeres entre otras, </w:t>
      </w:r>
      <w:r w:rsidR="00B741E6">
        <w:rPr>
          <w:rFonts w:ascii="Arial" w:eastAsia="Calibri" w:hAnsi="Arial" w:cs="Arial"/>
          <w:spacing w:val="20"/>
          <w:kern w:val="2"/>
        </w:rPr>
        <w:t>un</w:t>
      </w:r>
      <w:r w:rsidRPr="0002002E">
        <w:rPr>
          <w:rFonts w:ascii="Arial" w:eastAsia="Calibri" w:hAnsi="Arial" w:cs="Arial"/>
          <w:spacing w:val="20"/>
          <w:kern w:val="2"/>
        </w:rPr>
        <w:t xml:space="preserve"> millón 251 mil 747 pesos de recursos del Ramo General 33.</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 xml:space="preserve">La Secretaría de Seguridad Pública destinó recursos por la cantidad de  76 millones 773 mil 315 pesos; en acciones como adquisición de vehículos equipados tipo patrulla dentro del programa de seguridad y protección de las personas y su patrimonio devengó 17 millones 557 mil 516 pesos de recursos estatales, para  prevención del delito por sistema </w:t>
      </w:r>
      <w:r w:rsidRPr="0002002E">
        <w:rPr>
          <w:rFonts w:ascii="Arial" w:eastAsia="Calibri" w:hAnsi="Arial" w:cs="Arial"/>
          <w:spacing w:val="20"/>
          <w:kern w:val="2"/>
        </w:rPr>
        <w:lastRenderedPageBreak/>
        <w:t xml:space="preserve">de video vigilancia C4, servicios de profesionalización policial, el equipamiento del centro penitenciario estatal de mediana seguridad en </w:t>
      </w:r>
      <w:proofErr w:type="spellStart"/>
      <w:r w:rsidRPr="0002002E">
        <w:rPr>
          <w:rFonts w:ascii="Arial" w:eastAsia="Calibri" w:hAnsi="Arial" w:cs="Arial"/>
          <w:spacing w:val="20"/>
          <w:kern w:val="2"/>
        </w:rPr>
        <w:t>Tlacolula</w:t>
      </w:r>
      <w:proofErr w:type="spellEnd"/>
      <w:r w:rsidRPr="0002002E">
        <w:rPr>
          <w:rFonts w:ascii="Arial" w:eastAsia="Calibri" w:hAnsi="Arial" w:cs="Arial"/>
          <w:spacing w:val="20"/>
          <w:kern w:val="2"/>
        </w:rPr>
        <w:t xml:space="preserve"> de Matamoros dentro del programa de rehabilitación y reinserción social destino, 40 millones 458 mil 252 pesos del Ramo general 33, y finalmente 18 millones 757 mil 547 pesos de recursos federales para equipamiento.</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La Secretaría de Salud devengó recursos por la cantidad de 42 millones 256 mil 770 pesos destinados al fortalecimiento de la infraestructura de unidades médicas, adquisición de equipos de cómputo y tecnologías de la información para el programa Seguro Popular y el equipamiento de infraestructura para la ejecución del programa desarrollo humano oportunidades.</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Secretaría de las Infraestructuras y el ordenamiento Territorial Sustentable destinó recursos por la cantidad de </w:t>
      </w:r>
      <w:r w:rsidR="00B741E6">
        <w:rPr>
          <w:rFonts w:ascii="Arial" w:eastAsia="Calibri" w:hAnsi="Arial" w:cs="Arial"/>
          <w:spacing w:val="20"/>
          <w:kern w:val="2"/>
          <w:lang w:val="es-MX"/>
        </w:rPr>
        <w:t>un</w:t>
      </w:r>
      <w:r w:rsidRPr="0002002E">
        <w:rPr>
          <w:rFonts w:ascii="Arial" w:eastAsia="Calibri" w:hAnsi="Arial" w:cs="Arial"/>
          <w:spacing w:val="20"/>
          <w:kern w:val="2"/>
          <w:lang w:val="es-MX"/>
        </w:rPr>
        <w:t xml:space="preserve"> mil 155 millones 542 mil 665 pesos, dentro del programa desarrollo de infraestructura social básica y productiva ejecuto obras como: mejoramiento de la imagen urbana de la calzada Porfirio Díaz, ampliación de la red de distribución de energía eléctrica de diversas colonias, construcción de letrinas secas,  construcción de alumbrado público sustentable en diversas comunidades, construcción y techado de canchas de uso múltiples, pavimentación con concreto hidráulico de diversas calles, rehabilitación de vialidades urbanas con concreto asfaltico, construcción del centro de recreación y acondicionamiento deportivo “Venustiano Carranza” 2ª etapa con una inversión de 42 millones 184 mil 178 pesos, construcción del centro de iniciación musical de Oaxaca (CIMO) 2ª etapa con una inversión de 22 millones 316 mil 466 pesos, construcción del complejo deportivo zona poniente con inversión de 21 millones 633 mil 891 pesos, construcción del edificio “H” para biblioteca y aulas de la facultad de contaduría y administración de la Universidad Autónoma “Benito Juárez de Oaxaca con inversión de  6 millones 284 mil 977 pesos, construcción de la planta de tratamiento y obras complementarias en la universidad de la costa campus </w:t>
      </w:r>
      <w:proofErr w:type="spellStart"/>
      <w:r w:rsidRPr="0002002E">
        <w:rPr>
          <w:rFonts w:ascii="Arial" w:eastAsia="Calibri" w:hAnsi="Arial" w:cs="Arial"/>
          <w:spacing w:val="20"/>
          <w:kern w:val="2"/>
          <w:lang w:val="es-MX"/>
        </w:rPr>
        <w:t>Pinotepa</w:t>
      </w:r>
      <w:proofErr w:type="spellEnd"/>
      <w:r w:rsidRPr="0002002E">
        <w:rPr>
          <w:rFonts w:ascii="Arial" w:eastAsia="Calibri" w:hAnsi="Arial" w:cs="Arial"/>
          <w:spacing w:val="20"/>
          <w:kern w:val="2"/>
          <w:lang w:val="es-MX"/>
        </w:rPr>
        <w:t xml:space="preserve"> Nacional con inversión de 17 millones 283 mil 491 pesos, terminación de la construcción y equipamiento del mobiliario fijo del centro de reinserción social de mediana seguridad.</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Secretaría de Turismo y Desarrollo Económico devengó recursos por la cantidad de 448 millones 483 mil 18 pesos que se destinaron, mediante inversión estatal, a acciones del programa de desarrollo turístico como eventos de promoción turística, seguimiento desarrollo y socialización de las rutas turísticas del estado. También se apoyó al </w:t>
      </w:r>
      <w:r w:rsidRPr="0002002E">
        <w:rPr>
          <w:rFonts w:ascii="Arial" w:eastAsia="Calibri" w:hAnsi="Arial" w:cs="Arial"/>
          <w:spacing w:val="20"/>
          <w:kern w:val="2"/>
          <w:lang w:val="es-MX"/>
        </w:rPr>
        <w:lastRenderedPageBreak/>
        <w:t xml:space="preserve">programa de desarrollo empresarial con el impulso integral para elevar la competitividad </w:t>
      </w:r>
      <w:proofErr w:type="gramStart"/>
      <w:r w:rsidRPr="0002002E">
        <w:rPr>
          <w:rFonts w:ascii="Arial" w:eastAsia="Calibri" w:hAnsi="Arial" w:cs="Arial"/>
          <w:spacing w:val="20"/>
          <w:kern w:val="2"/>
          <w:lang w:val="es-MX"/>
        </w:rPr>
        <w:t>de las micro</w:t>
      </w:r>
      <w:proofErr w:type="gramEnd"/>
      <w:r w:rsidRPr="0002002E">
        <w:rPr>
          <w:rFonts w:ascii="Arial" w:eastAsia="Calibri" w:hAnsi="Arial" w:cs="Arial"/>
          <w:spacing w:val="20"/>
          <w:kern w:val="2"/>
          <w:lang w:val="es-MX"/>
        </w:rPr>
        <w:t xml:space="preserve">, pequeña y mediana empresa mediante programas de capacitación y asistencia técnica, así como promoción del mezcal y productos agroindustriales. </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ES_tradnl"/>
        </w:rPr>
      </w:pPr>
      <w:r w:rsidRPr="0002002E">
        <w:rPr>
          <w:rFonts w:ascii="Arial" w:eastAsia="Calibri" w:hAnsi="Arial" w:cs="Arial"/>
          <w:spacing w:val="20"/>
          <w:kern w:val="2"/>
          <w:lang w:val="es-MX"/>
        </w:rPr>
        <w:t xml:space="preserve">Con recursos del Ramo General 33 se apoyó la construcción de electrificación no convencional con 7 millones 213 mil  676 pesos, en diferentes municipios del Estado; la expo pyme Oaxaca 2015 y la expo pyme </w:t>
      </w:r>
      <w:proofErr w:type="spellStart"/>
      <w:r w:rsidRPr="0002002E">
        <w:rPr>
          <w:rFonts w:ascii="Arial" w:eastAsia="Calibri" w:hAnsi="Arial" w:cs="Arial"/>
          <w:spacing w:val="20"/>
          <w:kern w:val="2"/>
          <w:lang w:val="es-MX"/>
        </w:rPr>
        <w:t>Huajuapan</w:t>
      </w:r>
      <w:proofErr w:type="spellEnd"/>
      <w:r w:rsidRPr="0002002E">
        <w:rPr>
          <w:rFonts w:ascii="Arial" w:eastAsia="Calibri" w:hAnsi="Arial" w:cs="Arial"/>
          <w:spacing w:val="20"/>
          <w:kern w:val="2"/>
          <w:lang w:val="es-MX"/>
        </w:rPr>
        <w:t xml:space="preserve"> 2015,</w:t>
      </w:r>
      <w:r w:rsidRPr="0002002E">
        <w:rPr>
          <w:rFonts w:ascii="Arial" w:eastAsia="Calibri" w:hAnsi="Arial" w:cs="Arial"/>
          <w:spacing w:val="20"/>
          <w:kern w:val="2"/>
        </w:rPr>
        <w:t xml:space="preserve"> urbanización de 135 hectáreas del desarrollo urbano integral (DUI) Salina Cruz (polígono 14) con 180 millones de </w:t>
      </w:r>
      <w:proofErr w:type="gramStart"/>
      <w:r w:rsidRPr="0002002E">
        <w:rPr>
          <w:rFonts w:ascii="Arial" w:eastAsia="Calibri" w:hAnsi="Arial" w:cs="Arial"/>
          <w:spacing w:val="20"/>
          <w:kern w:val="2"/>
        </w:rPr>
        <w:t>pesos ,</w:t>
      </w:r>
      <w:proofErr w:type="gramEnd"/>
      <w:r w:rsidRPr="0002002E">
        <w:rPr>
          <w:rFonts w:ascii="Arial" w:eastAsia="Calibri" w:hAnsi="Arial" w:cs="Arial"/>
          <w:spacing w:val="20"/>
          <w:kern w:val="2"/>
        </w:rPr>
        <w:t xml:space="preserve"> entre otras.</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Con inversión federal se apoyó el fomento comercial industrial en diversas comunidades, el desarrollo turístico con el mejoramiento de la imagen urbana de San Agustinillo, Santa María del </w:t>
      </w:r>
      <w:proofErr w:type="spellStart"/>
      <w:r w:rsidRPr="0002002E">
        <w:rPr>
          <w:rFonts w:ascii="Arial" w:eastAsia="Calibri" w:hAnsi="Arial" w:cs="Arial"/>
          <w:spacing w:val="20"/>
          <w:kern w:val="2"/>
          <w:lang w:val="es-MX"/>
        </w:rPr>
        <w:t>Tule</w:t>
      </w:r>
      <w:proofErr w:type="spellEnd"/>
      <w:r w:rsidRPr="0002002E">
        <w:rPr>
          <w:rFonts w:ascii="Arial" w:eastAsia="Calibri" w:hAnsi="Arial" w:cs="Arial"/>
          <w:spacing w:val="20"/>
          <w:kern w:val="2"/>
          <w:lang w:val="es-MX"/>
        </w:rPr>
        <w:t xml:space="preserve"> y de </w:t>
      </w:r>
      <w:proofErr w:type="spellStart"/>
      <w:r w:rsidRPr="0002002E">
        <w:rPr>
          <w:rFonts w:ascii="Arial" w:eastAsia="Calibri" w:hAnsi="Arial" w:cs="Arial"/>
          <w:spacing w:val="20"/>
          <w:kern w:val="2"/>
          <w:lang w:val="es-MX"/>
        </w:rPr>
        <w:t>Cuajimoloyas</w:t>
      </w:r>
      <w:proofErr w:type="spellEnd"/>
      <w:r w:rsidRPr="0002002E">
        <w:rPr>
          <w:rFonts w:ascii="Arial" w:eastAsia="Calibri" w:hAnsi="Arial" w:cs="Arial"/>
          <w:spacing w:val="20"/>
          <w:kern w:val="2"/>
          <w:lang w:val="es-MX"/>
        </w:rPr>
        <w:t xml:space="preserve">, dentro de la 7ª etapa de </w:t>
      </w:r>
      <w:proofErr w:type="spellStart"/>
      <w:r w:rsidRPr="0002002E">
        <w:rPr>
          <w:rFonts w:ascii="Arial" w:eastAsia="Calibri" w:hAnsi="Arial" w:cs="Arial"/>
          <w:spacing w:val="20"/>
          <w:kern w:val="2"/>
          <w:lang w:val="es-MX"/>
        </w:rPr>
        <w:t>Capulalpam</w:t>
      </w:r>
      <w:proofErr w:type="spellEnd"/>
      <w:r w:rsidRPr="0002002E">
        <w:rPr>
          <w:rFonts w:ascii="Arial" w:eastAsia="Calibri" w:hAnsi="Arial" w:cs="Arial"/>
          <w:spacing w:val="20"/>
          <w:kern w:val="2"/>
          <w:lang w:val="es-MX"/>
        </w:rPr>
        <w:t xml:space="preserve"> pueblo mágico se realizó la construcción del mirador escénico y el centro de medicina tradicional con un monto de 8 millones 269 mil 320 pesos, para el desarrollo empresarial se realizó rehabilitación del mercado público de </w:t>
      </w:r>
      <w:proofErr w:type="spellStart"/>
      <w:r w:rsidRPr="0002002E">
        <w:rPr>
          <w:rFonts w:ascii="Arial" w:eastAsia="Calibri" w:hAnsi="Arial" w:cs="Arial"/>
          <w:spacing w:val="20"/>
          <w:kern w:val="2"/>
          <w:lang w:val="es-MX"/>
        </w:rPr>
        <w:t>Nochixtlán</w:t>
      </w:r>
      <w:proofErr w:type="spellEnd"/>
      <w:r w:rsidRPr="0002002E">
        <w:rPr>
          <w:rFonts w:ascii="Arial" w:eastAsia="Calibri" w:hAnsi="Arial" w:cs="Arial"/>
          <w:spacing w:val="20"/>
          <w:kern w:val="2"/>
          <w:lang w:val="es-MX"/>
        </w:rPr>
        <w:t xml:space="preserve">, construcción de mercados públicos de Pluma Hidalgo, San José del Progreso y de San Pedro y San Pablo </w:t>
      </w:r>
      <w:proofErr w:type="spellStart"/>
      <w:r w:rsidRPr="0002002E">
        <w:rPr>
          <w:rFonts w:ascii="Arial" w:eastAsia="Calibri" w:hAnsi="Arial" w:cs="Arial"/>
          <w:spacing w:val="20"/>
          <w:kern w:val="2"/>
          <w:lang w:val="es-MX"/>
        </w:rPr>
        <w:t>Ayutla</w:t>
      </w:r>
      <w:proofErr w:type="spellEnd"/>
      <w:r w:rsidRPr="0002002E">
        <w:rPr>
          <w:rFonts w:ascii="Arial" w:eastAsia="Calibri" w:hAnsi="Arial" w:cs="Arial"/>
          <w:spacing w:val="20"/>
          <w:kern w:val="2"/>
          <w:lang w:val="es-MX"/>
        </w:rPr>
        <w:t xml:space="preserve">, realización de la </w:t>
      </w:r>
      <w:proofErr w:type="spellStart"/>
      <w:r w:rsidRPr="0002002E">
        <w:rPr>
          <w:rFonts w:ascii="Arial" w:eastAsia="Calibri" w:hAnsi="Arial" w:cs="Arial"/>
          <w:spacing w:val="20"/>
          <w:kern w:val="2"/>
          <w:lang w:val="es-MX"/>
        </w:rPr>
        <w:t>Guelaguetza</w:t>
      </w:r>
      <w:proofErr w:type="spellEnd"/>
      <w:r w:rsidRPr="0002002E">
        <w:rPr>
          <w:rFonts w:ascii="Arial" w:eastAsia="Calibri" w:hAnsi="Arial" w:cs="Arial"/>
          <w:spacing w:val="20"/>
          <w:kern w:val="2"/>
          <w:lang w:val="es-MX"/>
        </w:rPr>
        <w:t xml:space="preserve"> y de la 18ª feria internacional del mezcal 2015, fiestas de noviembre en Puerto Escondido, festival de jazz en </w:t>
      </w:r>
      <w:proofErr w:type="spellStart"/>
      <w:r w:rsidRPr="0002002E">
        <w:rPr>
          <w:rFonts w:ascii="Arial" w:eastAsia="Calibri" w:hAnsi="Arial" w:cs="Arial"/>
          <w:spacing w:val="20"/>
          <w:kern w:val="2"/>
          <w:lang w:val="es-MX"/>
        </w:rPr>
        <w:t>Mazunte</w:t>
      </w:r>
      <w:proofErr w:type="spellEnd"/>
      <w:r w:rsidRPr="0002002E">
        <w:rPr>
          <w:rFonts w:ascii="Arial" w:eastAsia="Calibri" w:hAnsi="Arial" w:cs="Arial"/>
          <w:spacing w:val="20"/>
          <w:kern w:val="2"/>
          <w:lang w:val="es-MX"/>
        </w:rPr>
        <w:t xml:space="preserve">. </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La Secretaría del Trabajo  devengó recursos estatales por la cantidad de 20 millones 80 mil pesos distribuidos en: 17 millones 80 mil pesos para la impartición de cursos y talleres de capacitación, así como asistencia técnica a los productores y productoras del estado y como aportación al Programa de Apoyo al Empleo con 3 millones de pesos.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highlight w:val="darkGreen"/>
          <w:lang w:val="es-ES" w:eastAsia="es-ES"/>
        </w:rPr>
      </w:pPr>
    </w:p>
    <w:p w:rsidR="00812F69" w:rsidRDefault="00812F69" w:rsidP="00812F69">
      <w:pPr>
        <w:pStyle w:val="paragraph"/>
        <w:spacing w:after="0"/>
        <w:contextualSpacing/>
        <w:jc w:val="both"/>
        <w:textAlignment w:val="baseline"/>
        <w:rPr>
          <w:rFonts w:ascii="Arial" w:eastAsia="Calibri" w:hAnsi="Arial" w:cs="Arial"/>
          <w:spacing w:val="20"/>
          <w:kern w:val="2"/>
        </w:rPr>
      </w:pPr>
      <w:r w:rsidRPr="0002002E">
        <w:rPr>
          <w:rFonts w:ascii="Arial" w:eastAsia="Calibri" w:hAnsi="Arial" w:cs="Arial"/>
          <w:spacing w:val="20"/>
          <w:kern w:val="2"/>
        </w:rPr>
        <w:t xml:space="preserve">La Secretaría de las Culturas y Artes de Oaxaca percibió recursos por 83 millones 659 mil 824 pesos, de los cuales 45 millones 530 mil 374 pesos provienen de recursos estatales y 38 millones 129 mil 450 pesos a transferencias federales. Recursos destinados principalmente a salvaguarda y fortalecimiento del patrimonio cultural material e inmaterial (fortalecimiento a la Hemeroteca Pública, Museo Estatal de Arte Popular de Oaxaca, Proyecto de Restauración del Mural  “Rodolfo Morales”, entre otros), promoción y difusión de la diversidad cultural (Programa de Apoyo a las Culturas Municipales y Comunitarias, Rincón de la Marimba, Exposición Internacional, fortalecimiento al Museo de los Pintores Oaxaqueños, etc.), fomento del desarrollo cultural sustentable del estado ( Festival de las Culturas Oaxaqueñas, Instrumenta Verano, </w:t>
      </w:r>
      <w:r w:rsidRPr="0002002E">
        <w:rPr>
          <w:rFonts w:ascii="Arial" w:eastAsia="Calibri" w:hAnsi="Arial" w:cs="Arial"/>
          <w:spacing w:val="20"/>
          <w:kern w:val="2"/>
        </w:rPr>
        <w:lastRenderedPageBreak/>
        <w:t>Marimba, Banda de Música del Estado, Orquesta Sinfónica, Orquesta Primavera de Oaxaca, Teatro Macedonio Alcalá, Teatro Juárez, etc.) , fortalecimiento a la formación y capacitación artística y cultural ( Nidos de Música, Sistemas Estatales a Casas de Pueblo y de Cultura, Taller de artes Plásticas “Rufino Tamayo”, Centro de Iniciación Musical de Oaxaca, Biblioteca Pública Central “Margarita Maza de Juárez”, entre otros), estímulo a la creación y desarrollo artístico, festivales culturales en Oaxaca, subsidio para proyectos culturales entre otros.</w:t>
      </w:r>
    </w:p>
    <w:p w:rsidR="00B741E6" w:rsidRPr="0002002E" w:rsidRDefault="00B741E6" w:rsidP="00812F69">
      <w:pPr>
        <w:pStyle w:val="paragraph"/>
        <w:spacing w:after="0"/>
        <w:contextualSpacing/>
        <w:jc w:val="both"/>
        <w:textAlignment w:val="baseline"/>
        <w:rPr>
          <w:rFonts w:ascii="Arial" w:eastAsia="Calibri" w:hAnsi="Arial" w:cs="Arial"/>
          <w:spacing w:val="20"/>
          <w:kern w:val="2"/>
        </w:rPr>
      </w:pPr>
    </w:p>
    <w:p w:rsidR="00812F69" w:rsidRDefault="00812F69" w:rsidP="00812F69">
      <w:pPr>
        <w:pStyle w:val="paragraph"/>
        <w:spacing w:after="0"/>
        <w:contextualSpacing/>
        <w:jc w:val="both"/>
        <w:textAlignment w:val="baseline"/>
        <w:rPr>
          <w:rFonts w:ascii="Arial" w:eastAsia="Calibri" w:hAnsi="Arial" w:cs="Arial"/>
          <w:spacing w:val="20"/>
          <w:kern w:val="2"/>
        </w:rPr>
      </w:pPr>
      <w:r w:rsidRPr="0002002E">
        <w:rPr>
          <w:rFonts w:ascii="Arial" w:eastAsia="Calibri" w:hAnsi="Arial" w:cs="Arial"/>
          <w:spacing w:val="20"/>
          <w:kern w:val="2"/>
        </w:rPr>
        <w:t xml:space="preserve">A </w:t>
      </w:r>
      <w:proofErr w:type="spellStart"/>
      <w:r w:rsidRPr="0002002E">
        <w:rPr>
          <w:rFonts w:ascii="Arial" w:eastAsia="Calibri" w:hAnsi="Arial" w:cs="Arial"/>
          <w:spacing w:val="20"/>
          <w:kern w:val="2"/>
        </w:rPr>
        <w:t>traves</w:t>
      </w:r>
      <w:proofErr w:type="spellEnd"/>
      <w:r w:rsidRPr="0002002E">
        <w:rPr>
          <w:rFonts w:ascii="Arial" w:eastAsia="Calibri" w:hAnsi="Arial" w:cs="Arial"/>
          <w:spacing w:val="20"/>
          <w:kern w:val="2"/>
        </w:rPr>
        <w:t xml:space="preserve"> de la Secretaría de Asuntos Indígenas se devengaron 3 millones 470 mil 887 pesos, para el programa de coinversión para la implementación de los derechos indígenas e impulso del desarrollo integral, intercultural y sostenible de los pueblos indígenas y </w:t>
      </w:r>
      <w:proofErr w:type="spellStart"/>
      <w:r w:rsidRPr="0002002E">
        <w:rPr>
          <w:rFonts w:ascii="Arial" w:eastAsia="Calibri" w:hAnsi="Arial" w:cs="Arial"/>
          <w:spacing w:val="20"/>
          <w:kern w:val="2"/>
        </w:rPr>
        <w:t>afromexicano</w:t>
      </w:r>
      <w:proofErr w:type="spellEnd"/>
      <w:r w:rsidRPr="0002002E">
        <w:rPr>
          <w:rFonts w:ascii="Arial" w:eastAsia="Calibri" w:hAnsi="Arial" w:cs="Arial"/>
          <w:spacing w:val="20"/>
          <w:kern w:val="2"/>
        </w:rPr>
        <w:t xml:space="preserve"> de Oaxaca se destinaron 3 millones 368 mil 887 pesos y 102 mil pesos para la evaluación de dicho programa.</w:t>
      </w:r>
    </w:p>
    <w:p w:rsidR="00B741E6" w:rsidRPr="0002002E" w:rsidRDefault="00B741E6" w:rsidP="00812F69">
      <w:pPr>
        <w:pStyle w:val="paragraph"/>
        <w:spacing w:after="0"/>
        <w:contextualSpacing/>
        <w:jc w:val="both"/>
        <w:textAlignment w:val="baseline"/>
        <w:rPr>
          <w:rFonts w:ascii="Arial" w:eastAsia="Calibri" w:hAnsi="Arial" w:cs="Arial"/>
          <w:spacing w:val="20"/>
          <w:kern w:val="2"/>
        </w:rPr>
      </w:pPr>
    </w:p>
    <w:p w:rsidR="00812F69" w:rsidRDefault="00812F69" w:rsidP="00812F69">
      <w:pPr>
        <w:pStyle w:val="paragraph"/>
        <w:spacing w:after="0"/>
        <w:contextualSpacing/>
        <w:jc w:val="both"/>
        <w:textAlignment w:val="baseline"/>
        <w:rPr>
          <w:rFonts w:ascii="Arial" w:eastAsia="Calibri" w:hAnsi="Arial" w:cs="Arial"/>
          <w:spacing w:val="20"/>
          <w:kern w:val="2"/>
        </w:rPr>
      </w:pPr>
      <w:r w:rsidRPr="0002002E">
        <w:rPr>
          <w:rFonts w:ascii="Arial" w:eastAsia="Calibri" w:hAnsi="Arial" w:cs="Arial"/>
          <w:spacing w:val="20"/>
          <w:kern w:val="2"/>
        </w:rPr>
        <w:t>Mediante la Secretaría de Desarrollo Agropecuario, Pesca y Acuacultura se devengaron recursos por 338 millones 182 mil 788 pesos, destinándose 151 millones 579 mil 850 pesos a actividades de desarrollo agrícola como son: Impulsos a la producción de maíz para grano y de alto rendimiento, así como fortalecimiento de la agricultura, mecanización y tecnificación de los sistemas de producción, mantenimiento de unidades de producción familiar, construcción de infraestructura agrícola, etc., 139 millones 777 mil 825 pesos en seguros agropecuarios catastróficos, 46 millones 825 mil 113 pesos para fortalecimiento al eslabón de la cadena productiva pecuaria, impulso y fortalecimiento de los sistemas de producción, cría y explotación de ganado caprino, bovino, ovino y porcino, también de gallinas para producción de huevo, etc., y el resto de recursos en estudios de ordenamiento acuícola, territorial y de factibilidad técnica, económica, social e impacto ambiental para el desarrollo de la acuacultura, establecimiento de rastros para el control sanitario, caracterización para el desarrollo de la maricultura, programa de manejo forestal de la plantación e impactos de la agricultura de conservación.</w:t>
      </w:r>
    </w:p>
    <w:p w:rsidR="00B741E6" w:rsidRPr="0002002E" w:rsidRDefault="00B741E6" w:rsidP="00812F69">
      <w:pPr>
        <w:pStyle w:val="paragraph"/>
        <w:spacing w:after="0"/>
        <w:contextualSpacing/>
        <w:jc w:val="both"/>
        <w:textAlignment w:val="baseline"/>
        <w:rPr>
          <w:rFonts w:ascii="Arial" w:eastAsia="Calibri" w:hAnsi="Arial" w:cs="Arial"/>
          <w:spacing w:val="20"/>
          <w:kern w:val="2"/>
        </w:rPr>
      </w:pPr>
    </w:p>
    <w:p w:rsidR="00812F69" w:rsidRPr="0002002E" w:rsidRDefault="00812F69" w:rsidP="00812F69">
      <w:pPr>
        <w:pStyle w:val="paragraph"/>
        <w:spacing w:after="0"/>
        <w:contextualSpacing/>
        <w:jc w:val="both"/>
        <w:textAlignment w:val="baseline"/>
        <w:rPr>
          <w:rFonts w:ascii="Arial" w:eastAsia="Calibri" w:hAnsi="Arial" w:cs="Arial"/>
          <w:spacing w:val="20"/>
          <w:kern w:val="2"/>
        </w:rPr>
      </w:pPr>
      <w:r w:rsidRPr="0002002E">
        <w:rPr>
          <w:rFonts w:ascii="Arial" w:eastAsia="Calibri" w:hAnsi="Arial" w:cs="Arial"/>
          <w:spacing w:val="20"/>
          <w:kern w:val="2"/>
        </w:rPr>
        <w:t xml:space="preserve">La secretaría de Finanzas devengó 925 mil 885 pesos, de recursos Federales provenientes del Ramo 4, para el </w:t>
      </w:r>
      <w:r w:rsidRPr="0002002E">
        <w:rPr>
          <w:rFonts w:ascii="Arial" w:eastAsia="Calibri" w:hAnsi="Arial" w:cs="Arial"/>
          <w:spacing w:val="20"/>
          <w:kern w:val="2"/>
          <w:lang w:val="es-ES"/>
        </w:rPr>
        <w:t>Programa de Modernización Integral del Registro Civil.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t xml:space="preserve">La Secretaría de Finanzas – Normativa transfirió 91 millones 621 mil 250 pesos como parte de la aportación al Fideicomiso de Alianza para el Campo en Oaxaca; 3 millones 500 mil a la Oficina de Visitantes y </w:t>
      </w:r>
      <w:r w:rsidRPr="0002002E">
        <w:rPr>
          <w:rFonts w:ascii="Arial" w:eastAsia="Calibri" w:hAnsi="Arial" w:cs="Arial"/>
          <w:spacing w:val="20"/>
          <w:kern w:val="2"/>
          <w:lang w:val="es-ES" w:eastAsia="es-ES"/>
        </w:rPr>
        <w:lastRenderedPageBreak/>
        <w:t>convenciones de Oaxaca, 15 millones de pesos como a</w:t>
      </w:r>
      <w:r w:rsidRPr="0002002E">
        <w:rPr>
          <w:rFonts w:ascii="Arial" w:eastAsia="Calibri" w:hAnsi="Arial" w:cs="Arial"/>
          <w:spacing w:val="20"/>
          <w:kern w:val="2"/>
        </w:rPr>
        <w:t xml:space="preserve">portación estatal al Fondo de investigación científica y desarrollo tecnológico; </w:t>
      </w:r>
      <w:r w:rsidRPr="0002002E">
        <w:rPr>
          <w:rFonts w:ascii="Arial" w:eastAsia="Calibri" w:hAnsi="Arial" w:cs="Arial"/>
          <w:spacing w:val="20"/>
          <w:kern w:val="2"/>
          <w:lang w:val="es-ES" w:eastAsia="es-ES"/>
        </w:rPr>
        <w:t xml:space="preserve">88 millones 804 mil 496 pesos como parte del Seguro de Daños contra riesgos; 4 millones 300 mil para el Proyecto Luz en Casa en su FASE III, 118 millones 121 mil  676 pesos como parte del Convenio de Coordinación  con  la Comisión Federal de Electricidad,  y finalmente </w:t>
      </w:r>
      <w:r w:rsidRPr="0002002E">
        <w:rPr>
          <w:rFonts w:ascii="Arial" w:eastAsia="Calibri" w:hAnsi="Arial" w:cs="Arial"/>
          <w:spacing w:val="20"/>
          <w:kern w:val="2"/>
        </w:rPr>
        <w:t>77 millones 655 mil 296 pesos del Fondo Metropolitano; para tener un total de 399 millones 2 mil 718 pesos.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lang w:val="es-ES" w:eastAsia="es-ES"/>
        </w:rPr>
        <w:t>A través de la  Secretaría de Administración se destinó  recursos por un monto de 310 millones 628 mil 871 pesos, de recursos estatales se ejercieron 67 millones 5 mil 447 pesos, recursos federales  239 millones 630 mil 215  pesos y recursos del Ramo General 33 por 3 millones 993 mil 179 pesos; los cuales se destinaron al apoyo a la movilidad urbana y renovación del parque vehicular en Oaxaca, rehabilitación y mantenimiento del Instituto Tecnológico de Oaxaca, rescate y modernización de los archivos históricos del estado de Oaxaca, construcción y equipamiento de gimnasios al aire libre, modernización del parque “Ciudad de las Canteras”, entre otras actividades.</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rPr>
        <w:t>La Coordinación General del Comité Estatal de Planeación para el Desarrollo de Oaxaca devengó 2 millones de pesos para el programa de coinversión para el desarrollo integral del estado de Oaxaca.</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highlight w:val="darkGreen"/>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rPr>
      </w:pPr>
      <w:r w:rsidRPr="0002002E">
        <w:rPr>
          <w:rFonts w:ascii="Arial" w:eastAsia="Calibri" w:hAnsi="Arial" w:cs="Arial"/>
          <w:spacing w:val="20"/>
          <w:kern w:val="2"/>
        </w:rPr>
        <w:t>El Secretariado Ejecutivo del Sistema Estatal de Seguridad Pública, destinó 205 millones 929 mil 992 pesos para el fortalecimiento de las capacidades de evaluación en control de confianza, profesionalización de las instituciones de seguridad pública, fortalecimiento de programas prioritarios locales de las instituciones de seguridad pública e impartición de justicia, programa nacional de prevención del delito y evaluación de los distintos programas o acciones.</w:t>
      </w:r>
    </w:p>
    <w:p w:rsidR="00812F69" w:rsidRPr="0002002E" w:rsidRDefault="00812F69" w:rsidP="00812F69">
      <w:pPr>
        <w:contextualSpacing/>
        <w:jc w:val="both"/>
        <w:rPr>
          <w:rFonts w:ascii="Arial" w:eastAsia="Calibri" w:hAnsi="Arial" w:cs="Arial"/>
          <w:spacing w:val="20"/>
          <w:kern w:val="2"/>
          <w:lang w:val="es-MX" w:eastAsia="es-MX"/>
        </w:rPr>
      </w:pPr>
    </w:p>
    <w:p w:rsidR="00812F69" w:rsidRPr="0002002E" w:rsidRDefault="00812F69" w:rsidP="00812F69">
      <w:pPr>
        <w:contextualSpacing/>
        <w:jc w:val="both"/>
        <w:rPr>
          <w:rFonts w:ascii="Arial" w:eastAsia="Calibri" w:hAnsi="Arial" w:cs="Arial"/>
          <w:b/>
          <w:spacing w:val="20"/>
          <w:kern w:val="2"/>
          <w:lang w:val="es-MX" w:eastAsia="es-MX"/>
        </w:rPr>
      </w:pPr>
      <w:r w:rsidRPr="0002002E">
        <w:rPr>
          <w:rFonts w:ascii="Arial" w:eastAsia="Calibri" w:hAnsi="Arial" w:cs="Arial"/>
          <w:b/>
          <w:spacing w:val="20"/>
          <w:kern w:val="2"/>
          <w:lang w:val="es-MX" w:eastAsia="es-MX"/>
        </w:rPr>
        <w:t>Entidades</w:t>
      </w:r>
    </w:p>
    <w:p w:rsidR="00812F69" w:rsidRPr="0002002E" w:rsidRDefault="00812F69" w:rsidP="00812F69">
      <w:pPr>
        <w:contextualSpacing/>
        <w:jc w:val="both"/>
        <w:rPr>
          <w:rFonts w:ascii="Arial" w:eastAsia="Calibri" w:hAnsi="Arial" w:cs="Arial"/>
          <w:b/>
          <w:spacing w:val="20"/>
          <w:kern w:val="2"/>
          <w:highlight w:val="darkGreen"/>
        </w:rPr>
      </w:pPr>
    </w:p>
    <w:p w:rsidR="00812F69" w:rsidRPr="0002002E" w:rsidRDefault="00812F69" w:rsidP="00812F69">
      <w:pPr>
        <w:contextualSpacing/>
        <w:jc w:val="both"/>
        <w:rPr>
          <w:rFonts w:ascii="Arial" w:eastAsia="Calibri" w:hAnsi="Arial" w:cs="Arial"/>
          <w:spacing w:val="20"/>
          <w:kern w:val="2"/>
          <w:lang w:val="es-MX" w:eastAsia="es-MX"/>
        </w:rPr>
      </w:pPr>
      <w:r w:rsidRPr="0002002E">
        <w:rPr>
          <w:rFonts w:ascii="Arial" w:eastAsia="Calibri" w:hAnsi="Arial" w:cs="Arial"/>
          <w:spacing w:val="20"/>
          <w:kern w:val="2"/>
          <w:lang w:val="es-MX" w:eastAsia="es-MX"/>
        </w:rPr>
        <w:t xml:space="preserve">Caminos y Aeropistas de Oaxaca (CAO) devengo recursos por la cantidad de 914 millones 967 mil 331 pesos, de los cuales 518 millones 555 mil 694 pesos corresponden a recursos estatales, 80 millones 306 mil 625 pesos a recursos del Ramo 33, 313 millones 497 mil 691 pesos de transferencias federales provenientes del Ramo General 23 Fondo Regional (FONREGIÓN), Programas Regionales y Programa de Infraestructura Indígena (PROII) y del Ramo 9, </w:t>
      </w:r>
      <w:proofErr w:type="spellStart"/>
      <w:r w:rsidRPr="0002002E">
        <w:rPr>
          <w:rFonts w:ascii="Arial" w:eastAsia="Calibri" w:hAnsi="Arial" w:cs="Arial"/>
          <w:spacing w:val="20"/>
          <w:kern w:val="2"/>
          <w:lang w:val="es-MX" w:eastAsia="es-MX"/>
        </w:rPr>
        <w:t>Capufe</w:t>
      </w:r>
      <w:proofErr w:type="spellEnd"/>
      <w:r w:rsidRPr="0002002E">
        <w:rPr>
          <w:rFonts w:ascii="Arial" w:eastAsia="Calibri" w:hAnsi="Arial" w:cs="Arial"/>
          <w:spacing w:val="20"/>
          <w:kern w:val="2"/>
          <w:lang w:val="es-MX" w:eastAsia="es-MX"/>
        </w:rPr>
        <w:t xml:space="preserve"> Capital 2 millones 607 mil 319 pesos. Los recursos estatales se  destinaron principalmente </w:t>
      </w:r>
      <w:r w:rsidRPr="0002002E">
        <w:rPr>
          <w:rFonts w:ascii="Arial" w:eastAsia="Calibri" w:hAnsi="Arial" w:cs="Arial"/>
          <w:spacing w:val="20"/>
          <w:kern w:val="2"/>
          <w:lang w:val="es-MX" w:eastAsia="es-MX"/>
        </w:rPr>
        <w:lastRenderedPageBreak/>
        <w:t>para la ejecución de programas de conservación de caminos rurales y carreteras alimentadoras; reconstrucción de vialidades urbanas y rurales en diferentes regiones del estado y la elaboración de estudios y proyectos; dentro de las principales acciones que se ejecutaron con cargo al recurso federal se encuentran: construcción del puente vehicular s/rio mixteco s/camino E.C. (</w:t>
      </w:r>
      <w:proofErr w:type="spellStart"/>
      <w:r w:rsidRPr="0002002E">
        <w:rPr>
          <w:rFonts w:ascii="Arial" w:eastAsia="Calibri" w:hAnsi="Arial" w:cs="Arial"/>
          <w:spacing w:val="20"/>
          <w:kern w:val="2"/>
          <w:lang w:val="es-MX" w:eastAsia="es-MX"/>
        </w:rPr>
        <w:t>Huajuapan</w:t>
      </w:r>
      <w:proofErr w:type="spellEnd"/>
      <w:r w:rsidRPr="0002002E">
        <w:rPr>
          <w:rFonts w:ascii="Arial" w:eastAsia="Calibri" w:hAnsi="Arial" w:cs="Arial"/>
          <w:spacing w:val="20"/>
          <w:kern w:val="2"/>
          <w:lang w:val="es-MX" w:eastAsia="es-MX"/>
        </w:rPr>
        <w:t xml:space="preserve"> - </w:t>
      </w:r>
      <w:proofErr w:type="spellStart"/>
      <w:r w:rsidRPr="0002002E">
        <w:rPr>
          <w:rFonts w:ascii="Arial" w:eastAsia="Calibri" w:hAnsi="Arial" w:cs="Arial"/>
          <w:spacing w:val="20"/>
          <w:kern w:val="2"/>
          <w:lang w:val="es-MX" w:eastAsia="es-MX"/>
        </w:rPr>
        <w:t>Juxtlahuaca</w:t>
      </w:r>
      <w:proofErr w:type="spellEnd"/>
      <w:r w:rsidRPr="0002002E">
        <w:rPr>
          <w:rFonts w:ascii="Arial" w:eastAsia="Calibri" w:hAnsi="Arial" w:cs="Arial"/>
          <w:spacing w:val="20"/>
          <w:kern w:val="2"/>
          <w:lang w:val="es-MX" w:eastAsia="es-MX"/>
        </w:rPr>
        <w:t xml:space="preserve">) - San Mateo Libres ubicado en el Km. 0+995.34; modernización y ampliación del camino Santa María Sola - </w:t>
      </w:r>
      <w:proofErr w:type="spellStart"/>
      <w:r w:rsidRPr="0002002E">
        <w:rPr>
          <w:rFonts w:ascii="Arial" w:eastAsia="Calibri" w:hAnsi="Arial" w:cs="Arial"/>
          <w:spacing w:val="20"/>
          <w:kern w:val="2"/>
          <w:lang w:val="es-MX" w:eastAsia="es-MX"/>
        </w:rPr>
        <w:t>Tlacotepec</w:t>
      </w:r>
      <w:proofErr w:type="spellEnd"/>
      <w:r w:rsidRPr="0002002E">
        <w:rPr>
          <w:rFonts w:ascii="Arial" w:eastAsia="Calibri" w:hAnsi="Arial" w:cs="Arial"/>
          <w:spacing w:val="20"/>
          <w:kern w:val="2"/>
          <w:lang w:val="es-MX" w:eastAsia="es-MX"/>
        </w:rPr>
        <w:t xml:space="preserve">- </w:t>
      </w:r>
      <w:proofErr w:type="spellStart"/>
      <w:r w:rsidRPr="0002002E">
        <w:rPr>
          <w:rFonts w:ascii="Arial" w:eastAsia="Calibri" w:hAnsi="Arial" w:cs="Arial"/>
          <w:spacing w:val="20"/>
          <w:kern w:val="2"/>
          <w:lang w:val="es-MX" w:eastAsia="es-MX"/>
        </w:rPr>
        <w:t>Teojomulco</w:t>
      </w:r>
      <w:proofErr w:type="spellEnd"/>
      <w:r w:rsidRPr="0002002E">
        <w:rPr>
          <w:rFonts w:ascii="Arial" w:eastAsia="Calibri" w:hAnsi="Arial" w:cs="Arial"/>
          <w:spacing w:val="20"/>
          <w:kern w:val="2"/>
          <w:lang w:val="es-MX" w:eastAsia="es-MX"/>
        </w:rPr>
        <w:t xml:space="preserve"> - Santa Cruz </w:t>
      </w:r>
      <w:proofErr w:type="spellStart"/>
      <w:r w:rsidRPr="0002002E">
        <w:rPr>
          <w:rFonts w:ascii="Arial" w:eastAsia="Calibri" w:hAnsi="Arial" w:cs="Arial"/>
          <w:spacing w:val="20"/>
          <w:kern w:val="2"/>
          <w:lang w:val="es-MX" w:eastAsia="es-MX"/>
        </w:rPr>
        <w:t>Zenzontepec</w:t>
      </w:r>
      <w:proofErr w:type="spellEnd"/>
      <w:r w:rsidRPr="0002002E">
        <w:rPr>
          <w:rFonts w:ascii="Arial" w:eastAsia="Calibri" w:hAnsi="Arial" w:cs="Arial"/>
          <w:spacing w:val="20"/>
          <w:kern w:val="2"/>
          <w:lang w:val="es-MX" w:eastAsia="es-MX"/>
        </w:rPr>
        <w:t xml:space="preserve"> del Km. 0+00 al Km. 112+000,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modernizar del Km.  79+900  al Km. 82+000; modernización y ampliación del camino la Venta - San Francisco </w:t>
      </w:r>
      <w:proofErr w:type="spellStart"/>
      <w:r w:rsidRPr="0002002E">
        <w:rPr>
          <w:rFonts w:ascii="Arial" w:eastAsia="Calibri" w:hAnsi="Arial" w:cs="Arial"/>
          <w:spacing w:val="20"/>
          <w:kern w:val="2"/>
          <w:lang w:val="es-MX" w:eastAsia="es-MX"/>
        </w:rPr>
        <w:t>Ozolotepec</w:t>
      </w:r>
      <w:proofErr w:type="spellEnd"/>
      <w:r w:rsidRPr="0002002E">
        <w:rPr>
          <w:rFonts w:ascii="Arial" w:eastAsia="Calibri" w:hAnsi="Arial" w:cs="Arial"/>
          <w:spacing w:val="20"/>
          <w:kern w:val="2"/>
          <w:lang w:val="es-MX" w:eastAsia="es-MX"/>
        </w:rPr>
        <w:t xml:space="preserve"> tramo del Km. 0+000 al Km. 90+000,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del Km. 43+460 al Km. 45+660; construcción del puente vehicular s/rio </w:t>
      </w:r>
      <w:proofErr w:type="spellStart"/>
      <w:r w:rsidRPr="0002002E">
        <w:rPr>
          <w:rFonts w:ascii="Arial" w:eastAsia="Calibri" w:hAnsi="Arial" w:cs="Arial"/>
          <w:spacing w:val="20"/>
          <w:kern w:val="2"/>
          <w:lang w:val="es-MX" w:eastAsia="es-MX"/>
        </w:rPr>
        <w:t>Textitlan</w:t>
      </w:r>
      <w:proofErr w:type="spellEnd"/>
      <w:r w:rsidRPr="0002002E">
        <w:rPr>
          <w:rFonts w:ascii="Arial" w:eastAsia="Calibri" w:hAnsi="Arial" w:cs="Arial"/>
          <w:spacing w:val="20"/>
          <w:kern w:val="2"/>
          <w:lang w:val="es-MX" w:eastAsia="es-MX"/>
        </w:rPr>
        <w:t xml:space="preserve"> s/camino Santa María </w:t>
      </w:r>
      <w:proofErr w:type="spellStart"/>
      <w:r w:rsidRPr="0002002E">
        <w:rPr>
          <w:rFonts w:ascii="Arial" w:eastAsia="Calibri" w:hAnsi="Arial" w:cs="Arial"/>
          <w:spacing w:val="20"/>
          <w:kern w:val="2"/>
          <w:lang w:val="es-MX" w:eastAsia="es-MX"/>
        </w:rPr>
        <w:t>Zaniza</w:t>
      </w:r>
      <w:proofErr w:type="spellEnd"/>
      <w:r w:rsidRPr="0002002E">
        <w:rPr>
          <w:rFonts w:ascii="Arial" w:eastAsia="Calibri" w:hAnsi="Arial" w:cs="Arial"/>
          <w:spacing w:val="20"/>
          <w:kern w:val="2"/>
          <w:lang w:val="es-MX" w:eastAsia="es-MX"/>
        </w:rPr>
        <w:t xml:space="preserve"> - Santiago </w:t>
      </w:r>
      <w:proofErr w:type="spellStart"/>
      <w:r w:rsidRPr="0002002E">
        <w:rPr>
          <w:rFonts w:ascii="Arial" w:eastAsia="Calibri" w:hAnsi="Arial" w:cs="Arial"/>
          <w:spacing w:val="20"/>
          <w:kern w:val="2"/>
          <w:lang w:val="es-MX" w:eastAsia="es-MX"/>
        </w:rPr>
        <w:t>Amoltepec</w:t>
      </w:r>
      <w:proofErr w:type="spellEnd"/>
      <w:r w:rsidRPr="0002002E">
        <w:rPr>
          <w:rFonts w:ascii="Arial" w:eastAsia="Calibri" w:hAnsi="Arial" w:cs="Arial"/>
          <w:spacing w:val="20"/>
          <w:kern w:val="2"/>
          <w:lang w:val="es-MX" w:eastAsia="es-MX"/>
        </w:rPr>
        <w:t xml:space="preserve">, ubicado en el Km. 9+435 (Paraje el Algodón); construcción del camino el </w:t>
      </w:r>
      <w:proofErr w:type="spellStart"/>
      <w:r w:rsidRPr="0002002E">
        <w:rPr>
          <w:rFonts w:ascii="Arial" w:eastAsia="Calibri" w:hAnsi="Arial" w:cs="Arial"/>
          <w:spacing w:val="20"/>
          <w:kern w:val="2"/>
          <w:lang w:val="es-MX" w:eastAsia="es-MX"/>
        </w:rPr>
        <w:t>Jicaro</w:t>
      </w:r>
      <w:proofErr w:type="spellEnd"/>
      <w:r w:rsidRPr="0002002E">
        <w:rPr>
          <w:rFonts w:ascii="Arial" w:eastAsia="Calibri" w:hAnsi="Arial" w:cs="Arial"/>
          <w:spacing w:val="20"/>
          <w:kern w:val="2"/>
          <w:lang w:val="es-MX" w:eastAsia="es-MX"/>
        </w:rPr>
        <w:t xml:space="preserve"> - </w:t>
      </w:r>
      <w:proofErr w:type="spellStart"/>
      <w:r w:rsidRPr="0002002E">
        <w:rPr>
          <w:rFonts w:ascii="Arial" w:eastAsia="Calibri" w:hAnsi="Arial" w:cs="Arial"/>
          <w:spacing w:val="20"/>
          <w:kern w:val="2"/>
          <w:lang w:val="es-MX" w:eastAsia="es-MX"/>
        </w:rPr>
        <w:t>Rodulfo</w:t>
      </w:r>
      <w:proofErr w:type="spellEnd"/>
      <w:r w:rsidRPr="0002002E">
        <w:rPr>
          <w:rFonts w:ascii="Arial" w:eastAsia="Calibri" w:hAnsi="Arial" w:cs="Arial"/>
          <w:spacing w:val="20"/>
          <w:kern w:val="2"/>
          <w:lang w:val="es-MX" w:eastAsia="es-MX"/>
        </w:rPr>
        <w:t xml:space="preserve"> Figueroa - San Antonio Chimalapa - Nuevo  San Juan - la Libertad tramo del Km. 0+000 al Km. 138+000,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del Km. 116+600 al Km. 120+700; construcción del puente vehicular s/camino E.C. (San Miguel </w:t>
      </w:r>
      <w:proofErr w:type="spellStart"/>
      <w:r w:rsidRPr="0002002E">
        <w:rPr>
          <w:rFonts w:ascii="Arial" w:eastAsia="Calibri" w:hAnsi="Arial" w:cs="Arial"/>
          <w:spacing w:val="20"/>
          <w:kern w:val="2"/>
          <w:lang w:val="es-MX" w:eastAsia="es-MX"/>
        </w:rPr>
        <w:t>Tlacotepec</w:t>
      </w:r>
      <w:proofErr w:type="spellEnd"/>
      <w:r w:rsidRPr="0002002E">
        <w:rPr>
          <w:rFonts w:ascii="Arial" w:eastAsia="Calibri" w:hAnsi="Arial" w:cs="Arial"/>
          <w:spacing w:val="20"/>
          <w:kern w:val="2"/>
          <w:lang w:val="es-MX" w:eastAsia="es-MX"/>
        </w:rPr>
        <w:t xml:space="preserve"> - Santiago </w:t>
      </w:r>
      <w:proofErr w:type="spellStart"/>
      <w:r w:rsidRPr="0002002E">
        <w:rPr>
          <w:rFonts w:ascii="Arial" w:eastAsia="Calibri" w:hAnsi="Arial" w:cs="Arial"/>
          <w:spacing w:val="20"/>
          <w:kern w:val="2"/>
          <w:lang w:val="es-MX" w:eastAsia="es-MX"/>
        </w:rPr>
        <w:t>Juxtlahuaca</w:t>
      </w:r>
      <w:proofErr w:type="spellEnd"/>
      <w:r w:rsidRPr="0002002E">
        <w:rPr>
          <w:rFonts w:ascii="Arial" w:eastAsia="Calibri" w:hAnsi="Arial" w:cs="Arial"/>
          <w:spacing w:val="20"/>
          <w:kern w:val="2"/>
          <w:lang w:val="es-MX" w:eastAsia="es-MX"/>
        </w:rPr>
        <w:t xml:space="preserve">) - Santiago </w:t>
      </w:r>
      <w:proofErr w:type="spellStart"/>
      <w:r w:rsidRPr="0002002E">
        <w:rPr>
          <w:rFonts w:ascii="Arial" w:eastAsia="Calibri" w:hAnsi="Arial" w:cs="Arial"/>
          <w:spacing w:val="20"/>
          <w:kern w:val="2"/>
          <w:lang w:val="es-MX" w:eastAsia="es-MX"/>
        </w:rPr>
        <w:t>Nuxaño</w:t>
      </w:r>
      <w:proofErr w:type="spellEnd"/>
      <w:r w:rsidRPr="0002002E">
        <w:rPr>
          <w:rFonts w:ascii="Arial" w:eastAsia="Calibri" w:hAnsi="Arial" w:cs="Arial"/>
          <w:spacing w:val="20"/>
          <w:kern w:val="2"/>
          <w:lang w:val="es-MX" w:eastAsia="es-MX"/>
        </w:rPr>
        <w:t xml:space="preserve"> ubicado en el Km. 0+255.534; ampliación y modernización del camino San Juan </w:t>
      </w:r>
      <w:proofErr w:type="spellStart"/>
      <w:r w:rsidRPr="0002002E">
        <w:rPr>
          <w:rFonts w:ascii="Arial" w:eastAsia="Calibri" w:hAnsi="Arial" w:cs="Arial"/>
          <w:spacing w:val="20"/>
          <w:kern w:val="2"/>
          <w:lang w:val="es-MX" w:eastAsia="es-MX"/>
        </w:rPr>
        <w:t>Juquila</w:t>
      </w:r>
      <w:proofErr w:type="spellEnd"/>
      <w:r w:rsidRPr="0002002E">
        <w:rPr>
          <w:rFonts w:ascii="Arial" w:eastAsia="Calibri" w:hAnsi="Arial" w:cs="Arial"/>
          <w:spacing w:val="20"/>
          <w:kern w:val="2"/>
          <w:lang w:val="es-MX" w:eastAsia="es-MX"/>
        </w:rPr>
        <w:t xml:space="preserve"> Mixe - Entronque Autopista (Mitla - Tehuantepec) tramo 0+000 al 32+000,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modernizar del Km. 5+000 al Km. 8+000; construcción del libramiento oeste de Santa Catarina </w:t>
      </w:r>
      <w:proofErr w:type="spellStart"/>
      <w:r w:rsidRPr="0002002E">
        <w:rPr>
          <w:rFonts w:ascii="Arial" w:eastAsia="Calibri" w:hAnsi="Arial" w:cs="Arial"/>
          <w:spacing w:val="20"/>
          <w:kern w:val="2"/>
          <w:lang w:val="es-MX" w:eastAsia="es-MX"/>
        </w:rPr>
        <w:t>Juquila</w:t>
      </w:r>
      <w:proofErr w:type="spellEnd"/>
      <w:r w:rsidRPr="0002002E">
        <w:rPr>
          <w:rFonts w:ascii="Arial" w:eastAsia="Calibri" w:hAnsi="Arial" w:cs="Arial"/>
          <w:spacing w:val="20"/>
          <w:kern w:val="2"/>
          <w:lang w:val="es-MX" w:eastAsia="es-MX"/>
        </w:rPr>
        <w:t xml:space="preserve"> tramo del Km. 0+000 al Km. 3+700 a nivel de terracerías (ampliación); reconstrucción de la carretera Cerro del Vidrio - </w:t>
      </w:r>
      <w:proofErr w:type="spellStart"/>
      <w:r w:rsidRPr="0002002E">
        <w:rPr>
          <w:rFonts w:ascii="Arial" w:eastAsia="Calibri" w:hAnsi="Arial" w:cs="Arial"/>
          <w:spacing w:val="20"/>
          <w:kern w:val="2"/>
          <w:lang w:val="es-MX" w:eastAsia="es-MX"/>
        </w:rPr>
        <w:t>Juquila</w:t>
      </w:r>
      <w:proofErr w:type="spellEnd"/>
      <w:r w:rsidRPr="0002002E">
        <w:rPr>
          <w:rFonts w:ascii="Arial" w:eastAsia="Calibri" w:hAnsi="Arial" w:cs="Arial"/>
          <w:spacing w:val="20"/>
          <w:kern w:val="2"/>
          <w:lang w:val="es-MX" w:eastAsia="es-MX"/>
        </w:rPr>
        <w:t xml:space="preserve"> tramo del Km. 0+000 al Km. 29+000 tramos parciales; modernización y ampliación E.C. (Pochutla - Puerto Escondido) - </w:t>
      </w:r>
      <w:proofErr w:type="spellStart"/>
      <w:r w:rsidRPr="0002002E">
        <w:rPr>
          <w:rFonts w:ascii="Arial" w:eastAsia="Calibri" w:hAnsi="Arial" w:cs="Arial"/>
          <w:spacing w:val="20"/>
          <w:kern w:val="2"/>
          <w:lang w:val="es-MX" w:eastAsia="es-MX"/>
        </w:rPr>
        <w:t>Valdeflores</w:t>
      </w:r>
      <w:proofErr w:type="spellEnd"/>
      <w:r w:rsidRPr="0002002E">
        <w:rPr>
          <w:rFonts w:ascii="Arial" w:eastAsia="Calibri" w:hAnsi="Arial" w:cs="Arial"/>
          <w:spacing w:val="20"/>
          <w:kern w:val="2"/>
          <w:lang w:val="es-MX" w:eastAsia="es-MX"/>
        </w:rPr>
        <w:t xml:space="preserve"> Colotepec - san Bartolomé </w:t>
      </w:r>
      <w:proofErr w:type="spellStart"/>
      <w:r w:rsidRPr="0002002E">
        <w:rPr>
          <w:rFonts w:ascii="Arial" w:eastAsia="Calibri" w:hAnsi="Arial" w:cs="Arial"/>
          <w:spacing w:val="20"/>
          <w:kern w:val="2"/>
          <w:lang w:val="es-MX" w:eastAsia="es-MX"/>
        </w:rPr>
        <w:t>Loxicha</w:t>
      </w:r>
      <w:proofErr w:type="spellEnd"/>
      <w:r w:rsidRPr="0002002E">
        <w:rPr>
          <w:rFonts w:ascii="Arial" w:eastAsia="Calibri" w:hAnsi="Arial" w:cs="Arial"/>
          <w:spacing w:val="20"/>
          <w:kern w:val="2"/>
          <w:lang w:val="es-MX" w:eastAsia="es-MX"/>
        </w:rPr>
        <w:t xml:space="preserve"> - San Agustín </w:t>
      </w:r>
      <w:proofErr w:type="spellStart"/>
      <w:r w:rsidRPr="0002002E">
        <w:rPr>
          <w:rFonts w:ascii="Arial" w:eastAsia="Calibri" w:hAnsi="Arial" w:cs="Arial"/>
          <w:spacing w:val="20"/>
          <w:kern w:val="2"/>
          <w:lang w:val="es-MX" w:eastAsia="es-MX"/>
        </w:rPr>
        <w:t>Loxicha</w:t>
      </w:r>
      <w:proofErr w:type="spellEnd"/>
      <w:r w:rsidRPr="0002002E">
        <w:rPr>
          <w:rFonts w:ascii="Arial" w:eastAsia="Calibri" w:hAnsi="Arial" w:cs="Arial"/>
          <w:spacing w:val="20"/>
          <w:kern w:val="2"/>
          <w:lang w:val="es-MX" w:eastAsia="es-MX"/>
        </w:rPr>
        <w:t xml:space="preserve"> del Km. 0+000 al Km. 63+500 sub tramo  del Km. 36+500 al Km. 39+300 a nivel de revestimiento; modernización y ampliación del camino San Juan Cópala - Rastrojo - </w:t>
      </w:r>
      <w:proofErr w:type="spellStart"/>
      <w:r w:rsidRPr="0002002E">
        <w:rPr>
          <w:rFonts w:ascii="Arial" w:eastAsia="Calibri" w:hAnsi="Arial" w:cs="Arial"/>
          <w:spacing w:val="20"/>
          <w:kern w:val="2"/>
          <w:lang w:val="es-MX" w:eastAsia="es-MX"/>
        </w:rPr>
        <w:t>Coyuchi</w:t>
      </w:r>
      <w:proofErr w:type="spellEnd"/>
      <w:r w:rsidRPr="0002002E">
        <w:rPr>
          <w:rFonts w:ascii="Arial" w:eastAsia="Calibri" w:hAnsi="Arial" w:cs="Arial"/>
          <w:spacing w:val="20"/>
          <w:kern w:val="2"/>
          <w:lang w:val="es-MX" w:eastAsia="es-MX"/>
        </w:rPr>
        <w:t xml:space="preserve"> - Llano nopal - Constancia del Rosario, tramo del Km.  0+000 al Km. 29+712.45,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del Km. 25+000 al Km. 23+400; modernización y ampliación del camino  Puerto Escondido - E.C. (Santa María Colotepec) tramo del Km. 140+00 al Km. 146+500,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del Km. 140+000 al Km. 140+700 y del Km. 145+650 al Km. 145+950 (Boulevard de Puerto Escondido - zona Militar); modernización y ampliación del camino Llano Nopal - San José </w:t>
      </w:r>
      <w:proofErr w:type="spellStart"/>
      <w:r w:rsidRPr="0002002E">
        <w:rPr>
          <w:rFonts w:ascii="Arial" w:eastAsia="Calibri" w:hAnsi="Arial" w:cs="Arial"/>
          <w:spacing w:val="20"/>
          <w:kern w:val="2"/>
          <w:lang w:val="es-MX" w:eastAsia="es-MX"/>
        </w:rPr>
        <w:t>Yosocañu</w:t>
      </w:r>
      <w:proofErr w:type="spellEnd"/>
      <w:r w:rsidRPr="0002002E">
        <w:rPr>
          <w:rFonts w:ascii="Arial" w:eastAsia="Calibri" w:hAnsi="Arial" w:cs="Arial"/>
          <w:spacing w:val="20"/>
          <w:kern w:val="2"/>
          <w:lang w:val="es-MX" w:eastAsia="es-MX"/>
        </w:rPr>
        <w:t xml:space="preserve">, tramo  Km. 0+000 al Km. 35+600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modernizar del Km. 8+800 al Km. 10+400; construcción del puente vehicular </w:t>
      </w:r>
      <w:proofErr w:type="spellStart"/>
      <w:r w:rsidRPr="0002002E">
        <w:rPr>
          <w:rFonts w:ascii="Arial" w:eastAsia="Calibri" w:hAnsi="Arial" w:cs="Arial"/>
          <w:spacing w:val="20"/>
          <w:kern w:val="2"/>
          <w:lang w:val="es-MX" w:eastAsia="es-MX"/>
        </w:rPr>
        <w:t>Calihuala</w:t>
      </w:r>
      <w:proofErr w:type="spellEnd"/>
      <w:r w:rsidRPr="0002002E">
        <w:rPr>
          <w:rFonts w:ascii="Arial" w:eastAsia="Calibri" w:hAnsi="Arial" w:cs="Arial"/>
          <w:spacing w:val="20"/>
          <w:kern w:val="2"/>
          <w:lang w:val="es-MX" w:eastAsia="es-MX"/>
        </w:rPr>
        <w:t xml:space="preserve"> s/camino </w:t>
      </w:r>
      <w:proofErr w:type="spellStart"/>
      <w:r w:rsidRPr="0002002E">
        <w:rPr>
          <w:rFonts w:ascii="Arial" w:eastAsia="Calibri" w:hAnsi="Arial" w:cs="Arial"/>
          <w:spacing w:val="20"/>
          <w:kern w:val="2"/>
          <w:lang w:val="es-MX" w:eastAsia="es-MX"/>
        </w:rPr>
        <w:t>Calihuala</w:t>
      </w:r>
      <w:proofErr w:type="spellEnd"/>
      <w:r w:rsidRPr="0002002E">
        <w:rPr>
          <w:rFonts w:ascii="Arial" w:eastAsia="Calibri" w:hAnsi="Arial" w:cs="Arial"/>
          <w:spacing w:val="20"/>
          <w:kern w:val="2"/>
          <w:lang w:val="es-MX" w:eastAsia="es-MX"/>
        </w:rPr>
        <w:t xml:space="preserve"> - San Antonio las Mesas (San Francisco </w:t>
      </w:r>
      <w:proofErr w:type="spellStart"/>
      <w:r w:rsidRPr="0002002E">
        <w:rPr>
          <w:rFonts w:ascii="Arial" w:eastAsia="Calibri" w:hAnsi="Arial" w:cs="Arial"/>
          <w:spacing w:val="20"/>
          <w:kern w:val="2"/>
          <w:lang w:val="es-MX" w:eastAsia="es-MX"/>
        </w:rPr>
        <w:t>Tlapancingo</w:t>
      </w:r>
      <w:proofErr w:type="spellEnd"/>
      <w:r w:rsidRPr="0002002E">
        <w:rPr>
          <w:rFonts w:ascii="Arial" w:eastAsia="Calibri" w:hAnsi="Arial" w:cs="Arial"/>
          <w:spacing w:val="20"/>
          <w:kern w:val="2"/>
          <w:lang w:val="es-MX" w:eastAsia="es-MX"/>
        </w:rPr>
        <w:t xml:space="preserve">) ubicado en el Km. 0+216.697; construcción de puente vehicular sobre el camino Magdalena Peñasco - </w:t>
      </w:r>
      <w:proofErr w:type="spellStart"/>
      <w:r w:rsidRPr="0002002E">
        <w:rPr>
          <w:rFonts w:ascii="Arial" w:eastAsia="Calibri" w:hAnsi="Arial" w:cs="Arial"/>
          <w:spacing w:val="20"/>
          <w:kern w:val="2"/>
          <w:lang w:val="es-MX" w:eastAsia="es-MX"/>
        </w:rPr>
        <w:t>Chicabaya</w:t>
      </w:r>
      <w:proofErr w:type="spellEnd"/>
      <w:r w:rsidRPr="0002002E">
        <w:rPr>
          <w:rFonts w:ascii="Arial" w:eastAsia="Calibri" w:hAnsi="Arial" w:cs="Arial"/>
          <w:spacing w:val="20"/>
          <w:kern w:val="2"/>
          <w:lang w:val="es-MX" w:eastAsia="es-MX"/>
        </w:rPr>
        <w:t>, ubicado en el Km. 4+000; modernización y ampliación del camino E.C. (</w:t>
      </w:r>
      <w:proofErr w:type="spellStart"/>
      <w:r w:rsidRPr="0002002E">
        <w:rPr>
          <w:rFonts w:ascii="Arial" w:eastAsia="Calibri" w:hAnsi="Arial" w:cs="Arial"/>
          <w:spacing w:val="20"/>
          <w:kern w:val="2"/>
          <w:lang w:val="es-MX" w:eastAsia="es-MX"/>
        </w:rPr>
        <w:t>Miahuatlan</w:t>
      </w:r>
      <w:proofErr w:type="spellEnd"/>
      <w:r w:rsidRPr="0002002E">
        <w:rPr>
          <w:rFonts w:ascii="Arial" w:eastAsia="Calibri" w:hAnsi="Arial" w:cs="Arial"/>
          <w:spacing w:val="20"/>
          <w:kern w:val="2"/>
          <w:lang w:val="es-MX" w:eastAsia="es-MX"/>
        </w:rPr>
        <w:t xml:space="preserve"> - San Pablo </w:t>
      </w:r>
      <w:proofErr w:type="spellStart"/>
      <w:r w:rsidRPr="0002002E">
        <w:rPr>
          <w:rFonts w:ascii="Arial" w:eastAsia="Calibri" w:hAnsi="Arial" w:cs="Arial"/>
          <w:spacing w:val="20"/>
          <w:kern w:val="2"/>
          <w:lang w:val="es-MX" w:eastAsia="es-MX"/>
        </w:rPr>
        <w:t>Coatlan</w:t>
      </w:r>
      <w:proofErr w:type="spellEnd"/>
      <w:r w:rsidRPr="0002002E">
        <w:rPr>
          <w:rFonts w:ascii="Arial" w:eastAsia="Calibri" w:hAnsi="Arial" w:cs="Arial"/>
          <w:spacing w:val="20"/>
          <w:kern w:val="2"/>
          <w:lang w:val="es-MX" w:eastAsia="es-MX"/>
        </w:rPr>
        <w:t xml:space="preserve">) Km. </w:t>
      </w:r>
      <w:r w:rsidRPr="0002002E">
        <w:rPr>
          <w:rFonts w:ascii="Arial" w:eastAsia="Calibri" w:hAnsi="Arial" w:cs="Arial"/>
          <w:spacing w:val="20"/>
          <w:kern w:val="2"/>
          <w:lang w:val="es-MX" w:eastAsia="es-MX"/>
        </w:rPr>
        <w:lastRenderedPageBreak/>
        <w:t xml:space="preserve">20+975 San Pedro </w:t>
      </w:r>
      <w:proofErr w:type="spellStart"/>
      <w:r w:rsidRPr="0002002E">
        <w:rPr>
          <w:rFonts w:ascii="Arial" w:eastAsia="Calibri" w:hAnsi="Arial" w:cs="Arial"/>
          <w:spacing w:val="20"/>
          <w:kern w:val="2"/>
          <w:lang w:val="es-MX" w:eastAsia="es-MX"/>
        </w:rPr>
        <w:t>Coatlan</w:t>
      </w:r>
      <w:proofErr w:type="spellEnd"/>
      <w:r w:rsidRPr="0002002E">
        <w:rPr>
          <w:rFonts w:ascii="Arial" w:eastAsia="Calibri" w:hAnsi="Arial" w:cs="Arial"/>
          <w:spacing w:val="20"/>
          <w:kern w:val="2"/>
          <w:lang w:val="es-MX" w:eastAsia="es-MX"/>
        </w:rPr>
        <w:t xml:space="preserve">, tramo del Km. 0+000 al Km. 2+467.23,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modernizar del Km. 0+500 al Km. 2+467.23; construcción del camino E.C (Oaxaca - </w:t>
      </w:r>
      <w:proofErr w:type="spellStart"/>
      <w:r w:rsidRPr="0002002E">
        <w:rPr>
          <w:rFonts w:ascii="Arial" w:eastAsia="Calibri" w:hAnsi="Arial" w:cs="Arial"/>
          <w:spacing w:val="20"/>
          <w:kern w:val="2"/>
          <w:lang w:val="es-MX" w:eastAsia="es-MX"/>
        </w:rPr>
        <w:t>Tuxtepec</w:t>
      </w:r>
      <w:proofErr w:type="spellEnd"/>
      <w:r w:rsidRPr="0002002E">
        <w:rPr>
          <w:rFonts w:ascii="Arial" w:eastAsia="Calibri" w:hAnsi="Arial" w:cs="Arial"/>
          <w:spacing w:val="20"/>
          <w:kern w:val="2"/>
          <w:lang w:val="es-MX" w:eastAsia="es-MX"/>
        </w:rPr>
        <w:t xml:space="preserve">) - Puerto Eligio - San Martín </w:t>
      </w:r>
      <w:proofErr w:type="spellStart"/>
      <w:r w:rsidRPr="0002002E">
        <w:rPr>
          <w:rFonts w:ascii="Arial" w:eastAsia="Calibri" w:hAnsi="Arial" w:cs="Arial"/>
          <w:spacing w:val="20"/>
          <w:kern w:val="2"/>
          <w:lang w:val="es-MX" w:eastAsia="es-MX"/>
        </w:rPr>
        <w:t>Zoyolapam</w:t>
      </w:r>
      <w:proofErr w:type="spellEnd"/>
      <w:r w:rsidRPr="0002002E">
        <w:rPr>
          <w:rFonts w:ascii="Arial" w:eastAsia="Calibri" w:hAnsi="Arial" w:cs="Arial"/>
          <w:spacing w:val="20"/>
          <w:kern w:val="2"/>
          <w:lang w:val="es-MX" w:eastAsia="es-MX"/>
        </w:rPr>
        <w:t xml:space="preserve"> - Santiago Progreso - San Pedro </w:t>
      </w:r>
      <w:proofErr w:type="spellStart"/>
      <w:r w:rsidRPr="0002002E">
        <w:rPr>
          <w:rFonts w:ascii="Arial" w:eastAsia="Calibri" w:hAnsi="Arial" w:cs="Arial"/>
          <w:spacing w:val="20"/>
          <w:kern w:val="2"/>
          <w:lang w:val="es-MX" w:eastAsia="es-MX"/>
        </w:rPr>
        <w:t>Ozumacin</w:t>
      </w:r>
      <w:proofErr w:type="spellEnd"/>
      <w:r w:rsidRPr="0002002E">
        <w:rPr>
          <w:rFonts w:ascii="Arial" w:eastAsia="Calibri" w:hAnsi="Arial" w:cs="Arial"/>
          <w:spacing w:val="20"/>
          <w:kern w:val="2"/>
          <w:lang w:val="es-MX" w:eastAsia="es-MX"/>
        </w:rPr>
        <w:t xml:space="preserve"> tramo del Km. 0+000 al Km. 24+000,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San José del Progreso - San Pedro </w:t>
      </w:r>
      <w:proofErr w:type="spellStart"/>
      <w:r w:rsidRPr="0002002E">
        <w:rPr>
          <w:rFonts w:ascii="Arial" w:eastAsia="Calibri" w:hAnsi="Arial" w:cs="Arial"/>
          <w:spacing w:val="20"/>
          <w:kern w:val="2"/>
          <w:lang w:val="es-MX" w:eastAsia="es-MX"/>
        </w:rPr>
        <w:t>Ozumacin</w:t>
      </w:r>
      <w:proofErr w:type="spellEnd"/>
      <w:r w:rsidRPr="0002002E">
        <w:rPr>
          <w:rFonts w:ascii="Arial" w:eastAsia="Calibri" w:hAnsi="Arial" w:cs="Arial"/>
          <w:spacing w:val="20"/>
          <w:kern w:val="2"/>
          <w:lang w:val="es-MX" w:eastAsia="es-MX"/>
        </w:rPr>
        <w:t xml:space="preserve"> del Km. 1+000 al Km. 2+700; construcción del puente s/rio valiente s/carretera </w:t>
      </w:r>
      <w:proofErr w:type="spellStart"/>
      <w:r w:rsidRPr="0002002E">
        <w:rPr>
          <w:rFonts w:ascii="Arial" w:eastAsia="Calibri" w:hAnsi="Arial" w:cs="Arial"/>
          <w:spacing w:val="20"/>
          <w:kern w:val="2"/>
          <w:lang w:val="es-MX" w:eastAsia="es-MX"/>
        </w:rPr>
        <w:t>Cuilapan</w:t>
      </w:r>
      <w:proofErr w:type="spellEnd"/>
      <w:r w:rsidRPr="0002002E">
        <w:rPr>
          <w:rFonts w:ascii="Arial" w:eastAsia="Calibri" w:hAnsi="Arial" w:cs="Arial"/>
          <w:spacing w:val="20"/>
          <w:kern w:val="2"/>
          <w:lang w:val="es-MX" w:eastAsia="es-MX"/>
        </w:rPr>
        <w:t xml:space="preserve"> - </w:t>
      </w:r>
      <w:proofErr w:type="spellStart"/>
      <w:r w:rsidRPr="0002002E">
        <w:rPr>
          <w:rFonts w:ascii="Arial" w:eastAsia="Calibri" w:hAnsi="Arial" w:cs="Arial"/>
          <w:spacing w:val="20"/>
          <w:kern w:val="2"/>
          <w:lang w:val="es-MX" w:eastAsia="es-MX"/>
        </w:rPr>
        <w:t>Zaachila</w:t>
      </w:r>
      <w:proofErr w:type="spellEnd"/>
      <w:r w:rsidRPr="0002002E">
        <w:rPr>
          <w:rFonts w:ascii="Arial" w:eastAsia="Calibri" w:hAnsi="Arial" w:cs="Arial"/>
          <w:spacing w:val="20"/>
          <w:kern w:val="2"/>
          <w:lang w:val="es-MX" w:eastAsia="es-MX"/>
        </w:rPr>
        <w:t xml:space="preserve"> obras complementarias; modernización y ampliación del camino  E.C. (Mitla - Tehuantepec </w:t>
      </w:r>
      <w:proofErr w:type="spellStart"/>
      <w:r w:rsidRPr="0002002E">
        <w:rPr>
          <w:rFonts w:ascii="Arial" w:eastAsia="Calibri" w:hAnsi="Arial" w:cs="Arial"/>
          <w:spacing w:val="20"/>
          <w:kern w:val="2"/>
          <w:lang w:val="es-MX" w:eastAsia="es-MX"/>
        </w:rPr>
        <w:t>ii</w:t>
      </w:r>
      <w:proofErr w:type="spellEnd"/>
      <w:r w:rsidRPr="0002002E">
        <w:rPr>
          <w:rFonts w:ascii="Arial" w:eastAsia="Calibri" w:hAnsi="Arial" w:cs="Arial"/>
          <w:spacing w:val="20"/>
          <w:kern w:val="2"/>
          <w:lang w:val="es-MX" w:eastAsia="es-MX"/>
        </w:rPr>
        <w:t xml:space="preserve">) - Santiago </w:t>
      </w:r>
      <w:proofErr w:type="spellStart"/>
      <w:r w:rsidRPr="0002002E">
        <w:rPr>
          <w:rFonts w:ascii="Arial" w:eastAsia="Calibri" w:hAnsi="Arial" w:cs="Arial"/>
          <w:spacing w:val="20"/>
          <w:kern w:val="2"/>
          <w:lang w:val="es-MX" w:eastAsia="es-MX"/>
        </w:rPr>
        <w:t>Quiavicuzas</w:t>
      </w:r>
      <w:proofErr w:type="spellEnd"/>
      <w:r w:rsidRPr="0002002E">
        <w:rPr>
          <w:rFonts w:ascii="Arial" w:eastAsia="Calibri" w:hAnsi="Arial" w:cs="Arial"/>
          <w:spacing w:val="20"/>
          <w:kern w:val="2"/>
          <w:lang w:val="es-MX" w:eastAsia="es-MX"/>
        </w:rPr>
        <w:t xml:space="preserve">  tramo del Km.  0+000 al Km. 23+000,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del Km. 6+000 al Km. 6+900 a nivel </w:t>
      </w:r>
      <w:proofErr w:type="spellStart"/>
      <w:r w:rsidRPr="0002002E">
        <w:rPr>
          <w:rFonts w:ascii="Arial" w:eastAsia="Calibri" w:hAnsi="Arial" w:cs="Arial"/>
          <w:spacing w:val="20"/>
          <w:kern w:val="2"/>
          <w:lang w:val="es-MX" w:eastAsia="es-MX"/>
        </w:rPr>
        <w:t>subrasante</w:t>
      </w:r>
      <w:proofErr w:type="spellEnd"/>
      <w:r w:rsidRPr="0002002E">
        <w:rPr>
          <w:rFonts w:ascii="Arial" w:eastAsia="Calibri" w:hAnsi="Arial" w:cs="Arial"/>
          <w:spacing w:val="20"/>
          <w:kern w:val="2"/>
          <w:lang w:val="es-MX" w:eastAsia="es-MX"/>
        </w:rPr>
        <w:t xml:space="preserve">; modernización del camino  san </w:t>
      </w:r>
      <w:proofErr w:type="spellStart"/>
      <w:r w:rsidRPr="0002002E">
        <w:rPr>
          <w:rFonts w:ascii="Arial" w:eastAsia="Calibri" w:hAnsi="Arial" w:cs="Arial"/>
          <w:spacing w:val="20"/>
          <w:kern w:val="2"/>
          <w:lang w:val="es-MX" w:eastAsia="es-MX"/>
        </w:rPr>
        <w:t>juan</w:t>
      </w:r>
      <w:proofErr w:type="spellEnd"/>
      <w:r w:rsidRPr="0002002E">
        <w:rPr>
          <w:rFonts w:ascii="Arial" w:eastAsia="Calibri" w:hAnsi="Arial" w:cs="Arial"/>
          <w:spacing w:val="20"/>
          <w:kern w:val="2"/>
          <w:lang w:val="es-MX" w:eastAsia="es-MX"/>
        </w:rPr>
        <w:t xml:space="preserve"> </w:t>
      </w:r>
      <w:proofErr w:type="spellStart"/>
      <w:r w:rsidRPr="0002002E">
        <w:rPr>
          <w:rFonts w:ascii="Arial" w:eastAsia="Calibri" w:hAnsi="Arial" w:cs="Arial"/>
          <w:spacing w:val="20"/>
          <w:kern w:val="2"/>
          <w:lang w:val="es-MX" w:eastAsia="es-MX"/>
        </w:rPr>
        <w:t>lachixila</w:t>
      </w:r>
      <w:proofErr w:type="spellEnd"/>
      <w:r w:rsidRPr="0002002E">
        <w:rPr>
          <w:rFonts w:ascii="Arial" w:eastAsia="Calibri" w:hAnsi="Arial" w:cs="Arial"/>
          <w:spacing w:val="20"/>
          <w:kern w:val="2"/>
          <w:lang w:val="es-MX" w:eastAsia="es-MX"/>
        </w:rPr>
        <w:t xml:space="preserve"> - E.C. (autopista Mitla - Tehuantepec), tramo del Km. 0+000 al Km. 33+000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construir del  Km. 0+000 al Km. 3+800, igualdad  Km. 3+100 at= Km. 0+000 ad, a nivel de revestimiento; construcción del puente vehicular s/camino E.C. (San Miguel </w:t>
      </w:r>
      <w:proofErr w:type="spellStart"/>
      <w:r w:rsidRPr="0002002E">
        <w:rPr>
          <w:rFonts w:ascii="Arial" w:eastAsia="Calibri" w:hAnsi="Arial" w:cs="Arial"/>
          <w:spacing w:val="20"/>
          <w:kern w:val="2"/>
          <w:lang w:val="es-MX" w:eastAsia="es-MX"/>
        </w:rPr>
        <w:t>Tlacotepec</w:t>
      </w:r>
      <w:proofErr w:type="spellEnd"/>
      <w:r w:rsidRPr="0002002E">
        <w:rPr>
          <w:rFonts w:ascii="Arial" w:eastAsia="Calibri" w:hAnsi="Arial" w:cs="Arial"/>
          <w:spacing w:val="20"/>
          <w:kern w:val="2"/>
          <w:lang w:val="es-MX" w:eastAsia="es-MX"/>
        </w:rPr>
        <w:t xml:space="preserve"> - Santiago </w:t>
      </w:r>
      <w:proofErr w:type="spellStart"/>
      <w:r w:rsidRPr="0002002E">
        <w:rPr>
          <w:rFonts w:ascii="Arial" w:eastAsia="Calibri" w:hAnsi="Arial" w:cs="Arial"/>
          <w:spacing w:val="20"/>
          <w:kern w:val="2"/>
          <w:lang w:val="es-MX" w:eastAsia="es-MX"/>
        </w:rPr>
        <w:t>Juxtlahuaca</w:t>
      </w:r>
      <w:proofErr w:type="spellEnd"/>
      <w:r w:rsidRPr="0002002E">
        <w:rPr>
          <w:rFonts w:ascii="Arial" w:eastAsia="Calibri" w:hAnsi="Arial" w:cs="Arial"/>
          <w:spacing w:val="20"/>
          <w:kern w:val="2"/>
          <w:lang w:val="es-MX" w:eastAsia="es-MX"/>
        </w:rPr>
        <w:t xml:space="preserve">) - Santiago </w:t>
      </w:r>
      <w:proofErr w:type="spellStart"/>
      <w:r w:rsidRPr="0002002E">
        <w:rPr>
          <w:rFonts w:ascii="Arial" w:eastAsia="Calibri" w:hAnsi="Arial" w:cs="Arial"/>
          <w:spacing w:val="20"/>
          <w:kern w:val="2"/>
          <w:lang w:val="es-MX" w:eastAsia="es-MX"/>
        </w:rPr>
        <w:t>Nuxaño</w:t>
      </w:r>
      <w:proofErr w:type="spellEnd"/>
      <w:r w:rsidRPr="0002002E">
        <w:rPr>
          <w:rFonts w:ascii="Arial" w:eastAsia="Calibri" w:hAnsi="Arial" w:cs="Arial"/>
          <w:spacing w:val="20"/>
          <w:kern w:val="2"/>
          <w:lang w:val="es-MX" w:eastAsia="es-MX"/>
        </w:rPr>
        <w:t xml:space="preserve"> ubicado en el Km. 0+255.534 (ampliación); modernización y ampliación del camino E.C. (</w:t>
      </w:r>
      <w:proofErr w:type="spellStart"/>
      <w:r w:rsidRPr="0002002E">
        <w:rPr>
          <w:rFonts w:ascii="Arial" w:eastAsia="Calibri" w:hAnsi="Arial" w:cs="Arial"/>
          <w:spacing w:val="20"/>
          <w:kern w:val="2"/>
          <w:lang w:val="es-MX" w:eastAsia="es-MX"/>
        </w:rPr>
        <w:t>Miahuatlan</w:t>
      </w:r>
      <w:proofErr w:type="spellEnd"/>
      <w:r w:rsidRPr="0002002E">
        <w:rPr>
          <w:rFonts w:ascii="Arial" w:eastAsia="Calibri" w:hAnsi="Arial" w:cs="Arial"/>
          <w:spacing w:val="20"/>
          <w:kern w:val="2"/>
          <w:lang w:val="es-MX" w:eastAsia="es-MX"/>
        </w:rPr>
        <w:t xml:space="preserve"> - San Carlos </w:t>
      </w:r>
      <w:proofErr w:type="spellStart"/>
      <w:r w:rsidRPr="0002002E">
        <w:rPr>
          <w:rFonts w:ascii="Arial" w:eastAsia="Calibri" w:hAnsi="Arial" w:cs="Arial"/>
          <w:spacing w:val="20"/>
          <w:kern w:val="2"/>
          <w:lang w:val="es-MX" w:eastAsia="es-MX"/>
        </w:rPr>
        <w:t>Yautepec</w:t>
      </w:r>
      <w:proofErr w:type="spellEnd"/>
      <w:r w:rsidRPr="0002002E">
        <w:rPr>
          <w:rFonts w:ascii="Arial" w:eastAsia="Calibri" w:hAnsi="Arial" w:cs="Arial"/>
          <w:spacing w:val="20"/>
          <w:kern w:val="2"/>
          <w:lang w:val="es-MX" w:eastAsia="es-MX"/>
        </w:rPr>
        <w:t xml:space="preserve">) - San Ildefonso </w:t>
      </w:r>
      <w:proofErr w:type="spellStart"/>
      <w:r w:rsidRPr="0002002E">
        <w:rPr>
          <w:rFonts w:ascii="Arial" w:eastAsia="Calibri" w:hAnsi="Arial" w:cs="Arial"/>
          <w:spacing w:val="20"/>
          <w:kern w:val="2"/>
          <w:lang w:val="es-MX" w:eastAsia="es-MX"/>
        </w:rPr>
        <w:t>Amatlan</w:t>
      </w:r>
      <w:proofErr w:type="spellEnd"/>
      <w:r w:rsidRPr="0002002E">
        <w:rPr>
          <w:rFonts w:ascii="Arial" w:eastAsia="Calibri" w:hAnsi="Arial" w:cs="Arial"/>
          <w:spacing w:val="20"/>
          <w:kern w:val="2"/>
          <w:lang w:val="es-MX" w:eastAsia="es-MX"/>
        </w:rPr>
        <w:t xml:space="preserve"> - San Cristóbal </w:t>
      </w:r>
      <w:proofErr w:type="spellStart"/>
      <w:r w:rsidRPr="0002002E">
        <w:rPr>
          <w:rFonts w:ascii="Arial" w:eastAsia="Calibri" w:hAnsi="Arial" w:cs="Arial"/>
          <w:spacing w:val="20"/>
          <w:kern w:val="2"/>
          <w:lang w:val="es-MX" w:eastAsia="es-MX"/>
        </w:rPr>
        <w:t>Amatlan</w:t>
      </w:r>
      <w:proofErr w:type="spellEnd"/>
      <w:r w:rsidRPr="0002002E">
        <w:rPr>
          <w:rFonts w:ascii="Arial" w:eastAsia="Calibri" w:hAnsi="Arial" w:cs="Arial"/>
          <w:spacing w:val="20"/>
          <w:kern w:val="2"/>
          <w:lang w:val="es-MX" w:eastAsia="es-MX"/>
        </w:rPr>
        <w:t xml:space="preserve"> - San Juan </w:t>
      </w:r>
      <w:proofErr w:type="spellStart"/>
      <w:r w:rsidRPr="0002002E">
        <w:rPr>
          <w:rFonts w:ascii="Arial" w:eastAsia="Calibri" w:hAnsi="Arial" w:cs="Arial"/>
          <w:spacing w:val="20"/>
          <w:kern w:val="2"/>
          <w:lang w:val="es-MX" w:eastAsia="es-MX"/>
        </w:rPr>
        <w:t>Mixtepec</w:t>
      </w:r>
      <w:proofErr w:type="spellEnd"/>
      <w:r w:rsidRPr="0002002E">
        <w:rPr>
          <w:rFonts w:ascii="Arial" w:eastAsia="Calibri" w:hAnsi="Arial" w:cs="Arial"/>
          <w:spacing w:val="20"/>
          <w:kern w:val="2"/>
          <w:lang w:val="es-MX" w:eastAsia="es-MX"/>
        </w:rPr>
        <w:t xml:space="preserve"> - San Pedro </w:t>
      </w:r>
      <w:proofErr w:type="spellStart"/>
      <w:r w:rsidRPr="0002002E">
        <w:rPr>
          <w:rFonts w:ascii="Arial" w:eastAsia="Calibri" w:hAnsi="Arial" w:cs="Arial"/>
          <w:spacing w:val="20"/>
          <w:kern w:val="2"/>
          <w:lang w:val="es-MX" w:eastAsia="es-MX"/>
        </w:rPr>
        <w:t>Mixtepec</w:t>
      </w:r>
      <w:proofErr w:type="spellEnd"/>
      <w:r w:rsidRPr="0002002E">
        <w:rPr>
          <w:rFonts w:ascii="Arial" w:eastAsia="Calibri" w:hAnsi="Arial" w:cs="Arial"/>
          <w:spacing w:val="20"/>
          <w:kern w:val="2"/>
          <w:lang w:val="es-MX" w:eastAsia="es-MX"/>
        </w:rPr>
        <w:t xml:space="preserve">, tramo: del Km. 0+000 al Km. 48+000,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modernizar: del Km. 20+000 al Km. 21+500;  modernización y ampliación del camino Boca San </w:t>
      </w:r>
      <w:proofErr w:type="spellStart"/>
      <w:r w:rsidRPr="0002002E">
        <w:rPr>
          <w:rFonts w:ascii="Arial" w:eastAsia="Calibri" w:hAnsi="Arial" w:cs="Arial"/>
          <w:spacing w:val="20"/>
          <w:kern w:val="2"/>
          <w:lang w:val="es-MX" w:eastAsia="es-MX"/>
        </w:rPr>
        <w:t>Cristobal</w:t>
      </w:r>
      <w:proofErr w:type="spellEnd"/>
      <w:r w:rsidRPr="0002002E">
        <w:rPr>
          <w:rFonts w:ascii="Arial" w:eastAsia="Calibri" w:hAnsi="Arial" w:cs="Arial"/>
          <w:spacing w:val="20"/>
          <w:kern w:val="2"/>
          <w:lang w:val="es-MX" w:eastAsia="es-MX"/>
        </w:rPr>
        <w:t xml:space="preserve"> - Vega del Sol - San Cristóbal la Vega - Monte Negro, tramo: del Km. 0+000 al Km. 14+200,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modernizar: del Km. 10+700 al Km. 11+700; ampliación de la carretera Prolongación la Campiña, entre la margen derecha del rio Salado y Avenida Universidad; modernización y ampliación del camino E.C. (Oaxaca - </w:t>
      </w:r>
      <w:proofErr w:type="spellStart"/>
      <w:r w:rsidRPr="0002002E">
        <w:rPr>
          <w:rFonts w:ascii="Arial" w:eastAsia="Calibri" w:hAnsi="Arial" w:cs="Arial"/>
          <w:spacing w:val="20"/>
          <w:kern w:val="2"/>
          <w:lang w:val="es-MX" w:eastAsia="es-MX"/>
        </w:rPr>
        <w:t>Tuxtepec</w:t>
      </w:r>
      <w:proofErr w:type="spellEnd"/>
      <w:r w:rsidRPr="0002002E">
        <w:rPr>
          <w:rFonts w:ascii="Arial" w:eastAsia="Calibri" w:hAnsi="Arial" w:cs="Arial"/>
          <w:spacing w:val="20"/>
          <w:kern w:val="2"/>
          <w:lang w:val="es-MX" w:eastAsia="es-MX"/>
        </w:rPr>
        <w:t xml:space="preserve">) - Puerto Eligio - san Martín </w:t>
      </w:r>
      <w:proofErr w:type="spellStart"/>
      <w:r w:rsidRPr="0002002E">
        <w:rPr>
          <w:rFonts w:ascii="Arial" w:eastAsia="Calibri" w:hAnsi="Arial" w:cs="Arial"/>
          <w:spacing w:val="20"/>
          <w:kern w:val="2"/>
          <w:lang w:val="es-MX" w:eastAsia="es-MX"/>
        </w:rPr>
        <w:t>Zoyolapam</w:t>
      </w:r>
      <w:proofErr w:type="spellEnd"/>
      <w:r w:rsidRPr="0002002E">
        <w:rPr>
          <w:rFonts w:ascii="Arial" w:eastAsia="Calibri" w:hAnsi="Arial" w:cs="Arial"/>
          <w:spacing w:val="20"/>
          <w:kern w:val="2"/>
          <w:lang w:val="es-MX" w:eastAsia="es-MX"/>
        </w:rPr>
        <w:t xml:space="preserve"> - Santiago Progreso - San Pedro </w:t>
      </w:r>
      <w:proofErr w:type="spellStart"/>
      <w:r w:rsidRPr="0002002E">
        <w:rPr>
          <w:rFonts w:ascii="Arial" w:eastAsia="Calibri" w:hAnsi="Arial" w:cs="Arial"/>
          <w:spacing w:val="20"/>
          <w:kern w:val="2"/>
          <w:lang w:val="es-MX" w:eastAsia="es-MX"/>
        </w:rPr>
        <w:t>Ozumacín</w:t>
      </w:r>
      <w:proofErr w:type="spellEnd"/>
      <w:r w:rsidRPr="0002002E">
        <w:rPr>
          <w:rFonts w:ascii="Arial" w:eastAsia="Calibri" w:hAnsi="Arial" w:cs="Arial"/>
          <w:spacing w:val="20"/>
          <w:kern w:val="2"/>
          <w:lang w:val="es-MX" w:eastAsia="es-MX"/>
        </w:rPr>
        <w:t xml:space="preserve">; tramo: del Km. 0+000 al Km. 20+000,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modernizar: del Km. 2+660 al Km. 4+160; reconstrucción de la carretera San Pedro y San Pablo </w:t>
      </w:r>
      <w:proofErr w:type="spellStart"/>
      <w:r w:rsidRPr="0002002E">
        <w:rPr>
          <w:rFonts w:ascii="Arial" w:eastAsia="Calibri" w:hAnsi="Arial" w:cs="Arial"/>
          <w:spacing w:val="20"/>
          <w:kern w:val="2"/>
          <w:lang w:val="es-MX" w:eastAsia="es-MX"/>
        </w:rPr>
        <w:t>Ayutla</w:t>
      </w:r>
      <w:proofErr w:type="spellEnd"/>
      <w:r w:rsidRPr="0002002E">
        <w:rPr>
          <w:rFonts w:ascii="Arial" w:eastAsia="Calibri" w:hAnsi="Arial" w:cs="Arial"/>
          <w:spacing w:val="20"/>
          <w:kern w:val="2"/>
          <w:lang w:val="es-MX" w:eastAsia="es-MX"/>
        </w:rPr>
        <w:t xml:space="preserve"> - Asunción </w:t>
      </w:r>
      <w:proofErr w:type="spellStart"/>
      <w:r w:rsidRPr="0002002E">
        <w:rPr>
          <w:rFonts w:ascii="Arial" w:eastAsia="Calibri" w:hAnsi="Arial" w:cs="Arial"/>
          <w:spacing w:val="20"/>
          <w:kern w:val="2"/>
          <w:lang w:val="es-MX" w:eastAsia="es-MX"/>
        </w:rPr>
        <w:t>Cacalotepec</w:t>
      </w:r>
      <w:proofErr w:type="spellEnd"/>
      <w:r w:rsidRPr="0002002E">
        <w:rPr>
          <w:rFonts w:ascii="Arial" w:eastAsia="Calibri" w:hAnsi="Arial" w:cs="Arial"/>
          <w:spacing w:val="20"/>
          <w:kern w:val="2"/>
          <w:lang w:val="es-MX" w:eastAsia="es-MX"/>
        </w:rPr>
        <w:t xml:space="preserve"> - San Miguel </w:t>
      </w:r>
      <w:proofErr w:type="spellStart"/>
      <w:r w:rsidRPr="0002002E">
        <w:rPr>
          <w:rFonts w:ascii="Arial" w:eastAsia="Calibri" w:hAnsi="Arial" w:cs="Arial"/>
          <w:spacing w:val="20"/>
          <w:kern w:val="2"/>
          <w:lang w:val="es-MX" w:eastAsia="es-MX"/>
        </w:rPr>
        <w:t>Quetzaltepec</w:t>
      </w:r>
      <w:proofErr w:type="spellEnd"/>
      <w:r w:rsidRPr="0002002E">
        <w:rPr>
          <w:rFonts w:ascii="Arial" w:eastAsia="Calibri" w:hAnsi="Arial" w:cs="Arial"/>
          <w:spacing w:val="20"/>
          <w:kern w:val="2"/>
          <w:lang w:val="es-MX" w:eastAsia="es-MX"/>
        </w:rPr>
        <w:t xml:space="preserve"> - tramo del Km. 0+000 al Km. 61+000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del km 0+000 al Km. 37+200, tramos parciales; modernización y ampliación del camino Rosario Ibarra - San Rafael - Santa Úrsula - Los Reyes - Cerro de Oro tramo del Km. 0+000 al Km. 11+895.59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modernizar del Km. 7+700 al Km. 8+700; construcción del camino E.C. Km. 79+760 (Santiago </w:t>
      </w:r>
      <w:proofErr w:type="spellStart"/>
      <w:r w:rsidRPr="0002002E">
        <w:rPr>
          <w:rFonts w:ascii="Arial" w:eastAsia="Calibri" w:hAnsi="Arial" w:cs="Arial"/>
          <w:spacing w:val="20"/>
          <w:kern w:val="2"/>
          <w:lang w:val="es-MX" w:eastAsia="es-MX"/>
        </w:rPr>
        <w:t>Amoltepec</w:t>
      </w:r>
      <w:proofErr w:type="spellEnd"/>
      <w:r w:rsidRPr="0002002E">
        <w:rPr>
          <w:rFonts w:ascii="Arial" w:eastAsia="Calibri" w:hAnsi="Arial" w:cs="Arial"/>
          <w:spacing w:val="20"/>
          <w:kern w:val="2"/>
          <w:lang w:val="es-MX" w:eastAsia="es-MX"/>
        </w:rPr>
        <w:t xml:space="preserve"> - Santiago </w:t>
      </w:r>
      <w:proofErr w:type="spellStart"/>
      <w:r w:rsidRPr="0002002E">
        <w:rPr>
          <w:rFonts w:ascii="Arial" w:eastAsia="Calibri" w:hAnsi="Arial" w:cs="Arial"/>
          <w:spacing w:val="20"/>
          <w:kern w:val="2"/>
          <w:lang w:val="es-MX" w:eastAsia="es-MX"/>
        </w:rPr>
        <w:t>Textitlán</w:t>
      </w:r>
      <w:proofErr w:type="spellEnd"/>
      <w:r w:rsidRPr="0002002E">
        <w:rPr>
          <w:rFonts w:ascii="Arial" w:eastAsia="Calibri" w:hAnsi="Arial" w:cs="Arial"/>
          <w:spacing w:val="20"/>
          <w:kern w:val="2"/>
          <w:lang w:val="es-MX" w:eastAsia="es-MX"/>
        </w:rPr>
        <w:t xml:space="preserve"> - San José el Frijol) Paraje Portillo - Barranca el Coquito - Agua Zarca - San José el Frijol - Río Ciruelo, tramo Km. 0+000 al Km. 24+000,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del Km. 8+000 al Km. 10+000; </w:t>
      </w:r>
      <w:proofErr w:type="spellStart"/>
      <w:r w:rsidRPr="0002002E">
        <w:rPr>
          <w:rFonts w:ascii="Arial" w:eastAsia="Calibri" w:hAnsi="Arial" w:cs="Arial"/>
          <w:spacing w:val="20"/>
          <w:kern w:val="2"/>
          <w:lang w:val="es-MX" w:eastAsia="es-MX"/>
        </w:rPr>
        <w:t>reconstruccion</w:t>
      </w:r>
      <w:proofErr w:type="spellEnd"/>
      <w:r w:rsidRPr="0002002E">
        <w:rPr>
          <w:rFonts w:ascii="Arial" w:eastAsia="Calibri" w:hAnsi="Arial" w:cs="Arial"/>
          <w:spacing w:val="20"/>
          <w:kern w:val="2"/>
          <w:lang w:val="es-MX" w:eastAsia="es-MX"/>
        </w:rPr>
        <w:t xml:space="preserve"> de la carretera de acceso y plataforma del Hangar de la Base Aérea Militar </w:t>
      </w:r>
      <w:proofErr w:type="spellStart"/>
      <w:r w:rsidRPr="0002002E">
        <w:rPr>
          <w:rFonts w:ascii="Arial" w:eastAsia="Calibri" w:hAnsi="Arial" w:cs="Arial"/>
          <w:spacing w:val="20"/>
          <w:kern w:val="2"/>
          <w:lang w:val="es-MX" w:eastAsia="es-MX"/>
        </w:rPr>
        <w:t>num.</w:t>
      </w:r>
      <w:proofErr w:type="spellEnd"/>
      <w:r w:rsidRPr="0002002E">
        <w:rPr>
          <w:rFonts w:ascii="Arial" w:eastAsia="Calibri" w:hAnsi="Arial" w:cs="Arial"/>
          <w:spacing w:val="20"/>
          <w:kern w:val="2"/>
          <w:lang w:val="es-MX" w:eastAsia="es-MX"/>
        </w:rPr>
        <w:t xml:space="preserve"> 15; </w:t>
      </w:r>
      <w:proofErr w:type="spellStart"/>
      <w:r w:rsidRPr="0002002E">
        <w:rPr>
          <w:rFonts w:ascii="Arial" w:eastAsia="Calibri" w:hAnsi="Arial" w:cs="Arial"/>
          <w:spacing w:val="20"/>
          <w:kern w:val="2"/>
          <w:lang w:val="es-MX" w:eastAsia="es-MX"/>
        </w:rPr>
        <w:t>reconstruccion</w:t>
      </w:r>
      <w:proofErr w:type="spellEnd"/>
      <w:r w:rsidRPr="0002002E">
        <w:rPr>
          <w:rFonts w:ascii="Arial" w:eastAsia="Calibri" w:hAnsi="Arial" w:cs="Arial"/>
          <w:spacing w:val="20"/>
          <w:kern w:val="2"/>
          <w:lang w:val="es-MX" w:eastAsia="es-MX"/>
        </w:rPr>
        <w:t xml:space="preserve"> de la carretera </w:t>
      </w:r>
      <w:proofErr w:type="spellStart"/>
      <w:r w:rsidRPr="0002002E">
        <w:rPr>
          <w:rFonts w:ascii="Arial" w:eastAsia="Calibri" w:hAnsi="Arial" w:cs="Arial"/>
          <w:spacing w:val="20"/>
          <w:kern w:val="2"/>
          <w:lang w:val="es-MX" w:eastAsia="es-MX"/>
        </w:rPr>
        <w:t>Acatlan</w:t>
      </w:r>
      <w:proofErr w:type="spellEnd"/>
      <w:r w:rsidRPr="0002002E">
        <w:rPr>
          <w:rFonts w:ascii="Arial" w:eastAsia="Calibri" w:hAnsi="Arial" w:cs="Arial"/>
          <w:spacing w:val="20"/>
          <w:kern w:val="2"/>
          <w:lang w:val="es-MX" w:eastAsia="es-MX"/>
        </w:rPr>
        <w:t xml:space="preserve"> de Pérez Figueroa - </w:t>
      </w:r>
      <w:proofErr w:type="spellStart"/>
      <w:r w:rsidRPr="0002002E">
        <w:rPr>
          <w:rFonts w:ascii="Arial" w:eastAsia="Calibri" w:hAnsi="Arial" w:cs="Arial"/>
          <w:spacing w:val="20"/>
          <w:kern w:val="2"/>
          <w:lang w:val="es-MX" w:eastAsia="es-MX"/>
        </w:rPr>
        <w:t>Cosolapa</w:t>
      </w:r>
      <w:proofErr w:type="spellEnd"/>
      <w:r w:rsidRPr="0002002E">
        <w:rPr>
          <w:rFonts w:ascii="Arial" w:eastAsia="Calibri" w:hAnsi="Arial" w:cs="Arial"/>
          <w:spacing w:val="20"/>
          <w:kern w:val="2"/>
          <w:lang w:val="es-MX" w:eastAsia="es-MX"/>
        </w:rPr>
        <w:t xml:space="preserve">, tramo del Km. 0+000 al Km. 42+000, </w:t>
      </w:r>
      <w:proofErr w:type="spellStart"/>
      <w:r w:rsidRPr="0002002E">
        <w:rPr>
          <w:rFonts w:ascii="Arial" w:eastAsia="Calibri" w:hAnsi="Arial" w:cs="Arial"/>
          <w:spacing w:val="20"/>
          <w:kern w:val="2"/>
          <w:lang w:val="es-MX" w:eastAsia="es-MX"/>
        </w:rPr>
        <w:t>subtramo</w:t>
      </w:r>
      <w:proofErr w:type="spellEnd"/>
      <w:r w:rsidRPr="0002002E">
        <w:rPr>
          <w:rFonts w:ascii="Arial" w:eastAsia="Calibri" w:hAnsi="Arial" w:cs="Arial"/>
          <w:spacing w:val="20"/>
          <w:kern w:val="2"/>
          <w:lang w:val="es-MX" w:eastAsia="es-MX"/>
        </w:rPr>
        <w:t xml:space="preserve"> a rehabilitar del Km. 37+700 al Km. 42+000, entre otras.</w:t>
      </w:r>
    </w:p>
    <w:p w:rsidR="00812F69" w:rsidRPr="0002002E" w:rsidRDefault="00812F69" w:rsidP="00812F69">
      <w:pPr>
        <w:contextualSpacing/>
        <w:jc w:val="both"/>
        <w:rPr>
          <w:rFonts w:ascii="Arial" w:eastAsia="Calibri" w:hAnsi="Arial" w:cs="Arial"/>
          <w:spacing w:val="20"/>
          <w:kern w:val="2"/>
          <w:lang w:val="es-MX" w:eastAsia="es-MX"/>
        </w:rPr>
      </w:pPr>
    </w:p>
    <w:p w:rsidR="00812F69" w:rsidRPr="0002002E" w:rsidRDefault="00812F69" w:rsidP="00812F69">
      <w:pPr>
        <w:contextualSpacing/>
        <w:jc w:val="both"/>
        <w:rPr>
          <w:rFonts w:ascii="Arial" w:eastAsia="Calibri" w:hAnsi="Arial" w:cs="Arial"/>
          <w:spacing w:val="20"/>
          <w:kern w:val="2"/>
          <w:lang w:val="es-MX" w:eastAsia="es-MX"/>
        </w:rPr>
      </w:pPr>
      <w:r w:rsidRPr="0002002E">
        <w:rPr>
          <w:rFonts w:ascii="Arial" w:eastAsia="Calibri" w:hAnsi="Arial" w:cs="Arial"/>
          <w:spacing w:val="20"/>
          <w:kern w:val="2"/>
          <w:lang w:val="es-MX"/>
        </w:rPr>
        <w:lastRenderedPageBreak/>
        <w:t>El Centro de Diseño de Oaxaca  devengó 370 mil 911 pesos provenientes de recursos estatales para la ejecución de proyectos de fomento a la cultura del diseño; feria de hacedores;</w:t>
      </w:r>
      <w:r w:rsidRPr="0002002E">
        <w:rPr>
          <w:rFonts w:ascii="Arial" w:eastAsia="Calibri" w:hAnsi="Arial" w:cs="Arial"/>
          <w:spacing w:val="20"/>
          <w:kern w:val="2"/>
        </w:rPr>
        <w:t xml:space="preserve"> </w:t>
      </w:r>
      <w:r w:rsidRPr="0002002E">
        <w:rPr>
          <w:rFonts w:ascii="Arial" w:eastAsia="Calibri" w:hAnsi="Arial" w:cs="Arial"/>
          <w:spacing w:val="20"/>
          <w:kern w:val="2"/>
          <w:lang w:val="es-MX"/>
        </w:rPr>
        <w:t>exposición y talleres sobre el origen de las técnicas de impresión tradicionales y elaboración de modelos de operación de procesos productivos.</w:t>
      </w:r>
    </w:p>
    <w:p w:rsidR="00812F69" w:rsidRPr="0002002E" w:rsidRDefault="00812F69" w:rsidP="00812F69">
      <w:pPr>
        <w:contextualSpacing/>
        <w:jc w:val="both"/>
        <w:rPr>
          <w:rFonts w:ascii="Arial" w:eastAsia="Calibri" w:hAnsi="Arial" w:cs="Arial"/>
          <w:spacing w:val="20"/>
          <w:kern w:val="2"/>
          <w:lang w:val="es-MX" w:eastAsia="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El Centro de las Artes de San Agustín devengó recursos por un monto de 7 millones 377 mil 829 pesos, con recursos estatales por </w:t>
      </w:r>
      <w:r w:rsidR="00B741E6">
        <w:rPr>
          <w:rFonts w:ascii="Arial" w:eastAsia="Calibri" w:hAnsi="Arial" w:cs="Arial"/>
          <w:spacing w:val="20"/>
          <w:kern w:val="2"/>
          <w:lang w:val="es-MX"/>
        </w:rPr>
        <w:t>un</w:t>
      </w:r>
      <w:r w:rsidRPr="0002002E">
        <w:rPr>
          <w:rFonts w:ascii="Arial" w:eastAsia="Calibri" w:hAnsi="Arial" w:cs="Arial"/>
          <w:spacing w:val="20"/>
          <w:kern w:val="2"/>
          <w:lang w:val="es-MX"/>
        </w:rPr>
        <w:t xml:space="preserve"> millón 232 mil 569 pesos, federales por 6 millones 145 mil 259 pesos para la gestión y realización de capacitaciones, cursos y diplomados de formación así como la orientación y gestión de eventos culturales.</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El Colegio de Estudios Científicos y Tecnológicos del Estado de Oaxaca devengó recursos por la cantidad de 974 mil 556 pesos, recursos estatales por la cantidad de 649 mil 267 pesos, federales por  11 325 mil 289 pesos para actividades de administración central y Fomento  Artístico, Deportivo, Cívico y Cultural.</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Comisión Estatal de Cultura Física y Deporte  devengó recursos por la cantidad de 42 millones 876 mil 098 pesos, correspondiendo a recursos estatales 18 millones 777 mil 859 pesos y a recursos federales 24 millones 98 mil 238 pesos, que fueron transferidos por la Comisión Nacional del Deporte, dichos recursos fueron aplicados en acciones de apoyo a la etapa regional de la Olimpiada Nacional, entrenadores nacionales, Premio Estatal del Deporte, centros deportivos escolares y municipales, centros de convivencia e inclusión deportiva en movimiento, torneo estatal de baloncesto 3x3 2015, 1er. torneo nacional de judo Prof. Adolfo sosa </w:t>
      </w:r>
      <w:r w:rsidR="00B765D8" w:rsidRPr="0002002E">
        <w:rPr>
          <w:rFonts w:ascii="Arial" w:eastAsia="Calibri" w:hAnsi="Arial" w:cs="Arial"/>
          <w:spacing w:val="20"/>
          <w:kern w:val="2"/>
          <w:lang w:val="es-MX"/>
        </w:rPr>
        <w:t>CONADE</w:t>
      </w:r>
      <w:r w:rsidRPr="0002002E">
        <w:rPr>
          <w:rFonts w:ascii="Arial" w:eastAsia="Calibri" w:hAnsi="Arial" w:cs="Arial"/>
          <w:spacing w:val="20"/>
          <w:kern w:val="2"/>
          <w:lang w:val="es-MX"/>
        </w:rPr>
        <w:t xml:space="preserve"> 2015 y apoyo al programa de activación física (Ponte al 100). </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Comisión Estatal de Vivienda  devengo recursos por 104 millones 306 mil 695 pesos. De los cuales a través de recursos estatales 68 millones 930 mil 34 pesos se destinaron para la ejecución de acciones de mejoramiento de vivienda en suelo bienestar, sanitarios ecológicos, dotación de paquetes de materiales  y estufas ecológicas; se devengaron recursos provenientes del Ramo General 23 Fondo Regional  </w:t>
      </w:r>
      <w:proofErr w:type="spellStart"/>
      <w:r w:rsidRPr="0002002E">
        <w:rPr>
          <w:rFonts w:ascii="Arial" w:eastAsia="Calibri" w:hAnsi="Arial" w:cs="Arial"/>
          <w:spacing w:val="20"/>
          <w:kern w:val="2"/>
          <w:lang w:val="es-MX"/>
        </w:rPr>
        <w:t>Fonregión</w:t>
      </w:r>
      <w:proofErr w:type="spellEnd"/>
      <w:r w:rsidRPr="0002002E">
        <w:rPr>
          <w:rFonts w:ascii="Arial" w:eastAsia="Calibri" w:hAnsi="Arial" w:cs="Arial"/>
          <w:spacing w:val="20"/>
          <w:kern w:val="2"/>
          <w:lang w:val="es-MX"/>
        </w:rPr>
        <w:t xml:space="preserve"> por 10 millones 931 mil 466 pesos destinándose para construcción de viviendas, del Ramo 33 la cantidad de 24 millones 445 mil 194 pesos, en el mejoramiento de viviendas y regeneración urbana,  estufas ecológicas y sanitarios </w:t>
      </w:r>
      <w:proofErr w:type="spellStart"/>
      <w:r w:rsidRPr="0002002E">
        <w:rPr>
          <w:rFonts w:ascii="Arial" w:eastAsia="Calibri" w:hAnsi="Arial" w:cs="Arial"/>
          <w:spacing w:val="20"/>
          <w:kern w:val="2"/>
          <w:lang w:val="es-MX"/>
        </w:rPr>
        <w:t>biodigestores</w:t>
      </w:r>
      <w:proofErr w:type="spellEnd"/>
      <w:r w:rsidRPr="0002002E">
        <w:rPr>
          <w:rFonts w:ascii="Arial" w:eastAsia="Calibri" w:hAnsi="Arial" w:cs="Arial"/>
          <w:spacing w:val="20"/>
          <w:kern w:val="2"/>
          <w:lang w:val="es-MX"/>
        </w:rPr>
        <w:t xml:space="preserve">. </w:t>
      </w:r>
    </w:p>
    <w:p w:rsidR="00812F69" w:rsidRPr="0002002E" w:rsidRDefault="00812F69" w:rsidP="00812F69">
      <w:pPr>
        <w:contextualSpacing/>
        <w:jc w:val="both"/>
        <w:rPr>
          <w:rFonts w:ascii="Arial" w:eastAsia="Calibri" w:hAnsi="Arial" w:cs="Arial"/>
          <w:spacing w:val="20"/>
          <w:kern w:val="2"/>
          <w:lang w:val="es-ES_tradnl"/>
        </w:rPr>
      </w:pPr>
    </w:p>
    <w:p w:rsidR="00812F69" w:rsidRPr="0002002E" w:rsidRDefault="00812F69" w:rsidP="00812F69">
      <w:pPr>
        <w:contextualSpacing/>
        <w:jc w:val="both"/>
        <w:rPr>
          <w:rFonts w:ascii="Arial" w:eastAsia="Calibri" w:hAnsi="Arial" w:cs="Arial"/>
          <w:spacing w:val="20"/>
          <w:kern w:val="2"/>
          <w:lang w:val="es-ES_tradnl"/>
        </w:rPr>
      </w:pPr>
      <w:r w:rsidRPr="0002002E">
        <w:rPr>
          <w:rFonts w:ascii="Arial" w:eastAsia="Calibri" w:hAnsi="Arial" w:cs="Arial"/>
          <w:spacing w:val="20"/>
          <w:kern w:val="2"/>
          <w:lang w:val="es-ES_tradnl"/>
        </w:rPr>
        <w:lastRenderedPageBreak/>
        <w:t xml:space="preserve">La comisión Estatal del Agua  devengó recursos por la cantidad de 355 millones 481 mil 109 pesos, de los cuales 61 millones 318 mil 71 pesos fueron recursos estatales, 39 millones 409 mil 864 pesos correspondieron al Ramo 33 y 254 millones 753 mil 174 pesos a recursos federales; con la aportación estatal se aplicaron recursos para la construcción del sistema de alcantarillado sanitario, construcción de sistemas de agua potable, pago de derechos de aguas nacionales y fortalecimiento de la gerencia operativa. Con recursos federales se atendieron  obras de construcción, rehabilitación, ampliación de sistemas de agua potable, drenaje y alcantarillado sanitario, colectores, plantas de agua potabilizadora y plantas de tratamiento de aguas residuales, instalación de equipos de desinfección, estudios y proyectos, suministros e instalación de bebederos escolares, rescate y regeneración de ríos y arroyos, fortalecimiento de la gerencia operativa del comité  de cuenca de los ríos </w:t>
      </w:r>
      <w:proofErr w:type="spellStart"/>
      <w:r w:rsidRPr="0002002E">
        <w:rPr>
          <w:rFonts w:ascii="Arial" w:eastAsia="Calibri" w:hAnsi="Arial" w:cs="Arial"/>
          <w:spacing w:val="20"/>
          <w:kern w:val="2"/>
          <w:lang w:val="es-ES_tradnl"/>
        </w:rPr>
        <w:t>Atoyac</w:t>
      </w:r>
      <w:proofErr w:type="spellEnd"/>
      <w:r w:rsidRPr="0002002E">
        <w:rPr>
          <w:rFonts w:ascii="Arial" w:eastAsia="Calibri" w:hAnsi="Arial" w:cs="Arial"/>
          <w:spacing w:val="20"/>
          <w:kern w:val="2"/>
          <w:lang w:val="es-ES_tradnl"/>
        </w:rPr>
        <w:t xml:space="preserve"> y Salado, construcción de colector de aguas negras en varios municipios del Estado.</w:t>
      </w:r>
    </w:p>
    <w:p w:rsidR="00812F69" w:rsidRPr="0002002E" w:rsidRDefault="00812F69" w:rsidP="00812F69">
      <w:pPr>
        <w:contextualSpacing/>
        <w:jc w:val="both"/>
        <w:rPr>
          <w:rFonts w:ascii="Arial" w:eastAsia="Calibri" w:hAnsi="Arial" w:cs="Arial"/>
          <w:spacing w:val="20"/>
          <w:kern w:val="2"/>
          <w:lang w:val="es-ES_tradnl"/>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La Corporación Oaxaqueña De Radio y Televisión  devengó un total de 40 millones 523 mil 761 pesos, de los cuales en su totalidad corresponden a recurso estatal, dichos recursos se destinaron principalmente a la creación de una red de radiodifusión digital de radio y televisión así como a la construcción y equipamiento de la corporación.</w:t>
      </w:r>
    </w:p>
    <w:p w:rsidR="00812F69" w:rsidRPr="0002002E" w:rsidRDefault="00812F69" w:rsidP="00812F69">
      <w:pPr>
        <w:contextualSpacing/>
        <w:jc w:val="both"/>
        <w:rPr>
          <w:rFonts w:ascii="Arial" w:eastAsia="Calibri" w:hAnsi="Arial" w:cs="Arial"/>
          <w:spacing w:val="20"/>
          <w:kern w:val="2"/>
          <w:lang w:val="es-ES_tradnl"/>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El Instituto de Capacitación  y Productividad  Para el Trabajo del Estado de Oaxaca devengó un total de 13 millones 78 mil 228 pesos correspondientes a recurso federal, los cuales fueron aplicados a los programas de actividades centrales y de promoción y fomento a la capacitación para y en el trabajo, enfocándose a la mejora  de los servicios administrativos.</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El Instituto de la Mujer Oaxaqueña devengó la cantidad de 30 millones 567 mil 410 pesos proveniente de recursos federales, mismos que se destinaron al programa promoción y fomento  de las  políticas públicas igualitarias para mujeres y hombres, especialmente en la creación de centros para el desarrollo de las mujeres, asimismo al fortalecimiento de las políticas públicas para la igualdad en los ámbitos  estatal y municipal  y a la </w:t>
      </w:r>
      <w:proofErr w:type="spellStart"/>
      <w:r w:rsidRPr="0002002E">
        <w:rPr>
          <w:rFonts w:ascii="Arial" w:eastAsia="Calibri" w:hAnsi="Arial" w:cs="Arial"/>
          <w:spacing w:val="20"/>
          <w:kern w:val="2"/>
          <w:lang w:val="es-MX"/>
        </w:rPr>
        <w:t>promotoría</w:t>
      </w:r>
      <w:proofErr w:type="spellEnd"/>
      <w:r w:rsidRPr="0002002E">
        <w:rPr>
          <w:rFonts w:ascii="Arial" w:eastAsia="Calibri" w:hAnsi="Arial" w:cs="Arial"/>
          <w:spacing w:val="20"/>
          <w:kern w:val="2"/>
          <w:lang w:val="es-MX"/>
        </w:rPr>
        <w:t xml:space="preserve"> para la prevención de la violencia contra las mujeres en comunidades indígenas, por una vida libre de violencia de género para las mujeres en el estado Oaxaca.</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El Instituto del Patrimonio Cultural del Estado de Oaxaca devengó recursos por 152 millones 875 mil 860 pesos de los cuales : 9 millones </w:t>
      </w:r>
      <w:r w:rsidRPr="0002002E">
        <w:rPr>
          <w:rFonts w:ascii="Arial" w:eastAsia="Calibri" w:hAnsi="Arial" w:cs="Arial"/>
          <w:spacing w:val="20"/>
          <w:kern w:val="2"/>
          <w:lang w:val="es-MX"/>
        </w:rPr>
        <w:lastRenderedPageBreak/>
        <w:t xml:space="preserve">450 mil 085 pesos corresponden a recursos estatales, 134 millones 125 mil 850 pesos corresponden a recursos federales y 9 millones 299 mil 925 pesos del ramo 33, dichos recursos fueron asignados a la  reconstrucción de la sacristía del templo de Santa María de la Asunción (Asunción </w:t>
      </w:r>
      <w:proofErr w:type="spellStart"/>
      <w:r w:rsidRPr="0002002E">
        <w:rPr>
          <w:rFonts w:ascii="Arial" w:eastAsia="Calibri" w:hAnsi="Arial" w:cs="Arial"/>
          <w:spacing w:val="20"/>
          <w:kern w:val="2"/>
          <w:lang w:val="es-MX"/>
        </w:rPr>
        <w:t>Cuyotepeji</w:t>
      </w:r>
      <w:proofErr w:type="spellEnd"/>
      <w:r w:rsidRPr="0002002E">
        <w:rPr>
          <w:rFonts w:ascii="Arial" w:eastAsia="Calibri" w:hAnsi="Arial" w:cs="Arial"/>
          <w:spacing w:val="20"/>
          <w:kern w:val="2"/>
          <w:lang w:val="es-MX"/>
        </w:rPr>
        <w:t xml:space="preserve">) , a la restauración de templos en las diferentes regiones del estado , así como la restauración del </w:t>
      </w:r>
      <w:proofErr w:type="spellStart"/>
      <w:r w:rsidRPr="0002002E">
        <w:rPr>
          <w:rFonts w:ascii="Arial" w:eastAsia="Calibri" w:hAnsi="Arial" w:cs="Arial"/>
          <w:spacing w:val="20"/>
          <w:kern w:val="2"/>
          <w:lang w:val="es-MX"/>
        </w:rPr>
        <w:t>exconvento</w:t>
      </w:r>
      <w:proofErr w:type="spellEnd"/>
      <w:r w:rsidRPr="0002002E">
        <w:rPr>
          <w:rFonts w:ascii="Arial" w:eastAsia="Calibri" w:hAnsi="Arial" w:cs="Arial"/>
          <w:spacing w:val="20"/>
          <w:kern w:val="2"/>
          <w:lang w:val="es-MX"/>
        </w:rPr>
        <w:t xml:space="preserve"> de los siete príncipes, la restauración del edifico del frontispicio de la escuela de medicina de la UABJO, al mantenimiento y reparación de la biblioteca pública central, al rescate y modernización de los archivos históricos del estado , a la construcción de la ciudad de los archivos en Oaxaca y en Santa Lucía del Camino.</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El Instituto Estatal de Ecología y Desarrollo Sustentable devengó la c</w:t>
      </w:r>
      <w:r w:rsidR="00C01903">
        <w:rPr>
          <w:rFonts w:ascii="Arial" w:eastAsia="Calibri" w:hAnsi="Arial" w:cs="Arial"/>
          <w:spacing w:val="20"/>
          <w:kern w:val="2"/>
          <w:lang w:val="es-MX"/>
        </w:rPr>
        <w:t xml:space="preserve">antidad de 13 millones 796 mil </w:t>
      </w:r>
      <w:r w:rsidRPr="0002002E">
        <w:rPr>
          <w:rFonts w:ascii="Arial" w:eastAsia="Calibri" w:hAnsi="Arial" w:cs="Arial"/>
          <w:spacing w:val="20"/>
          <w:kern w:val="2"/>
          <w:lang w:val="es-MX"/>
        </w:rPr>
        <w:t xml:space="preserve">58 pesos, en su totalidad proveniente de recurso federal, mismos que fueron aplicados al programa municipal para la prevención y gestión integral de residuos y estudios de factibilidad para el relleno sanitario tipo c, en el municipio de </w:t>
      </w:r>
      <w:proofErr w:type="spellStart"/>
      <w:r w:rsidRPr="0002002E">
        <w:rPr>
          <w:rFonts w:ascii="Arial" w:eastAsia="Calibri" w:hAnsi="Arial" w:cs="Arial"/>
          <w:spacing w:val="20"/>
          <w:kern w:val="2"/>
          <w:lang w:val="es-MX"/>
        </w:rPr>
        <w:t>Miahuatlán</w:t>
      </w:r>
      <w:proofErr w:type="spellEnd"/>
      <w:r w:rsidRPr="0002002E">
        <w:rPr>
          <w:rFonts w:ascii="Arial" w:eastAsia="Calibri" w:hAnsi="Arial" w:cs="Arial"/>
          <w:spacing w:val="20"/>
          <w:kern w:val="2"/>
          <w:lang w:val="es-MX"/>
        </w:rPr>
        <w:t xml:space="preserve"> de Porfirio Díaz, la asesoría estratégica para la implementación del proyecto de manejo integral de residuos de la zona conurbada de Oaxaca de Juárez bajo la modalidad de asociación público privada (</w:t>
      </w:r>
      <w:proofErr w:type="spellStart"/>
      <w:r w:rsidRPr="0002002E">
        <w:rPr>
          <w:rFonts w:ascii="Arial" w:eastAsia="Calibri" w:hAnsi="Arial" w:cs="Arial"/>
          <w:spacing w:val="20"/>
          <w:kern w:val="2"/>
          <w:lang w:val="es-MX"/>
        </w:rPr>
        <w:t>app</w:t>
      </w:r>
      <w:proofErr w:type="spellEnd"/>
      <w:r w:rsidRPr="0002002E">
        <w:rPr>
          <w:rFonts w:ascii="Arial" w:eastAsia="Calibri" w:hAnsi="Arial" w:cs="Arial"/>
          <w:spacing w:val="20"/>
          <w:kern w:val="2"/>
          <w:lang w:val="es-MX"/>
        </w:rPr>
        <w:t>), la adquisición de vehículos recolectores para municipios del estado de Oaxaca, estudios de factibilidad ambiental para infraestructura para la disposición final intermunicipal de residuos sólidos para 5 municipios del Istmo de Tehuantepec, para la adquisición de un tomógrafo para el diagnóstico arbóreo, para acciones de adaptación y mitigación al cambio climático bajo un esquema de manejo territorial en el corredor biológico en diferentes regiones del estado, gastos de operación del programa "acciones de adaptación y mitigación al cambio climático bajo un esquema de manejo territorial en el corredor biológico Oaxaca", y finalmente para la instauración del proyecto estratégico del parque ecológico el crestón, Oaxaca.</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El Instituto Estatal de Educación para Adultos devengó 40 millones 14 mil 150 pesos de recurso estatal, mismos que fueron destinados al programa denominado educación para jóvenes y adultos en su campaña nacional de alfabetización y reducción del rezago educativo en el estado de Oaxaca.</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Coordinación Estatal de Protección Civil de Oaxaca por su parte devengó del recurso estatal un total de 1 millón 298 mil 954 pesos, destinados a su programa: promoción de la protección civil, especialmente al estudio de factores, para la planeación y toma de </w:t>
      </w:r>
      <w:r w:rsidRPr="0002002E">
        <w:rPr>
          <w:rFonts w:ascii="Arial" w:eastAsia="Calibri" w:hAnsi="Arial" w:cs="Arial"/>
          <w:spacing w:val="20"/>
          <w:kern w:val="2"/>
          <w:lang w:val="es-MX"/>
        </w:rPr>
        <w:lastRenderedPageBreak/>
        <w:t>decisiones en caso de identificar factores e información de riesgos y cambio climático.</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lang w:val="es-MX"/>
        </w:rPr>
        <w:t xml:space="preserve">El </w:t>
      </w:r>
      <w:r w:rsidRPr="0002002E">
        <w:rPr>
          <w:rFonts w:ascii="Arial" w:eastAsia="Calibri" w:hAnsi="Arial" w:cs="Arial"/>
          <w:spacing w:val="20"/>
          <w:kern w:val="2"/>
        </w:rPr>
        <w:t xml:space="preserve">Instituto Oaxaqueño Constructor </w:t>
      </w:r>
      <w:r w:rsidR="00C01903">
        <w:rPr>
          <w:rFonts w:ascii="Arial" w:eastAsia="Calibri" w:hAnsi="Arial" w:cs="Arial"/>
          <w:spacing w:val="20"/>
          <w:kern w:val="2"/>
        </w:rPr>
        <w:t>d</w:t>
      </w:r>
      <w:r w:rsidRPr="0002002E">
        <w:rPr>
          <w:rFonts w:ascii="Arial" w:eastAsia="Calibri" w:hAnsi="Arial" w:cs="Arial"/>
          <w:spacing w:val="20"/>
          <w:kern w:val="2"/>
        </w:rPr>
        <w:t>e Infraestructura Física Educativa devengó recursos por 250 millones 236 mil 32 pesos , de los cuales : 27 millones 163 mil 482 pesos son recursos estatales y fueron destinados para la reparación y equipamiento de espacios educativos, como COBAOS, IEBOS y CBTIS, por mencionar algunos; 152 millones 852 mil 973 pesos correspondientes</w:t>
      </w:r>
      <w:r w:rsidR="00C01903">
        <w:rPr>
          <w:rFonts w:ascii="Arial" w:eastAsia="Calibri" w:hAnsi="Arial" w:cs="Arial"/>
          <w:spacing w:val="20"/>
          <w:kern w:val="2"/>
        </w:rPr>
        <w:t xml:space="preserve"> </w:t>
      </w:r>
      <w:r w:rsidRPr="0002002E">
        <w:rPr>
          <w:rFonts w:ascii="Arial" w:eastAsia="Calibri" w:hAnsi="Arial" w:cs="Arial"/>
          <w:spacing w:val="20"/>
          <w:kern w:val="2"/>
        </w:rPr>
        <w:t>al Ramo General 33 los cuales se destinaron a obras construcción reparación y equipamiento en escuelas de nivel básico, como lo son primarias y secundarias; con recursos federales se realizaron obras de construcción, mantenimiento y reparación de diferentes espacios educativos en bibliotecas, edificios destinados a la educación, entre otros, esta con un monto de 70 millones 219 mil 577 pesos.</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El Instituto Oaxaqueño de Atención al Migrante devengó 10 millones 912 mil 978 pesos, provenientes de recurso federal, dicho recurso fue asignado al programa de promoción y gestión de la inversión pública a favor de las y los migrantes y sus familias principalmente a las siguientes actividades: apoyo a migrantes repatriados, mejoramiento de vivienda "piso firme", mejoramiento de vivienda "techumbre", construcción de estufas ecológicas, gastos indirectos de la coordinación ejecutiva del fondo, equipamiento para repostería, equipamiento de invernadero para la producción de tomate, establecimiento de granja avícola, equipamiento para la producción de hortalizas, equipamiento de taller de carpintería, operación de albergue, establecimiento de granja porcina, producción y comercialización de </w:t>
      </w:r>
      <w:proofErr w:type="spellStart"/>
      <w:r w:rsidRPr="0002002E">
        <w:rPr>
          <w:rFonts w:ascii="Arial" w:eastAsia="Calibri" w:hAnsi="Arial" w:cs="Arial"/>
          <w:spacing w:val="20"/>
          <w:kern w:val="2"/>
          <w:lang w:val="es-MX"/>
        </w:rPr>
        <w:t>pitaya</w:t>
      </w:r>
      <w:proofErr w:type="spellEnd"/>
      <w:r w:rsidRPr="0002002E">
        <w:rPr>
          <w:rFonts w:ascii="Arial" w:eastAsia="Calibri" w:hAnsi="Arial" w:cs="Arial"/>
          <w:spacing w:val="20"/>
          <w:kern w:val="2"/>
          <w:lang w:val="es-MX"/>
        </w:rPr>
        <w:t xml:space="preserve">, sistema de riego para producción de hortalizas a cielo abierto, cría y explotación de ganado ovino, establecimiento de granja avícola, equipamiento de unidades de producción agrícola, construcción de </w:t>
      </w:r>
      <w:proofErr w:type="spellStart"/>
      <w:r w:rsidRPr="0002002E">
        <w:rPr>
          <w:rFonts w:ascii="Arial" w:eastAsia="Calibri" w:hAnsi="Arial" w:cs="Arial"/>
          <w:spacing w:val="20"/>
          <w:kern w:val="2"/>
          <w:lang w:val="es-MX"/>
        </w:rPr>
        <w:t>macrotúnel</w:t>
      </w:r>
      <w:proofErr w:type="spellEnd"/>
      <w:r w:rsidRPr="0002002E">
        <w:rPr>
          <w:rFonts w:ascii="Arial" w:eastAsia="Calibri" w:hAnsi="Arial" w:cs="Arial"/>
          <w:spacing w:val="20"/>
          <w:kern w:val="2"/>
          <w:lang w:val="es-MX"/>
        </w:rPr>
        <w:t xml:space="preserve"> para la producción de hortalizas, cría y explotación de guajolote, establecimiento de huerto de arboles de nogal, entre otras.</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El Instituto Oaxaqueño de las Artesanías devengó </w:t>
      </w:r>
      <w:r w:rsidR="00C01903">
        <w:rPr>
          <w:rFonts w:ascii="Arial" w:eastAsia="Calibri" w:hAnsi="Arial" w:cs="Arial"/>
          <w:spacing w:val="20"/>
          <w:kern w:val="2"/>
          <w:lang w:val="es-MX"/>
        </w:rPr>
        <w:t>un</w:t>
      </w:r>
      <w:r w:rsidRPr="0002002E">
        <w:rPr>
          <w:rFonts w:ascii="Arial" w:eastAsia="Calibri" w:hAnsi="Arial" w:cs="Arial"/>
          <w:spacing w:val="20"/>
          <w:kern w:val="2"/>
          <w:lang w:val="es-MX"/>
        </w:rPr>
        <w:t xml:space="preserve"> millón 161 mil 748 pesos de recurso estatal y 997 mil 979 pesos de recurso federal, haciendo un total de 2 millones 159 mil 727 pesos, dicha cantidad fue destinada al programa de fomento y promoción artesanal, primordialmente en el desarrollo artesanal, en la promoción y comercialización artesanal, al foro nacional de grandes maestros y maestras del arte popular y a la  dirección y administración del instituto.</w:t>
      </w:r>
    </w:p>
    <w:p w:rsidR="00812F69" w:rsidRPr="0002002E" w:rsidRDefault="00812F69" w:rsidP="00812F69">
      <w:pPr>
        <w:contextualSpacing/>
        <w:jc w:val="both"/>
        <w:rPr>
          <w:rFonts w:ascii="Arial" w:eastAsia="Calibri" w:hAnsi="Arial" w:cs="Arial"/>
          <w:spacing w:val="20"/>
          <w:kern w:val="2"/>
          <w:lang w:val="es-ES_tradnl"/>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lang w:val="es-ES_tradnl"/>
        </w:rPr>
        <w:lastRenderedPageBreak/>
        <w:t xml:space="preserve">Los </w:t>
      </w:r>
      <w:r w:rsidRPr="0002002E">
        <w:rPr>
          <w:rFonts w:ascii="Arial" w:eastAsia="Calibri" w:hAnsi="Arial" w:cs="Arial"/>
          <w:spacing w:val="20"/>
          <w:kern w:val="2"/>
        </w:rPr>
        <w:t xml:space="preserve">Servicios de Salud del Estado de Oaxaca devengaron recursos 109 millones 493 mil 773 pesos, de los cuales 29 millones 775 mil 725 pesos corresponden a recursos estales, y se destinaron al programa de atención médica 4 millones 702 mil 909 pesos y 25 millones 72 mil 816 pesos para obras de infraestructura pública  como: Sustitución del centro de salud de 7 consultorios en Oaxaca de Juárez (colonia estrella), </w:t>
      </w:r>
      <w:r w:rsidRPr="0002002E">
        <w:rPr>
          <w:rFonts w:ascii="Arial" w:eastAsia="Calibri" w:hAnsi="Arial" w:cs="Arial"/>
          <w:spacing w:val="20"/>
          <w:kern w:val="2"/>
          <w:lang w:val="es-ES_tradnl"/>
        </w:rPr>
        <w:t xml:space="preserve">Fortalecimiento  centro de salud urbano  en  Oaxaca de Juárez (col. Volcanes), </w:t>
      </w:r>
      <w:r w:rsidRPr="0002002E">
        <w:rPr>
          <w:rFonts w:ascii="Arial" w:eastAsia="Calibri" w:hAnsi="Arial" w:cs="Arial"/>
          <w:spacing w:val="20"/>
          <w:kern w:val="2"/>
        </w:rPr>
        <w:t xml:space="preserve">fortalecimiento del hospital general 60 camas de </w:t>
      </w:r>
      <w:proofErr w:type="spellStart"/>
      <w:r w:rsidRPr="0002002E">
        <w:rPr>
          <w:rFonts w:ascii="Arial" w:eastAsia="Calibri" w:hAnsi="Arial" w:cs="Arial"/>
          <w:spacing w:val="20"/>
          <w:kern w:val="2"/>
        </w:rPr>
        <w:t>Tuxtepec</w:t>
      </w:r>
      <w:proofErr w:type="spellEnd"/>
      <w:r w:rsidRPr="0002002E">
        <w:rPr>
          <w:rFonts w:ascii="Arial" w:eastAsia="Calibri" w:hAnsi="Arial" w:cs="Arial"/>
          <w:spacing w:val="20"/>
          <w:kern w:val="2"/>
        </w:rPr>
        <w:t xml:space="preserve">, Rehabilitación del hospital de la niñez oaxaqueña, por </w:t>
      </w:r>
      <w:proofErr w:type="spellStart"/>
      <w:r w:rsidRPr="0002002E">
        <w:rPr>
          <w:rFonts w:ascii="Arial" w:eastAsia="Calibri" w:hAnsi="Arial" w:cs="Arial"/>
          <w:spacing w:val="20"/>
          <w:kern w:val="2"/>
        </w:rPr>
        <w:t>mecnionar</w:t>
      </w:r>
      <w:proofErr w:type="spellEnd"/>
      <w:r w:rsidRPr="0002002E">
        <w:rPr>
          <w:rFonts w:ascii="Arial" w:eastAsia="Calibri" w:hAnsi="Arial" w:cs="Arial"/>
          <w:spacing w:val="20"/>
          <w:kern w:val="2"/>
        </w:rPr>
        <w:t xml:space="preserve"> algunos. Con recursos del Ramo general 33 se destinaron a obras de infraestructura medica como: Ampliación de la unidad hospitalaria de 12 a 18 camas, en la localidad de </w:t>
      </w:r>
      <w:proofErr w:type="spellStart"/>
      <w:r w:rsidRPr="0002002E">
        <w:rPr>
          <w:rFonts w:ascii="Arial" w:eastAsia="Calibri" w:hAnsi="Arial" w:cs="Arial"/>
          <w:spacing w:val="20"/>
          <w:kern w:val="2"/>
        </w:rPr>
        <w:t>Tamazulapan</w:t>
      </w:r>
      <w:proofErr w:type="spellEnd"/>
      <w:r w:rsidRPr="0002002E">
        <w:rPr>
          <w:rFonts w:ascii="Arial" w:eastAsia="Calibri" w:hAnsi="Arial" w:cs="Arial"/>
          <w:spacing w:val="20"/>
          <w:kern w:val="2"/>
        </w:rPr>
        <w:t xml:space="preserve"> del Espíritu Santo, Construcción de banco de leche en hospital general de Salina Cruz, Mantenimiento y rehabilitación de sistemas </w:t>
      </w:r>
      <w:proofErr w:type="spellStart"/>
      <w:r w:rsidRPr="0002002E">
        <w:rPr>
          <w:rFonts w:ascii="Arial" w:eastAsia="Calibri" w:hAnsi="Arial" w:cs="Arial"/>
          <w:spacing w:val="20"/>
          <w:kern w:val="2"/>
        </w:rPr>
        <w:t>hidrosanitarios</w:t>
      </w:r>
      <w:proofErr w:type="spellEnd"/>
      <w:r w:rsidRPr="0002002E">
        <w:rPr>
          <w:rFonts w:ascii="Arial" w:eastAsia="Calibri" w:hAnsi="Arial" w:cs="Arial"/>
          <w:spacing w:val="20"/>
          <w:kern w:val="2"/>
        </w:rPr>
        <w:t xml:space="preserve">, eléctricos y climatización del centro de salud urbano de  Ciudad </w:t>
      </w:r>
      <w:proofErr w:type="spellStart"/>
      <w:r w:rsidRPr="0002002E">
        <w:rPr>
          <w:rFonts w:ascii="Arial" w:eastAsia="Calibri" w:hAnsi="Arial" w:cs="Arial"/>
          <w:spacing w:val="20"/>
          <w:kern w:val="2"/>
        </w:rPr>
        <w:t>Ixtepec</w:t>
      </w:r>
      <w:proofErr w:type="spellEnd"/>
      <w:r w:rsidRPr="0002002E">
        <w:rPr>
          <w:rFonts w:ascii="Arial" w:eastAsia="Calibri" w:hAnsi="Arial" w:cs="Arial"/>
          <w:spacing w:val="20"/>
          <w:kern w:val="2"/>
        </w:rPr>
        <w:t>, entre otros, con un monto de 15 millones 103 mil 883 pesos. Finalmente con recursos Federales se destinaron 64 millones 614 mil 165 pesos principalmente para la construcción y equipamiento de centros de Salud.</w:t>
      </w:r>
    </w:p>
    <w:p w:rsidR="00812F69" w:rsidRPr="0002002E" w:rsidRDefault="00812F69" w:rsidP="00812F69">
      <w:pPr>
        <w:contextualSpacing/>
        <w:jc w:val="both"/>
        <w:rPr>
          <w:rFonts w:ascii="Arial" w:eastAsia="Calibri" w:hAnsi="Arial" w:cs="Arial"/>
          <w:spacing w:val="20"/>
          <w:kern w:val="2"/>
          <w:highlight w:val="darkGreen"/>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La Universidad de la Cañada devengó recursos de 417 mil 381 pesos que corresponden al Ramo General 33, Fondo de Aportaciones para Infraestructura Educativa Superior, que se destinaron para la Construcción de laboratorio de Investigación.</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La Universidad de la Sierra Juárez designó 349 mil 31 pesos provenientes del Ramo General 33, Fondo de Aportaciones para Infraestructura Educativa Superior, aplicados para la construcción de una área de propagación vegetal con áreas de cultivo, invernadero, áreas de almacenamiento, tratamiento y envasado, oficina y recepción, con servicios sanitarios.</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Universidad de la Sierra Sur  destinó  la cantidad 9 millones 745 mil 787 pesos; de los cuales corresponden al recurso estatal 5 millones 519 mil 329 pesos; recurso del Ramo General 33, 3 millones 172 mil 262 pesos y con recursos federales se asignó </w:t>
      </w:r>
      <w:r w:rsidR="00C01903">
        <w:rPr>
          <w:rFonts w:ascii="Arial" w:eastAsia="Calibri" w:hAnsi="Arial" w:cs="Arial"/>
          <w:spacing w:val="20"/>
          <w:kern w:val="2"/>
          <w:lang w:val="es-MX"/>
        </w:rPr>
        <w:t>un</w:t>
      </w:r>
      <w:r w:rsidRPr="0002002E">
        <w:rPr>
          <w:rFonts w:ascii="Arial" w:eastAsia="Calibri" w:hAnsi="Arial" w:cs="Arial"/>
          <w:spacing w:val="20"/>
          <w:kern w:val="2"/>
          <w:lang w:val="es-MX"/>
        </w:rPr>
        <w:t xml:space="preserve"> millón 54 mil 196 pesos de los recursos estatales para la construcción de un edificio de dos niveles para siete aulas y dos módulos de baños y la construcción de una planta de tratamiento de aguas residuales; en el caso del Ramo General 33  se utilizó para la construcción del Centro de Tecnologías de la información y comunicación (CETIC) para la licenciatura en informática, Ciencias Sociales y Administración; mientras los recursos federales se utilizaron para la construcción de la cancha de futbol 7.</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Universidad del Istmo  devengó recursos por 3 millones 694 mil 462 pesos, proveniente del Ramo General 33, 2 millones 454 mil 594 pesos; y con recurso federal se destinó </w:t>
      </w:r>
      <w:r w:rsidR="00C01903">
        <w:rPr>
          <w:rFonts w:ascii="Arial" w:eastAsia="Calibri" w:hAnsi="Arial" w:cs="Arial"/>
          <w:spacing w:val="20"/>
          <w:kern w:val="2"/>
          <w:lang w:val="es-MX"/>
        </w:rPr>
        <w:t>un</w:t>
      </w:r>
      <w:r w:rsidRPr="0002002E">
        <w:rPr>
          <w:rFonts w:ascii="Arial" w:eastAsia="Calibri" w:hAnsi="Arial" w:cs="Arial"/>
          <w:spacing w:val="20"/>
          <w:kern w:val="2"/>
          <w:lang w:val="es-MX"/>
        </w:rPr>
        <w:t xml:space="preserve"> millón 239 mil 868 pesos; ambos recursos fueron mezclados para la construcción de siete aulas y tres anexos y la construcción de siete aulas y tres anexos. </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Universidad del Mar  designó la cantidad de 6 millones 68 mil 909 pesos, los cuales corresponden al Ramo General 33, 5 millones 985 mil 415 pesos, recursos federales 83 mil 494 pesos, con lo que respecta al Ramo General 33, provenientes del Fondo de aportaciones para infraestructura Educativa Superior y con recursos federales ambos recursos se destinaron para la construcción del edifico de dos niveles para aulas y Ampliación de Biblioteca; Equipamiento para aulas pedagógicas de enfermería y la construcción  del Instituto Isidro </w:t>
      </w:r>
      <w:proofErr w:type="spellStart"/>
      <w:r w:rsidRPr="0002002E">
        <w:rPr>
          <w:rFonts w:ascii="Arial" w:eastAsia="Calibri" w:hAnsi="Arial" w:cs="Arial"/>
          <w:spacing w:val="20"/>
          <w:kern w:val="2"/>
          <w:lang w:val="es-MX"/>
        </w:rPr>
        <w:t>Fabela</w:t>
      </w:r>
      <w:proofErr w:type="spellEnd"/>
      <w:r w:rsidRPr="0002002E">
        <w:rPr>
          <w:rFonts w:ascii="Arial" w:eastAsia="Calibri" w:hAnsi="Arial" w:cs="Arial"/>
          <w:spacing w:val="20"/>
          <w:kern w:val="2"/>
          <w:lang w:val="es-MX"/>
        </w:rPr>
        <w:t xml:space="preserve"> de Estudios Internacionales.</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Universidad del </w:t>
      </w:r>
      <w:proofErr w:type="spellStart"/>
      <w:r w:rsidRPr="0002002E">
        <w:rPr>
          <w:rFonts w:ascii="Arial" w:eastAsia="Calibri" w:hAnsi="Arial" w:cs="Arial"/>
          <w:spacing w:val="20"/>
          <w:kern w:val="2"/>
          <w:lang w:val="es-MX"/>
        </w:rPr>
        <w:t>Papaloapan</w:t>
      </w:r>
      <w:proofErr w:type="spellEnd"/>
      <w:r w:rsidRPr="0002002E">
        <w:rPr>
          <w:rFonts w:ascii="Arial" w:eastAsia="Calibri" w:hAnsi="Arial" w:cs="Arial"/>
          <w:spacing w:val="20"/>
          <w:kern w:val="2"/>
          <w:lang w:val="es-MX"/>
        </w:rPr>
        <w:t xml:space="preserve"> devengó recursos por 2 millones 443 mil 773 pesos, cuyo Ramo General 33, para la construcción del laboratorio de Ciencia de la Salud para el PE  “Lic. En enfermería” de la des de Ciencias Químicas y Alimentos.</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t xml:space="preserve">La Universidad de la Mixteca designó recursos por 3 millones 191 mil 337 pesos con cargo al Ramo General 33, los cuales fueron aplicados para la sustitución de techumbre en los laboratorios químico-biológico, laboratorio de matemáticas y en el taller de cerámica, para los Institutos de Agroindustrias Matemáticas aplicadas y diseño para la des tecnológica; reparación, adecuación y mantenimiento de losas de azoteas del Instituto de Electrónica y </w:t>
      </w:r>
      <w:proofErr w:type="spellStart"/>
      <w:r w:rsidRPr="0002002E">
        <w:rPr>
          <w:rFonts w:ascii="Arial" w:eastAsia="Calibri" w:hAnsi="Arial" w:cs="Arial"/>
          <w:spacing w:val="20"/>
          <w:kern w:val="2"/>
          <w:lang w:val="es-MX"/>
        </w:rPr>
        <w:t>mecatrónica</w:t>
      </w:r>
      <w:proofErr w:type="spellEnd"/>
      <w:r w:rsidRPr="0002002E">
        <w:rPr>
          <w:rFonts w:ascii="Arial" w:eastAsia="Calibri" w:hAnsi="Arial" w:cs="Arial"/>
          <w:spacing w:val="20"/>
          <w:kern w:val="2"/>
          <w:lang w:val="es-MX"/>
        </w:rPr>
        <w:t>, del edificio de dos niveles con siete aulas, del instituto de diseño, del taller de plásticos y textiles, del edificio de multimedios y de un módulo; la reparación y mantenimiento de las losas de azoteas del Instituto de Ciencias y humanidades del Instituto de Agroindustrias del edificio de laboratorios de electrónica avanzada, del edificio de servicios escolares, del centro de estudios estratégicos; la reparación y mantenimiento de las losas de azoteas del acervo de la biblioteca Universitaria, del edificio del Instituto de Física y matemáticas y cuatro módulos de cinco aulas cada uno; construcción del muro de contención para protección de edificios de la zona suroeste de la Universidad y la construcción de una sección de barda perimetral en la zona poniente de la Universidad.</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lang w:val="es-MX"/>
        </w:rPr>
      </w:pPr>
      <w:r w:rsidRPr="0002002E">
        <w:rPr>
          <w:rFonts w:ascii="Arial" w:eastAsia="Calibri" w:hAnsi="Arial" w:cs="Arial"/>
          <w:spacing w:val="20"/>
          <w:kern w:val="2"/>
          <w:lang w:val="es-MX"/>
        </w:rPr>
        <w:lastRenderedPageBreak/>
        <w:t xml:space="preserve">La Universidad Tecnología de los Valles Centrales  devengó recursos por 7 millones 603 mil 343 pesos; recursos federales fueron aplicados para la construcción de un laboratorio de energía renovables y tecnologías </w:t>
      </w:r>
      <w:proofErr w:type="spellStart"/>
      <w:r w:rsidRPr="0002002E">
        <w:rPr>
          <w:rFonts w:ascii="Arial" w:eastAsia="Calibri" w:hAnsi="Arial" w:cs="Arial"/>
          <w:spacing w:val="20"/>
          <w:kern w:val="2"/>
          <w:lang w:val="es-MX"/>
        </w:rPr>
        <w:t>bioalimentarias</w:t>
      </w:r>
      <w:proofErr w:type="spellEnd"/>
      <w:r w:rsidRPr="0002002E">
        <w:rPr>
          <w:rFonts w:ascii="Arial" w:eastAsia="Calibri" w:hAnsi="Arial" w:cs="Arial"/>
          <w:spacing w:val="20"/>
          <w:kern w:val="2"/>
          <w:lang w:val="es-MX"/>
        </w:rPr>
        <w:t xml:space="preserve">; así también la construcción y equipamiento, primera etapa del laboratorio de tecnologías de la información y comunicación en la Universidad Tecnológica y la construcción y equipamiento básico de la primera etapa de un laboratorio multidisciplinario en la Universidad Tecnológica. </w:t>
      </w:r>
    </w:p>
    <w:p w:rsidR="00812F69" w:rsidRPr="0002002E" w:rsidRDefault="00812F69" w:rsidP="00812F69">
      <w:pPr>
        <w:contextualSpacing/>
        <w:jc w:val="both"/>
        <w:rPr>
          <w:rFonts w:ascii="Arial" w:eastAsia="Calibri" w:hAnsi="Arial" w:cs="Arial"/>
          <w:spacing w:val="20"/>
          <w:kern w:val="2"/>
          <w:lang w:val="es-MX"/>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Por medio del Sistema para el Desarrollo Integral de la Familia, se devengaron recursos de este fondo por la cantidad de 556 millones 425 mil 695 pesos, en lo que corresponde al Ramo General 33 fueron 540 millones 780 mil 874 pesos utilizados para el otorgamiento de desayunos escolares, apoyos alimentarios y de asistencia social; para la atención de sujetos vulnerables como son: sujetos en condición de pobreza, familias en desamparo, adultos mayores, mujeres de 15 a 35 años, mujeres en embarazo y lactancia, menores de 5 años en riesgo no escolarizados, y desayunos escolares en menores de 6 a 12 años. 15 millones 644 mil 821 pesos corresponden a recursos federales, destinados para el Servicio de transporte público adaptado para personas con discapacidad en el estado de Oaxaca.</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Los Servicios de Agua Potable y Alcantarillado de Oaxaca se devengaron 36 millones 459 mil 485 pesos, en la parte estatal fueron recursos por 9 millones 815 mil 373 pesos, con recursos del Ramo General 33</w:t>
      </w:r>
      <w:r w:rsidR="00571D5E">
        <w:rPr>
          <w:rFonts w:ascii="Arial" w:eastAsia="Calibri" w:hAnsi="Arial" w:cs="Arial"/>
          <w:spacing w:val="20"/>
          <w:kern w:val="2"/>
        </w:rPr>
        <w:t>,</w:t>
      </w:r>
      <w:r w:rsidRPr="0002002E">
        <w:rPr>
          <w:rFonts w:ascii="Arial" w:eastAsia="Calibri" w:hAnsi="Arial" w:cs="Arial"/>
          <w:spacing w:val="20"/>
          <w:kern w:val="2"/>
        </w:rPr>
        <w:t xml:space="preserve"> 5 millones 214 mil 806 pesos y se devengaron recursos federales por 21    millones 429 mil 306 pesos para la rehabilitación de sistemas de agua potable, estudios y proyectos, y rehabilitación de sistemas de drenaje sanitario. </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La Comisión Estatal Forestal devengó recursos por 29 millones 328 mil 623 pesos, en la parte federal se destinaron 22 millones 256 mil 916 pesos y de recursos federales 7 millones 71 mil 707 pesos, principalmente para fortalecimiento de comités regionales, manejo forestal, brigadas para la prevención y control de incendios forestales conservación de caminos forestales, y producción de planta en vivero tecnificado entre otras.</w:t>
      </w:r>
    </w:p>
    <w:p w:rsidR="00812F69" w:rsidRDefault="00812F69" w:rsidP="00812F69">
      <w:pPr>
        <w:contextualSpacing/>
        <w:jc w:val="both"/>
        <w:rPr>
          <w:rFonts w:ascii="Arial" w:eastAsia="Calibri" w:hAnsi="Arial" w:cs="Arial"/>
          <w:spacing w:val="20"/>
          <w:kern w:val="2"/>
          <w:highlight w:val="darkGreen"/>
        </w:rPr>
      </w:pPr>
    </w:p>
    <w:p w:rsidR="00E91C2E" w:rsidRDefault="00E91C2E" w:rsidP="00812F69">
      <w:pPr>
        <w:contextualSpacing/>
        <w:jc w:val="both"/>
        <w:rPr>
          <w:rFonts w:ascii="Arial" w:eastAsia="Calibri" w:hAnsi="Arial" w:cs="Arial"/>
          <w:spacing w:val="20"/>
          <w:kern w:val="2"/>
          <w:highlight w:val="darkGreen"/>
        </w:rPr>
      </w:pPr>
    </w:p>
    <w:p w:rsidR="00E91C2E" w:rsidRDefault="00E91C2E" w:rsidP="00812F69">
      <w:pPr>
        <w:contextualSpacing/>
        <w:jc w:val="both"/>
        <w:rPr>
          <w:rFonts w:ascii="Arial" w:eastAsia="Calibri" w:hAnsi="Arial" w:cs="Arial"/>
          <w:spacing w:val="20"/>
          <w:kern w:val="2"/>
          <w:highlight w:val="darkGreen"/>
        </w:rPr>
      </w:pPr>
    </w:p>
    <w:p w:rsidR="00E91C2E" w:rsidRPr="0002002E" w:rsidRDefault="00E91C2E" w:rsidP="00812F69">
      <w:pPr>
        <w:contextualSpacing/>
        <w:jc w:val="both"/>
        <w:rPr>
          <w:rFonts w:ascii="Arial" w:eastAsia="Calibri" w:hAnsi="Arial" w:cs="Arial"/>
          <w:spacing w:val="20"/>
          <w:kern w:val="2"/>
          <w:highlight w:val="darkGreen"/>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b/>
          <w:spacing w:val="20"/>
          <w:kern w:val="2"/>
          <w:lang w:val="es-ES" w:eastAsia="es-ES"/>
        </w:rPr>
      </w:pPr>
      <w:r w:rsidRPr="0002002E">
        <w:rPr>
          <w:rFonts w:ascii="Arial" w:eastAsia="Calibri" w:hAnsi="Arial" w:cs="Arial"/>
          <w:b/>
          <w:spacing w:val="20"/>
          <w:kern w:val="2"/>
          <w:lang w:val="es-ES" w:eastAsia="es-ES"/>
        </w:rPr>
        <w:lastRenderedPageBreak/>
        <w:t>Fideicomisos Públicos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El Fideicomiso para el Desarrollo Logístico del Estado de Oaxaca (FIDELO) devengó la cantidad de 28 millones 84 mil pesos en la a</w:t>
      </w:r>
      <w:proofErr w:type="spellStart"/>
      <w:r w:rsidRPr="0002002E">
        <w:rPr>
          <w:rFonts w:ascii="Arial" w:eastAsia="Calibri" w:hAnsi="Arial" w:cs="Arial"/>
          <w:spacing w:val="20"/>
          <w:kern w:val="2"/>
        </w:rPr>
        <w:t>dquisición</w:t>
      </w:r>
      <w:proofErr w:type="spellEnd"/>
      <w:r w:rsidRPr="0002002E">
        <w:rPr>
          <w:rFonts w:ascii="Arial" w:eastAsia="Calibri" w:hAnsi="Arial" w:cs="Arial"/>
          <w:spacing w:val="20"/>
          <w:kern w:val="2"/>
        </w:rPr>
        <w:t xml:space="preserve"> de terreno para la </w:t>
      </w:r>
      <w:proofErr w:type="spellStart"/>
      <w:r w:rsidRPr="0002002E">
        <w:rPr>
          <w:rFonts w:ascii="Arial" w:eastAsia="Calibri" w:hAnsi="Arial" w:cs="Arial"/>
          <w:spacing w:val="20"/>
          <w:kern w:val="2"/>
        </w:rPr>
        <w:t>construccion</w:t>
      </w:r>
      <w:proofErr w:type="spellEnd"/>
      <w:r w:rsidRPr="0002002E">
        <w:rPr>
          <w:rFonts w:ascii="Arial" w:eastAsia="Calibri" w:hAnsi="Arial" w:cs="Arial"/>
          <w:spacing w:val="20"/>
          <w:kern w:val="2"/>
        </w:rPr>
        <w:t xml:space="preserve"> del centro cultural del istmo, por 6 millones 500 mil pesos, construcción de la </w:t>
      </w:r>
      <w:r w:rsidR="00571D5E" w:rsidRPr="0002002E">
        <w:rPr>
          <w:rFonts w:ascii="Arial" w:eastAsia="Calibri" w:hAnsi="Arial" w:cs="Arial"/>
          <w:spacing w:val="20"/>
          <w:kern w:val="2"/>
        </w:rPr>
        <w:t>urbanización</w:t>
      </w:r>
      <w:r w:rsidRPr="0002002E">
        <w:rPr>
          <w:rFonts w:ascii="Arial" w:eastAsia="Calibri" w:hAnsi="Arial" w:cs="Arial"/>
          <w:spacing w:val="20"/>
          <w:kern w:val="2"/>
        </w:rPr>
        <w:t xml:space="preserve"> de 14 </w:t>
      </w:r>
      <w:r w:rsidR="00571D5E" w:rsidRPr="0002002E">
        <w:rPr>
          <w:rFonts w:ascii="Arial" w:eastAsia="Calibri" w:hAnsi="Arial" w:cs="Arial"/>
          <w:spacing w:val="20"/>
          <w:kern w:val="2"/>
        </w:rPr>
        <w:t>hectáreas</w:t>
      </w:r>
      <w:r w:rsidRPr="0002002E">
        <w:rPr>
          <w:rFonts w:ascii="Arial" w:eastAsia="Calibri" w:hAnsi="Arial" w:cs="Arial"/>
          <w:spacing w:val="20"/>
          <w:kern w:val="2"/>
        </w:rPr>
        <w:t xml:space="preserve"> del sector H3 en Santa María Huatulco. 11.8 hectáreas polígono 3 primera etapa, por 19 millones 299 mil 200 pesos y por último  284 mil 800 pesos destinados al </w:t>
      </w:r>
      <w:r w:rsidRPr="0002002E">
        <w:rPr>
          <w:rFonts w:ascii="Arial" w:eastAsia="Calibri" w:hAnsi="Arial" w:cs="Arial"/>
          <w:spacing w:val="20"/>
          <w:kern w:val="2"/>
          <w:lang w:val="es-ES" w:eastAsia="es-ES"/>
        </w:rPr>
        <w:t xml:space="preserve">programa de </w:t>
      </w:r>
      <w:r w:rsidR="00571D5E" w:rsidRPr="0002002E">
        <w:rPr>
          <w:rFonts w:ascii="Arial" w:eastAsia="Calibri" w:hAnsi="Arial" w:cs="Arial"/>
          <w:spacing w:val="20"/>
          <w:kern w:val="2"/>
          <w:lang w:val="es-ES" w:eastAsia="es-ES"/>
        </w:rPr>
        <w:t>dotación</w:t>
      </w:r>
      <w:r w:rsidRPr="0002002E">
        <w:rPr>
          <w:rFonts w:ascii="Arial" w:eastAsia="Calibri" w:hAnsi="Arial" w:cs="Arial"/>
          <w:spacing w:val="20"/>
          <w:kern w:val="2"/>
          <w:lang w:val="es-ES" w:eastAsia="es-ES"/>
        </w:rPr>
        <w:t xml:space="preserve"> lotes en 14 </w:t>
      </w:r>
      <w:r w:rsidR="00571D5E" w:rsidRPr="0002002E">
        <w:rPr>
          <w:rFonts w:ascii="Arial" w:eastAsia="Calibri" w:hAnsi="Arial" w:cs="Arial"/>
          <w:spacing w:val="20"/>
          <w:kern w:val="2"/>
          <w:lang w:val="es-ES" w:eastAsia="es-ES"/>
        </w:rPr>
        <w:t>hectáreas</w:t>
      </w:r>
      <w:r w:rsidRPr="0002002E">
        <w:rPr>
          <w:rFonts w:ascii="Arial" w:eastAsia="Calibri" w:hAnsi="Arial" w:cs="Arial"/>
          <w:spacing w:val="20"/>
          <w:kern w:val="2"/>
          <w:lang w:val="es-ES" w:eastAsia="es-ES"/>
        </w:rPr>
        <w:t xml:space="preserve"> del sector h3 en </w:t>
      </w:r>
      <w:r w:rsidR="00571D5E">
        <w:rPr>
          <w:rFonts w:ascii="Arial" w:eastAsia="Calibri" w:hAnsi="Arial" w:cs="Arial"/>
          <w:spacing w:val="20"/>
          <w:kern w:val="2"/>
          <w:lang w:val="es-ES" w:eastAsia="es-ES"/>
        </w:rPr>
        <w:t>S</w:t>
      </w:r>
      <w:r w:rsidRPr="0002002E">
        <w:rPr>
          <w:rFonts w:ascii="Arial" w:eastAsia="Calibri" w:hAnsi="Arial" w:cs="Arial"/>
          <w:spacing w:val="20"/>
          <w:kern w:val="2"/>
          <w:lang w:val="es-ES" w:eastAsia="es-ES"/>
        </w:rPr>
        <w:t xml:space="preserve">anta </w:t>
      </w:r>
      <w:r w:rsidR="00571D5E">
        <w:rPr>
          <w:rFonts w:ascii="Arial" w:eastAsia="Calibri" w:hAnsi="Arial" w:cs="Arial"/>
          <w:spacing w:val="20"/>
          <w:kern w:val="2"/>
          <w:lang w:val="es-ES" w:eastAsia="es-ES"/>
        </w:rPr>
        <w:t>M</w:t>
      </w:r>
      <w:r w:rsidRPr="0002002E">
        <w:rPr>
          <w:rFonts w:ascii="Arial" w:eastAsia="Calibri" w:hAnsi="Arial" w:cs="Arial"/>
          <w:spacing w:val="20"/>
          <w:kern w:val="2"/>
          <w:lang w:val="es-ES" w:eastAsia="es-ES"/>
        </w:rPr>
        <w:t>ar</w:t>
      </w:r>
      <w:r w:rsidR="00571D5E">
        <w:rPr>
          <w:rFonts w:ascii="Arial" w:eastAsia="Calibri" w:hAnsi="Arial" w:cs="Arial"/>
          <w:spacing w:val="20"/>
          <w:kern w:val="2"/>
          <w:lang w:val="es-ES" w:eastAsia="es-ES"/>
        </w:rPr>
        <w:t>í</w:t>
      </w:r>
      <w:r w:rsidRPr="0002002E">
        <w:rPr>
          <w:rFonts w:ascii="Arial" w:eastAsia="Calibri" w:hAnsi="Arial" w:cs="Arial"/>
          <w:spacing w:val="20"/>
          <w:kern w:val="2"/>
          <w:lang w:val="es-ES" w:eastAsia="es-ES"/>
        </w:rPr>
        <w:t xml:space="preserve">a </w:t>
      </w:r>
      <w:r w:rsidR="00571D5E">
        <w:rPr>
          <w:rFonts w:ascii="Arial" w:eastAsia="Calibri" w:hAnsi="Arial" w:cs="Arial"/>
          <w:spacing w:val="20"/>
          <w:kern w:val="2"/>
          <w:lang w:val="es-ES" w:eastAsia="es-ES"/>
        </w:rPr>
        <w:t>H</w:t>
      </w:r>
      <w:r w:rsidRPr="0002002E">
        <w:rPr>
          <w:rFonts w:ascii="Arial" w:eastAsia="Calibri" w:hAnsi="Arial" w:cs="Arial"/>
          <w:spacing w:val="20"/>
          <w:kern w:val="2"/>
          <w:lang w:val="es-ES" w:eastAsia="es-ES"/>
        </w:rPr>
        <w:t>uatulco. 11.8 hectáreas del polígono 3 primera etapa.</w:t>
      </w: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p>
    <w:p w:rsidR="00812F69" w:rsidRPr="0002002E" w:rsidRDefault="00812F69" w:rsidP="00812F69">
      <w:pPr>
        <w:pStyle w:val="paragraph"/>
        <w:spacing w:before="0" w:beforeAutospacing="0" w:after="0" w:afterAutospacing="0"/>
        <w:contextualSpacing/>
        <w:jc w:val="both"/>
        <w:textAlignment w:val="baseline"/>
        <w:rPr>
          <w:rFonts w:ascii="Arial" w:eastAsia="Calibri" w:hAnsi="Arial" w:cs="Arial"/>
          <w:spacing w:val="20"/>
          <w:kern w:val="2"/>
          <w:lang w:val="es-ES" w:eastAsia="es-ES"/>
        </w:rPr>
      </w:pPr>
      <w:r w:rsidRPr="0002002E">
        <w:rPr>
          <w:rFonts w:ascii="Arial" w:eastAsia="Calibri" w:hAnsi="Arial" w:cs="Arial"/>
          <w:spacing w:val="20"/>
          <w:kern w:val="2"/>
          <w:lang w:val="es-ES" w:eastAsia="es-ES"/>
        </w:rPr>
        <w:t xml:space="preserve">A través del Fondo para el Fomento Estatal de las Actividades Productivas de Oaxaca, se devengaron recursos por la cantidad de 2 millones de pesos, de los cuales </w:t>
      </w:r>
      <w:r w:rsidR="00571D5E">
        <w:rPr>
          <w:rFonts w:ascii="Arial" w:eastAsia="Calibri" w:hAnsi="Arial" w:cs="Arial"/>
          <w:spacing w:val="20"/>
          <w:kern w:val="2"/>
          <w:lang w:val="es-ES" w:eastAsia="es-ES"/>
        </w:rPr>
        <w:t>un</w:t>
      </w:r>
      <w:r w:rsidRPr="0002002E">
        <w:rPr>
          <w:rFonts w:ascii="Arial" w:eastAsia="Calibri" w:hAnsi="Arial" w:cs="Arial"/>
          <w:spacing w:val="20"/>
          <w:kern w:val="2"/>
          <w:lang w:val="es-ES" w:eastAsia="es-ES"/>
        </w:rPr>
        <w:t xml:space="preserve"> millón se destinaron al programa de programa de financiamiento y garantías a procesadora de alimentos, y 500 mil pesos a empresas salineras.</w:t>
      </w:r>
    </w:p>
    <w:p w:rsidR="00812F69" w:rsidRPr="0002002E" w:rsidRDefault="00812F69" w:rsidP="00812F69">
      <w:pPr>
        <w:contextualSpacing/>
        <w:jc w:val="both"/>
        <w:rPr>
          <w:rFonts w:ascii="Arial" w:eastAsia="Calibri" w:hAnsi="Arial" w:cs="Arial"/>
          <w:spacing w:val="20"/>
          <w:kern w:val="2"/>
          <w:highlight w:val="darkGreen"/>
        </w:rPr>
      </w:pPr>
    </w:p>
    <w:p w:rsidR="00812F69" w:rsidRPr="0002002E" w:rsidRDefault="00812F69" w:rsidP="00812F69">
      <w:pPr>
        <w:contextualSpacing/>
        <w:jc w:val="both"/>
        <w:rPr>
          <w:rFonts w:ascii="Arial" w:eastAsia="Calibri" w:hAnsi="Arial" w:cs="Arial"/>
          <w:b/>
          <w:spacing w:val="20"/>
          <w:kern w:val="2"/>
        </w:rPr>
      </w:pPr>
      <w:r w:rsidRPr="0002002E">
        <w:rPr>
          <w:rFonts w:ascii="Arial" w:eastAsia="Calibri" w:hAnsi="Arial" w:cs="Arial"/>
          <w:b/>
          <w:spacing w:val="20"/>
          <w:kern w:val="2"/>
        </w:rPr>
        <w:t>Órganos Autónomos</w:t>
      </w:r>
    </w:p>
    <w:p w:rsidR="00812F69" w:rsidRPr="0002002E" w:rsidRDefault="00812F69" w:rsidP="00812F69">
      <w:pPr>
        <w:contextualSpacing/>
        <w:jc w:val="both"/>
        <w:rPr>
          <w:rFonts w:ascii="Arial" w:eastAsia="Calibri" w:hAnsi="Arial" w:cs="Arial"/>
          <w:b/>
          <w:spacing w:val="20"/>
          <w:kern w:val="2"/>
          <w:highlight w:val="darkGreen"/>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La defensoría de los Derechos Humanos del Pueblo de Oaxaca, ejerció  recursos que asciende a 500 mil pesos para la recepción, análisis, atención y resolución a violaciones de los derechos humanos.</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La Universidad Autónoma “Benito  Juárez” de Oaxaca (UABJO) aplicó recursos del orden de 24 millones 303 mil 9 pesos, de éste monto, 250 mil corresponde a aportación estatal, 14 millones 652 mil 485 pesos de recursos provenientes del Ramo General 33 y 9 millones 400 mil 524 pesos de recurso federal. Con ello se destinaron principalmente a obras y acciones diversas que consiste en estudios de factibilidad de la universidad intercultural, remodelación y adaptación de espacios educativos, construcción de aulas y laboratorios para la escuela de Enfermería; construcción de aulas en la escuela de Gastronomía, equipamiento y rehabilitación de escuelas preparatorias y en el nivel medio superior, entre otros.</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b/>
          <w:spacing w:val="20"/>
          <w:kern w:val="2"/>
        </w:rPr>
      </w:pPr>
      <w:r w:rsidRPr="0002002E">
        <w:rPr>
          <w:rFonts w:ascii="Arial" w:eastAsia="Calibri" w:hAnsi="Arial" w:cs="Arial"/>
          <w:b/>
          <w:spacing w:val="20"/>
          <w:kern w:val="2"/>
        </w:rPr>
        <w:t>Municipios</w:t>
      </w:r>
    </w:p>
    <w:p w:rsidR="00812F69" w:rsidRPr="0002002E" w:rsidRDefault="00812F69" w:rsidP="00812F69">
      <w:pPr>
        <w:contextualSpacing/>
        <w:jc w:val="both"/>
        <w:rPr>
          <w:rFonts w:ascii="Arial" w:eastAsia="Calibri" w:hAnsi="Arial" w:cs="Arial"/>
          <w:spacing w:val="20"/>
          <w:kern w:val="2"/>
          <w:highlight w:val="darkGreen"/>
        </w:rPr>
      </w:pPr>
    </w:p>
    <w:p w:rsidR="00812F69" w:rsidRPr="0002002E" w:rsidRDefault="00812F69" w:rsidP="00812F69">
      <w:pPr>
        <w:contextualSpacing/>
        <w:jc w:val="both"/>
        <w:rPr>
          <w:rFonts w:ascii="Arial" w:eastAsia="Calibri" w:hAnsi="Arial" w:cs="Arial"/>
          <w:spacing w:val="20"/>
          <w:kern w:val="2"/>
        </w:rPr>
      </w:pPr>
      <w:r w:rsidRPr="0002002E">
        <w:rPr>
          <w:rFonts w:ascii="Arial" w:eastAsia="Calibri" w:hAnsi="Arial" w:cs="Arial"/>
          <w:spacing w:val="20"/>
          <w:kern w:val="2"/>
        </w:rPr>
        <w:t>En lo que se refiere a la inversión pública por parte de los  municipios, estos aplicaron recursos que ascienden 3 mil 324 millones 506 mil 222 pesos de los cuales 286 millones 164 mil 543 pesos corresponde a recursos estatal, destinados principalmente a mejoramiento de vivienda,</w:t>
      </w:r>
      <w:r w:rsidR="00571D5E">
        <w:rPr>
          <w:rFonts w:ascii="Arial" w:eastAsia="Calibri" w:hAnsi="Arial" w:cs="Arial"/>
          <w:spacing w:val="20"/>
          <w:kern w:val="2"/>
        </w:rPr>
        <w:t xml:space="preserve"> </w:t>
      </w:r>
      <w:r w:rsidRPr="0002002E">
        <w:rPr>
          <w:rFonts w:ascii="Arial" w:eastAsia="Calibri" w:hAnsi="Arial" w:cs="Arial"/>
          <w:spacing w:val="20"/>
          <w:kern w:val="2"/>
        </w:rPr>
        <w:lastRenderedPageBreak/>
        <w:t xml:space="preserve">300 mil 178 pesos; CCIX aniversario del natalicio del Lic. Benito Juárez García, con </w:t>
      </w:r>
      <w:r w:rsidR="00571D5E">
        <w:rPr>
          <w:rFonts w:ascii="Arial" w:eastAsia="Calibri" w:hAnsi="Arial" w:cs="Arial"/>
          <w:spacing w:val="20"/>
          <w:kern w:val="2"/>
        </w:rPr>
        <w:t>un</w:t>
      </w:r>
      <w:r w:rsidRPr="0002002E">
        <w:rPr>
          <w:rFonts w:ascii="Arial" w:eastAsia="Calibri" w:hAnsi="Arial" w:cs="Arial"/>
          <w:spacing w:val="20"/>
          <w:kern w:val="2"/>
        </w:rPr>
        <w:t xml:space="preserve"> millón 500 mil pesos, saneamiento de aguas residuales con 209 mil 733 pesos, trabajos complementarios de unidades deportivas 4 millones 574 mil 493 pesos y 279 millones 580 mil 139 pesos destinados principalmente para perforación de pozos profundos, sistemas de agua potable, ampliación de las redes de energía eléctrica, rehabilitación y mantenimiento de caminos rurales, construcción de palacios municipales, alumbrado público, por mencionar algunas. </w:t>
      </w:r>
    </w:p>
    <w:p w:rsidR="00812F69" w:rsidRPr="0002002E" w:rsidRDefault="00812F69" w:rsidP="00812F69">
      <w:pPr>
        <w:contextualSpacing/>
        <w:jc w:val="both"/>
        <w:rPr>
          <w:rFonts w:ascii="Arial" w:eastAsia="Calibri" w:hAnsi="Arial" w:cs="Arial"/>
          <w:spacing w:val="20"/>
          <w:kern w:val="2"/>
        </w:rPr>
      </w:pPr>
    </w:p>
    <w:p w:rsidR="00812F69" w:rsidRPr="0002002E" w:rsidRDefault="00812F69" w:rsidP="00812F69">
      <w:pPr>
        <w:contextualSpacing/>
        <w:jc w:val="both"/>
        <w:rPr>
          <w:rFonts w:ascii="Arial" w:eastAsia="Calibri" w:hAnsi="Arial" w:cs="Arial"/>
          <w:bCs/>
          <w:spacing w:val="20"/>
          <w:kern w:val="2"/>
          <w:lang w:eastAsia="es-MX"/>
        </w:rPr>
      </w:pPr>
      <w:r w:rsidRPr="0002002E">
        <w:rPr>
          <w:rFonts w:ascii="Arial" w:eastAsia="Calibri" w:hAnsi="Arial" w:cs="Arial"/>
          <w:spacing w:val="20"/>
          <w:kern w:val="2"/>
        </w:rPr>
        <w:t xml:space="preserve">En lo que respecta a la inversión del Ramo General 33, se devengaron </w:t>
      </w:r>
      <w:r w:rsidRPr="0002002E">
        <w:rPr>
          <w:rFonts w:ascii="Arial" w:eastAsia="Calibri" w:hAnsi="Arial" w:cs="Arial"/>
          <w:bCs/>
          <w:spacing w:val="20"/>
          <w:kern w:val="2"/>
          <w:lang w:eastAsia="es-MX"/>
        </w:rPr>
        <w:t>386 millones 125 mil 262 pesos, de los cuales 6 millones 61 mil 164 pesos, se destinaron al sistemas de agua potable y obras de ampliación de la red de energía eléctrica; 13 millones 484 mil 135 pesos para el sector de educación nivel básico, 177 millones 160 mil 576 pesos fueron destinados a la inversión de infraestructura y espacios público municipales como la construcción de palacios municipales, unidades deportivas, explanadas cívicas, pavimentación de calles, entre otros.</w:t>
      </w:r>
    </w:p>
    <w:p w:rsidR="00812F69" w:rsidRPr="0002002E" w:rsidRDefault="00812F69" w:rsidP="00812F69">
      <w:pPr>
        <w:contextualSpacing/>
        <w:jc w:val="both"/>
        <w:rPr>
          <w:rFonts w:ascii="Arial" w:eastAsia="Calibri" w:hAnsi="Arial" w:cs="Arial"/>
          <w:bCs/>
          <w:spacing w:val="20"/>
          <w:kern w:val="2"/>
          <w:lang w:eastAsia="es-MX"/>
        </w:rPr>
      </w:pPr>
    </w:p>
    <w:p w:rsidR="00812F69" w:rsidRPr="0002002E" w:rsidRDefault="00812F69" w:rsidP="00812F69">
      <w:pPr>
        <w:contextualSpacing/>
        <w:jc w:val="both"/>
        <w:rPr>
          <w:rFonts w:ascii="Arial" w:eastAsia="Calibri" w:hAnsi="Arial" w:cs="Arial"/>
          <w:bCs/>
          <w:spacing w:val="20"/>
          <w:kern w:val="2"/>
          <w:lang w:eastAsia="es-MX"/>
        </w:rPr>
      </w:pPr>
      <w:r w:rsidRPr="0002002E">
        <w:rPr>
          <w:rFonts w:ascii="Arial" w:eastAsia="Calibri" w:hAnsi="Arial" w:cs="Arial"/>
          <w:bCs/>
          <w:spacing w:val="20"/>
          <w:kern w:val="2"/>
          <w:lang w:eastAsia="es-MX"/>
        </w:rPr>
        <w:t xml:space="preserve">Finalmente 2 mil 652 millones 216 mil 417 pesos, corresponden a recursos Federales de los cuales </w:t>
      </w:r>
      <w:r w:rsidRPr="0002002E">
        <w:rPr>
          <w:rFonts w:ascii="Arial" w:eastAsia="Calibri" w:hAnsi="Arial" w:cs="Arial"/>
          <w:spacing w:val="20"/>
          <w:kern w:val="2"/>
        </w:rPr>
        <w:t xml:space="preserve">6 millones 565 mil 989 pesos corresponden a adquisición de camiones recolectores en el municipio de </w:t>
      </w:r>
      <w:proofErr w:type="spellStart"/>
      <w:r w:rsidRPr="0002002E">
        <w:rPr>
          <w:rFonts w:ascii="Arial" w:eastAsia="Calibri" w:hAnsi="Arial" w:cs="Arial"/>
          <w:spacing w:val="20"/>
          <w:kern w:val="2"/>
        </w:rPr>
        <w:t>Teotitlan</w:t>
      </w:r>
      <w:proofErr w:type="spellEnd"/>
      <w:r w:rsidRPr="0002002E">
        <w:rPr>
          <w:rFonts w:ascii="Arial" w:eastAsia="Calibri" w:hAnsi="Arial" w:cs="Arial"/>
          <w:spacing w:val="20"/>
          <w:kern w:val="2"/>
        </w:rPr>
        <w:t xml:space="preserve"> de Flores </w:t>
      </w:r>
      <w:proofErr w:type="spellStart"/>
      <w:r w:rsidRPr="0002002E">
        <w:rPr>
          <w:rFonts w:ascii="Arial" w:eastAsia="Calibri" w:hAnsi="Arial" w:cs="Arial"/>
          <w:spacing w:val="20"/>
          <w:kern w:val="2"/>
        </w:rPr>
        <w:t>Magón</w:t>
      </w:r>
      <w:proofErr w:type="spellEnd"/>
      <w:r w:rsidRPr="0002002E">
        <w:rPr>
          <w:rFonts w:ascii="Arial" w:eastAsia="Calibri" w:hAnsi="Arial" w:cs="Arial"/>
          <w:spacing w:val="20"/>
          <w:kern w:val="2"/>
        </w:rPr>
        <w:t xml:space="preserve"> y obras de agua potable y saneamiento básico. Como parte del programa de infraestructura indígena se devengaron </w:t>
      </w:r>
      <w:r w:rsidRPr="0002002E">
        <w:rPr>
          <w:rFonts w:ascii="Arial" w:eastAsia="Calibri" w:hAnsi="Arial" w:cs="Arial"/>
          <w:bCs/>
          <w:spacing w:val="20"/>
          <w:kern w:val="2"/>
          <w:lang w:eastAsia="es-MX"/>
        </w:rPr>
        <w:t xml:space="preserve">350 millones 640 mil 390 pesos y </w:t>
      </w:r>
      <w:r w:rsidRPr="0002002E">
        <w:rPr>
          <w:rFonts w:ascii="Arial" w:eastAsia="Calibri" w:hAnsi="Arial" w:cs="Arial"/>
          <w:spacing w:val="20"/>
          <w:kern w:val="2"/>
        </w:rPr>
        <w:t xml:space="preserve">2 mil 295 millones 10 mil 38 pesos corresponden a programas como: Fondo Regional, </w:t>
      </w:r>
      <w:r w:rsidRPr="0002002E">
        <w:rPr>
          <w:rFonts w:ascii="Arial" w:eastAsia="Calibri" w:hAnsi="Arial" w:cs="Arial"/>
          <w:bCs/>
          <w:spacing w:val="20"/>
          <w:kern w:val="2"/>
          <w:lang w:eastAsia="es-MX"/>
        </w:rPr>
        <w:t>Fondo de pavimentación y desarrollo municipal, Fondo de Cultura, Fondo de Infraestructura Deportiva, Programas de Desarrollo Regional y  Proyectos de Desarrollo Regional.</w:t>
      </w:r>
    </w:p>
    <w:p w:rsidR="00812F69" w:rsidRPr="0002002E" w:rsidRDefault="00812F69" w:rsidP="00812F69">
      <w:pPr>
        <w:contextualSpacing/>
        <w:jc w:val="both"/>
        <w:rPr>
          <w:rFonts w:ascii="Arial" w:eastAsia="Calibri" w:hAnsi="Arial" w:cs="Arial"/>
          <w:bCs/>
          <w:spacing w:val="20"/>
          <w:kern w:val="2"/>
          <w:lang w:eastAsia="es-MX"/>
        </w:rPr>
      </w:pPr>
    </w:p>
    <w:p w:rsidR="00812F69" w:rsidRPr="0002002E" w:rsidRDefault="00812F69" w:rsidP="00812F69">
      <w:pPr>
        <w:pStyle w:val="paragraph"/>
        <w:contextualSpacing/>
        <w:textAlignment w:val="baseline"/>
        <w:rPr>
          <w:rFonts w:ascii="Arial" w:eastAsia="Calibri" w:hAnsi="Arial" w:cs="Arial"/>
          <w:spacing w:val="20"/>
          <w:kern w:val="2"/>
          <w:highlight w:val="darkGreen"/>
        </w:rPr>
      </w:pPr>
    </w:p>
    <w:p w:rsidR="00812F69" w:rsidRPr="0002002E" w:rsidRDefault="00812F69" w:rsidP="00812F69">
      <w:pPr>
        <w:tabs>
          <w:tab w:val="left" w:pos="2455"/>
        </w:tabs>
        <w:contextualSpacing/>
        <w:jc w:val="center"/>
        <w:rPr>
          <w:rFonts w:ascii="Arial" w:hAnsi="Arial" w:cs="Arial"/>
          <w:b/>
          <w:spacing w:val="20"/>
          <w:kern w:val="2"/>
        </w:rPr>
      </w:pPr>
    </w:p>
    <w:p w:rsidR="00812F69" w:rsidRPr="0002002E" w:rsidRDefault="00812F69" w:rsidP="00812F69">
      <w:pPr>
        <w:tabs>
          <w:tab w:val="left" w:pos="2455"/>
        </w:tabs>
        <w:contextualSpacing/>
        <w:jc w:val="both"/>
        <w:rPr>
          <w:rFonts w:ascii="Arial" w:hAnsi="Arial" w:cs="Arial"/>
          <w:b/>
          <w:spacing w:val="20"/>
          <w:kern w:val="2"/>
        </w:rPr>
      </w:pPr>
    </w:p>
    <w:p w:rsidR="00812F69" w:rsidRPr="0002002E" w:rsidRDefault="00812F69" w:rsidP="00812F69">
      <w:pPr>
        <w:contextualSpacing/>
        <w:rPr>
          <w:rFonts w:ascii="Arial" w:hAnsi="Arial" w:cs="Arial"/>
          <w:kern w:val="2"/>
        </w:rPr>
      </w:pPr>
    </w:p>
    <w:p w:rsidR="00812F69" w:rsidRPr="0002002E" w:rsidRDefault="00812F69" w:rsidP="00812F69">
      <w:pPr>
        <w:contextualSpacing/>
        <w:jc w:val="center"/>
        <w:rPr>
          <w:rFonts w:ascii="Arial" w:hAnsi="Arial" w:cs="Arial"/>
          <w:kern w:val="2"/>
        </w:rPr>
      </w:pPr>
    </w:p>
    <w:p w:rsidR="00812F69" w:rsidRPr="0002002E" w:rsidRDefault="00812F69" w:rsidP="00812F69">
      <w:pPr>
        <w:contextualSpacing/>
        <w:rPr>
          <w:rFonts w:ascii="Arial" w:hAnsi="Arial" w:cs="Arial"/>
          <w:kern w:val="2"/>
        </w:rPr>
      </w:pPr>
    </w:p>
    <w:p w:rsidR="00812F69" w:rsidRPr="0002002E" w:rsidRDefault="00812F69" w:rsidP="00812F69">
      <w:pPr>
        <w:contextualSpacing/>
        <w:jc w:val="center"/>
        <w:rPr>
          <w:rFonts w:ascii="Arial" w:hAnsi="Arial" w:cs="Arial"/>
          <w:kern w:val="2"/>
        </w:rPr>
      </w:pPr>
    </w:p>
    <w:p w:rsidR="00812F69" w:rsidRPr="0002002E" w:rsidRDefault="00812F69" w:rsidP="00812F69">
      <w:pPr>
        <w:contextualSpacing/>
        <w:jc w:val="center"/>
        <w:rPr>
          <w:rFonts w:ascii="Arial" w:hAnsi="Arial" w:cs="Arial"/>
          <w:kern w:val="2"/>
        </w:rPr>
      </w:pPr>
    </w:p>
    <w:p w:rsidR="00812F69" w:rsidRPr="0002002E" w:rsidRDefault="00812F69" w:rsidP="00812F69">
      <w:pPr>
        <w:contextualSpacing/>
        <w:jc w:val="center"/>
        <w:rPr>
          <w:rFonts w:ascii="Arial" w:hAnsi="Arial" w:cs="Arial"/>
          <w:kern w:val="2"/>
        </w:rPr>
      </w:pPr>
    </w:p>
    <w:p w:rsidR="00812F69" w:rsidRPr="0002002E" w:rsidRDefault="00812F69" w:rsidP="00812F69">
      <w:pPr>
        <w:contextualSpacing/>
        <w:jc w:val="center"/>
        <w:rPr>
          <w:rFonts w:ascii="Arial" w:hAnsi="Arial" w:cs="Arial"/>
          <w:kern w:val="2"/>
        </w:rPr>
      </w:pPr>
    </w:p>
    <w:p w:rsidR="00812F69" w:rsidRPr="0002002E" w:rsidRDefault="00812F69" w:rsidP="00812F69">
      <w:pPr>
        <w:contextualSpacing/>
        <w:jc w:val="center"/>
        <w:rPr>
          <w:rFonts w:ascii="Arial" w:hAnsi="Arial" w:cs="Arial"/>
          <w:kern w:val="2"/>
        </w:rPr>
      </w:pPr>
    </w:p>
    <w:p w:rsidR="00812F69" w:rsidRPr="0002002E" w:rsidRDefault="00812F69" w:rsidP="00812F69">
      <w:pPr>
        <w:contextualSpacing/>
        <w:jc w:val="center"/>
        <w:rPr>
          <w:rFonts w:ascii="Arial" w:hAnsi="Arial" w:cs="Arial"/>
          <w:kern w:val="2"/>
        </w:rPr>
      </w:pPr>
    </w:p>
    <w:p w:rsidR="00812F69" w:rsidRPr="0002002E" w:rsidRDefault="00812F69" w:rsidP="00812F69">
      <w:pPr>
        <w:contextualSpacing/>
        <w:rPr>
          <w:rFonts w:ascii="Arial" w:hAnsi="Arial" w:cs="Arial"/>
          <w:b/>
          <w:noProof/>
          <w:spacing w:val="20"/>
          <w:kern w:val="2"/>
          <w:lang w:val="es-ES_tradnl" w:eastAsia="es-ES_tradnl"/>
        </w:rPr>
      </w:pPr>
    </w:p>
    <w:p w:rsidR="00812F69" w:rsidRPr="0002002E" w:rsidRDefault="008F3F63" w:rsidP="00812F69">
      <w:pPr>
        <w:contextualSpacing/>
        <w:rPr>
          <w:rFonts w:ascii="Arial" w:hAnsi="Arial" w:cs="Arial"/>
          <w:b/>
          <w:spacing w:val="20"/>
          <w:kern w:val="2"/>
          <w:highlight w:val="yellow"/>
        </w:rPr>
      </w:pPr>
      <w:r w:rsidRPr="008F3F63">
        <w:rPr>
          <w:noProof/>
          <w:lang w:val="es-MX" w:eastAsia="es-MX"/>
        </w:rPr>
        <w:drawing>
          <wp:inline distT="0" distB="0" distL="0" distR="0">
            <wp:extent cx="5882005" cy="6425997"/>
            <wp:effectExtent l="19050" t="0" r="4445" b="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srcRect/>
                    <a:stretch>
                      <a:fillRect/>
                    </a:stretch>
                  </pic:blipFill>
                  <pic:spPr bwMode="auto">
                    <a:xfrm>
                      <a:off x="0" y="0"/>
                      <a:ext cx="5882005" cy="6425997"/>
                    </a:xfrm>
                    <a:prstGeom prst="rect">
                      <a:avLst/>
                    </a:prstGeom>
                    <a:noFill/>
                    <a:ln w="9525">
                      <a:noFill/>
                      <a:miter lim="800000"/>
                      <a:headEnd/>
                      <a:tailEnd/>
                    </a:ln>
                  </pic:spPr>
                </pic:pic>
              </a:graphicData>
            </a:graphic>
          </wp:inline>
        </w:drawing>
      </w:r>
    </w:p>
    <w:p w:rsidR="00812F69" w:rsidRPr="008F3F63" w:rsidRDefault="008F3F63" w:rsidP="008F3F63">
      <w:pPr>
        <w:contextualSpacing/>
        <w:jc w:val="right"/>
        <w:rPr>
          <w:rFonts w:ascii="Arial" w:hAnsi="Arial" w:cs="Arial"/>
          <w:kern w:val="2"/>
          <w:sz w:val="14"/>
        </w:rPr>
      </w:pPr>
      <w:proofErr w:type="gramStart"/>
      <w:r w:rsidRPr="008F3F63">
        <w:rPr>
          <w:rFonts w:ascii="Arial" w:hAnsi="Arial" w:cs="Arial"/>
          <w:kern w:val="2"/>
          <w:sz w:val="14"/>
        </w:rPr>
        <w:t>Continua</w:t>
      </w:r>
      <w:proofErr w:type="gramEnd"/>
      <w:r w:rsidRPr="008F3F63">
        <w:rPr>
          <w:rFonts w:ascii="Arial" w:hAnsi="Arial" w:cs="Arial"/>
          <w:kern w:val="2"/>
          <w:sz w:val="14"/>
        </w:rPr>
        <w:t>…</w:t>
      </w:r>
    </w:p>
    <w:p w:rsidR="008F3F63" w:rsidRDefault="008F3F63" w:rsidP="00CB3B20">
      <w:pPr>
        <w:contextualSpacing/>
        <w:jc w:val="both"/>
        <w:rPr>
          <w:rFonts w:ascii="Arial" w:hAnsi="Arial" w:cs="Arial"/>
          <w:kern w:val="2"/>
        </w:rPr>
      </w:pPr>
    </w:p>
    <w:p w:rsidR="008F3F63" w:rsidRDefault="008F3F63" w:rsidP="00CB3B20">
      <w:pPr>
        <w:contextualSpacing/>
        <w:jc w:val="both"/>
        <w:rPr>
          <w:rFonts w:ascii="Arial" w:hAnsi="Arial" w:cs="Arial"/>
          <w:kern w:val="2"/>
        </w:rPr>
      </w:pPr>
    </w:p>
    <w:p w:rsidR="008F3F63" w:rsidRDefault="008F3F63" w:rsidP="00CB3B20">
      <w:pPr>
        <w:contextualSpacing/>
        <w:jc w:val="both"/>
        <w:rPr>
          <w:rFonts w:ascii="Arial" w:hAnsi="Arial" w:cs="Arial"/>
          <w:kern w:val="2"/>
        </w:rPr>
      </w:pPr>
    </w:p>
    <w:p w:rsidR="008F3F63" w:rsidRDefault="008F3F63" w:rsidP="00CB3B20">
      <w:pPr>
        <w:contextualSpacing/>
        <w:jc w:val="both"/>
        <w:rPr>
          <w:rFonts w:ascii="Arial" w:hAnsi="Arial" w:cs="Arial"/>
          <w:kern w:val="2"/>
        </w:rPr>
      </w:pPr>
    </w:p>
    <w:p w:rsidR="008F3F63" w:rsidRDefault="008F3F63" w:rsidP="00CB3B20">
      <w:pPr>
        <w:contextualSpacing/>
        <w:jc w:val="both"/>
        <w:rPr>
          <w:rFonts w:ascii="Arial" w:hAnsi="Arial" w:cs="Arial"/>
          <w:kern w:val="2"/>
        </w:rPr>
      </w:pPr>
    </w:p>
    <w:p w:rsidR="008F3F63" w:rsidRDefault="008F3F63" w:rsidP="00CB3B20">
      <w:pPr>
        <w:contextualSpacing/>
        <w:jc w:val="both"/>
        <w:rPr>
          <w:rFonts w:ascii="Arial" w:hAnsi="Arial" w:cs="Arial"/>
          <w:kern w:val="2"/>
        </w:rPr>
      </w:pPr>
    </w:p>
    <w:p w:rsidR="00A2576A" w:rsidRDefault="008F3F63" w:rsidP="00CB3B20">
      <w:pPr>
        <w:contextualSpacing/>
        <w:jc w:val="both"/>
        <w:rPr>
          <w:rFonts w:ascii="Arial" w:hAnsi="Arial" w:cs="Arial"/>
          <w:kern w:val="2"/>
        </w:rPr>
      </w:pPr>
      <w:r w:rsidRPr="008F3F63">
        <w:rPr>
          <w:noProof/>
          <w:lang w:val="es-MX" w:eastAsia="es-MX"/>
        </w:rPr>
        <w:drawing>
          <wp:inline distT="0" distB="0" distL="0" distR="0">
            <wp:extent cx="5882005" cy="2747842"/>
            <wp:effectExtent l="19050" t="0" r="4445" b="0"/>
            <wp:docPr id="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srcRect/>
                    <a:stretch>
                      <a:fillRect/>
                    </a:stretch>
                  </pic:blipFill>
                  <pic:spPr bwMode="auto">
                    <a:xfrm>
                      <a:off x="0" y="0"/>
                      <a:ext cx="5882005" cy="2747842"/>
                    </a:xfrm>
                    <a:prstGeom prst="rect">
                      <a:avLst/>
                    </a:prstGeom>
                    <a:noFill/>
                    <a:ln w="9525">
                      <a:noFill/>
                      <a:miter lim="800000"/>
                      <a:headEnd/>
                      <a:tailEnd/>
                    </a:ln>
                  </pic:spPr>
                </pic:pic>
              </a:graphicData>
            </a:graphic>
          </wp:inline>
        </w:drawing>
      </w:r>
    </w:p>
    <w:p w:rsidR="00174694" w:rsidRDefault="00174694">
      <w:pPr>
        <w:rPr>
          <w:rFonts w:ascii="Arial" w:hAnsi="Arial" w:cs="Arial"/>
          <w:kern w:val="2"/>
        </w:rPr>
      </w:pPr>
      <w:r>
        <w:rPr>
          <w:rFonts w:ascii="Arial" w:hAnsi="Arial" w:cs="Arial"/>
          <w:kern w:val="2"/>
        </w:rPr>
        <w:br w:type="page"/>
      </w:r>
    </w:p>
    <w:p w:rsidR="00174694" w:rsidRDefault="00174694" w:rsidP="00174694">
      <w:pPr>
        <w:spacing w:line="264" w:lineRule="auto"/>
        <w:contextualSpacing/>
        <w:jc w:val="both"/>
        <w:rPr>
          <w:rFonts w:ascii="Arial" w:hAnsi="Arial" w:cs="Arial"/>
          <w:spacing w:val="20"/>
          <w:kern w:val="24"/>
        </w:rPr>
      </w:pPr>
    </w:p>
    <w:p w:rsidR="00174694" w:rsidRPr="00174694" w:rsidRDefault="00174694" w:rsidP="00174694">
      <w:pPr>
        <w:contextualSpacing/>
        <w:jc w:val="both"/>
        <w:rPr>
          <w:rFonts w:ascii="Arial" w:eastAsia="Calibri" w:hAnsi="Arial" w:cs="Arial"/>
          <w:b/>
          <w:bCs/>
          <w:spacing w:val="20"/>
          <w:kern w:val="2"/>
          <w:lang w:eastAsia="es-MX"/>
        </w:rPr>
      </w:pPr>
      <w:r w:rsidRPr="00174694">
        <w:rPr>
          <w:rFonts w:ascii="Arial" w:eastAsia="Calibri" w:hAnsi="Arial" w:cs="Arial"/>
          <w:b/>
          <w:bCs/>
          <w:spacing w:val="20"/>
          <w:kern w:val="2"/>
          <w:lang w:eastAsia="es-MX"/>
        </w:rPr>
        <w:t>4.8.- FONDOS DE APORTACIONES FEDERALES</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La Ley de Coordinación Fiscal en su Capítulo V, establece los fines para los que se deben destinar los recursos provenientes de los 8 Fondos del Ramo 33, mismos que dada su naturaleza se registran como ingresos propios y por lo tanto son administrados y ejercidos conforme a la legislación estatal. En el periodo que se informa se devengó la cantidad de 33 mil 996 millones 140 mil 849 pesos, para la realización de los diversos programas que prevé el capítulo en mención y que son recibidos por el Estado conforme al calendario que emite el Gobierno Federal, distribuyéndose a las Dependencias y Entidades para su ejercicio, de acuerdo a sus requerimientos y a los fines para los que fueron autorizados.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65CF7" w:rsidP="00174694">
      <w:pPr>
        <w:contextualSpacing/>
        <w:jc w:val="both"/>
        <w:rPr>
          <w:rFonts w:ascii="Arial" w:eastAsia="Calibri" w:hAnsi="Arial" w:cs="Arial"/>
          <w:bCs/>
          <w:spacing w:val="20"/>
          <w:kern w:val="2"/>
          <w:lang w:eastAsia="es-MX"/>
        </w:rPr>
      </w:pPr>
      <w:r w:rsidRPr="00165CF7">
        <w:rPr>
          <w:rFonts w:eastAsia="Calibri"/>
          <w:noProof/>
          <w:lang w:val="es-MX" w:eastAsia="es-MX"/>
        </w:rPr>
        <w:lastRenderedPageBreak/>
        <w:drawing>
          <wp:inline distT="0" distB="0" distL="0" distR="0">
            <wp:extent cx="5882005" cy="6123204"/>
            <wp:effectExtent l="19050" t="0" r="4445" b="0"/>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srcRect/>
                    <a:stretch>
                      <a:fillRect/>
                    </a:stretch>
                  </pic:blipFill>
                  <pic:spPr bwMode="auto">
                    <a:xfrm>
                      <a:off x="0" y="0"/>
                      <a:ext cx="5882005" cy="6123204"/>
                    </a:xfrm>
                    <a:prstGeom prst="rect">
                      <a:avLst/>
                    </a:prstGeom>
                    <a:noFill/>
                    <a:ln w="9525">
                      <a:noFill/>
                      <a:miter lim="800000"/>
                      <a:headEnd/>
                      <a:tailEnd/>
                    </a:ln>
                  </pic:spPr>
                </pic:pic>
              </a:graphicData>
            </a:graphic>
          </wp:inline>
        </w:drawing>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9411EE" w:rsidRDefault="009411EE" w:rsidP="009411EE">
      <w:pPr>
        <w:contextualSpacing/>
        <w:jc w:val="both"/>
        <w:rPr>
          <w:rFonts w:ascii="Arial" w:hAnsi="Arial" w:cs="Arial"/>
          <w:b/>
          <w:color w:val="000000" w:themeColor="text1"/>
          <w:spacing w:val="20"/>
          <w:kern w:val="24"/>
        </w:rPr>
      </w:pPr>
    </w:p>
    <w:p w:rsidR="009411EE" w:rsidRPr="009451F1" w:rsidRDefault="009411EE" w:rsidP="009411EE">
      <w:pPr>
        <w:contextualSpacing/>
        <w:jc w:val="both"/>
        <w:rPr>
          <w:rFonts w:ascii="Arial" w:hAnsi="Arial" w:cs="Arial"/>
          <w:b/>
          <w:color w:val="000000" w:themeColor="text1"/>
          <w:spacing w:val="20"/>
          <w:kern w:val="24"/>
        </w:rPr>
      </w:pPr>
      <w:r w:rsidRPr="009451F1">
        <w:rPr>
          <w:rFonts w:ascii="Arial" w:hAnsi="Arial" w:cs="Arial"/>
          <w:b/>
          <w:color w:val="000000" w:themeColor="text1"/>
          <w:spacing w:val="20"/>
          <w:kern w:val="24"/>
        </w:rPr>
        <w:lastRenderedPageBreak/>
        <w:t xml:space="preserve">4.8.1- FONDO DE APORTACIONES PARA LA </w:t>
      </w:r>
      <w:r>
        <w:rPr>
          <w:rFonts w:ascii="Arial" w:hAnsi="Arial" w:cs="Arial"/>
          <w:b/>
          <w:color w:val="000000" w:themeColor="text1"/>
          <w:spacing w:val="20"/>
          <w:kern w:val="24"/>
        </w:rPr>
        <w:t>NOMINA EDUCATIVA Y GASTOS DE OPERACION</w:t>
      </w:r>
    </w:p>
    <w:p w:rsidR="009411EE" w:rsidRPr="009451F1" w:rsidRDefault="009411EE" w:rsidP="009411EE">
      <w:pPr>
        <w:contextualSpacing/>
        <w:jc w:val="both"/>
        <w:rPr>
          <w:rFonts w:ascii="Arial" w:hAnsi="Arial" w:cs="Arial"/>
          <w:color w:val="000000" w:themeColor="text1"/>
          <w:spacing w:val="20"/>
          <w:kern w:val="24"/>
        </w:rPr>
      </w:pPr>
    </w:p>
    <w:p w:rsidR="00EC06B3" w:rsidRDefault="00EC06B3" w:rsidP="00EC06B3">
      <w:pPr>
        <w:contextualSpacing/>
        <w:jc w:val="both"/>
        <w:rPr>
          <w:rFonts w:ascii="Arial" w:eastAsia="Calibri" w:hAnsi="Arial" w:cs="Arial"/>
          <w:bCs/>
          <w:spacing w:val="20"/>
          <w:kern w:val="2"/>
          <w:lang w:eastAsia="es-MX"/>
        </w:rPr>
      </w:pPr>
      <w:r w:rsidRPr="00EC06B3">
        <w:rPr>
          <w:rFonts w:ascii="Arial" w:eastAsia="Calibri" w:hAnsi="Arial" w:cs="Arial"/>
          <w:bCs/>
          <w:spacing w:val="20"/>
          <w:kern w:val="2"/>
          <w:lang w:eastAsia="es-MX"/>
        </w:rPr>
        <w:t>En el marco de la Reforma Educativa la transición en la administración de los recursos financieros del Sistema de Educación Básica, centrada en la migración del FAEB al FONE, heredó pasivos presupuestales y laborales que no se asumieron por el nuevo sistema de financiamiento, situación que generó pasivos de 2014 por 1,994,645,855.78, básicamente de adeudos de nómina y proveedores de bienes y servicios (358,852,680.33); terceros no institucionales (377,684,103.59); terceros institucionales (1,258,109,071.83).</w:t>
      </w:r>
    </w:p>
    <w:p w:rsidR="00EC06B3" w:rsidRPr="00EC06B3" w:rsidRDefault="00EC06B3" w:rsidP="00EC06B3">
      <w:pPr>
        <w:contextualSpacing/>
        <w:jc w:val="both"/>
        <w:rPr>
          <w:rFonts w:ascii="Arial" w:eastAsia="Calibri" w:hAnsi="Arial" w:cs="Arial"/>
          <w:bCs/>
          <w:spacing w:val="20"/>
          <w:kern w:val="2"/>
          <w:lang w:eastAsia="es-MX"/>
        </w:rPr>
      </w:pPr>
    </w:p>
    <w:p w:rsidR="00EC06B3" w:rsidRDefault="00EC06B3" w:rsidP="00EC06B3">
      <w:pPr>
        <w:contextualSpacing/>
        <w:jc w:val="both"/>
        <w:rPr>
          <w:rFonts w:ascii="Arial" w:eastAsia="Calibri" w:hAnsi="Arial" w:cs="Arial"/>
          <w:bCs/>
          <w:spacing w:val="20"/>
          <w:kern w:val="2"/>
          <w:lang w:eastAsia="es-MX"/>
        </w:rPr>
      </w:pPr>
      <w:r w:rsidRPr="00EC06B3">
        <w:rPr>
          <w:rFonts w:ascii="Arial" w:eastAsia="Calibri" w:hAnsi="Arial" w:cs="Arial"/>
          <w:bCs/>
          <w:spacing w:val="20"/>
          <w:kern w:val="2"/>
          <w:lang w:eastAsia="es-MX"/>
        </w:rPr>
        <w:t>Adicionalmente se tiene un adeudo con la Secretaría de Finanzas por 2</w:t>
      </w:r>
      <w:proofErr w:type="gramStart"/>
      <w:r w:rsidRPr="00EC06B3">
        <w:rPr>
          <w:rFonts w:ascii="Arial" w:eastAsia="Calibri" w:hAnsi="Arial" w:cs="Arial"/>
          <w:bCs/>
          <w:spacing w:val="20"/>
          <w:kern w:val="2"/>
          <w:lang w:eastAsia="es-MX"/>
        </w:rPr>
        <w:t>,078,570,280.00</w:t>
      </w:r>
      <w:proofErr w:type="gramEnd"/>
      <w:r w:rsidRPr="00EC06B3">
        <w:rPr>
          <w:rFonts w:ascii="Arial" w:eastAsia="Calibri" w:hAnsi="Arial" w:cs="Arial"/>
          <w:bCs/>
          <w:spacing w:val="20"/>
          <w:kern w:val="2"/>
          <w:lang w:eastAsia="es-MX"/>
        </w:rPr>
        <w:t xml:space="preserve"> que se integra por: créditos puente que fueron utilizados para poder cubrir la nómina líquida y aguinaldo del cierre del ejercicio de diciembre 2014 y los flujos de enero del 2015 (877,400,000.00); retenciones de Participaciones Federales por adeudos del ISSSTE, FOVISSSTE y SAT (1,201,170,280.00).</w:t>
      </w:r>
    </w:p>
    <w:p w:rsidR="00EC06B3" w:rsidRPr="00EC06B3" w:rsidRDefault="00EC06B3" w:rsidP="00EC06B3">
      <w:pPr>
        <w:contextualSpacing/>
        <w:jc w:val="both"/>
        <w:rPr>
          <w:rFonts w:ascii="Arial" w:eastAsia="Calibri" w:hAnsi="Arial" w:cs="Arial"/>
          <w:bCs/>
          <w:spacing w:val="20"/>
          <w:kern w:val="2"/>
          <w:lang w:eastAsia="es-MX"/>
        </w:rPr>
      </w:pPr>
    </w:p>
    <w:p w:rsidR="00EC06B3" w:rsidRDefault="00EC06B3" w:rsidP="00EC06B3">
      <w:pPr>
        <w:contextualSpacing/>
        <w:jc w:val="both"/>
        <w:rPr>
          <w:rFonts w:ascii="Arial" w:eastAsia="Calibri" w:hAnsi="Arial" w:cs="Arial"/>
          <w:bCs/>
          <w:spacing w:val="20"/>
          <w:kern w:val="2"/>
          <w:lang w:eastAsia="es-MX"/>
        </w:rPr>
      </w:pPr>
      <w:r w:rsidRPr="00EC06B3">
        <w:rPr>
          <w:rFonts w:ascii="Arial" w:eastAsia="Calibri" w:hAnsi="Arial" w:cs="Arial"/>
          <w:bCs/>
          <w:spacing w:val="20"/>
          <w:kern w:val="2"/>
          <w:lang w:eastAsia="es-MX"/>
        </w:rPr>
        <w:t>Como se señaló, el FONE presenta en su principio insuficiencias en la asignación de recursos, básicamente en dos vertientes, gastos de inversión para equipamiento de oficinas y escuelas y el Impuesto Sobre Erogaciones por Remuneraciones al Trabajo Personal, que generó un pasivo en el 2015 de 73,899,981.61.</w:t>
      </w:r>
    </w:p>
    <w:p w:rsidR="00EC06B3" w:rsidRPr="00EC06B3" w:rsidRDefault="00EC06B3" w:rsidP="00EC06B3">
      <w:pPr>
        <w:contextualSpacing/>
        <w:jc w:val="both"/>
        <w:rPr>
          <w:rFonts w:ascii="Arial" w:eastAsia="Calibri" w:hAnsi="Arial" w:cs="Arial"/>
          <w:bCs/>
          <w:spacing w:val="20"/>
          <w:kern w:val="2"/>
          <w:lang w:eastAsia="es-MX"/>
        </w:rPr>
      </w:pPr>
    </w:p>
    <w:p w:rsidR="00EC06B3" w:rsidRDefault="00EC06B3" w:rsidP="00EC06B3">
      <w:pPr>
        <w:contextualSpacing/>
        <w:jc w:val="both"/>
        <w:rPr>
          <w:rFonts w:ascii="Arial" w:eastAsia="Calibri" w:hAnsi="Arial" w:cs="Arial"/>
          <w:bCs/>
          <w:spacing w:val="20"/>
          <w:kern w:val="2"/>
          <w:lang w:eastAsia="es-MX"/>
        </w:rPr>
      </w:pPr>
      <w:r w:rsidRPr="00EC06B3">
        <w:rPr>
          <w:rFonts w:ascii="Arial" w:eastAsia="Calibri" w:hAnsi="Arial" w:cs="Arial"/>
          <w:bCs/>
          <w:spacing w:val="20"/>
          <w:kern w:val="2"/>
          <w:lang w:eastAsia="es-MX"/>
        </w:rPr>
        <w:t>Es en este contexto que se trabaja con la Secretaría de Finanzas en la búsqueda de alternativas de financiamiento, bajo las siguientes estrategias:</w:t>
      </w:r>
    </w:p>
    <w:p w:rsidR="00EC06B3" w:rsidRPr="00EC06B3" w:rsidRDefault="00EC06B3" w:rsidP="00EC06B3">
      <w:pPr>
        <w:contextualSpacing/>
        <w:jc w:val="both"/>
        <w:rPr>
          <w:rFonts w:ascii="Arial" w:eastAsia="Calibri" w:hAnsi="Arial" w:cs="Arial"/>
          <w:bCs/>
          <w:spacing w:val="20"/>
          <w:kern w:val="2"/>
          <w:lang w:eastAsia="es-MX"/>
        </w:rPr>
      </w:pPr>
    </w:p>
    <w:p w:rsidR="00EC06B3" w:rsidRDefault="00EC06B3" w:rsidP="00EC06B3">
      <w:pPr>
        <w:contextualSpacing/>
        <w:jc w:val="both"/>
        <w:rPr>
          <w:rFonts w:ascii="Arial" w:eastAsia="Calibri" w:hAnsi="Arial" w:cs="Arial"/>
          <w:bCs/>
          <w:spacing w:val="20"/>
          <w:kern w:val="2"/>
          <w:lang w:eastAsia="es-MX"/>
        </w:rPr>
      </w:pPr>
      <w:r w:rsidRPr="00EC06B3">
        <w:rPr>
          <w:rFonts w:ascii="Arial" w:eastAsia="Calibri" w:hAnsi="Arial" w:cs="Arial"/>
          <w:bCs/>
          <w:spacing w:val="20"/>
          <w:kern w:val="2"/>
          <w:lang w:eastAsia="es-MX"/>
        </w:rPr>
        <w:t>Obtener el apoyo extraordinario de la Federación mediante aportaciones mensuales para cubrir los pasivos del 2014.</w:t>
      </w:r>
    </w:p>
    <w:p w:rsidR="00EC06B3" w:rsidRPr="00EC06B3" w:rsidRDefault="00EC06B3" w:rsidP="00EC06B3">
      <w:pPr>
        <w:contextualSpacing/>
        <w:jc w:val="both"/>
        <w:rPr>
          <w:rFonts w:ascii="Arial" w:eastAsia="Calibri" w:hAnsi="Arial" w:cs="Arial"/>
          <w:bCs/>
          <w:spacing w:val="20"/>
          <w:kern w:val="2"/>
          <w:lang w:eastAsia="es-MX"/>
        </w:rPr>
      </w:pPr>
    </w:p>
    <w:p w:rsidR="00EC06B3" w:rsidRDefault="00EC06B3" w:rsidP="00EC06B3">
      <w:pPr>
        <w:contextualSpacing/>
        <w:jc w:val="both"/>
        <w:rPr>
          <w:rFonts w:ascii="Arial" w:eastAsia="Calibri" w:hAnsi="Arial" w:cs="Arial"/>
          <w:bCs/>
          <w:spacing w:val="20"/>
          <w:kern w:val="2"/>
          <w:lang w:eastAsia="es-MX"/>
        </w:rPr>
      </w:pPr>
      <w:r w:rsidRPr="00EC06B3">
        <w:rPr>
          <w:rFonts w:ascii="Arial" w:eastAsia="Calibri" w:hAnsi="Arial" w:cs="Arial"/>
          <w:bCs/>
          <w:spacing w:val="20"/>
          <w:kern w:val="2"/>
          <w:lang w:eastAsia="es-MX"/>
        </w:rPr>
        <w:t>Iniciar el proceso de modificación a los lineamientos normativos de los gastos de operación del FONE, para incluir en ellos el gasto de inversión.</w:t>
      </w:r>
    </w:p>
    <w:p w:rsidR="00EC06B3" w:rsidRPr="00EC06B3" w:rsidRDefault="00EC06B3" w:rsidP="00EC06B3">
      <w:pPr>
        <w:contextualSpacing/>
        <w:jc w:val="both"/>
        <w:rPr>
          <w:rFonts w:ascii="Arial" w:eastAsia="Calibri" w:hAnsi="Arial" w:cs="Arial"/>
          <w:bCs/>
          <w:spacing w:val="20"/>
          <w:kern w:val="2"/>
          <w:lang w:eastAsia="es-MX"/>
        </w:rPr>
      </w:pPr>
    </w:p>
    <w:p w:rsidR="00EC06B3" w:rsidRPr="00EC06B3" w:rsidRDefault="00EC06B3" w:rsidP="00EC06B3">
      <w:pPr>
        <w:contextualSpacing/>
        <w:jc w:val="both"/>
        <w:rPr>
          <w:rFonts w:ascii="Arial" w:eastAsia="Calibri" w:hAnsi="Arial" w:cs="Arial"/>
          <w:bCs/>
          <w:spacing w:val="20"/>
          <w:kern w:val="2"/>
          <w:lang w:eastAsia="es-MX"/>
        </w:rPr>
      </w:pPr>
      <w:r w:rsidRPr="00EC06B3">
        <w:rPr>
          <w:rFonts w:ascii="Arial" w:eastAsia="Calibri" w:hAnsi="Arial" w:cs="Arial"/>
          <w:bCs/>
          <w:spacing w:val="20"/>
          <w:kern w:val="2"/>
          <w:lang w:eastAsia="es-MX"/>
        </w:rPr>
        <w:t xml:space="preserve">Con respecto al presupuesto </w:t>
      </w:r>
      <w:r w:rsidR="00FD4E52">
        <w:rPr>
          <w:rFonts w:ascii="Arial" w:eastAsia="Calibri" w:hAnsi="Arial" w:cs="Arial"/>
          <w:bCs/>
          <w:spacing w:val="20"/>
          <w:kern w:val="2"/>
          <w:lang w:eastAsia="es-MX"/>
        </w:rPr>
        <w:t>devengado</w:t>
      </w:r>
      <w:r w:rsidRPr="00EC06B3">
        <w:rPr>
          <w:rFonts w:ascii="Arial" w:eastAsia="Calibri" w:hAnsi="Arial" w:cs="Arial"/>
          <w:bCs/>
          <w:spacing w:val="20"/>
          <w:kern w:val="2"/>
          <w:lang w:eastAsia="es-MX"/>
        </w:rPr>
        <w:t xml:space="preserve"> durante 2015, se registraron recursos por 20</w:t>
      </w:r>
      <w:proofErr w:type="gramStart"/>
      <w:r w:rsidRPr="00EC06B3">
        <w:rPr>
          <w:rFonts w:ascii="Arial" w:eastAsia="Calibri" w:hAnsi="Arial" w:cs="Arial"/>
          <w:bCs/>
          <w:spacing w:val="20"/>
          <w:kern w:val="2"/>
          <w:lang w:eastAsia="es-MX"/>
        </w:rPr>
        <w:t>,894,476,395.54</w:t>
      </w:r>
      <w:proofErr w:type="gramEnd"/>
      <w:r w:rsidRPr="00EC06B3">
        <w:rPr>
          <w:rFonts w:ascii="Arial" w:eastAsia="Calibri" w:hAnsi="Arial" w:cs="Arial"/>
          <w:bCs/>
          <w:spacing w:val="20"/>
          <w:kern w:val="2"/>
          <w:lang w:eastAsia="es-MX"/>
        </w:rPr>
        <w:t xml:space="preserve"> de los cuales corresponden al Capítulo de Servicios Personales 20,323,110,497.54 y al Capítulo de Gastos de Operación 571,365,898.00.</w:t>
      </w:r>
    </w:p>
    <w:p w:rsidR="009411EE" w:rsidRPr="009451F1" w:rsidRDefault="009411EE" w:rsidP="009411EE">
      <w:pPr>
        <w:contextualSpacing/>
        <w:jc w:val="both"/>
        <w:rPr>
          <w:rFonts w:ascii="Arial" w:hAnsi="Arial" w:cs="Arial"/>
          <w:spacing w:val="20"/>
          <w:kern w:val="24"/>
        </w:rPr>
      </w:pPr>
    </w:p>
    <w:p w:rsidR="009411EE" w:rsidRPr="009451F1" w:rsidRDefault="009411EE" w:rsidP="009411EE">
      <w:pPr>
        <w:contextualSpacing/>
        <w:jc w:val="both"/>
        <w:rPr>
          <w:rFonts w:ascii="Arial" w:hAnsi="Arial" w:cs="Arial"/>
          <w:spacing w:val="20"/>
          <w:kern w:val="24"/>
        </w:rPr>
      </w:pPr>
    </w:p>
    <w:p w:rsidR="009411EE" w:rsidRPr="009451F1" w:rsidRDefault="009411EE" w:rsidP="009411EE">
      <w:pPr>
        <w:contextualSpacing/>
        <w:jc w:val="center"/>
        <w:rPr>
          <w:rFonts w:ascii="Arial" w:hAnsi="Arial" w:cs="Arial"/>
          <w:spacing w:val="20"/>
          <w:kern w:val="24"/>
        </w:rPr>
      </w:pPr>
      <w:r w:rsidRPr="009451F1">
        <w:rPr>
          <w:noProof/>
          <w:lang w:val="es-MX" w:eastAsia="es-MX"/>
        </w:rPr>
        <w:lastRenderedPageBreak/>
        <w:drawing>
          <wp:inline distT="0" distB="0" distL="0" distR="0">
            <wp:extent cx="5337810" cy="2604770"/>
            <wp:effectExtent l="19050" t="0" r="0" b="0"/>
            <wp:docPr id="2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5337810" cy="2604770"/>
                    </a:xfrm>
                    <a:prstGeom prst="rect">
                      <a:avLst/>
                    </a:prstGeom>
                    <a:noFill/>
                    <a:ln w="9525">
                      <a:noFill/>
                      <a:miter lim="800000"/>
                      <a:headEnd/>
                      <a:tailEnd/>
                    </a:ln>
                  </pic:spPr>
                </pic:pic>
              </a:graphicData>
            </a:graphic>
          </wp:inline>
        </w:drawing>
      </w:r>
    </w:p>
    <w:p w:rsidR="009411EE" w:rsidRPr="009451F1" w:rsidRDefault="009411EE" w:rsidP="009411EE">
      <w:pPr>
        <w:contextualSpacing/>
        <w:jc w:val="both"/>
        <w:rPr>
          <w:rFonts w:ascii="Arial" w:hAnsi="Arial" w:cs="Arial"/>
          <w:spacing w:val="20"/>
          <w:kern w:val="24"/>
        </w:rPr>
      </w:pPr>
    </w:p>
    <w:p w:rsidR="009411EE" w:rsidRPr="009451F1" w:rsidRDefault="009411EE" w:rsidP="009411EE">
      <w:pPr>
        <w:contextualSpacing/>
        <w:jc w:val="center"/>
        <w:rPr>
          <w:rFonts w:ascii="Arial" w:hAnsi="Arial" w:cs="Arial"/>
          <w:spacing w:val="20"/>
          <w:kern w:val="24"/>
        </w:rPr>
      </w:pPr>
    </w:p>
    <w:p w:rsidR="009411EE" w:rsidRPr="009451F1" w:rsidRDefault="009411EE" w:rsidP="009411EE">
      <w:pPr>
        <w:contextualSpacing/>
        <w:jc w:val="both"/>
        <w:rPr>
          <w:rFonts w:ascii="Arial" w:hAnsi="Arial" w:cs="Arial"/>
          <w:spacing w:val="20"/>
          <w:kern w:val="24"/>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9411EE" w:rsidRDefault="009411EE">
      <w:pPr>
        <w:rPr>
          <w:rFonts w:ascii="Arial" w:eastAsia="Calibri" w:hAnsi="Arial" w:cs="Arial"/>
          <w:b/>
          <w:bCs/>
          <w:spacing w:val="20"/>
          <w:kern w:val="2"/>
          <w:lang w:eastAsia="es-MX"/>
        </w:rPr>
      </w:pPr>
      <w:r>
        <w:rPr>
          <w:rFonts w:ascii="Arial" w:eastAsia="Calibri" w:hAnsi="Arial" w:cs="Arial"/>
          <w:b/>
          <w:bCs/>
          <w:spacing w:val="20"/>
          <w:kern w:val="2"/>
          <w:lang w:eastAsia="es-MX"/>
        </w:rPr>
        <w:br w:type="page"/>
      </w:r>
    </w:p>
    <w:p w:rsidR="009411EE" w:rsidRPr="009451F1" w:rsidRDefault="009411EE" w:rsidP="009411EE">
      <w:pPr>
        <w:ind w:right="-235"/>
        <w:contextualSpacing/>
        <w:rPr>
          <w:rFonts w:ascii="Arial" w:hAnsi="Arial" w:cs="Arial"/>
          <w:b/>
          <w:color w:val="000000" w:themeColor="text1"/>
          <w:spacing w:val="20"/>
          <w:kern w:val="24"/>
        </w:rPr>
      </w:pPr>
      <w:r w:rsidRPr="009451F1">
        <w:rPr>
          <w:rFonts w:ascii="Arial" w:hAnsi="Arial" w:cs="Arial"/>
          <w:b/>
          <w:color w:val="000000" w:themeColor="text1"/>
          <w:spacing w:val="20"/>
          <w:kern w:val="24"/>
        </w:rPr>
        <w:lastRenderedPageBreak/>
        <w:t xml:space="preserve">4.8.2.- FONDO DE APORTACIONES PARA LOS SERVICIOS DE SALUD. </w:t>
      </w:r>
    </w:p>
    <w:p w:rsidR="009411EE" w:rsidRPr="009451F1" w:rsidRDefault="009411EE" w:rsidP="009411EE">
      <w:pPr>
        <w:contextualSpacing/>
        <w:jc w:val="both"/>
        <w:rPr>
          <w:rFonts w:ascii="Arial" w:hAnsi="Arial" w:cs="Arial"/>
          <w:color w:val="000000" w:themeColor="text1"/>
          <w:spacing w:val="20"/>
          <w:kern w:val="24"/>
        </w:rPr>
      </w:pPr>
    </w:p>
    <w:p w:rsid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t>El Fondo de Aportaciones para los Servicios de Salud es el segundo de los siete fondos contemplados en la Ley de Coordinación Fiscal e identificados en el Presupuesto de Egresos de la Federación como Ramo 33; estos recursos son aplicados exclusivamente para la prestación de los servicios de salud, en los términos de los artículos 3, 13, y 18 de la Ley General de Salud vigente en el ejercicio que se informa.</w:t>
      </w:r>
    </w:p>
    <w:p w:rsidR="00B53F64" w:rsidRPr="00B53F64" w:rsidRDefault="00B53F64" w:rsidP="00B53F64">
      <w:pPr>
        <w:contextualSpacing/>
        <w:jc w:val="both"/>
        <w:rPr>
          <w:rFonts w:ascii="Arial" w:eastAsia="Calibri" w:hAnsi="Arial" w:cs="Arial"/>
          <w:bCs/>
          <w:spacing w:val="20"/>
          <w:kern w:val="2"/>
          <w:lang w:eastAsia="es-MX"/>
        </w:rPr>
      </w:pPr>
    </w:p>
    <w:p w:rsid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t>Como institución operadora de este Fondo en el Estado de Oaxaca fue creado el organismo público descentralizado denominado Servicios de Salud de Oaxaca, derivado de la suscripción del Acuerdo de Coordinación para la Descentralización Integral de los Servicios de Salud, con la Secretaría de Salud federal</w:t>
      </w:r>
    </w:p>
    <w:p w:rsidR="00B53F64" w:rsidRPr="00B53F64" w:rsidRDefault="00B53F64" w:rsidP="00B53F64">
      <w:pPr>
        <w:contextualSpacing/>
        <w:jc w:val="both"/>
        <w:rPr>
          <w:rFonts w:ascii="Arial" w:eastAsia="Calibri" w:hAnsi="Arial" w:cs="Arial"/>
          <w:bCs/>
          <w:spacing w:val="20"/>
          <w:kern w:val="2"/>
          <w:lang w:eastAsia="es-MX"/>
        </w:rPr>
      </w:pPr>
    </w:p>
    <w:p w:rsid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t>Brindar los servicios de salud a toda la población y mejorar la calidad de los mismos, ha sido uno de los propósitos prioritarios del Gobierno del Estado, atendiendo siempre los problemas de salud y a los factores que condicionen y causen daños a la misma, con especial interés en las acciones preventivas, consulta externa, campañas epidemiológicas a la población abierta y hospitalización, otorgando la atención a través de unidades médicas de primer nivel, apoyadas con hospitales generales e integrales en todas las regiones del Estado, en el ánimo de hacer cada vez más accesibles los servicios en este rubro.</w:t>
      </w:r>
    </w:p>
    <w:p w:rsidR="00B53F64" w:rsidRPr="00B53F64" w:rsidRDefault="00B53F64" w:rsidP="00B53F64">
      <w:pPr>
        <w:contextualSpacing/>
        <w:jc w:val="both"/>
        <w:rPr>
          <w:rFonts w:ascii="Arial" w:eastAsia="Calibri" w:hAnsi="Arial" w:cs="Arial"/>
          <w:bCs/>
          <w:spacing w:val="20"/>
          <w:kern w:val="2"/>
          <w:lang w:eastAsia="es-MX"/>
        </w:rPr>
      </w:pPr>
    </w:p>
    <w:p w:rsidR="00B53F64" w:rsidRP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t xml:space="preserve">Para el ejercicio 2015 se recibieron </w:t>
      </w:r>
      <w:r>
        <w:rPr>
          <w:rFonts w:ascii="Arial" w:eastAsia="Calibri" w:hAnsi="Arial" w:cs="Arial"/>
          <w:bCs/>
          <w:spacing w:val="20"/>
          <w:kern w:val="2"/>
          <w:lang w:eastAsia="es-MX"/>
        </w:rPr>
        <w:t>3</w:t>
      </w:r>
      <w:r w:rsidRPr="00B53F64">
        <w:rPr>
          <w:rFonts w:ascii="Arial" w:eastAsia="Calibri" w:hAnsi="Arial" w:cs="Arial"/>
          <w:bCs/>
          <w:spacing w:val="20"/>
          <w:kern w:val="2"/>
          <w:lang w:eastAsia="es-MX"/>
        </w:rPr>
        <w:t xml:space="preserve"> mil </w:t>
      </w:r>
      <w:r>
        <w:rPr>
          <w:rFonts w:ascii="Arial" w:eastAsia="Calibri" w:hAnsi="Arial" w:cs="Arial"/>
          <w:bCs/>
          <w:spacing w:val="20"/>
          <w:kern w:val="2"/>
          <w:lang w:eastAsia="es-MX"/>
        </w:rPr>
        <w:t>994</w:t>
      </w:r>
      <w:r w:rsidRPr="00B53F64">
        <w:rPr>
          <w:rFonts w:ascii="Arial" w:eastAsia="Calibri" w:hAnsi="Arial" w:cs="Arial"/>
          <w:bCs/>
          <w:spacing w:val="20"/>
          <w:kern w:val="2"/>
          <w:lang w:eastAsia="es-MX"/>
        </w:rPr>
        <w:t xml:space="preserve"> millones </w:t>
      </w:r>
      <w:r>
        <w:rPr>
          <w:rFonts w:ascii="Arial" w:eastAsia="Calibri" w:hAnsi="Arial" w:cs="Arial"/>
          <w:bCs/>
          <w:spacing w:val="20"/>
          <w:kern w:val="2"/>
          <w:lang w:eastAsia="es-MX"/>
        </w:rPr>
        <w:t>214</w:t>
      </w:r>
      <w:r w:rsidRPr="00B53F64">
        <w:rPr>
          <w:rFonts w:ascii="Arial" w:eastAsia="Calibri" w:hAnsi="Arial" w:cs="Arial"/>
          <w:bCs/>
          <w:spacing w:val="20"/>
          <w:kern w:val="2"/>
          <w:lang w:eastAsia="es-MX"/>
        </w:rPr>
        <w:t xml:space="preserve"> mil pesos y se ejercieron </w:t>
      </w:r>
      <w:r>
        <w:rPr>
          <w:rFonts w:ascii="Arial" w:eastAsia="Calibri" w:hAnsi="Arial" w:cs="Arial"/>
          <w:bCs/>
          <w:spacing w:val="20"/>
          <w:kern w:val="2"/>
          <w:lang w:eastAsia="es-MX"/>
        </w:rPr>
        <w:t>5</w:t>
      </w:r>
      <w:r w:rsidRPr="00B53F64">
        <w:rPr>
          <w:rFonts w:ascii="Arial" w:eastAsia="Calibri" w:hAnsi="Arial" w:cs="Arial"/>
          <w:bCs/>
          <w:spacing w:val="20"/>
          <w:kern w:val="2"/>
          <w:lang w:eastAsia="es-MX"/>
        </w:rPr>
        <w:t xml:space="preserve"> mil </w:t>
      </w:r>
      <w:r>
        <w:rPr>
          <w:rFonts w:ascii="Arial" w:eastAsia="Calibri" w:hAnsi="Arial" w:cs="Arial"/>
          <w:bCs/>
          <w:spacing w:val="20"/>
          <w:kern w:val="2"/>
          <w:lang w:eastAsia="es-MX"/>
        </w:rPr>
        <w:t>97</w:t>
      </w:r>
      <w:r w:rsidRPr="00B53F64">
        <w:rPr>
          <w:rFonts w:ascii="Arial" w:eastAsia="Calibri" w:hAnsi="Arial" w:cs="Arial"/>
          <w:bCs/>
          <w:spacing w:val="20"/>
          <w:kern w:val="2"/>
          <w:lang w:eastAsia="es-MX"/>
        </w:rPr>
        <w:t xml:space="preserve"> millones </w:t>
      </w:r>
      <w:r>
        <w:rPr>
          <w:rFonts w:ascii="Arial" w:eastAsia="Calibri" w:hAnsi="Arial" w:cs="Arial"/>
          <w:bCs/>
          <w:spacing w:val="20"/>
          <w:kern w:val="2"/>
          <w:lang w:eastAsia="es-MX"/>
        </w:rPr>
        <w:t xml:space="preserve">429 </w:t>
      </w:r>
      <w:r w:rsidRPr="00B53F64">
        <w:rPr>
          <w:rFonts w:ascii="Arial" w:eastAsia="Calibri" w:hAnsi="Arial" w:cs="Arial"/>
          <w:bCs/>
          <w:spacing w:val="20"/>
          <w:kern w:val="2"/>
          <w:lang w:eastAsia="es-MX"/>
        </w:rPr>
        <w:t xml:space="preserve">pesos lo cual arroja un déficit para este ejercicio por un mil </w:t>
      </w:r>
      <w:r>
        <w:rPr>
          <w:rFonts w:ascii="Arial" w:eastAsia="Calibri" w:hAnsi="Arial" w:cs="Arial"/>
          <w:bCs/>
          <w:spacing w:val="20"/>
          <w:kern w:val="2"/>
          <w:lang w:eastAsia="es-MX"/>
        </w:rPr>
        <w:t xml:space="preserve">103 </w:t>
      </w:r>
      <w:r w:rsidRPr="00B53F64">
        <w:rPr>
          <w:rFonts w:ascii="Arial" w:eastAsia="Calibri" w:hAnsi="Arial" w:cs="Arial"/>
          <w:bCs/>
          <w:spacing w:val="20"/>
          <w:kern w:val="2"/>
          <w:lang w:eastAsia="es-MX"/>
        </w:rPr>
        <w:t xml:space="preserve">millones </w:t>
      </w:r>
      <w:r>
        <w:rPr>
          <w:rFonts w:ascii="Arial" w:eastAsia="Calibri" w:hAnsi="Arial" w:cs="Arial"/>
          <w:bCs/>
          <w:spacing w:val="20"/>
          <w:kern w:val="2"/>
          <w:lang w:eastAsia="es-MX"/>
        </w:rPr>
        <w:t>514</w:t>
      </w:r>
      <w:r w:rsidRPr="00B53F64">
        <w:rPr>
          <w:rFonts w:ascii="Arial" w:eastAsia="Calibri" w:hAnsi="Arial" w:cs="Arial"/>
          <w:bCs/>
          <w:spacing w:val="20"/>
          <w:kern w:val="2"/>
          <w:lang w:eastAsia="es-MX"/>
        </w:rPr>
        <w:t xml:space="preserve"> mil</w:t>
      </w:r>
      <w:r>
        <w:rPr>
          <w:rFonts w:ascii="Arial" w:eastAsia="Calibri" w:hAnsi="Arial" w:cs="Arial"/>
          <w:bCs/>
          <w:spacing w:val="20"/>
          <w:kern w:val="2"/>
          <w:lang w:eastAsia="es-MX"/>
        </w:rPr>
        <w:t xml:space="preserve"> 790 </w:t>
      </w:r>
      <w:r w:rsidRPr="00B53F64">
        <w:rPr>
          <w:rFonts w:ascii="Arial" w:eastAsia="Calibri" w:hAnsi="Arial" w:cs="Arial"/>
          <w:bCs/>
          <w:spacing w:val="20"/>
          <w:kern w:val="2"/>
          <w:lang w:eastAsia="es-MX"/>
        </w:rPr>
        <w:t xml:space="preserve">pesos, los que sumados al déficit generado en el ejercicio inmediato anterior por un mil </w:t>
      </w:r>
      <w:r>
        <w:rPr>
          <w:rFonts w:ascii="Arial" w:eastAsia="Calibri" w:hAnsi="Arial" w:cs="Arial"/>
          <w:bCs/>
          <w:spacing w:val="20"/>
          <w:kern w:val="2"/>
          <w:lang w:eastAsia="es-MX"/>
        </w:rPr>
        <w:t>133 millone</w:t>
      </w:r>
      <w:r w:rsidRPr="00B53F64">
        <w:rPr>
          <w:rFonts w:ascii="Arial" w:eastAsia="Calibri" w:hAnsi="Arial" w:cs="Arial"/>
          <w:bCs/>
          <w:spacing w:val="20"/>
          <w:kern w:val="2"/>
          <w:lang w:eastAsia="es-MX"/>
        </w:rPr>
        <w:t xml:space="preserve">s </w:t>
      </w:r>
      <w:r>
        <w:rPr>
          <w:rFonts w:ascii="Arial" w:eastAsia="Calibri" w:hAnsi="Arial" w:cs="Arial"/>
          <w:bCs/>
          <w:spacing w:val="20"/>
          <w:kern w:val="2"/>
          <w:lang w:eastAsia="es-MX"/>
        </w:rPr>
        <w:t>934</w:t>
      </w:r>
      <w:r w:rsidRPr="00B53F64">
        <w:rPr>
          <w:rFonts w:ascii="Arial" w:eastAsia="Calibri" w:hAnsi="Arial" w:cs="Arial"/>
          <w:bCs/>
          <w:spacing w:val="20"/>
          <w:kern w:val="2"/>
          <w:lang w:eastAsia="es-MX"/>
        </w:rPr>
        <w:t xml:space="preserve"> mil pesos, arroja un saldo deficitario acumulado de </w:t>
      </w:r>
      <w:r>
        <w:rPr>
          <w:rFonts w:ascii="Arial" w:eastAsia="Calibri" w:hAnsi="Arial" w:cs="Arial"/>
          <w:bCs/>
          <w:spacing w:val="20"/>
          <w:kern w:val="2"/>
          <w:lang w:eastAsia="es-MX"/>
        </w:rPr>
        <w:t>2</w:t>
      </w:r>
      <w:r w:rsidRPr="00B53F64">
        <w:rPr>
          <w:rFonts w:ascii="Arial" w:eastAsia="Calibri" w:hAnsi="Arial" w:cs="Arial"/>
          <w:bCs/>
          <w:spacing w:val="20"/>
          <w:kern w:val="2"/>
          <w:lang w:eastAsia="es-MX"/>
        </w:rPr>
        <w:t xml:space="preserve"> mil </w:t>
      </w:r>
      <w:r>
        <w:rPr>
          <w:rFonts w:ascii="Arial" w:eastAsia="Calibri" w:hAnsi="Arial" w:cs="Arial"/>
          <w:bCs/>
          <w:spacing w:val="20"/>
          <w:kern w:val="2"/>
          <w:lang w:eastAsia="es-MX"/>
        </w:rPr>
        <w:t>237</w:t>
      </w:r>
      <w:r w:rsidRPr="00B53F64">
        <w:rPr>
          <w:rFonts w:ascii="Arial" w:eastAsia="Calibri" w:hAnsi="Arial" w:cs="Arial"/>
          <w:bCs/>
          <w:spacing w:val="20"/>
          <w:kern w:val="2"/>
          <w:lang w:eastAsia="es-MX"/>
        </w:rPr>
        <w:t xml:space="preserve"> millones </w:t>
      </w:r>
      <w:r>
        <w:rPr>
          <w:rFonts w:ascii="Arial" w:eastAsia="Calibri" w:hAnsi="Arial" w:cs="Arial"/>
          <w:bCs/>
          <w:spacing w:val="20"/>
          <w:kern w:val="2"/>
          <w:lang w:eastAsia="es-MX"/>
        </w:rPr>
        <w:t>149</w:t>
      </w:r>
      <w:r w:rsidRPr="00B53F64">
        <w:rPr>
          <w:rFonts w:ascii="Arial" w:eastAsia="Calibri" w:hAnsi="Arial" w:cs="Arial"/>
          <w:bCs/>
          <w:spacing w:val="20"/>
          <w:kern w:val="2"/>
          <w:lang w:eastAsia="es-MX"/>
        </w:rPr>
        <w:t xml:space="preserve"> mil pesos.</w:t>
      </w:r>
    </w:p>
    <w:p w:rsidR="009411EE" w:rsidRPr="009451F1" w:rsidRDefault="009411EE" w:rsidP="009411EE">
      <w:pPr>
        <w:contextualSpacing/>
        <w:jc w:val="both"/>
        <w:rPr>
          <w:rFonts w:ascii="Arial" w:hAnsi="Arial" w:cs="Arial"/>
          <w:color w:val="FF0000"/>
          <w:spacing w:val="20"/>
          <w:kern w:val="24"/>
        </w:rPr>
      </w:pPr>
    </w:p>
    <w:p w:rsidR="009411EE" w:rsidRDefault="009411EE" w:rsidP="009411EE">
      <w:pPr>
        <w:contextualSpacing/>
        <w:jc w:val="center"/>
      </w:pPr>
    </w:p>
    <w:p w:rsidR="00410442" w:rsidRPr="009451F1" w:rsidRDefault="00410442" w:rsidP="009411EE">
      <w:pPr>
        <w:contextualSpacing/>
        <w:jc w:val="center"/>
      </w:pPr>
    </w:p>
    <w:p w:rsidR="009411EE" w:rsidRPr="009451F1" w:rsidRDefault="009411EE" w:rsidP="009411EE">
      <w:pPr>
        <w:contextualSpacing/>
        <w:jc w:val="center"/>
      </w:pPr>
      <w:r w:rsidRPr="009451F1">
        <w:rPr>
          <w:noProof/>
          <w:lang w:val="es-MX" w:eastAsia="es-MX"/>
        </w:rPr>
        <w:lastRenderedPageBreak/>
        <w:drawing>
          <wp:inline distT="0" distB="0" distL="0" distR="0">
            <wp:extent cx="5337810" cy="2764155"/>
            <wp:effectExtent l="19050" t="0" r="0" b="0"/>
            <wp:docPr id="2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5337810" cy="2764155"/>
                    </a:xfrm>
                    <a:prstGeom prst="rect">
                      <a:avLst/>
                    </a:prstGeom>
                    <a:noFill/>
                    <a:ln w="9525">
                      <a:noFill/>
                      <a:miter lim="800000"/>
                      <a:headEnd/>
                      <a:tailEnd/>
                    </a:ln>
                  </pic:spPr>
                </pic:pic>
              </a:graphicData>
            </a:graphic>
          </wp:inline>
        </w:drawing>
      </w:r>
    </w:p>
    <w:p w:rsidR="00B53F64" w:rsidRDefault="00B53F64" w:rsidP="009411EE">
      <w:pPr>
        <w:rPr>
          <w:rFonts w:ascii="Arial" w:hAnsi="Arial" w:cs="Arial"/>
          <w:b/>
          <w:spacing w:val="20"/>
          <w:kern w:val="24"/>
          <w:highlight w:val="yellow"/>
        </w:rPr>
      </w:pPr>
    </w:p>
    <w:p w:rsidR="00B53F64" w:rsidRDefault="00B53F64" w:rsidP="009411EE">
      <w:pPr>
        <w:rPr>
          <w:rFonts w:ascii="Arial" w:hAnsi="Arial" w:cs="Arial"/>
          <w:b/>
          <w:spacing w:val="20"/>
          <w:kern w:val="24"/>
          <w:highlight w:val="yellow"/>
        </w:rPr>
      </w:pPr>
    </w:p>
    <w:p w:rsidR="00410442" w:rsidRDefault="00410442" w:rsidP="009411EE">
      <w:pPr>
        <w:rPr>
          <w:rFonts w:ascii="Arial" w:hAnsi="Arial" w:cs="Arial"/>
          <w:b/>
          <w:spacing w:val="20"/>
          <w:kern w:val="24"/>
          <w:highlight w:val="yellow"/>
        </w:rPr>
      </w:pPr>
    </w:p>
    <w:p w:rsidR="00410442" w:rsidRDefault="00410442" w:rsidP="009411EE">
      <w:pPr>
        <w:rPr>
          <w:rFonts w:ascii="Arial" w:hAnsi="Arial" w:cs="Arial"/>
          <w:b/>
          <w:spacing w:val="20"/>
          <w:kern w:val="24"/>
          <w:highlight w:val="yellow"/>
        </w:rPr>
      </w:pPr>
    </w:p>
    <w:tbl>
      <w:tblPr>
        <w:tblW w:w="6380" w:type="dxa"/>
        <w:jc w:val="center"/>
        <w:tblInd w:w="55" w:type="dxa"/>
        <w:tblCellMar>
          <w:left w:w="70" w:type="dxa"/>
          <w:right w:w="70" w:type="dxa"/>
        </w:tblCellMar>
        <w:tblLook w:val="04A0"/>
      </w:tblPr>
      <w:tblGrid>
        <w:gridCol w:w="4300"/>
        <w:gridCol w:w="2080"/>
      </w:tblGrid>
      <w:tr w:rsidR="00CF3C49" w:rsidRPr="00CF3C49" w:rsidTr="00CF3C49">
        <w:trPr>
          <w:trHeight w:val="255"/>
          <w:jc w:val="center"/>
        </w:trPr>
        <w:tc>
          <w:tcPr>
            <w:tcW w:w="6380" w:type="dxa"/>
            <w:gridSpan w:val="2"/>
            <w:tcBorders>
              <w:top w:val="nil"/>
              <w:left w:val="nil"/>
              <w:bottom w:val="nil"/>
              <w:right w:val="nil"/>
            </w:tcBorders>
            <w:shd w:val="clear" w:color="auto" w:fill="auto"/>
            <w:noWrap/>
            <w:vAlign w:val="bottom"/>
            <w:hideMark/>
          </w:tcPr>
          <w:p w:rsidR="00CF3C49" w:rsidRPr="00CF3C49" w:rsidRDefault="00CF3C49" w:rsidP="00CF3C49">
            <w:pPr>
              <w:jc w:val="center"/>
              <w:rPr>
                <w:rFonts w:ascii="Arial" w:hAnsi="Arial" w:cs="Arial"/>
                <w:b/>
                <w:bCs/>
                <w:color w:val="000000"/>
                <w:sz w:val="20"/>
                <w:szCs w:val="20"/>
                <w:lang w:val="es-MX" w:eastAsia="es-MX"/>
              </w:rPr>
            </w:pPr>
            <w:proofErr w:type="spellStart"/>
            <w:r w:rsidRPr="00CF3C49">
              <w:rPr>
                <w:rFonts w:ascii="Arial" w:hAnsi="Arial" w:cs="Arial"/>
                <w:b/>
                <w:bCs/>
                <w:color w:val="000000"/>
                <w:sz w:val="20"/>
                <w:szCs w:val="20"/>
                <w:lang w:val="es-MX" w:eastAsia="es-MX"/>
              </w:rPr>
              <w:t>Deficit</w:t>
            </w:r>
            <w:proofErr w:type="spellEnd"/>
            <w:r w:rsidRPr="00CF3C49">
              <w:rPr>
                <w:rFonts w:ascii="Arial" w:hAnsi="Arial" w:cs="Arial"/>
                <w:b/>
                <w:bCs/>
                <w:color w:val="000000"/>
                <w:sz w:val="20"/>
                <w:szCs w:val="20"/>
                <w:lang w:val="es-MX" w:eastAsia="es-MX"/>
              </w:rPr>
              <w:t xml:space="preserve"> del Fondo de Aportaciones para Servicios de Salud</w:t>
            </w:r>
          </w:p>
        </w:tc>
      </w:tr>
      <w:tr w:rsidR="00CF3C49" w:rsidRPr="00CF3C49" w:rsidTr="00CF3C49">
        <w:trPr>
          <w:trHeight w:val="225"/>
          <w:jc w:val="center"/>
        </w:trPr>
        <w:tc>
          <w:tcPr>
            <w:tcW w:w="430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c>
          <w:tcPr>
            <w:tcW w:w="208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r>
      <w:tr w:rsidR="00CF3C49" w:rsidRPr="00CF3C49" w:rsidTr="00CF3C49">
        <w:trPr>
          <w:trHeight w:val="405"/>
          <w:jc w:val="center"/>
        </w:trPr>
        <w:tc>
          <w:tcPr>
            <w:tcW w:w="4300" w:type="dxa"/>
            <w:tcBorders>
              <w:top w:val="nil"/>
              <w:left w:val="nil"/>
              <w:bottom w:val="nil"/>
              <w:right w:val="nil"/>
            </w:tcBorders>
            <w:shd w:val="clear" w:color="000000" w:fill="E46D0A"/>
            <w:vAlign w:val="center"/>
            <w:hideMark/>
          </w:tcPr>
          <w:p w:rsidR="00CF3C49" w:rsidRPr="00CF3C49" w:rsidRDefault="00CF3C49" w:rsidP="00CF3C49">
            <w:pPr>
              <w:jc w:val="center"/>
              <w:rPr>
                <w:rFonts w:ascii="Arial" w:hAnsi="Arial" w:cs="Arial"/>
                <w:color w:val="FFFFFF"/>
                <w:sz w:val="16"/>
                <w:szCs w:val="16"/>
                <w:lang w:val="es-MX" w:eastAsia="es-MX"/>
              </w:rPr>
            </w:pPr>
            <w:r w:rsidRPr="00CF3C49">
              <w:rPr>
                <w:rFonts w:ascii="Arial" w:hAnsi="Arial" w:cs="Arial"/>
                <w:color w:val="FFFFFF"/>
                <w:sz w:val="16"/>
                <w:szCs w:val="16"/>
                <w:lang w:val="es-MX" w:eastAsia="es-MX"/>
              </w:rPr>
              <w:t>concepto</w:t>
            </w:r>
          </w:p>
        </w:tc>
        <w:tc>
          <w:tcPr>
            <w:tcW w:w="2080" w:type="dxa"/>
            <w:tcBorders>
              <w:top w:val="nil"/>
              <w:left w:val="nil"/>
              <w:bottom w:val="nil"/>
              <w:right w:val="nil"/>
            </w:tcBorders>
            <w:shd w:val="clear" w:color="000000" w:fill="E46D0A"/>
            <w:vAlign w:val="center"/>
            <w:hideMark/>
          </w:tcPr>
          <w:p w:rsidR="00CF3C49" w:rsidRPr="00CF3C49" w:rsidRDefault="00CF3C49" w:rsidP="00CF3C49">
            <w:pPr>
              <w:jc w:val="center"/>
              <w:rPr>
                <w:rFonts w:ascii="Arial" w:hAnsi="Arial" w:cs="Arial"/>
                <w:color w:val="FFFFFF"/>
                <w:sz w:val="16"/>
                <w:szCs w:val="16"/>
                <w:lang w:val="es-MX" w:eastAsia="es-MX"/>
              </w:rPr>
            </w:pPr>
            <w:r w:rsidRPr="00CF3C49">
              <w:rPr>
                <w:rFonts w:ascii="Arial" w:hAnsi="Arial" w:cs="Arial"/>
                <w:color w:val="FFFFFF"/>
                <w:sz w:val="16"/>
                <w:szCs w:val="16"/>
                <w:lang w:val="es-MX" w:eastAsia="es-MX"/>
              </w:rPr>
              <w:t>pesos</w:t>
            </w:r>
          </w:p>
        </w:tc>
      </w:tr>
      <w:tr w:rsidR="00CF3C49" w:rsidRPr="00CF3C49" w:rsidTr="00CF3C49">
        <w:trPr>
          <w:trHeight w:val="105"/>
          <w:jc w:val="center"/>
        </w:trPr>
        <w:tc>
          <w:tcPr>
            <w:tcW w:w="430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c>
          <w:tcPr>
            <w:tcW w:w="208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r>
      <w:tr w:rsidR="00CF3C49" w:rsidRPr="00CF3C49" w:rsidTr="00CF3C49">
        <w:trPr>
          <w:trHeight w:val="375"/>
          <w:jc w:val="center"/>
        </w:trPr>
        <w:tc>
          <w:tcPr>
            <w:tcW w:w="43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r w:rsidRPr="00CF3C49">
              <w:rPr>
                <w:rFonts w:ascii="Arial" w:hAnsi="Arial" w:cs="Arial"/>
                <w:color w:val="000000"/>
                <w:sz w:val="16"/>
                <w:szCs w:val="16"/>
                <w:lang w:val="es-MX" w:eastAsia="es-MX"/>
              </w:rPr>
              <w:t>Déficit en servicios personales 2015</w:t>
            </w:r>
          </w:p>
        </w:tc>
        <w:tc>
          <w:tcPr>
            <w:tcW w:w="2080" w:type="dxa"/>
            <w:tcBorders>
              <w:top w:val="single" w:sz="4" w:space="0" w:color="auto"/>
              <w:left w:val="nil"/>
              <w:bottom w:val="single" w:sz="4" w:space="0" w:color="auto"/>
              <w:right w:val="single" w:sz="4" w:space="0" w:color="auto"/>
            </w:tcBorders>
            <w:shd w:val="clear" w:color="auto" w:fill="auto"/>
            <w:vAlign w:val="bottom"/>
            <w:hideMark/>
          </w:tcPr>
          <w:p w:rsidR="00CF3C49" w:rsidRPr="00CF3C49" w:rsidRDefault="00CF3C49" w:rsidP="00CF3C49">
            <w:pPr>
              <w:jc w:val="right"/>
              <w:rPr>
                <w:rFonts w:ascii="Arial" w:hAnsi="Arial" w:cs="Arial"/>
                <w:color w:val="000000"/>
                <w:sz w:val="16"/>
                <w:szCs w:val="16"/>
                <w:lang w:val="es-MX" w:eastAsia="es-MX"/>
              </w:rPr>
            </w:pPr>
            <w:r w:rsidRPr="00CF3C49">
              <w:rPr>
                <w:rFonts w:ascii="Arial" w:hAnsi="Arial" w:cs="Arial"/>
                <w:color w:val="000000"/>
                <w:sz w:val="16"/>
                <w:szCs w:val="16"/>
                <w:lang w:val="es-MX" w:eastAsia="es-MX"/>
              </w:rPr>
              <w:t>1,103,214,790.18</w:t>
            </w:r>
          </w:p>
        </w:tc>
      </w:tr>
      <w:tr w:rsidR="00CF3C49" w:rsidRPr="00CF3C49" w:rsidTr="00CF3C49">
        <w:trPr>
          <w:trHeight w:val="375"/>
          <w:jc w:val="center"/>
        </w:trPr>
        <w:tc>
          <w:tcPr>
            <w:tcW w:w="4300" w:type="dxa"/>
            <w:tcBorders>
              <w:top w:val="nil"/>
              <w:left w:val="single" w:sz="4" w:space="0" w:color="auto"/>
              <w:bottom w:val="single" w:sz="4" w:space="0" w:color="auto"/>
              <w:right w:val="single" w:sz="4" w:space="0" w:color="auto"/>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r w:rsidRPr="00CF3C49">
              <w:rPr>
                <w:rFonts w:ascii="Arial" w:hAnsi="Arial" w:cs="Arial"/>
                <w:color w:val="000000"/>
                <w:sz w:val="16"/>
                <w:szCs w:val="16"/>
                <w:lang w:val="es-MX" w:eastAsia="es-MX"/>
              </w:rPr>
              <w:t>Déficit operación 2015</w:t>
            </w:r>
          </w:p>
        </w:tc>
        <w:tc>
          <w:tcPr>
            <w:tcW w:w="2080" w:type="dxa"/>
            <w:tcBorders>
              <w:top w:val="nil"/>
              <w:left w:val="nil"/>
              <w:bottom w:val="single" w:sz="4" w:space="0" w:color="auto"/>
              <w:right w:val="single" w:sz="4" w:space="0" w:color="auto"/>
            </w:tcBorders>
            <w:shd w:val="clear" w:color="auto" w:fill="auto"/>
            <w:vAlign w:val="bottom"/>
            <w:hideMark/>
          </w:tcPr>
          <w:p w:rsidR="00CF3C49" w:rsidRPr="00CF3C49" w:rsidRDefault="00CF3C49" w:rsidP="00CF3C49">
            <w:pPr>
              <w:jc w:val="right"/>
              <w:rPr>
                <w:rFonts w:ascii="Arial" w:hAnsi="Arial" w:cs="Arial"/>
                <w:color w:val="000000"/>
                <w:sz w:val="16"/>
                <w:szCs w:val="16"/>
                <w:lang w:val="es-MX" w:eastAsia="es-MX"/>
              </w:rPr>
            </w:pPr>
            <w:r w:rsidRPr="00CF3C49">
              <w:rPr>
                <w:rFonts w:ascii="Arial" w:hAnsi="Arial" w:cs="Arial"/>
                <w:color w:val="000000"/>
                <w:sz w:val="16"/>
                <w:szCs w:val="16"/>
                <w:lang w:val="es-MX" w:eastAsia="es-MX"/>
              </w:rPr>
              <w:t>88,622,382.37</w:t>
            </w:r>
          </w:p>
        </w:tc>
      </w:tr>
      <w:tr w:rsidR="00CF3C49" w:rsidRPr="00CF3C49" w:rsidTr="00CF3C49">
        <w:trPr>
          <w:trHeight w:val="465"/>
          <w:jc w:val="center"/>
        </w:trPr>
        <w:tc>
          <w:tcPr>
            <w:tcW w:w="4300" w:type="dxa"/>
            <w:tcBorders>
              <w:top w:val="nil"/>
              <w:left w:val="single" w:sz="4" w:space="0" w:color="auto"/>
              <w:bottom w:val="single" w:sz="4" w:space="0" w:color="auto"/>
              <w:right w:val="single" w:sz="4" w:space="0" w:color="auto"/>
            </w:tcBorders>
            <w:shd w:val="clear" w:color="000000" w:fill="D7E4BC"/>
            <w:vAlign w:val="center"/>
            <w:hideMark/>
          </w:tcPr>
          <w:p w:rsidR="00CF3C49" w:rsidRPr="00CF3C49" w:rsidRDefault="00CF3C49" w:rsidP="00CF3C49">
            <w:pPr>
              <w:rPr>
                <w:rFonts w:ascii="Arial" w:hAnsi="Arial" w:cs="Arial"/>
                <w:color w:val="000000"/>
                <w:sz w:val="16"/>
                <w:szCs w:val="16"/>
                <w:lang w:val="es-MX" w:eastAsia="es-MX"/>
              </w:rPr>
            </w:pPr>
            <w:r w:rsidRPr="00CF3C49">
              <w:rPr>
                <w:rFonts w:ascii="Arial" w:hAnsi="Arial" w:cs="Arial"/>
                <w:color w:val="000000"/>
                <w:sz w:val="16"/>
                <w:szCs w:val="16"/>
                <w:lang w:val="es-MX" w:eastAsia="es-MX"/>
              </w:rPr>
              <w:t>Total Déficit al cierre 2015</w:t>
            </w:r>
          </w:p>
        </w:tc>
        <w:tc>
          <w:tcPr>
            <w:tcW w:w="2080" w:type="dxa"/>
            <w:tcBorders>
              <w:top w:val="nil"/>
              <w:left w:val="nil"/>
              <w:bottom w:val="single" w:sz="4" w:space="0" w:color="auto"/>
              <w:right w:val="single" w:sz="4" w:space="0" w:color="auto"/>
            </w:tcBorders>
            <w:shd w:val="clear" w:color="000000" w:fill="D7E4BC"/>
            <w:vAlign w:val="center"/>
            <w:hideMark/>
          </w:tcPr>
          <w:p w:rsidR="00CF3C49" w:rsidRPr="00CF3C49" w:rsidRDefault="00CF3C49" w:rsidP="00CF3C49">
            <w:pPr>
              <w:jc w:val="right"/>
              <w:rPr>
                <w:rFonts w:ascii="Arial" w:hAnsi="Arial" w:cs="Arial"/>
                <w:color w:val="000000"/>
                <w:sz w:val="16"/>
                <w:szCs w:val="16"/>
                <w:lang w:val="es-MX" w:eastAsia="es-MX"/>
              </w:rPr>
            </w:pPr>
            <w:r w:rsidRPr="00CF3C49">
              <w:rPr>
                <w:rFonts w:ascii="Arial" w:hAnsi="Arial" w:cs="Arial"/>
                <w:color w:val="000000"/>
                <w:sz w:val="16"/>
                <w:szCs w:val="16"/>
                <w:lang w:val="es-MX" w:eastAsia="es-MX"/>
              </w:rPr>
              <w:t>1,191,837,172.55</w:t>
            </w:r>
          </w:p>
        </w:tc>
      </w:tr>
      <w:tr w:rsidR="00CF3C49" w:rsidRPr="00CF3C49" w:rsidTr="00CF3C49">
        <w:trPr>
          <w:trHeight w:val="225"/>
          <w:jc w:val="center"/>
        </w:trPr>
        <w:tc>
          <w:tcPr>
            <w:tcW w:w="430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c>
          <w:tcPr>
            <w:tcW w:w="208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r>
      <w:tr w:rsidR="00CF3C49" w:rsidRPr="00CF3C49" w:rsidTr="00CF3C49">
        <w:trPr>
          <w:trHeight w:val="225"/>
          <w:jc w:val="center"/>
        </w:trPr>
        <w:tc>
          <w:tcPr>
            <w:tcW w:w="430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c>
          <w:tcPr>
            <w:tcW w:w="208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r>
      <w:tr w:rsidR="00CF3C49" w:rsidRPr="00CF3C49" w:rsidTr="00CF3C49">
        <w:trPr>
          <w:trHeight w:val="390"/>
          <w:jc w:val="center"/>
        </w:trPr>
        <w:tc>
          <w:tcPr>
            <w:tcW w:w="4300" w:type="dxa"/>
            <w:tcBorders>
              <w:top w:val="nil"/>
              <w:left w:val="nil"/>
              <w:bottom w:val="nil"/>
              <w:right w:val="nil"/>
            </w:tcBorders>
            <w:shd w:val="clear" w:color="000000" w:fill="E46D0A"/>
            <w:vAlign w:val="center"/>
            <w:hideMark/>
          </w:tcPr>
          <w:p w:rsidR="00CF3C49" w:rsidRPr="00CF3C49" w:rsidRDefault="00CF3C49" w:rsidP="00CF3C49">
            <w:pPr>
              <w:jc w:val="center"/>
              <w:rPr>
                <w:rFonts w:ascii="Arial" w:hAnsi="Arial" w:cs="Arial"/>
                <w:color w:val="FFFFFF"/>
                <w:sz w:val="16"/>
                <w:szCs w:val="16"/>
                <w:lang w:val="es-MX" w:eastAsia="es-MX"/>
              </w:rPr>
            </w:pPr>
            <w:r w:rsidRPr="00CF3C49">
              <w:rPr>
                <w:rFonts w:ascii="Arial" w:hAnsi="Arial" w:cs="Arial"/>
                <w:color w:val="FFFFFF"/>
                <w:sz w:val="16"/>
                <w:szCs w:val="16"/>
                <w:lang w:val="es-MX" w:eastAsia="es-MX"/>
              </w:rPr>
              <w:t>concepto</w:t>
            </w:r>
          </w:p>
        </w:tc>
        <w:tc>
          <w:tcPr>
            <w:tcW w:w="2080" w:type="dxa"/>
            <w:tcBorders>
              <w:top w:val="nil"/>
              <w:left w:val="nil"/>
              <w:bottom w:val="nil"/>
              <w:right w:val="nil"/>
            </w:tcBorders>
            <w:shd w:val="clear" w:color="000000" w:fill="E46D0A"/>
            <w:vAlign w:val="center"/>
            <w:hideMark/>
          </w:tcPr>
          <w:p w:rsidR="00CF3C49" w:rsidRPr="00CF3C49" w:rsidRDefault="00CF3C49" w:rsidP="00CF3C49">
            <w:pPr>
              <w:jc w:val="center"/>
              <w:rPr>
                <w:rFonts w:ascii="Arial" w:hAnsi="Arial" w:cs="Arial"/>
                <w:color w:val="FFFFFF"/>
                <w:sz w:val="16"/>
                <w:szCs w:val="16"/>
                <w:lang w:val="es-MX" w:eastAsia="es-MX"/>
              </w:rPr>
            </w:pPr>
            <w:r w:rsidRPr="00CF3C49">
              <w:rPr>
                <w:rFonts w:ascii="Arial" w:hAnsi="Arial" w:cs="Arial"/>
                <w:color w:val="FFFFFF"/>
                <w:sz w:val="16"/>
                <w:szCs w:val="16"/>
                <w:lang w:val="es-MX" w:eastAsia="es-MX"/>
              </w:rPr>
              <w:t>pesos</w:t>
            </w:r>
          </w:p>
        </w:tc>
      </w:tr>
      <w:tr w:rsidR="00CF3C49" w:rsidRPr="00CF3C49" w:rsidTr="00CF3C49">
        <w:trPr>
          <w:trHeight w:val="120"/>
          <w:jc w:val="center"/>
        </w:trPr>
        <w:tc>
          <w:tcPr>
            <w:tcW w:w="430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c>
          <w:tcPr>
            <w:tcW w:w="2080" w:type="dxa"/>
            <w:tcBorders>
              <w:top w:val="nil"/>
              <w:left w:val="nil"/>
              <w:bottom w:val="nil"/>
              <w:right w:val="nil"/>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p>
        </w:tc>
      </w:tr>
      <w:tr w:rsidR="00CF3C49" w:rsidRPr="00CF3C49" w:rsidTr="00CF3C49">
        <w:trPr>
          <w:trHeight w:val="450"/>
          <w:jc w:val="center"/>
        </w:trPr>
        <w:tc>
          <w:tcPr>
            <w:tcW w:w="43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r w:rsidRPr="00CF3C49">
              <w:rPr>
                <w:rFonts w:ascii="Arial" w:hAnsi="Arial" w:cs="Arial"/>
                <w:color w:val="000000"/>
                <w:sz w:val="16"/>
                <w:szCs w:val="16"/>
                <w:lang w:val="es-MX" w:eastAsia="es-MX"/>
              </w:rPr>
              <w:t xml:space="preserve">Déficit acumulado en </w:t>
            </w:r>
            <w:proofErr w:type="spellStart"/>
            <w:r w:rsidRPr="00CF3C49">
              <w:rPr>
                <w:rFonts w:ascii="Arial" w:hAnsi="Arial" w:cs="Arial"/>
                <w:color w:val="000000"/>
                <w:sz w:val="16"/>
                <w:szCs w:val="16"/>
                <w:lang w:val="es-MX" w:eastAsia="es-MX"/>
              </w:rPr>
              <w:t>en</w:t>
            </w:r>
            <w:proofErr w:type="spellEnd"/>
            <w:r w:rsidRPr="00CF3C49">
              <w:rPr>
                <w:rFonts w:ascii="Arial" w:hAnsi="Arial" w:cs="Arial"/>
                <w:color w:val="000000"/>
                <w:sz w:val="16"/>
                <w:szCs w:val="16"/>
                <w:lang w:val="es-MX" w:eastAsia="es-MX"/>
              </w:rPr>
              <w:t xml:space="preserve"> servicios personales al 31 de diciembre de 2015</w:t>
            </w:r>
          </w:p>
        </w:tc>
        <w:tc>
          <w:tcPr>
            <w:tcW w:w="2080" w:type="dxa"/>
            <w:tcBorders>
              <w:top w:val="single" w:sz="4" w:space="0" w:color="auto"/>
              <w:left w:val="nil"/>
              <w:bottom w:val="single" w:sz="4" w:space="0" w:color="auto"/>
              <w:right w:val="single" w:sz="4" w:space="0" w:color="auto"/>
            </w:tcBorders>
            <w:shd w:val="clear" w:color="auto" w:fill="auto"/>
            <w:vAlign w:val="bottom"/>
            <w:hideMark/>
          </w:tcPr>
          <w:p w:rsidR="00CF3C49" w:rsidRPr="00CF3C49" w:rsidRDefault="00CF3C49" w:rsidP="00CF3C49">
            <w:pPr>
              <w:jc w:val="right"/>
              <w:rPr>
                <w:rFonts w:ascii="Arial" w:hAnsi="Arial" w:cs="Arial"/>
                <w:color w:val="000000"/>
                <w:sz w:val="16"/>
                <w:szCs w:val="16"/>
                <w:lang w:val="es-MX" w:eastAsia="es-MX"/>
              </w:rPr>
            </w:pPr>
            <w:r w:rsidRPr="00CF3C49">
              <w:rPr>
                <w:rFonts w:ascii="Arial" w:hAnsi="Arial" w:cs="Arial"/>
                <w:color w:val="000000"/>
                <w:sz w:val="16"/>
                <w:szCs w:val="16"/>
                <w:lang w:val="es-MX" w:eastAsia="es-MX"/>
              </w:rPr>
              <w:t>2,237,149,283.62</w:t>
            </w:r>
          </w:p>
        </w:tc>
      </w:tr>
      <w:tr w:rsidR="00CF3C49" w:rsidRPr="00CF3C49" w:rsidTr="00CF3C49">
        <w:trPr>
          <w:trHeight w:val="225"/>
          <w:jc w:val="center"/>
        </w:trPr>
        <w:tc>
          <w:tcPr>
            <w:tcW w:w="4300" w:type="dxa"/>
            <w:tcBorders>
              <w:top w:val="nil"/>
              <w:left w:val="single" w:sz="4" w:space="0" w:color="auto"/>
              <w:bottom w:val="single" w:sz="4" w:space="0" w:color="auto"/>
              <w:right w:val="single" w:sz="4" w:space="0" w:color="auto"/>
            </w:tcBorders>
            <w:shd w:val="clear" w:color="auto" w:fill="auto"/>
            <w:vAlign w:val="bottom"/>
            <w:hideMark/>
          </w:tcPr>
          <w:p w:rsidR="00CF3C49" w:rsidRPr="00CF3C49" w:rsidRDefault="00CF3C49" w:rsidP="00CF3C49">
            <w:pPr>
              <w:rPr>
                <w:rFonts w:ascii="Arial" w:hAnsi="Arial" w:cs="Arial"/>
                <w:color w:val="000000"/>
                <w:sz w:val="16"/>
                <w:szCs w:val="16"/>
                <w:lang w:val="es-MX" w:eastAsia="es-MX"/>
              </w:rPr>
            </w:pPr>
            <w:r w:rsidRPr="00CF3C49">
              <w:rPr>
                <w:rFonts w:ascii="Arial" w:hAnsi="Arial" w:cs="Arial"/>
                <w:color w:val="000000"/>
                <w:sz w:val="16"/>
                <w:szCs w:val="16"/>
                <w:lang w:val="es-MX" w:eastAsia="es-MX"/>
              </w:rPr>
              <w:t>Déficit acumulado de operación al 31 de diciembre 2015</w:t>
            </w:r>
          </w:p>
        </w:tc>
        <w:tc>
          <w:tcPr>
            <w:tcW w:w="2080" w:type="dxa"/>
            <w:tcBorders>
              <w:top w:val="nil"/>
              <w:left w:val="nil"/>
              <w:bottom w:val="single" w:sz="4" w:space="0" w:color="auto"/>
              <w:right w:val="single" w:sz="4" w:space="0" w:color="auto"/>
            </w:tcBorders>
            <w:shd w:val="clear" w:color="auto" w:fill="auto"/>
            <w:vAlign w:val="bottom"/>
            <w:hideMark/>
          </w:tcPr>
          <w:p w:rsidR="00CF3C49" w:rsidRPr="00CF3C49" w:rsidRDefault="00CF3C49" w:rsidP="00CF3C49">
            <w:pPr>
              <w:jc w:val="right"/>
              <w:rPr>
                <w:rFonts w:ascii="Arial" w:hAnsi="Arial" w:cs="Arial"/>
                <w:color w:val="000000"/>
                <w:sz w:val="16"/>
                <w:szCs w:val="16"/>
                <w:lang w:val="es-MX" w:eastAsia="es-MX"/>
              </w:rPr>
            </w:pPr>
            <w:r w:rsidRPr="00CF3C49">
              <w:rPr>
                <w:rFonts w:ascii="Arial" w:hAnsi="Arial" w:cs="Arial"/>
                <w:color w:val="000000"/>
                <w:sz w:val="16"/>
                <w:szCs w:val="16"/>
                <w:lang w:val="es-MX" w:eastAsia="es-MX"/>
              </w:rPr>
              <w:t>88,622,382.37</w:t>
            </w:r>
          </w:p>
        </w:tc>
      </w:tr>
      <w:tr w:rsidR="00CF3C49" w:rsidRPr="00CF3C49" w:rsidTr="00CF3C49">
        <w:trPr>
          <w:trHeight w:val="480"/>
          <w:jc w:val="center"/>
        </w:trPr>
        <w:tc>
          <w:tcPr>
            <w:tcW w:w="4300" w:type="dxa"/>
            <w:tcBorders>
              <w:top w:val="nil"/>
              <w:left w:val="single" w:sz="4" w:space="0" w:color="auto"/>
              <w:bottom w:val="single" w:sz="4" w:space="0" w:color="auto"/>
              <w:right w:val="single" w:sz="4" w:space="0" w:color="auto"/>
            </w:tcBorders>
            <w:shd w:val="clear" w:color="000000" w:fill="D7E4BC"/>
            <w:vAlign w:val="center"/>
            <w:hideMark/>
          </w:tcPr>
          <w:p w:rsidR="00CF3C49" w:rsidRPr="00CF3C49" w:rsidRDefault="00CF3C49" w:rsidP="00CF3C49">
            <w:pPr>
              <w:rPr>
                <w:rFonts w:ascii="Arial" w:hAnsi="Arial" w:cs="Arial"/>
                <w:color w:val="000000"/>
                <w:sz w:val="16"/>
                <w:szCs w:val="16"/>
                <w:lang w:val="es-MX" w:eastAsia="es-MX"/>
              </w:rPr>
            </w:pPr>
            <w:r w:rsidRPr="00CF3C49">
              <w:rPr>
                <w:rFonts w:ascii="Arial" w:hAnsi="Arial" w:cs="Arial"/>
                <w:color w:val="000000"/>
                <w:sz w:val="16"/>
                <w:szCs w:val="16"/>
                <w:lang w:val="es-MX" w:eastAsia="es-MX"/>
              </w:rPr>
              <w:t>Subtotal Déficit (adeudo al cierre)</w:t>
            </w:r>
          </w:p>
        </w:tc>
        <w:tc>
          <w:tcPr>
            <w:tcW w:w="2080" w:type="dxa"/>
            <w:tcBorders>
              <w:top w:val="nil"/>
              <w:left w:val="nil"/>
              <w:bottom w:val="single" w:sz="4" w:space="0" w:color="auto"/>
              <w:right w:val="single" w:sz="4" w:space="0" w:color="auto"/>
            </w:tcBorders>
            <w:shd w:val="clear" w:color="000000" w:fill="D7E4BC"/>
            <w:vAlign w:val="center"/>
            <w:hideMark/>
          </w:tcPr>
          <w:p w:rsidR="00CF3C49" w:rsidRPr="00CF3C49" w:rsidRDefault="00CF3C49" w:rsidP="00CF3C49">
            <w:pPr>
              <w:jc w:val="right"/>
              <w:rPr>
                <w:rFonts w:ascii="Arial" w:hAnsi="Arial" w:cs="Arial"/>
                <w:color w:val="000000"/>
                <w:sz w:val="16"/>
                <w:szCs w:val="16"/>
                <w:lang w:val="es-MX" w:eastAsia="es-MX"/>
              </w:rPr>
            </w:pPr>
            <w:r w:rsidRPr="00CF3C49">
              <w:rPr>
                <w:rFonts w:ascii="Arial" w:hAnsi="Arial" w:cs="Arial"/>
                <w:color w:val="000000"/>
                <w:sz w:val="16"/>
                <w:szCs w:val="16"/>
                <w:lang w:val="es-MX" w:eastAsia="es-MX"/>
              </w:rPr>
              <w:t>2,325,771,665.99</w:t>
            </w:r>
          </w:p>
        </w:tc>
      </w:tr>
    </w:tbl>
    <w:p w:rsidR="009411EE" w:rsidRDefault="009411EE" w:rsidP="00410442">
      <w:pPr>
        <w:jc w:val="center"/>
        <w:rPr>
          <w:rFonts w:ascii="Arial" w:hAnsi="Arial" w:cs="Arial"/>
          <w:b/>
          <w:spacing w:val="20"/>
          <w:kern w:val="24"/>
        </w:rPr>
      </w:pPr>
      <w:r w:rsidRPr="009451F1">
        <w:rPr>
          <w:rFonts w:ascii="Arial" w:hAnsi="Arial" w:cs="Arial"/>
          <w:b/>
          <w:spacing w:val="20"/>
          <w:kern w:val="24"/>
          <w:highlight w:val="yellow"/>
        </w:rPr>
        <w:br w:type="page"/>
      </w:r>
    </w:p>
    <w:p w:rsidR="00410442" w:rsidRDefault="00410442" w:rsidP="009411EE">
      <w:pPr>
        <w:rPr>
          <w:rFonts w:ascii="Arial" w:eastAsia="Calibri" w:hAnsi="Arial" w:cs="Arial"/>
          <w:b/>
          <w:bCs/>
          <w:spacing w:val="20"/>
          <w:kern w:val="2"/>
          <w:lang w:eastAsia="es-MX"/>
        </w:rPr>
      </w:pPr>
    </w:p>
    <w:p w:rsidR="00174694" w:rsidRPr="00174694" w:rsidRDefault="00174694" w:rsidP="00174694">
      <w:pPr>
        <w:contextualSpacing/>
        <w:jc w:val="both"/>
        <w:rPr>
          <w:rFonts w:ascii="Arial" w:eastAsia="Calibri" w:hAnsi="Arial" w:cs="Arial"/>
          <w:b/>
          <w:bCs/>
          <w:spacing w:val="20"/>
          <w:kern w:val="2"/>
          <w:lang w:eastAsia="es-MX"/>
        </w:rPr>
      </w:pPr>
      <w:r w:rsidRPr="00174694">
        <w:rPr>
          <w:rFonts w:ascii="Arial" w:eastAsia="Calibri" w:hAnsi="Arial" w:cs="Arial"/>
          <w:b/>
          <w:bCs/>
          <w:spacing w:val="20"/>
          <w:kern w:val="2"/>
          <w:lang w:eastAsia="es-MX"/>
        </w:rPr>
        <w:t>4.8.3.- FONDO DE APORTACIONES PARA LA INFRAESTRUCTURA SOCIAL</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La creación de este fondo está prevista en la Fracción III, Artículo 25 de la Ley de Coordinación Fiscal, para brindar apoyo en infraestructura básica en poblaciones de rezago social, y se divide a su vez en dos fondos: Fondo de Infraestructura Social para las Entidades y el Fondo de  Infraestructura Social Municipal y Demarcaciones Territoriales del Distrito Federal.</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
          <w:bCs/>
          <w:spacing w:val="20"/>
          <w:kern w:val="2"/>
          <w:lang w:eastAsia="es-MX"/>
        </w:rPr>
      </w:pPr>
      <w:r w:rsidRPr="00174694">
        <w:rPr>
          <w:rFonts w:ascii="Arial" w:eastAsia="Calibri" w:hAnsi="Arial" w:cs="Arial"/>
          <w:b/>
          <w:bCs/>
          <w:spacing w:val="20"/>
          <w:kern w:val="2"/>
          <w:lang w:eastAsia="es-MX"/>
        </w:rPr>
        <w:t xml:space="preserve">Fondo de Infraestructura Social para las  Entidades </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Los recursos del Fondo de Infraestructura Social para las  Entidades (FISE), conforme a lo dispuesto en el Artículo 33 de la Ley de Coordinación Fiscal se destinaron exclusivamente al financiamiento de obras, acciones sociales básicas que beneficien preferentemente a la población de los municipios, demarcaciones territoriales y localidades que presente  mayores niveles de rezago social y pobreza extrema en la entidad.</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Durante el ejercicio fiscal 2015 se devengaron recursos de este fondo por la cantidad de 421 millones 790 mil 111 pesos. </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La Secretaría de las Infraestructuras y el Ordenamiento Territorial Sustentable, devengó la cantidad de 25 millones 852 mil 253 pesos, de los cuales 21 millones 812 mil 738 pesos se destinaron a 32 obras de electrificación en diversos municipios; 4 millones 39 mil 515 pesos en 10 obras de alumbrado público.</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La secretaria de Turismo y Desarrollo Económico destinó 7 millones 213 mil 676 pesos, en 706 obras de construcción de electrificación no convencional a través de  pequeños sistemas fotovoltaicos domiciliarios en  el estado.</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Mediante la Secretaría de Desarrollo Agropecuario, Pesca y Acuacultura se devengaron 8 millones 308 mil 355 pesos a través del programa Desarrollo Agrícola, con obras de construcción de infraestructura agrícola, huertos  Comunitarios. </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A través de la Secretaría de Finanzas – Normativa se devengó 43 millones 966 mil 667 pesos, de los cuales 39 millones 666 mil 667 pesos </w:t>
      </w:r>
      <w:r w:rsidRPr="00174694">
        <w:rPr>
          <w:rFonts w:ascii="Arial" w:eastAsia="Calibri" w:hAnsi="Arial" w:cs="Arial"/>
          <w:bCs/>
          <w:spacing w:val="20"/>
          <w:kern w:val="2"/>
          <w:lang w:eastAsia="es-MX"/>
        </w:rPr>
        <w:lastRenderedPageBreak/>
        <w:t xml:space="preserve">como aportación al convenio de coordinación con la Comisión Federal de Electricidad 2015 y 4 millones 300 mil pesos también como aportación estatal del proyecto Luz en Casa Fase III. </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Caminos y Aeropistas de Oaxaca, devengó recursos del FISE por la cantidad de 53 millones 964 mil 404 pesos. Para el programa de Caminos rurales devengó 17 millones 578 mil 764 pesos en obras como: Rehabilitación de camino rural tramo a construir Santiago </w:t>
      </w:r>
      <w:proofErr w:type="spellStart"/>
      <w:r w:rsidRPr="00174694">
        <w:rPr>
          <w:rFonts w:ascii="Arial" w:eastAsia="Calibri" w:hAnsi="Arial" w:cs="Arial"/>
          <w:bCs/>
          <w:spacing w:val="20"/>
          <w:kern w:val="2"/>
          <w:lang w:eastAsia="es-MX"/>
        </w:rPr>
        <w:t>Amoltepec</w:t>
      </w:r>
      <w:proofErr w:type="spellEnd"/>
      <w:r w:rsidRPr="00174694">
        <w:rPr>
          <w:rFonts w:ascii="Arial" w:eastAsia="Calibri" w:hAnsi="Arial" w:cs="Arial"/>
          <w:bCs/>
          <w:spacing w:val="20"/>
          <w:kern w:val="2"/>
          <w:lang w:eastAsia="es-MX"/>
        </w:rPr>
        <w:t xml:space="preserve"> - Santa Cruz </w:t>
      </w:r>
      <w:proofErr w:type="spellStart"/>
      <w:r w:rsidRPr="00174694">
        <w:rPr>
          <w:rFonts w:ascii="Arial" w:eastAsia="Calibri" w:hAnsi="Arial" w:cs="Arial"/>
          <w:bCs/>
          <w:spacing w:val="20"/>
          <w:kern w:val="2"/>
          <w:lang w:eastAsia="es-MX"/>
        </w:rPr>
        <w:t>Itundujia</w:t>
      </w:r>
      <w:proofErr w:type="spellEnd"/>
      <w:r w:rsidRPr="00174694">
        <w:rPr>
          <w:rFonts w:ascii="Arial" w:eastAsia="Calibri" w:hAnsi="Arial" w:cs="Arial"/>
          <w:bCs/>
          <w:spacing w:val="20"/>
          <w:kern w:val="2"/>
          <w:lang w:eastAsia="es-MX"/>
        </w:rPr>
        <w:t xml:space="preserve">, en el municipio Santiago </w:t>
      </w:r>
      <w:proofErr w:type="spellStart"/>
      <w:r w:rsidRPr="00174694">
        <w:rPr>
          <w:rFonts w:ascii="Arial" w:eastAsia="Calibri" w:hAnsi="Arial" w:cs="Arial"/>
          <w:bCs/>
          <w:spacing w:val="20"/>
          <w:kern w:val="2"/>
          <w:lang w:eastAsia="es-MX"/>
        </w:rPr>
        <w:t>Amoltepec</w:t>
      </w:r>
      <w:proofErr w:type="spellEnd"/>
      <w:r w:rsidRPr="00174694">
        <w:rPr>
          <w:rFonts w:ascii="Arial" w:eastAsia="Calibri" w:hAnsi="Arial" w:cs="Arial"/>
          <w:bCs/>
          <w:spacing w:val="20"/>
          <w:kern w:val="2"/>
          <w:lang w:eastAsia="es-MX"/>
        </w:rPr>
        <w:t xml:space="preserve"> en la localidad llano nuevo; rehabilitación del camino San Antonio - el </w:t>
      </w:r>
      <w:proofErr w:type="spellStart"/>
      <w:r w:rsidRPr="00174694">
        <w:rPr>
          <w:rFonts w:ascii="Arial" w:eastAsia="Calibri" w:hAnsi="Arial" w:cs="Arial"/>
          <w:bCs/>
          <w:spacing w:val="20"/>
          <w:kern w:val="2"/>
          <w:lang w:eastAsia="es-MX"/>
        </w:rPr>
        <w:t>Cordon</w:t>
      </w:r>
      <w:proofErr w:type="spellEnd"/>
      <w:r w:rsidRPr="00174694">
        <w:rPr>
          <w:rFonts w:ascii="Arial" w:eastAsia="Calibri" w:hAnsi="Arial" w:cs="Arial"/>
          <w:bCs/>
          <w:spacing w:val="20"/>
          <w:kern w:val="2"/>
          <w:lang w:eastAsia="es-MX"/>
        </w:rPr>
        <w:t xml:space="preserve"> el reten, tramo del km. 0+000 al km 10+000, rehabilitación del camino rural de  Arroyo Seco  </w:t>
      </w:r>
      <w:proofErr w:type="spellStart"/>
      <w:r w:rsidRPr="00174694">
        <w:rPr>
          <w:rFonts w:ascii="Arial" w:eastAsia="Calibri" w:hAnsi="Arial" w:cs="Arial"/>
          <w:bCs/>
          <w:spacing w:val="20"/>
          <w:kern w:val="2"/>
          <w:lang w:eastAsia="es-MX"/>
        </w:rPr>
        <w:t>Minitan</w:t>
      </w:r>
      <w:proofErr w:type="spellEnd"/>
      <w:r w:rsidRPr="00174694">
        <w:rPr>
          <w:rFonts w:ascii="Arial" w:eastAsia="Calibri" w:hAnsi="Arial" w:cs="Arial"/>
          <w:bCs/>
          <w:spacing w:val="20"/>
          <w:kern w:val="2"/>
          <w:lang w:eastAsia="es-MX"/>
        </w:rPr>
        <w:t xml:space="preserve"> tramo a construir del km. 0+000 al km. 5+000, rehabilitación del camino rural tramo </w:t>
      </w:r>
      <w:proofErr w:type="spellStart"/>
      <w:r w:rsidRPr="00174694">
        <w:rPr>
          <w:rFonts w:ascii="Arial" w:eastAsia="Calibri" w:hAnsi="Arial" w:cs="Arial"/>
          <w:bCs/>
          <w:spacing w:val="20"/>
          <w:kern w:val="2"/>
          <w:lang w:eastAsia="es-MX"/>
        </w:rPr>
        <w:t>ixcapa</w:t>
      </w:r>
      <w:proofErr w:type="spellEnd"/>
      <w:r w:rsidRPr="00174694">
        <w:rPr>
          <w:rFonts w:ascii="Arial" w:eastAsia="Calibri" w:hAnsi="Arial" w:cs="Arial"/>
          <w:bCs/>
          <w:spacing w:val="20"/>
          <w:kern w:val="2"/>
          <w:lang w:eastAsia="es-MX"/>
        </w:rPr>
        <w:t xml:space="preserve"> - vista hermosa tramo a construir  del km. 0+000 al km. 4+000,  mejoramiento de camino San Juan </w:t>
      </w:r>
      <w:proofErr w:type="spellStart"/>
      <w:r w:rsidRPr="00174694">
        <w:rPr>
          <w:rFonts w:ascii="Arial" w:eastAsia="Calibri" w:hAnsi="Arial" w:cs="Arial"/>
          <w:bCs/>
          <w:spacing w:val="20"/>
          <w:kern w:val="2"/>
          <w:lang w:eastAsia="es-MX"/>
        </w:rPr>
        <w:t>Cotzocon</w:t>
      </w:r>
      <w:proofErr w:type="spellEnd"/>
      <w:r w:rsidRPr="00174694">
        <w:rPr>
          <w:rFonts w:ascii="Arial" w:eastAsia="Calibri" w:hAnsi="Arial" w:cs="Arial"/>
          <w:bCs/>
          <w:spacing w:val="20"/>
          <w:kern w:val="2"/>
          <w:lang w:eastAsia="es-MX"/>
        </w:rPr>
        <w:t xml:space="preserve"> - Santa María </w:t>
      </w:r>
      <w:proofErr w:type="spellStart"/>
      <w:r w:rsidRPr="00174694">
        <w:rPr>
          <w:rFonts w:ascii="Arial" w:eastAsia="Calibri" w:hAnsi="Arial" w:cs="Arial"/>
          <w:bCs/>
          <w:spacing w:val="20"/>
          <w:kern w:val="2"/>
          <w:lang w:eastAsia="es-MX"/>
        </w:rPr>
        <w:t>Puxmetacan</w:t>
      </w:r>
      <w:proofErr w:type="spellEnd"/>
      <w:r w:rsidRPr="00174694">
        <w:rPr>
          <w:rFonts w:ascii="Arial" w:eastAsia="Calibri" w:hAnsi="Arial" w:cs="Arial"/>
          <w:bCs/>
          <w:spacing w:val="20"/>
          <w:kern w:val="2"/>
          <w:lang w:eastAsia="es-MX"/>
        </w:rPr>
        <w:t xml:space="preserve"> - La Sabana - María Lombardo de Caso - </w:t>
      </w:r>
      <w:proofErr w:type="spellStart"/>
      <w:r w:rsidRPr="00174694">
        <w:rPr>
          <w:rFonts w:ascii="Arial" w:eastAsia="Calibri" w:hAnsi="Arial" w:cs="Arial"/>
          <w:bCs/>
          <w:spacing w:val="20"/>
          <w:kern w:val="2"/>
          <w:lang w:eastAsia="es-MX"/>
        </w:rPr>
        <w:t>e.c.</w:t>
      </w:r>
      <w:proofErr w:type="spellEnd"/>
      <w:r w:rsidRPr="00174694">
        <w:rPr>
          <w:rFonts w:ascii="Arial" w:eastAsia="Calibri" w:hAnsi="Arial" w:cs="Arial"/>
          <w:bCs/>
          <w:spacing w:val="20"/>
          <w:kern w:val="2"/>
          <w:lang w:eastAsia="es-MX"/>
        </w:rPr>
        <w:t>(</w:t>
      </w:r>
      <w:proofErr w:type="spellStart"/>
      <w:r w:rsidRPr="00174694">
        <w:rPr>
          <w:rFonts w:ascii="Arial" w:eastAsia="Calibri" w:hAnsi="Arial" w:cs="Arial"/>
          <w:bCs/>
          <w:spacing w:val="20"/>
          <w:kern w:val="2"/>
          <w:lang w:eastAsia="es-MX"/>
        </w:rPr>
        <w:t>Tuxtepec</w:t>
      </w:r>
      <w:proofErr w:type="spellEnd"/>
      <w:r w:rsidRPr="00174694">
        <w:rPr>
          <w:rFonts w:ascii="Arial" w:eastAsia="Calibri" w:hAnsi="Arial" w:cs="Arial"/>
          <w:bCs/>
          <w:spacing w:val="20"/>
          <w:kern w:val="2"/>
          <w:lang w:eastAsia="es-MX"/>
        </w:rPr>
        <w:t xml:space="preserve"> - Palomares) tramo a construir  del km. 0+000 al km. 39+000, rehabilitación del camino rural tramo </w:t>
      </w:r>
      <w:proofErr w:type="spellStart"/>
      <w:r w:rsidRPr="00174694">
        <w:rPr>
          <w:rFonts w:ascii="Arial" w:eastAsia="Calibri" w:hAnsi="Arial" w:cs="Arial"/>
          <w:bCs/>
          <w:spacing w:val="20"/>
          <w:kern w:val="2"/>
          <w:lang w:eastAsia="es-MX"/>
        </w:rPr>
        <w:t>Huaxolotipac</w:t>
      </w:r>
      <w:proofErr w:type="spellEnd"/>
      <w:r w:rsidRPr="00174694">
        <w:rPr>
          <w:rFonts w:ascii="Arial" w:eastAsia="Calibri" w:hAnsi="Arial" w:cs="Arial"/>
          <w:bCs/>
          <w:spacing w:val="20"/>
          <w:kern w:val="2"/>
          <w:lang w:eastAsia="es-MX"/>
        </w:rPr>
        <w:t xml:space="preserve"> - San Miguel Peras del km. 0+000 al km. 6+000, </w:t>
      </w:r>
      <w:proofErr w:type="spellStart"/>
      <w:r w:rsidRPr="00174694">
        <w:rPr>
          <w:rFonts w:ascii="Arial" w:eastAsia="Calibri" w:hAnsi="Arial" w:cs="Arial"/>
          <w:bCs/>
          <w:spacing w:val="20"/>
          <w:kern w:val="2"/>
          <w:lang w:eastAsia="es-MX"/>
        </w:rPr>
        <w:t>rehabilitacion</w:t>
      </w:r>
      <w:proofErr w:type="spellEnd"/>
      <w:r w:rsidRPr="00174694">
        <w:rPr>
          <w:rFonts w:ascii="Arial" w:eastAsia="Calibri" w:hAnsi="Arial" w:cs="Arial"/>
          <w:bCs/>
          <w:spacing w:val="20"/>
          <w:kern w:val="2"/>
          <w:lang w:eastAsia="es-MX"/>
        </w:rPr>
        <w:t xml:space="preserve"> del camino rural tramo san José </w:t>
      </w:r>
      <w:proofErr w:type="spellStart"/>
      <w:r w:rsidRPr="00174694">
        <w:rPr>
          <w:rFonts w:ascii="Arial" w:eastAsia="Calibri" w:hAnsi="Arial" w:cs="Arial"/>
          <w:bCs/>
          <w:spacing w:val="20"/>
          <w:kern w:val="2"/>
          <w:lang w:eastAsia="es-MX"/>
        </w:rPr>
        <w:t>Contereras</w:t>
      </w:r>
      <w:proofErr w:type="spellEnd"/>
      <w:r w:rsidRPr="00174694">
        <w:rPr>
          <w:rFonts w:ascii="Arial" w:eastAsia="Calibri" w:hAnsi="Arial" w:cs="Arial"/>
          <w:bCs/>
          <w:spacing w:val="20"/>
          <w:kern w:val="2"/>
          <w:lang w:eastAsia="es-MX"/>
        </w:rPr>
        <w:t xml:space="preserve"> a el carrizal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construir del km. 0+000 al km. 3+000, mejoramiento del camino rural tramo </w:t>
      </w:r>
      <w:proofErr w:type="spellStart"/>
      <w:r w:rsidRPr="00174694">
        <w:rPr>
          <w:rFonts w:ascii="Arial" w:eastAsia="Calibri" w:hAnsi="Arial" w:cs="Arial"/>
          <w:bCs/>
          <w:spacing w:val="20"/>
          <w:kern w:val="2"/>
          <w:lang w:eastAsia="es-MX"/>
        </w:rPr>
        <w:t>ec</w:t>
      </w:r>
      <w:proofErr w:type="spellEnd"/>
      <w:r w:rsidRPr="00174694">
        <w:rPr>
          <w:rFonts w:ascii="Arial" w:eastAsia="Calibri" w:hAnsi="Arial" w:cs="Arial"/>
          <w:bCs/>
          <w:spacing w:val="20"/>
          <w:kern w:val="2"/>
          <w:lang w:eastAsia="es-MX"/>
        </w:rPr>
        <w:t xml:space="preserve">. </w:t>
      </w:r>
      <w:proofErr w:type="spellStart"/>
      <w:r w:rsidRPr="00174694">
        <w:rPr>
          <w:rFonts w:ascii="Arial" w:eastAsia="Calibri" w:hAnsi="Arial" w:cs="Arial"/>
          <w:bCs/>
          <w:spacing w:val="20"/>
          <w:kern w:val="2"/>
          <w:lang w:eastAsia="es-MX"/>
        </w:rPr>
        <w:t>Teotitlan</w:t>
      </w:r>
      <w:proofErr w:type="spellEnd"/>
      <w:r w:rsidRPr="00174694">
        <w:rPr>
          <w:rFonts w:ascii="Arial" w:eastAsia="Calibri" w:hAnsi="Arial" w:cs="Arial"/>
          <w:bCs/>
          <w:spacing w:val="20"/>
          <w:kern w:val="2"/>
          <w:lang w:eastAsia="es-MX"/>
        </w:rPr>
        <w:t xml:space="preserve"> de Flores </w:t>
      </w:r>
      <w:proofErr w:type="spellStart"/>
      <w:r w:rsidRPr="00174694">
        <w:rPr>
          <w:rFonts w:ascii="Arial" w:eastAsia="Calibri" w:hAnsi="Arial" w:cs="Arial"/>
          <w:bCs/>
          <w:spacing w:val="20"/>
          <w:kern w:val="2"/>
          <w:lang w:eastAsia="es-MX"/>
        </w:rPr>
        <w:t>Magón-Huatla</w:t>
      </w:r>
      <w:proofErr w:type="spellEnd"/>
      <w:r w:rsidRPr="00174694">
        <w:rPr>
          <w:rFonts w:ascii="Arial" w:eastAsia="Calibri" w:hAnsi="Arial" w:cs="Arial"/>
          <w:bCs/>
          <w:spacing w:val="20"/>
          <w:kern w:val="2"/>
          <w:lang w:eastAsia="es-MX"/>
        </w:rPr>
        <w:t xml:space="preserve"> a cerro verde, rehabilitación del camino rural </w:t>
      </w:r>
      <w:proofErr w:type="spellStart"/>
      <w:r w:rsidRPr="00174694">
        <w:rPr>
          <w:rFonts w:ascii="Arial" w:eastAsia="Calibri" w:hAnsi="Arial" w:cs="Arial"/>
          <w:bCs/>
          <w:spacing w:val="20"/>
          <w:kern w:val="2"/>
          <w:lang w:eastAsia="es-MX"/>
        </w:rPr>
        <w:t>e.c</w:t>
      </w:r>
      <w:proofErr w:type="gramStart"/>
      <w:r w:rsidRPr="00174694">
        <w:rPr>
          <w:rFonts w:ascii="Arial" w:eastAsia="Calibri" w:hAnsi="Arial" w:cs="Arial"/>
          <w:bCs/>
          <w:spacing w:val="20"/>
          <w:kern w:val="2"/>
          <w:lang w:eastAsia="es-MX"/>
        </w:rPr>
        <w:t>.</w:t>
      </w:r>
      <w:proofErr w:type="spellEnd"/>
      <w:r w:rsidRPr="00174694">
        <w:rPr>
          <w:rFonts w:ascii="Arial" w:eastAsia="Calibri" w:hAnsi="Arial" w:cs="Arial"/>
          <w:bCs/>
          <w:spacing w:val="20"/>
          <w:kern w:val="2"/>
          <w:lang w:eastAsia="es-MX"/>
        </w:rPr>
        <w:t>(</w:t>
      </w:r>
      <w:proofErr w:type="spellStart"/>
      <w:proofErr w:type="gramEnd"/>
      <w:r w:rsidRPr="00174694">
        <w:rPr>
          <w:rFonts w:ascii="Arial" w:eastAsia="Calibri" w:hAnsi="Arial" w:cs="Arial"/>
          <w:bCs/>
          <w:spacing w:val="20"/>
          <w:kern w:val="2"/>
          <w:lang w:eastAsia="es-MX"/>
        </w:rPr>
        <w:t>Cuicatlán</w:t>
      </w:r>
      <w:proofErr w:type="spellEnd"/>
      <w:r w:rsidRPr="00174694">
        <w:rPr>
          <w:rFonts w:ascii="Arial" w:eastAsia="Calibri" w:hAnsi="Arial" w:cs="Arial"/>
          <w:bCs/>
          <w:spacing w:val="20"/>
          <w:kern w:val="2"/>
          <w:lang w:eastAsia="es-MX"/>
        </w:rPr>
        <w:t xml:space="preserve"> - Oaxaca) paraje la torre del km. 0+000 al km. 3+000,  rehabilitación del camino rural tramo cerro </w:t>
      </w:r>
      <w:proofErr w:type="spellStart"/>
      <w:r w:rsidRPr="00174694">
        <w:rPr>
          <w:rFonts w:ascii="Arial" w:eastAsia="Calibri" w:hAnsi="Arial" w:cs="Arial"/>
          <w:bCs/>
          <w:spacing w:val="20"/>
          <w:kern w:val="2"/>
          <w:lang w:eastAsia="es-MX"/>
        </w:rPr>
        <w:t>Clarin</w:t>
      </w:r>
      <w:proofErr w:type="spellEnd"/>
      <w:r w:rsidRPr="00174694">
        <w:rPr>
          <w:rFonts w:ascii="Arial" w:eastAsia="Calibri" w:hAnsi="Arial" w:cs="Arial"/>
          <w:bCs/>
          <w:spacing w:val="20"/>
          <w:kern w:val="2"/>
          <w:lang w:eastAsia="es-MX"/>
        </w:rPr>
        <w:t xml:space="preserve"> - El Encinal del km. 0+000 al km. 3+000, mejoramiento de camino del entronque de (San Juan </w:t>
      </w:r>
      <w:proofErr w:type="spellStart"/>
      <w:r w:rsidRPr="00174694">
        <w:rPr>
          <w:rFonts w:ascii="Arial" w:eastAsia="Calibri" w:hAnsi="Arial" w:cs="Arial"/>
          <w:bCs/>
          <w:spacing w:val="20"/>
          <w:kern w:val="2"/>
          <w:lang w:eastAsia="es-MX"/>
        </w:rPr>
        <w:t>Guichicovi</w:t>
      </w:r>
      <w:proofErr w:type="spellEnd"/>
      <w:r w:rsidRPr="00174694">
        <w:rPr>
          <w:rFonts w:ascii="Arial" w:eastAsia="Calibri" w:hAnsi="Arial" w:cs="Arial"/>
          <w:bCs/>
          <w:spacing w:val="20"/>
          <w:kern w:val="2"/>
          <w:lang w:eastAsia="es-MX"/>
        </w:rPr>
        <w:t xml:space="preserve"> - Chocolate) a </w:t>
      </w:r>
      <w:proofErr w:type="spellStart"/>
      <w:r w:rsidRPr="00174694">
        <w:rPr>
          <w:rFonts w:ascii="Arial" w:eastAsia="Calibri" w:hAnsi="Arial" w:cs="Arial"/>
          <w:bCs/>
          <w:spacing w:val="20"/>
          <w:kern w:val="2"/>
          <w:lang w:eastAsia="es-MX"/>
        </w:rPr>
        <w:t>Lomería</w:t>
      </w:r>
      <w:proofErr w:type="spellEnd"/>
      <w:r w:rsidRPr="00174694">
        <w:rPr>
          <w:rFonts w:ascii="Arial" w:eastAsia="Calibri" w:hAnsi="Arial" w:cs="Arial"/>
          <w:bCs/>
          <w:spacing w:val="20"/>
          <w:kern w:val="2"/>
          <w:lang w:eastAsia="es-MX"/>
        </w:rPr>
        <w:t xml:space="preserve">, mejoramiento del camino rural el vergel a cuajilotes, por mencionar algunos.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Para el Programa de Carreteras Alimentadoras, devengó recursos por 36 millones 385 mil 640 pesos, los cuales se destinaron a obras como  la modernización y ampliación del camino </w:t>
      </w:r>
      <w:proofErr w:type="spellStart"/>
      <w:r w:rsidRPr="00174694">
        <w:rPr>
          <w:rFonts w:ascii="Arial" w:eastAsia="Calibri" w:hAnsi="Arial" w:cs="Arial"/>
          <w:bCs/>
          <w:spacing w:val="20"/>
          <w:kern w:val="2"/>
          <w:lang w:eastAsia="es-MX"/>
        </w:rPr>
        <w:t>Ayutla</w:t>
      </w:r>
      <w:proofErr w:type="spellEnd"/>
      <w:r w:rsidRPr="00174694">
        <w:rPr>
          <w:rFonts w:ascii="Arial" w:eastAsia="Calibri" w:hAnsi="Arial" w:cs="Arial"/>
          <w:bCs/>
          <w:spacing w:val="20"/>
          <w:kern w:val="2"/>
          <w:lang w:eastAsia="es-MX"/>
        </w:rPr>
        <w:t xml:space="preserve"> a Santa María </w:t>
      </w:r>
      <w:proofErr w:type="spellStart"/>
      <w:r w:rsidRPr="00174694">
        <w:rPr>
          <w:rFonts w:ascii="Arial" w:eastAsia="Calibri" w:hAnsi="Arial" w:cs="Arial"/>
          <w:bCs/>
          <w:spacing w:val="20"/>
          <w:kern w:val="2"/>
          <w:lang w:eastAsia="es-MX"/>
        </w:rPr>
        <w:t>Alotepec</w:t>
      </w:r>
      <w:proofErr w:type="spellEnd"/>
      <w:r w:rsidRPr="00174694">
        <w:rPr>
          <w:rFonts w:ascii="Arial" w:eastAsia="Calibri" w:hAnsi="Arial" w:cs="Arial"/>
          <w:bCs/>
          <w:spacing w:val="20"/>
          <w:kern w:val="2"/>
          <w:lang w:eastAsia="es-MX"/>
        </w:rPr>
        <w:t xml:space="preserve"> y  San Juan </w:t>
      </w:r>
      <w:proofErr w:type="spellStart"/>
      <w:r w:rsidRPr="00174694">
        <w:rPr>
          <w:rFonts w:ascii="Arial" w:eastAsia="Calibri" w:hAnsi="Arial" w:cs="Arial"/>
          <w:bCs/>
          <w:spacing w:val="20"/>
          <w:kern w:val="2"/>
          <w:lang w:eastAsia="es-MX"/>
        </w:rPr>
        <w:t>Juquila</w:t>
      </w:r>
      <w:proofErr w:type="spellEnd"/>
      <w:r w:rsidRPr="00174694">
        <w:rPr>
          <w:rFonts w:ascii="Arial" w:eastAsia="Calibri" w:hAnsi="Arial" w:cs="Arial"/>
          <w:bCs/>
          <w:spacing w:val="20"/>
          <w:kern w:val="2"/>
          <w:lang w:eastAsia="es-MX"/>
        </w:rPr>
        <w:t xml:space="preserve"> Mixes hacia San Lucas </w:t>
      </w:r>
      <w:proofErr w:type="spellStart"/>
      <w:r w:rsidRPr="00174694">
        <w:rPr>
          <w:rFonts w:ascii="Arial" w:eastAsia="Calibri" w:hAnsi="Arial" w:cs="Arial"/>
          <w:bCs/>
          <w:spacing w:val="20"/>
          <w:kern w:val="2"/>
          <w:lang w:eastAsia="es-MX"/>
        </w:rPr>
        <w:t>Camotlán</w:t>
      </w:r>
      <w:proofErr w:type="spellEnd"/>
      <w:r w:rsidRPr="00174694">
        <w:rPr>
          <w:rFonts w:ascii="Arial" w:eastAsia="Calibri" w:hAnsi="Arial" w:cs="Arial"/>
          <w:bCs/>
          <w:spacing w:val="20"/>
          <w:kern w:val="2"/>
          <w:lang w:eastAsia="es-MX"/>
        </w:rPr>
        <w:t xml:space="preserve">, tramo del km 0+000 al km 17+000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modernizar del km 6+500 al 8+000,  la modernización y ampliación del camino Oaxaca a </w:t>
      </w:r>
      <w:proofErr w:type="spellStart"/>
      <w:r w:rsidRPr="00174694">
        <w:rPr>
          <w:rFonts w:ascii="Arial" w:eastAsia="Calibri" w:hAnsi="Arial" w:cs="Arial"/>
          <w:bCs/>
          <w:spacing w:val="20"/>
          <w:kern w:val="2"/>
          <w:lang w:eastAsia="es-MX"/>
        </w:rPr>
        <w:t>Tuxtepec</w:t>
      </w:r>
      <w:proofErr w:type="spellEnd"/>
      <w:r w:rsidRPr="00174694">
        <w:rPr>
          <w:rFonts w:ascii="Arial" w:eastAsia="Calibri" w:hAnsi="Arial" w:cs="Arial"/>
          <w:bCs/>
          <w:spacing w:val="20"/>
          <w:kern w:val="2"/>
          <w:lang w:eastAsia="es-MX"/>
        </w:rPr>
        <w:t xml:space="preserve">  y Puerto Eligio a San Martín </w:t>
      </w:r>
      <w:proofErr w:type="spellStart"/>
      <w:r w:rsidRPr="00174694">
        <w:rPr>
          <w:rFonts w:ascii="Arial" w:eastAsia="Calibri" w:hAnsi="Arial" w:cs="Arial"/>
          <w:bCs/>
          <w:spacing w:val="20"/>
          <w:kern w:val="2"/>
          <w:lang w:eastAsia="es-MX"/>
        </w:rPr>
        <w:t>Zoyolapam</w:t>
      </w:r>
      <w:proofErr w:type="spellEnd"/>
      <w:r w:rsidRPr="00174694">
        <w:rPr>
          <w:rFonts w:ascii="Arial" w:eastAsia="Calibri" w:hAnsi="Arial" w:cs="Arial"/>
          <w:bCs/>
          <w:spacing w:val="20"/>
          <w:kern w:val="2"/>
          <w:lang w:eastAsia="es-MX"/>
        </w:rPr>
        <w:t xml:space="preserve"> y Santiago Progreso a San Pedro </w:t>
      </w:r>
      <w:proofErr w:type="spellStart"/>
      <w:r w:rsidRPr="00174694">
        <w:rPr>
          <w:rFonts w:ascii="Arial" w:eastAsia="Calibri" w:hAnsi="Arial" w:cs="Arial"/>
          <w:bCs/>
          <w:spacing w:val="20"/>
          <w:kern w:val="2"/>
          <w:lang w:eastAsia="es-MX"/>
        </w:rPr>
        <w:t>Ozumacín</w:t>
      </w:r>
      <w:proofErr w:type="spellEnd"/>
      <w:r w:rsidRPr="00174694">
        <w:rPr>
          <w:rFonts w:ascii="Arial" w:eastAsia="Calibri" w:hAnsi="Arial" w:cs="Arial"/>
          <w:bCs/>
          <w:spacing w:val="20"/>
          <w:kern w:val="2"/>
          <w:lang w:eastAsia="es-MX"/>
        </w:rPr>
        <w:t xml:space="preserve">; tramo: del km. 0+000 al km 20+000,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modernizar del km 4+260. Al km 5+760, también a la  rehabilitación de la carretera </w:t>
      </w:r>
      <w:proofErr w:type="spellStart"/>
      <w:r w:rsidRPr="00174694">
        <w:rPr>
          <w:rFonts w:ascii="Arial" w:eastAsia="Calibri" w:hAnsi="Arial" w:cs="Arial"/>
          <w:bCs/>
          <w:spacing w:val="20"/>
          <w:kern w:val="2"/>
          <w:lang w:eastAsia="es-MX"/>
        </w:rPr>
        <w:t>Ixtlan</w:t>
      </w:r>
      <w:proofErr w:type="spellEnd"/>
      <w:r w:rsidRPr="00174694">
        <w:rPr>
          <w:rFonts w:ascii="Arial" w:eastAsia="Calibri" w:hAnsi="Arial" w:cs="Arial"/>
          <w:bCs/>
          <w:spacing w:val="20"/>
          <w:kern w:val="2"/>
          <w:lang w:eastAsia="es-MX"/>
        </w:rPr>
        <w:t xml:space="preserve"> de Juárez  a  San </w:t>
      </w:r>
      <w:proofErr w:type="spellStart"/>
      <w:r w:rsidRPr="00174694">
        <w:rPr>
          <w:rFonts w:ascii="Arial" w:eastAsia="Calibri" w:hAnsi="Arial" w:cs="Arial"/>
          <w:bCs/>
          <w:spacing w:val="20"/>
          <w:kern w:val="2"/>
          <w:lang w:eastAsia="es-MX"/>
        </w:rPr>
        <w:t>Bartolome</w:t>
      </w:r>
      <w:proofErr w:type="spellEnd"/>
      <w:r w:rsidRPr="00174694">
        <w:rPr>
          <w:rFonts w:ascii="Arial" w:eastAsia="Calibri" w:hAnsi="Arial" w:cs="Arial"/>
          <w:bCs/>
          <w:spacing w:val="20"/>
          <w:kern w:val="2"/>
          <w:lang w:eastAsia="es-MX"/>
        </w:rPr>
        <w:t xml:space="preserve"> </w:t>
      </w:r>
      <w:proofErr w:type="spellStart"/>
      <w:r w:rsidRPr="00174694">
        <w:rPr>
          <w:rFonts w:ascii="Arial" w:eastAsia="Calibri" w:hAnsi="Arial" w:cs="Arial"/>
          <w:bCs/>
          <w:spacing w:val="20"/>
          <w:kern w:val="2"/>
          <w:lang w:eastAsia="es-MX"/>
        </w:rPr>
        <w:t>Zoogocho</w:t>
      </w:r>
      <w:proofErr w:type="spellEnd"/>
      <w:r w:rsidRPr="00174694">
        <w:rPr>
          <w:rFonts w:ascii="Arial" w:eastAsia="Calibri" w:hAnsi="Arial" w:cs="Arial"/>
          <w:bCs/>
          <w:spacing w:val="20"/>
          <w:kern w:val="2"/>
          <w:lang w:eastAsia="es-MX"/>
        </w:rPr>
        <w:t xml:space="preserve">, tramo del km 0+000 al km 58+000,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reconstruir del km 50+000 al km 52+000 entre otras.</w:t>
      </w: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La Comisión Estatal del Agua devengó la cantidad de 17 millones 363 mil 253 pesos,  mismos que fueron destinados a los programas de Sistemas de Agua potable y de Sistemas de  alcantarillado; el primero con un recurso devengado de 8 millones 892 mil 443 pesos  y el segundo con 8 </w:t>
      </w:r>
      <w:r w:rsidRPr="00174694">
        <w:rPr>
          <w:rFonts w:ascii="Arial" w:eastAsia="Calibri" w:hAnsi="Arial" w:cs="Arial"/>
          <w:bCs/>
          <w:spacing w:val="20"/>
          <w:kern w:val="2"/>
          <w:lang w:eastAsia="es-MX"/>
        </w:rPr>
        <w:lastRenderedPageBreak/>
        <w:t xml:space="preserve">millones 470 mil 810 pesos, destinados a la construcción, ampliación y rehabilitación de sistemas de agua potable así como a la construcción de sistemas sanitarios con </w:t>
      </w:r>
      <w:proofErr w:type="spellStart"/>
      <w:r w:rsidRPr="00174694">
        <w:rPr>
          <w:rFonts w:ascii="Arial" w:eastAsia="Calibri" w:hAnsi="Arial" w:cs="Arial"/>
          <w:bCs/>
          <w:spacing w:val="20"/>
          <w:kern w:val="2"/>
          <w:lang w:eastAsia="es-MX"/>
        </w:rPr>
        <w:t>biodigestores</w:t>
      </w:r>
      <w:proofErr w:type="spellEnd"/>
      <w:r w:rsidRPr="00174694">
        <w:rPr>
          <w:rFonts w:ascii="Arial" w:eastAsia="Calibri" w:hAnsi="Arial" w:cs="Arial"/>
          <w:bCs/>
          <w:spacing w:val="20"/>
          <w:kern w:val="2"/>
          <w:lang w:eastAsia="es-MX"/>
        </w:rPr>
        <w:t xml:space="preserve"> y sistemas de alcantarillado. </w:t>
      </w: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 </w:t>
      </w: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Mediante la Comisión Estatal de Vivienda se devengaron recursos por 24 millones 445 mil 194 pesos; 15 millones 255 mil 478 pesos fueron destinados al programa de Mejoramiento de Vivienda y Regeneración Urbana, y 9 millones 189 mil 716 pesos  para el programa de construcción de Vivienda.  </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El instituto Oaxaqueño Constructor de infraestructura física educativa, devengó recursos por 66 mil 342 pesos para la  construcción de un aula didáctica en IEBO no.117.</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En lo que respecta a los servicios médicos se devengó recurso por la cantidad de 7 millones 500 mil pesos destinados a la construcción del centro de salud con servicios ampliados en san Sebastián </w:t>
      </w:r>
      <w:proofErr w:type="spellStart"/>
      <w:r w:rsidRPr="00174694">
        <w:rPr>
          <w:rFonts w:ascii="Arial" w:eastAsia="Calibri" w:hAnsi="Arial" w:cs="Arial"/>
          <w:bCs/>
          <w:spacing w:val="20"/>
          <w:kern w:val="2"/>
          <w:lang w:eastAsia="es-MX"/>
        </w:rPr>
        <w:t>Coatlán</w:t>
      </w:r>
      <w:proofErr w:type="spellEnd"/>
      <w:r w:rsidRPr="00174694">
        <w:rPr>
          <w:rFonts w:ascii="Arial" w:eastAsia="Calibri" w:hAnsi="Arial" w:cs="Arial"/>
          <w:bCs/>
          <w:spacing w:val="20"/>
          <w:kern w:val="2"/>
          <w:lang w:eastAsia="es-MX"/>
        </w:rPr>
        <w:t>, a través de Servicios de Salud del Estado de Oaxaca.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Por último en coinversión con los municipios se devengaron de este Fondo recursos por la cantidad de 194 millones 970 mil 552 pesos, en la ejecución de 150 acciones, de las cuales 27  fueron para la construcción de sanitarios con </w:t>
      </w:r>
      <w:proofErr w:type="spellStart"/>
      <w:r w:rsidRPr="00174694">
        <w:rPr>
          <w:rFonts w:ascii="Arial" w:eastAsia="Calibri" w:hAnsi="Arial" w:cs="Arial"/>
          <w:bCs/>
          <w:spacing w:val="20"/>
          <w:kern w:val="2"/>
          <w:lang w:eastAsia="es-MX"/>
        </w:rPr>
        <w:t>biodigestor</w:t>
      </w:r>
      <w:proofErr w:type="spellEnd"/>
      <w:r w:rsidRPr="00174694">
        <w:rPr>
          <w:rFonts w:ascii="Arial" w:eastAsia="Calibri" w:hAnsi="Arial" w:cs="Arial"/>
          <w:bCs/>
          <w:spacing w:val="20"/>
          <w:kern w:val="2"/>
          <w:lang w:eastAsia="es-MX"/>
        </w:rPr>
        <w:t>, en varios municipios del estado, con un monto de 26 millones 107 mil 79 pesos y en la construcción de sanitarios secos 3 millones 741 mil 254 pesos. Para construcción de comedores comunitarios se destinaron 3 millones 568 mil 360 pesos. En lo que respecta a saneamiento básico, para la construcción, ampliación y rehabilitación de sistemas de agua potable se devengaron 75 millones 984 mil 126 pesos y en la construcción y  ampliación de sistemas de drenaje sanitario se devengaron 9 millones 587 mil 858 pesos. Para al sector de energético, se destinaron 36 millones 662 mil 72 pesos para 20 obras de  construcción y ampliación de redes de distribución de energía eléctrica.  En el sector de comunicaciones se invirtió 22 millones 316 mil 605 pesos para obras de modernización y ampliación de caminos. Para la construcción de la  unidad médica rural se devengó 2 millones 366 mil 299 pesos. Por último se devengaron 14 millones 636 mil 899 pesos en obras de vivienda y accesos a la vivienda.</w:t>
      </w:r>
    </w:p>
    <w:p w:rsid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
          <w:bCs/>
          <w:spacing w:val="20"/>
          <w:kern w:val="2"/>
          <w:lang w:eastAsia="es-MX"/>
        </w:rPr>
      </w:pPr>
      <w:r w:rsidRPr="00174694">
        <w:rPr>
          <w:rFonts w:ascii="Arial" w:eastAsia="Calibri" w:hAnsi="Arial" w:cs="Arial"/>
          <w:b/>
          <w:bCs/>
          <w:spacing w:val="20"/>
          <w:kern w:val="2"/>
          <w:lang w:eastAsia="es-MX"/>
        </w:rPr>
        <w:t>Infraestructura Social Municipal</w:t>
      </w: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Del Fondo para la Infraestructura Social Municipal se devengó la cantidad de 5 mil 003 millones 775 mil 681 pesos devengados por cada </w:t>
      </w:r>
      <w:r w:rsidRPr="00174694">
        <w:rPr>
          <w:rFonts w:ascii="Arial" w:eastAsia="Calibri" w:hAnsi="Arial" w:cs="Arial"/>
          <w:bCs/>
          <w:spacing w:val="20"/>
          <w:kern w:val="2"/>
          <w:lang w:eastAsia="es-MX"/>
        </w:rPr>
        <w:lastRenderedPageBreak/>
        <w:t>municipio señalados en el Artículo 33 inciso A) de la Ley de Coordinación Fiscal.</w:t>
      </w:r>
    </w:p>
    <w:p w:rsidR="009411EE" w:rsidRDefault="009411EE" w:rsidP="00174694">
      <w:pPr>
        <w:contextualSpacing/>
        <w:jc w:val="both"/>
        <w:rPr>
          <w:rFonts w:ascii="Arial" w:eastAsia="Calibri" w:hAnsi="Arial" w:cs="Arial"/>
          <w:bCs/>
          <w:spacing w:val="20"/>
          <w:kern w:val="2"/>
          <w:lang w:eastAsia="es-MX"/>
        </w:rPr>
      </w:pPr>
    </w:p>
    <w:p w:rsidR="009411EE" w:rsidRPr="00174694" w:rsidRDefault="00795D71" w:rsidP="00174694">
      <w:pPr>
        <w:contextualSpacing/>
        <w:jc w:val="both"/>
        <w:rPr>
          <w:rFonts w:ascii="Arial" w:eastAsia="Calibri" w:hAnsi="Arial" w:cs="Arial"/>
          <w:bCs/>
          <w:spacing w:val="20"/>
          <w:kern w:val="2"/>
          <w:lang w:eastAsia="es-MX"/>
        </w:rPr>
      </w:pPr>
      <w:r w:rsidRPr="00795D71">
        <w:rPr>
          <w:rFonts w:ascii="Arial" w:eastAsia="Calibri" w:hAnsi="Arial" w:cs="Arial"/>
          <w:bCs/>
          <w:spacing w:val="20"/>
          <w:kern w:val="2"/>
          <w:lang w:eastAsia="es-MX"/>
        </w:rPr>
        <w:t>.</w:t>
      </w:r>
    </w:p>
    <w:p w:rsidR="00174694" w:rsidRDefault="00174694" w:rsidP="00174694">
      <w:pPr>
        <w:contextualSpacing/>
        <w:jc w:val="both"/>
        <w:rPr>
          <w:rFonts w:ascii="Arial" w:eastAsia="Calibri" w:hAnsi="Arial" w:cs="Arial"/>
          <w:bCs/>
          <w:spacing w:val="20"/>
          <w:kern w:val="2"/>
          <w:lang w:eastAsia="es-MX"/>
        </w:rPr>
      </w:pPr>
    </w:p>
    <w:p w:rsidR="00795D71" w:rsidRPr="00174694" w:rsidRDefault="00795D71" w:rsidP="00174694">
      <w:pPr>
        <w:contextualSpacing/>
        <w:jc w:val="both"/>
        <w:rPr>
          <w:rFonts w:ascii="Arial" w:eastAsia="Calibri" w:hAnsi="Arial" w:cs="Arial"/>
          <w:bCs/>
          <w:spacing w:val="20"/>
          <w:kern w:val="2"/>
          <w:lang w:eastAsia="es-MX"/>
        </w:rPr>
      </w:pPr>
    </w:p>
    <w:p w:rsidR="00174694" w:rsidRPr="00174694" w:rsidRDefault="00174694" w:rsidP="00B53F64">
      <w:pPr>
        <w:contextualSpacing/>
        <w:jc w:val="center"/>
        <w:rPr>
          <w:rFonts w:ascii="Arial" w:eastAsia="Calibri" w:hAnsi="Arial" w:cs="Arial"/>
          <w:bCs/>
          <w:spacing w:val="20"/>
          <w:kern w:val="2"/>
          <w:lang w:eastAsia="es-MX"/>
        </w:rPr>
      </w:pPr>
      <w:r w:rsidRPr="00174694">
        <w:rPr>
          <w:rFonts w:ascii="Arial" w:eastAsia="Calibri" w:hAnsi="Arial" w:cs="Arial"/>
          <w:bCs/>
          <w:noProof/>
          <w:spacing w:val="20"/>
          <w:kern w:val="2"/>
          <w:lang w:val="es-MX" w:eastAsia="es-MX"/>
        </w:rPr>
        <w:drawing>
          <wp:inline distT="0" distB="0" distL="0" distR="0">
            <wp:extent cx="5337810" cy="2604770"/>
            <wp:effectExtent l="19050" t="0" r="0" b="0"/>
            <wp:docPr id="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5337810" cy="2604770"/>
                    </a:xfrm>
                    <a:prstGeom prst="rect">
                      <a:avLst/>
                    </a:prstGeom>
                    <a:noFill/>
                    <a:ln w="9525">
                      <a:noFill/>
                      <a:miter lim="800000"/>
                      <a:headEnd/>
                      <a:tailEnd/>
                    </a:ln>
                  </pic:spPr>
                </pic:pic>
              </a:graphicData>
            </a:graphic>
          </wp:inline>
        </w:drawing>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65CF7" w:rsidRDefault="00165CF7">
      <w:pPr>
        <w:rPr>
          <w:rFonts w:ascii="Arial" w:eastAsia="Calibri" w:hAnsi="Arial" w:cs="Arial"/>
          <w:bCs/>
          <w:spacing w:val="20"/>
          <w:kern w:val="2"/>
          <w:lang w:eastAsia="es-MX"/>
        </w:rPr>
      </w:pPr>
      <w:r>
        <w:rPr>
          <w:rFonts w:ascii="Arial" w:eastAsia="Calibri" w:hAnsi="Arial" w:cs="Arial"/>
          <w:bCs/>
          <w:spacing w:val="20"/>
          <w:kern w:val="2"/>
          <w:lang w:eastAsia="es-MX"/>
        </w:rPr>
        <w:br w:type="page"/>
      </w:r>
    </w:p>
    <w:p w:rsidR="00174694" w:rsidRPr="00174694" w:rsidRDefault="00174694" w:rsidP="00174694">
      <w:pPr>
        <w:contextualSpacing/>
        <w:jc w:val="both"/>
        <w:rPr>
          <w:rFonts w:ascii="Arial" w:eastAsia="Calibri" w:hAnsi="Arial" w:cs="Arial"/>
          <w:bCs/>
          <w:spacing w:val="20"/>
          <w:kern w:val="2"/>
          <w:lang w:eastAsia="es-MX"/>
        </w:rPr>
      </w:pPr>
      <w:r w:rsidRPr="00165CF7">
        <w:rPr>
          <w:rFonts w:ascii="Arial" w:eastAsia="Calibri" w:hAnsi="Arial" w:cs="Arial"/>
          <w:b/>
          <w:bCs/>
          <w:spacing w:val="20"/>
          <w:kern w:val="2"/>
          <w:lang w:eastAsia="es-MX"/>
        </w:rPr>
        <w:lastRenderedPageBreak/>
        <w:t>4.8.4.- FONDO DE APORTACIONES PARA EL FORTALECIMIENTO DE LOS MUNICIPIOS Y DE LAS DEMARCACIONES TERRITORIALES DEL DISTRITO FEDERAL</w:t>
      </w:r>
      <w:r w:rsidRPr="00174694">
        <w:rPr>
          <w:rFonts w:ascii="Arial" w:eastAsia="Calibri" w:hAnsi="Arial" w:cs="Arial"/>
          <w:bCs/>
          <w:spacing w:val="20"/>
          <w:kern w:val="2"/>
          <w:lang w:eastAsia="es-MX"/>
        </w:rPr>
        <w:t>.</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La creación de este fondo se fundamenta en la fracción IV del artículo 25 de la Ley de Coordinación Fiscal; su mecanismo de cálculo y destino está contenido en los artículos 37 y 38 de la misma Ley; el total de los recursos autorizados se distribuye entre los Municipios del Estado, como apoyo a sus requerimientos y obligaciones financieras y a la atención de necesidades vinculadas a la seguridad pública de sus habitantes.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En este rubro se asignaron a los Municipios del Estado recursos por la cantidad de </w:t>
      </w:r>
      <w:r w:rsidR="00165CF7">
        <w:rPr>
          <w:rFonts w:ascii="Arial" w:eastAsia="Calibri" w:hAnsi="Arial" w:cs="Arial"/>
          <w:bCs/>
          <w:spacing w:val="20"/>
          <w:kern w:val="2"/>
          <w:lang w:eastAsia="es-MX"/>
        </w:rPr>
        <w:t>un</w:t>
      </w:r>
      <w:r w:rsidRPr="00174694">
        <w:rPr>
          <w:rFonts w:ascii="Arial" w:eastAsia="Calibri" w:hAnsi="Arial" w:cs="Arial"/>
          <w:bCs/>
          <w:spacing w:val="20"/>
          <w:kern w:val="2"/>
          <w:lang w:eastAsia="es-MX"/>
        </w:rPr>
        <w:t xml:space="preserve"> mil 953 millones 440 mil 938 pesos.</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9411EE">
      <w:pPr>
        <w:contextualSpacing/>
        <w:jc w:val="center"/>
        <w:rPr>
          <w:rFonts w:ascii="Arial" w:eastAsia="Calibri" w:hAnsi="Arial" w:cs="Arial"/>
          <w:bCs/>
          <w:spacing w:val="20"/>
          <w:kern w:val="2"/>
          <w:lang w:eastAsia="es-MX"/>
        </w:rPr>
      </w:pPr>
      <w:r w:rsidRPr="00174694">
        <w:rPr>
          <w:rFonts w:ascii="Arial" w:eastAsia="Calibri" w:hAnsi="Arial" w:cs="Arial"/>
          <w:bCs/>
          <w:noProof/>
          <w:spacing w:val="20"/>
          <w:kern w:val="2"/>
          <w:lang w:val="es-MX" w:eastAsia="es-MX"/>
        </w:rPr>
        <w:drawing>
          <wp:inline distT="0" distB="0" distL="0" distR="0">
            <wp:extent cx="5337810" cy="2275205"/>
            <wp:effectExtent l="19050" t="0" r="0" b="0"/>
            <wp:docPr id="2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a:off x="0" y="0"/>
                      <a:ext cx="5337810" cy="2275205"/>
                    </a:xfrm>
                    <a:prstGeom prst="rect">
                      <a:avLst/>
                    </a:prstGeom>
                    <a:noFill/>
                    <a:ln w="9525">
                      <a:noFill/>
                      <a:miter lim="800000"/>
                      <a:headEnd/>
                      <a:tailEnd/>
                    </a:ln>
                  </pic:spPr>
                </pic:pic>
              </a:graphicData>
            </a:graphic>
          </wp:inline>
        </w:drawing>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65CF7" w:rsidRDefault="00165CF7">
      <w:pPr>
        <w:rPr>
          <w:rFonts w:ascii="Arial" w:eastAsia="Calibri" w:hAnsi="Arial" w:cs="Arial"/>
          <w:b/>
          <w:bCs/>
          <w:spacing w:val="20"/>
          <w:kern w:val="2"/>
          <w:lang w:eastAsia="es-MX"/>
        </w:rPr>
      </w:pPr>
      <w:r>
        <w:rPr>
          <w:rFonts w:ascii="Arial" w:eastAsia="Calibri" w:hAnsi="Arial" w:cs="Arial"/>
          <w:b/>
          <w:bCs/>
          <w:spacing w:val="20"/>
          <w:kern w:val="2"/>
          <w:lang w:eastAsia="es-MX"/>
        </w:rPr>
        <w:br w:type="page"/>
      </w:r>
    </w:p>
    <w:p w:rsidR="00174694" w:rsidRPr="00165CF7" w:rsidRDefault="00174694" w:rsidP="00174694">
      <w:pPr>
        <w:contextualSpacing/>
        <w:jc w:val="both"/>
        <w:rPr>
          <w:rFonts w:ascii="Arial" w:eastAsia="Calibri" w:hAnsi="Arial" w:cs="Arial"/>
          <w:b/>
          <w:bCs/>
          <w:spacing w:val="20"/>
          <w:kern w:val="2"/>
          <w:lang w:eastAsia="es-MX"/>
        </w:rPr>
      </w:pPr>
      <w:r w:rsidRPr="00165CF7">
        <w:rPr>
          <w:rFonts w:ascii="Arial" w:eastAsia="Calibri" w:hAnsi="Arial" w:cs="Arial"/>
          <w:b/>
          <w:bCs/>
          <w:spacing w:val="20"/>
          <w:kern w:val="2"/>
          <w:lang w:eastAsia="es-MX"/>
        </w:rPr>
        <w:lastRenderedPageBreak/>
        <w:t>4.8.5.- FONDO DE APORTACIONES MÚLTIPLES</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El Fondo de Aportaciones Múltiples (FAM) está integrado por cuatro fondos: Asistencia Social (FAAS), Infraestructura Educativa Básica (FAIEB),  Infraestructura Educativa Superior (FAIES) e Infraestructura Educativa Media Superior (FAIEMS). En total para este fondo, durante el ejercicio 2015 se devengó la cantidad de 716 millones 682 mil 833 pesos.</w:t>
      </w:r>
    </w:p>
    <w:p w:rsidR="00174694" w:rsidRPr="00174694" w:rsidRDefault="00174694" w:rsidP="00174694">
      <w:pPr>
        <w:contextualSpacing/>
        <w:jc w:val="both"/>
        <w:rPr>
          <w:rFonts w:ascii="Arial" w:eastAsia="Calibri" w:hAnsi="Arial" w:cs="Arial"/>
          <w:bCs/>
          <w:spacing w:val="20"/>
          <w:kern w:val="2"/>
          <w:lang w:eastAsia="es-MX"/>
        </w:rPr>
      </w:pPr>
    </w:p>
    <w:p w:rsidR="00174694" w:rsidRPr="00165CF7" w:rsidRDefault="00174694" w:rsidP="00174694">
      <w:pPr>
        <w:contextualSpacing/>
        <w:jc w:val="both"/>
        <w:rPr>
          <w:rFonts w:ascii="Arial" w:eastAsia="Calibri" w:hAnsi="Arial" w:cs="Arial"/>
          <w:b/>
          <w:bCs/>
          <w:spacing w:val="20"/>
          <w:kern w:val="2"/>
          <w:lang w:eastAsia="es-MX"/>
        </w:rPr>
      </w:pPr>
      <w:r w:rsidRPr="00165CF7">
        <w:rPr>
          <w:rFonts w:ascii="Arial" w:eastAsia="Calibri" w:hAnsi="Arial" w:cs="Arial"/>
          <w:b/>
          <w:bCs/>
          <w:spacing w:val="20"/>
          <w:kern w:val="2"/>
          <w:lang w:eastAsia="es-MX"/>
        </w:rPr>
        <w:t>Asistencia Social</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Los recursos de este fondo son utilizados para el otorgamiento de desayunos escolares, apoyos alimentarios y de asistencia social a través de instituciones públicas, de acuerdo a lo señalado en el Artículo 40 de la Ley de Coordinación Fiscal; el Sistema para el Desarrollo Integral de la Familia, devengó  540 millones 780 mil 874 pesos al Sistema para el Desarrollo Integral de la Familia del Estado de Oaxaca  mismo que destinó al programa de participación comunitaria para el desarrollo humano con asistencia alimentaria, atendiendo principalmente a niños menores de 5 años en riesgo, sujetos vulnerables en condiciones de pobreza y otorgando desayunos escolares  en las diferentes regiones del Estado.</w:t>
      </w:r>
    </w:p>
    <w:p w:rsidR="00174694" w:rsidRPr="00174694" w:rsidRDefault="00174694" w:rsidP="00174694">
      <w:pPr>
        <w:contextualSpacing/>
        <w:jc w:val="both"/>
        <w:rPr>
          <w:rFonts w:ascii="Arial" w:eastAsia="Calibri" w:hAnsi="Arial" w:cs="Arial"/>
          <w:bCs/>
          <w:spacing w:val="20"/>
          <w:kern w:val="2"/>
          <w:lang w:eastAsia="es-MX"/>
        </w:rPr>
      </w:pPr>
    </w:p>
    <w:p w:rsidR="00174694" w:rsidRPr="00165CF7" w:rsidRDefault="00174694" w:rsidP="00174694">
      <w:pPr>
        <w:contextualSpacing/>
        <w:jc w:val="both"/>
        <w:rPr>
          <w:rFonts w:ascii="Arial" w:eastAsia="Calibri" w:hAnsi="Arial" w:cs="Arial"/>
          <w:b/>
          <w:bCs/>
          <w:spacing w:val="20"/>
          <w:kern w:val="2"/>
          <w:lang w:eastAsia="es-MX"/>
        </w:rPr>
      </w:pPr>
      <w:r w:rsidRPr="00165CF7">
        <w:rPr>
          <w:rFonts w:ascii="Arial" w:eastAsia="Calibri" w:hAnsi="Arial" w:cs="Arial"/>
          <w:b/>
          <w:bCs/>
          <w:spacing w:val="20"/>
          <w:kern w:val="2"/>
          <w:lang w:eastAsia="es-MX"/>
        </w:rPr>
        <w:t>Infraestructura Educativa Básica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Conforme a lo dispuesto en el Artículo 40 de la Ley de Coordinación Fiscal, los recursos de este fondo deben destinarse a la construcción, equipamiento y rehabilitación de infraestructura física de los niveles de educación básica, por ello y en apego al citado ordenamiento, se devengaron recursos por la cantidad de 119 millones 273 mil 894  pesos, en acciones como las que se describen a continuación:</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La Secretaría de las Infraestructuras y el Ordenamiento Territorial Sustentable  devengó la cantidad de 4 millones 885 mil 557 pesos al programa de  desarrollo de infraestructura social básica y productiva, realizando obras de construcción en primarias y telesecundarias de techados y  canchas de usos múltiples.</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A través del Instituto Oaxaqueño Constructor de Infraestructura Física Educativa se devengaron 100 millones 904 mil 202 pesos en construcción, reparación y equipamiento de espacios educativos en diferentes escuelas del estado, como la construcción de un laboratorio </w:t>
      </w:r>
      <w:r w:rsidRPr="00174694">
        <w:rPr>
          <w:rFonts w:ascii="Arial" w:eastAsia="Calibri" w:hAnsi="Arial" w:cs="Arial"/>
          <w:bCs/>
          <w:spacing w:val="20"/>
          <w:kern w:val="2"/>
          <w:lang w:eastAsia="es-MX"/>
        </w:rPr>
        <w:lastRenderedPageBreak/>
        <w:t>en escuela secundaria general leyes de reforma, reparaciones generales en escuela primaria “Miguel Hidalgo”, construcción de un anexo y reparaciones generales en escuela “Gabriela Mistral”, reparaciones generales en escuela secundaria general "</w:t>
      </w:r>
      <w:proofErr w:type="spellStart"/>
      <w:r w:rsidRPr="00174694">
        <w:rPr>
          <w:rFonts w:ascii="Arial" w:eastAsia="Calibri" w:hAnsi="Arial" w:cs="Arial"/>
          <w:bCs/>
          <w:spacing w:val="20"/>
          <w:kern w:val="2"/>
          <w:lang w:eastAsia="es-MX"/>
        </w:rPr>
        <w:t>Valentin</w:t>
      </w:r>
      <w:proofErr w:type="spellEnd"/>
      <w:r w:rsidRPr="00174694">
        <w:rPr>
          <w:rFonts w:ascii="Arial" w:eastAsia="Calibri" w:hAnsi="Arial" w:cs="Arial"/>
          <w:bCs/>
          <w:spacing w:val="20"/>
          <w:kern w:val="2"/>
          <w:lang w:eastAsia="es-MX"/>
        </w:rPr>
        <w:t xml:space="preserve"> </w:t>
      </w:r>
      <w:proofErr w:type="spellStart"/>
      <w:r w:rsidRPr="00174694">
        <w:rPr>
          <w:rFonts w:ascii="Arial" w:eastAsia="Calibri" w:hAnsi="Arial" w:cs="Arial"/>
          <w:bCs/>
          <w:spacing w:val="20"/>
          <w:kern w:val="2"/>
          <w:lang w:eastAsia="es-MX"/>
        </w:rPr>
        <w:t>Gomez</w:t>
      </w:r>
      <w:proofErr w:type="spellEnd"/>
      <w:r w:rsidRPr="00174694">
        <w:rPr>
          <w:rFonts w:ascii="Arial" w:eastAsia="Calibri" w:hAnsi="Arial" w:cs="Arial"/>
          <w:bCs/>
          <w:spacing w:val="20"/>
          <w:kern w:val="2"/>
          <w:lang w:eastAsia="es-MX"/>
        </w:rPr>
        <w:t xml:space="preserve"> </w:t>
      </w:r>
      <w:proofErr w:type="spellStart"/>
      <w:r w:rsidRPr="00174694">
        <w:rPr>
          <w:rFonts w:ascii="Arial" w:eastAsia="Calibri" w:hAnsi="Arial" w:cs="Arial"/>
          <w:bCs/>
          <w:spacing w:val="20"/>
          <w:kern w:val="2"/>
          <w:lang w:eastAsia="es-MX"/>
        </w:rPr>
        <w:t>Farias</w:t>
      </w:r>
      <w:proofErr w:type="spellEnd"/>
      <w:r w:rsidRPr="00174694">
        <w:rPr>
          <w:rFonts w:ascii="Arial" w:eastAsia="Calibri" w:hAnsi="Arial" w:cs="Arial"/>
          <w:bCs/>
          <w:spacing w:val="20"/>
          <w:kern w:val="2"/>
          <w:lang w:eastAsia="es-MX"/>
        </w:rPr>
        <w:t xml:space="preserve"> ", por mencionar algunas.</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Por medio de los municipios se devengaron 13 millones 484 mil 135 pesos en la construcción de edificios, techados, bardas y aulas, como lo son la construcción de edificio "J" , taller de turismo ; un aula </w:t>
      </w:r>
      <w:proofErr w:type="spellStart"/>
      <w:r w:rsidRPr="00174694">
        <w:rPr>
          <w:rFonts w:ascii="Arial" w:eastAsia="Calibri" w:hAnsi="Arial" w:cs="Arial"/>
          <w:bCs/>
          <w:spacing w:val="20"/>
          <w:kern w:val="2"/>
          <w:lang w:eastAsia="es-MX"/>
        </w:rPr>
        <w:t>didactica</w:t>
      </w:r>
      <w:proofErr w:type="spellEnd"/>
      <w:r w:rsidRPr="00174694">
        <w:rPr>
          <w:rFonts w:ascii="Arial" w:eastAsia="Calibri" w:hAnsi="Arial" w:cs="Arial"/>
          <w:bCs/>
          <w:spacing w:val="20"/>
          <w:kern w:val="2"/>
          <w:lang w:eastAsia="es-MX"/>
        </w:rPr>
        <w:t xml:space="preserve">; taller de diseño grafico y obra exterior; la construcción de techado de la plaza cívica de la Escuela Secundaria Técnica n° 158 clave 20DSTO173N, </w:t>
      </w:r>
      <w:proofErr w:type="spellStart"/>
      <w:r w:rsidRPr="00174694">
        <w:rPr>
          <w:rFonts w:ascii="Arial" w:eastAsia="Calibri" w:hAnsi="Arial" w:cs="Arial"/>
          <w:bCs/>
          <w:spacing w:val="20"/>
          <w:kern w:val="2"/>
          <w:lang w:eastAsia="es-MX"/>
        </w:rPr>
        <w:t>tambien</w:t>
      </w:r>
      <w:proofErr w:type="spellEnd"/>
      <w:r w:rsidRPr="00174694">
        <w:rPr>
          <w:rFonts w:ascii="Arial" w:eastAsia="Calibri" w:hAnsi="Arial" w:cs="Arial"/>
          <w:bCs/>
          <w:spacing w:val="20"/>
          <w:kern w:val="2"/>
          <w:lang w:eastAsia="es-MX"/>
        </w:rPr>
        <w:t xml:space="preserve"> para la construcción de techado de cancha de usos </w:t>
      </w:r>
      <w:proofErr w:type="spellStart"/>
      <w:r w:rsidRPr="00174694">
        <w:rPr>
          <w:rFonts w:ascii="Arial" w:eastAsia="Calibri" w:hAnsi="Arial" w:cs="Arial"/>
          <w:bCs/>
          <w:spacing w:val="20"/>
          <w:kern w:val="2"/>
          <w:lang w:eastAsia="es-MX"/>
        </w:rPr>
        <w:t>multiples</w:t>
      </w:r>
      <w:proofErr w:type="spellEnd"/>
      <w:r w:rsidRPr="00174694">
        <w:rPr>
          <w:rFonts w:ascii="Arial" w:eastAsia="Calibri" w:hAnsi="Arial" w:cs="Arial"/>
          <w:bCs/>
          <w:spacing w:val="20"/>
          <w:kern w:val="2"/>
          <w:lang w:eastAsia="es-MX"/>
        </w:rPr>
        <w:t xml:space="preserve"> en el centro de </w:t>
      </w:r>
      <w:proofErr w:type="spellStart"/>
      <w:r w:rsidRPr="00174694">
        <w:rPr>
          <w:rFonts w:ascii="Arial" w:eastAsia="Calibri" w:hAnsi="Arial" w:cs="Arial"/>
          <w:bCs/>
          <w:spacing w:val="20"/>
          <w:kern w:val="2"/>
          <w:lang w:eastAsia="es-MX"/>
        </w:rPr>
        <w:t>atencion</w:t>
      </w:r>
      <w:proofErr w:type="spellEnd"/>
      <w:r w:rsidRPr="00174694">
        <w:rPr>
          <w:rFonts w:ascii="Arial" w:eastAsia="Calibri" w:hAnsi="Arial" w:cs="Arial"/>
          <w:bCs/>
          <w:spacing w:val="20"/>
          <w:kern w:val="2"/>
          <w:lang w:eastAsia="es-MX"/>
        </w:rPr>
        <w:t xml:space="preserve"> </w:t>
      </w:r>
      <w:proofErr w:type="spellStart"/>
      <w:r w:rsidRPr="00174694">
        <w:rPr>
          <w:rFonts w:ascii="Arial" w:eastAsia="Calibri" w:hAnsi="Arial" w:cs="Arial"/>
          <w:bCs/>
          <w:spacing w:val="20"/>
          <w:kern w:val="2"/>
          <w:lang w:eastAsia="es-MX"/>
        </w:rPr>
        <w:t>multiple</w:t>
      </w:r>
      <w:proofErr w:type="spellEnd"/>
      <w:r w:rsidRPr="00174694">
        <w:rPr>
          <w:rFonts w:ascii="Arial" w:eastAsia="Calibri" w:hAnsi="Arial" w:cs="Arial"/>
          <w:bCs/>
          <w:spacing w:val="20"/>
          <w:kern w:val="2"/>
          <w:lang w:eastAsia="es-MX"/>
        </w:rPr>
        <w:t xml:space="preserve"> No 09, clave:20DML0009K, así como la construcción de techado de la plaza cívica de la Escuela Primaria Rural </w:t>
      </w:r>
      <w:proofErr w:type="spellStart"/>
      <w:r w:rsidRPr="00174694">
        <w:rPr>
          <w:rFonts w:ascii="Arial" w:eastAsia="Calibri" w:hAnsi="Arial" w:cs="Arial"/>
          <w:bCs/>
          <w:spacing w:val="20"/>
          <w:kern w:val="2"/>
          <w:lang w:eastAsia="es-MX"/>
        </w:rPr>
        <w:t>adolfo</w:t>
      </w:r>
      <w:proofErr w:type="spellEnd"/>
      <w:r w:rsidRPr="00174694">
        <w:rPr>
          <w:rFonts w:ascii="Arial" w:eastAsia="Calibri" w:hAnsi="Arial" w:cs="Arial"/>
          <w:bCs/>
          <w:spacing w:val="20"/>
          <w:kern w:val="2"/>
          <w:lang w:eastAsia="es-MX"/>
        </w:rPr>
        <w:t xml:space="preserve"> Ruiz </w:t>
      </w:r>
      <w:proofErr w:type="spellStart"/>
      <w:r w:rsidRPr="00174694">
        <w:rPr>
          <w:rFonts w:ascii="Arial" w:eastAsia="Calibri" w:hAnsi="Arial" w:cs="Arial"/>
          <w:bCs/>
          <w:spacing w:val="20"/>
          <w:kern w:val="2"/>
          <w:lang w:eastAsia="es-MX"/>
        </w:rPr>
        <w:t>Cortines</w:t>
      </w:r>
      <w:proofErr w:type="spellEnd"/>
      <w:r w:rsidRPr="00174694">
        <w:rPr>
          <w:rFonts w:ascii="Arial" w:eastAsia="Calibri" w:hAnsi="Arial" w:cs="Arial"/>
          <w:bCs/>
          <w:spacing w:val="20"/>
          <w:kern w:val="2"/>
          <w:lang w:eastAsia="es-MX"/>
        </w:rPr>
        <w:t xml:space="preserve"> clave: 20DPR0403D, de igual forma en la construcción del techado en el área de impartición de educación física en la escuela telesecundaria Rafael Ramírez, en la construcción de techado en área de impartición de educación física en escuela telesecundaria con clave:  20DTV0509W, por mencionar algunas. </w:t>
      </w:r>
    </w:p>
    <w:p w:rsidR="00174694" w:rsidRPr="00174694" w:rsidRDefault="00174694" w:rsidP="00174694">
      <w:pPr>
        <w:contextualSpacing/>
        <w:jc w:val="both"/>
        <w:rPr>
          <w:rFonts w:ascii="Arial" w:eastAsia="Calibri" w:hAnsi="Arial" w:cs="Arial"/>
          <w:bCs/>
          <w:spacing w:val="20"/>
          <w:kern w:val="2"/>
          <w:lang w:eastAsia="es-MX"/>
        </w:rPr>
      </w:pPr>
    </w:p>
    <w:p w:rsidR="00174694" w:rsidRPr="00165CF7" w:rsidRDefault="00174694" w:rsidP="00174694">
      <w:pPr>
        <w:contextualSpacing/>
        <w:jc w:val="both"/>
        <w:rPr>
          <w:rFonts w:ascii="Arial" w:eastAsia="Calibri" w:hAnsi="Arial" w:cs="Arial"/>
          <w:b/>
          <w:bCs/>
          <w:spacing w:val="20"/>
          <w:kern w:val="2"/>
          <w:lang w:eastAsia="es-MX"/>
        </w:rPr>
      </w:pPr>
      <w:r w:rsidRPr="00165CF7">
        <w:rPr>
          <w:rFonts w:ascii="Arial" w:eastAsia="Calibri" w:hAnsi="Arial" w:cs="Arial"/>
          <w:b/>
          <w:bCs/>
          <w:spacing w:val="20"/>
          <w:kern w:val="2"/>
          <w:lang w:eastAsia="es-MX"/>
        </w:rPr>
        <w:t>Infraestructura Educativa Superior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El Fondo de Aportaciones para la Infraestructura Educativa  Superior  se constituye para la construcción, equipamiento y rehabilitación de infraestructura física en instituciones educativas de nivel superior, en este rubro se devengaron 55 millones 458 mil 702 pesos. Dicha cantidad se distribuyo de la siguiente manera:</w:t>
      </w: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 </w:t>
      </w: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El Instituto Oaxaqueño Constructor de Infraestructura Física Educativa designó 23 millones 961 mil 788 pesos a la construcción de aulas, laboratorios, anexos , muros de contención,  reparación y equipamiento en instituciones de educación básica, en las diferentes regiones del estado, la Universidad Autónoma "Benito Juárez" de Oaxaca destinó 13 millones 483 mil 121 pesos, a la educación de nivel superior con programas educativos de calidad, la Universidad de la Cañada devengó  417 mil 381 pesos principalmente en la formación profesional y el postgrado en la institución,  la Universidad de la Sierra Juárez por otro lado, destinó 349 mil 31 pesos para la construcción de un área de propagación vegetal con áreas de cultivo, invernadero, áreas de almacenamiento, tratamiento y envasado, oficina y recepción, con servicios sanitarios, la  Universidad de la Sierra Sur devengó 3 millones </w:t>
      </w:r>
      <w:r w:rsidRPr="00174694">
        <w:rPr>
          <w:rFonts w:ascii="Arial" w:eastAsia="Calibri" w:hAnsi="Arial" w:cs="Arial"/>
          <w:bCs/>
          <w:spacing w:val="20"/>
          <w:kern w:val="2"/>
          <w:lang w:eastAsia="es-MX"/>
        </w:rPr>
        <w:lastRenderedPageBreak/>
        <w:t xml:space="preserve">172 mil 262 pesos en la construcción de dos  centros de tecnología de la información y comunicación (CETIC) para dos diferentes  licenciaturas,  la Universidad del Istmo aplicó 2 millones 454 mil 594 pesos, para la construcción de siete aulas y tres anexos en la institución, la Universidad del Mar devengó 5 millones 985 mil 415 pesos en la construcción de un edificio de dos niveles para aulas, ampliación de la biblioteca, equipamiento para aulas pedagógicas de enfermería en campus Puerto Escondido, la  universidad del </w:t>
      </w:r>
      <w:proofErr w:type="spellStart"/>
      <w:r w:rsidRPr="00174694">
        <w:rPr>
          <w:rFonts w:ascii="Arial" w:eastAsia="Calibri" w:hAnsi="Arial" w:cs="Arial"/>
          <w:bCs/>
          <w:spacing w:val="20"/>
          <w:kern w:val="2"/>
          <w:lang w:eastAsia="es-MX"/>
        </w:rPr>
        <w:t>Papaloapan</w:t>
      </w:r>
      <w:proofErr w:type="spellEnd"/>
      <w:r w:rsidRPr="00174694">
        <w:rPr>
          <w:rFonts w:ascii="Arial" w:eastAsia="Calibri" w:hAnsi="Arial" w:cs="Arial"/>
          <w:bCs/>
          <w:spacing w:val="20"/>
          <w:kern w:val="2"/>
          <w:lang w:eastAsia="es-MX"/>
        </w:rPr>
        <w:t xml:space="preserve"> designó 2 millones 443 mil 773 pesos para la construcción del laboratorio de ciencias de la salud para la "Lic. En enfermería" y finalmente la  Universidad Tecnológica de la Mixteca quien destinó 3 millones 191 mil 337 pesos a actividades centrales para la formación superior.</w:t>
      </w:r>
    </w:p>
    <w:p w:rsidR="00174694" w:rsidRPr="00174694" w:rsidRDefault="00174694" w:rsidP="00174694">
      <w:pPr>
        <w:contextualSpacing/>
        <w:jc w:val="both"/>
        <w:rPr>
          <w:rFonts w:ascii="Arial" w:eastAsia="Calibri" w:hAnsi="Arial" w:cs="Arial"/>
          <w:bCs/>
          <w:spacing w:val="20"/>
          <w:kern w:val="2"/>
          <w:lang w:eastAsia="es-MX"/>
        </w:rPr>
      </w:pPr>
    </w:p>
    <w:p w:rsidR="00174694" w:rsidRPr="00165CF7" w:rsidRDefault="00174694" w:rsidP="00174694">
      <w:pPr>
        <w:contextualSpacing/>
        <w:jc w:val="both"/>
        <w:rPr>
          <w:rFonts w:ascii="Arial" w:eastAsia="Calibri" w:hAnsi="Arial" w:cs="Arial"/>
          <w:b/>
          <w:bCs/>
          <w:spacing w:val="20"/>
          <w:kern w:val="2"/>
          <w:lang w:eastAsia="es-MX"/>
        </w:rPr>
      </w:pPr>
      <w:r w:rsidRPr="00165CF7">
        <w:rPr>
          <w:rFonts w:ascii="Arial" w:eastAsia="Calibri" w:hAnsi="Arial" w:cs="Arial"/>
          <w:b/>
          <w:bCs/>
          <w:spacing w:val="20"/>
          <w:kern w:val="2"/>
          <w:lang w:eastAsia="es-MX"/>
        </w:rPr>
        <w:t>Infraestructura Educativa Media Superior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Finalmente en lo que corresponde a los recursos del Fondo de Educativa Media superior, se devengó 1 millón 169 mil 363 pesos, cantidad  que en su totalidad fue destinada para el equipamiento y rehabilitación de las escuelas de nivel medio superior pertenecientes a la Universidad Autónoma "Benito Juárez" de Oaxaca.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65CF7" w:rsidP="00165CF7">
      <w:pPr>
        <w:contextualSpacing/>
        <w:jc w:val="center"/>
        <w:rPr>
          <w:rFonts w:ascii="Arial" w:eastAsia="Calibri" w:hAnsi="Arial" w:cs="Arial"/>
          <w:bCs/>
          <w:spacing w:val="20"/>
          <w:kern w:val="2"/>
          <w:lang w:eastAsia="es-MX"/>
        </w:rPr>
      </w:pPr>
      <w:r w:rsidRPr="00165CF7">
        <w:rPr>
          <w:rFonts w:eastAsia="Calibri"/>
          <w:noProof/>
          <w:lang w:val="es-MX" w:eastAsia="es-MX"/>
        </w:rPr>
        <w:drawing>
          <wp:inline distT="0" distB="0" distL="0" distR="0">
            <wp:extent cx="5337810" cy="2604770"/>
            <wp:effectExtent l="19050" t="0" r="0" b="0"/>
            <wp:docPr id="2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srcRect/>
                    <a:stretch>
                      <a:fillRect/>
                    </a:stretch>
                  </pic:blipFill>
                  <pic:spPr bwMode="auto">
                    <a:xfrm>
                      <a:off x="0" y="0"/>
                      <a:ext cx="5337810" cy="2604770"/>
                    </a:xfrm>
                    <a:prstGeom prst="rect">
                      <a:avLst/>
                    </a:prstGeom>
                    <a:noFill/>
                    <a:ln w="9525">
                      <a:noFill/>
                      <a:miter lim="800000"/>
                      <a:headEnd/>
                      <a:tailEnd/>
                    </a:ln>
                  </pic:spPr>
                </pic:pic>
              </a:graphicData>
            </a:graphic>
          </wp:inline>
        </w:drawing>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9411EE" w:rsidRPr="009451F1" w:rsidRDefault="00174694" w:rsidP="009411EE">
      <w:pPr>
        <w:contextualSpacing/>
        <w:rPr>
          <w:rFonts w:ascii="Arial" w:hAnsi="Arial" w:cs="Arial"/>
          <w:b/>
          <w:color w:val="000000" w:themeColor="text1"/>
          <w:spacing w:val="20"/>
          <w:kern w:val="24"/>
        </w:rPr>
      </w:pPr>
      <w:r w:rsidRPr="00174694">
        <w:rPr>
          <w:rFonts w:ascii="Arial" w:eastAsia="Calibri" w:hAnsi="Arial" w:cs="Arial"/>
          <w:bCs/>
          <w:spacing w:val="20"/>
          <w:kern w:val="2"/>
          <w:lang w:eastAsia="es-MX"/>
        </w:rPr>
        <w:br w:type="page"/>
      </w:r>
      <w:r w:rsidR="009411EE" w:rsidRPr="009451F1">
        <w:rPr>
          <w:rFonts w:ascii="Arial" w:hAnsi="Arial" w:cs="Arial"/>
          <w:b/>
          <w:color w:val="000000" w:themeColor="text1"/>
          <w:spacing w:val="20"/>
          <w:kern w:val="24"/>
        </w:rPr>
        <w:lastRenderedPageBreak/>
        <w:t>4.8.6.- FONDO DE APORTACIONES PARA LA EDUCACIÓN  TECNOLÓGICA Y DE ADULTOS.</w:t>
      </w:r>
    </w:p>
    <w:p w:rsidR="009411EE" w:rsidRPr="009451F1" w:rsidRDefault="009411EE" w:rsidP="009411EE">
      <w:pPr>
        <w:contextualSpacing/>
        <w:jc w:val="both"/>
        <w:rPr>
          <w:rFonts w:ascii="Arial" w:hAnsi="Arial" w:cs="Arial"/>
          <w:color w:val="000000" w:themeColor="text1"/>
          <w:spacing w:val="20"/>
          <w:kern w:val="24"/>
        </w:rPr>
      </w:pPr>
    </w:p>
    <w:p w:rsid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t>Este Fondo se encuentra previsto dentro del Ramo 33, contemplado en la fracción VI del artículo 25 del Capítulo V de la Ley de Coordinación Fiscal y en el Presupuesto de Egresos de la Federación. Como lo establece la Ley en mención los recursos de este fondo deben destinarse a la prestación de servicios de educación tecnológica y de educación para adultos.</w:t>
      </w:r>
    </w:p>
    <w:p w:rsidR="00B53F64" w:rsidRPr="00B53F64" w:rsidRDefault="00B53F64" w:rsidP="00B53F64">
      <w:pPr>
        <w:contextualSpacing/>
        <w:jc w:val="both"/>
        <w:rPr>
          <w:rFonts w:ascii="Arial" w:eastAsia="Calibri" w:hAnsi="Arial" w:cs="Arial"/>
          <w:bCs/>
          <w:spacing w:val="20"/>
          <w:kern w:val="2"/>
          <w:lang w:eastAsia="es-MX"/>
        </w:rPr>
      </w:pPr>
    </w:p>
    <w:p w:rsid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t>A partir del Ejercicio 2013 el Estado de Oaxaca firma el Convenio de Coordinación para la descentralización de los servicios de Educación para adultos. Este hecho conlleva a que el Ejecutivo del estado emita el acuerdo de creación del Instituto Estatal de la Educación para Adultos (I.E.E.A) encargado de proporcionar los servicios de Educación Básica a las personas mayores de 15 años en el Estado de Oaxaca, el cual comprende; la Alfabetización, la educación Primaria y la educación Secundaria, así como la formación para el trabajo, con los contenidos particulares para atender las necesidades educativas específicas de ese sector de la población, se basa en los principios humanista y de justicia social, se apoya en la solidaridad social y no persigue fines de lucro.</w:t>
      </w:r>
    </w:p>
    <w:p w:rsidR="00B53F64" w:rsidRPr="00B53F64" w:rsidRDefault="00B53F64" w:rsidP="00B53F64">
      <w:pPr>
        <w:contextualSpacing/>
        <w:jc w:val="both"/>
        <w:rPr>
          <w:rFonts w:ascii="Arial" w:eastAsia="Calibri" w:hAnsi="Arial" w:cs="Arial"/>
          <w:bCs/>
          <w:spacing w:val="20"/>
          <w:kern w:val="2"/>
          <w:lang w:eastAsia="es-MX"/>
        </w:rPr>
      </w:pPr>
    </w:p>
    <w:p w:rsid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t>Para el ejercicio 2015, de este Fondo, se obtuvieron ingresos por 125 millones 415 mil 764 pesos; los recursos ejercidos a la educación de jóvenes y adultos durante el ejercicio que se informa, ascendió 125 millones 435 mil 289 pesos, provenientes del Fondo de Aportaciones Federales del ramo 33 (FAETA), de los cuales 69 millones 300 mil 388 pesos fueron destinados a cubrir el rubro de servicios personales (Capítulo 1000) para el pago de nóminas y prestaciones del personal institucional del IEEA, se erogaron en el Capítulo 2000 Materiales y suministros la cantidad de 11 millones 297 mil 715 pesos para la adquisición de materiales de oficina, limpieza, didáctico, informático e impresión, combustible, así como refacciones y demás actividades adjetivas para la administración de los servicios educativos.</w:t>
      </w:r>
    </w:p>
    <w:p w:rsidR="00B53F64" w:rsidRPr="00B53F64" w:rsidRDefault="00B53F64" w:rsidP="00B53F64">
      <w:pPr>
        <w:contextualSpacing/>
        <w:jc w:val="both"/>
        <w:rPr>
          <w:rFonts w:ascii="Arial" w:eastAsia="Calibri" w:hAnsi="Arial" w:cs="Arial"/>
          <w:bCs/>
          <w:spacing w:val="20"/>
          <w:kern w:val="2"/>
          <w:lang w:eastAsia="es-MX"/>
        </w:rPr>
      </w:pPr>
    </w:p>
    <w:p w:rsid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t>En el Capítulo 3000 Servicios generales. Se ejercieron 18 millones 473 mil 699 pesos para proveer de servicios inherentes a la actividad educativa, considerando servicios básicos tales como energía eléctrica, agua, arrendamiento de inmuebles, impuestos, arrendamientos, pasajes y viáticos entre otros.</w:t>
      </w:r>
    </w:p>
    <w:p w:rsidR="00B53F64" w:rsidRPr="00B53F64" w:rsidRDefault="00B53F64" w:rsidP="00B53F64">
      <w:pPr>
        <w:contextualSpacing/>
        <w:jc w:val="both"/>
        <w:rPr>
          <w:rFonts w:ascii="Arial" w:eastAsia="Calibri" w:hAnsi="Arial" w:cs="Arial"/>
          <w:bCs/>
          <w:spacing w:val="20"/>
          <w:kern w:val="2"/>
          <w:lang w:eastAsia="es-MX"/>
        </w:rPr>
      </w:pPr>
    </w:p>
    <w:p w:rsidR="00B53F64" w:rsidRPr="00B53F64" w:rsidRDefault="00B53F64" w:rsidP="00B53F64">
      <w:pPr>
        <w:contextualSpacing/>
        <w:jc w:val="both"/>
        <w:rPr>
          <w:rFonts w:ascii="Arial" w:eastAsia="Calibri" w:hAnsi="Arial" w:cs="Arial"/>
          <w:bCs/>
          <w:spacing w:val="20"/>
          <w:kern w:val="2"/>
          <w:lang w:eastAsia="es-MX"/>
        </w:rPr>
      </w:pPr>
      <w:r w:rsidRPr="00B53F64">
        <w:rPr>
          <w:rFonts w:ascii="Arial" w:eastAsia="Calibri" w:hAnsi="Arial" w:cs="Arial"/>
          <w:bCs/>
          <w:spacing w:val="20"/>
          <w:kern w:val="2"/>
          <w:lang w:eastAsia="es-MX"/>
        </w:rPr>
        <w:lastRenderedPageBreak/>
        <w:t>En el Capítulo 4000 Ayudas sociales. Se destinaron 26 millones 363 mil 487 pesos para cubrir el pago de las gratificaciones a educadores solidarios y a las diferentes figuras que colaboran en el Programa, definidos en los esquemas de gratificación aprobados y publicados bajo los criterios que establece el INEA.</w:t>
      </w:r>
    </w:p>
    <w:p w:rsidR="009411EE" w:rsidRDefault="009411EE" w:rsidP="009411EE">
      <w:pPr>
        <w:autoSpaceDE w:val="0"/>
        <w:autoSpaceDN w:val="0"/>
        <w:adjustRightInd w:val="0"/>
        <w:contextualSpacing/>
        <w:jc w:val="both"/>
        <w:rPr>
          <w:rFonts w:ascii="Arial" w:hAnsi="Arial" w:cs="Arial"/>
          <w:spacing w:val="20"/>
          <w:kern w:val="24"/>
        </w:rPr>
      </w:pPr>
    </w:p>
    <w:p w:rsidR="00B53F64" w:rsidRDefault="00B53F64" w:rsidP="009411EE">
      <w:pPr>
        <w:autoSpaceDE w:val="0"/>
        <w:autoSpaceDN w:val="0"/>
        <w:adjustRightInd w:val="0"/>
        <w:contextualSpacing/>
        <w:jc w:val="both"/>
        <w:rPr>
          <w:rFonts w:ascii="Arial" w:hAnsi="Arial" w:cs="Arial"/>
          <w:spacing w:val="20"/>
          <w:kern w:val="24"/>
        </w:rPr>
      </w:pPr>
    </w:p>
    <w:p w:rsidR="00B53F64" w:rsidRDefault="00B53F64" w:rsidP="009411EE">
      <w:pPr>
        <w:autoSpaceDE w:val="0"/>
        <w:autoSpaceDN w:val="0"/>
        <w:adjustRightInd w:val="0"/>
        <w:contextualSpacing/>
        <w:jc w:val="both"/>
        <w:rPr>
          <w:rFonts w:ascii="Arial" w:hAnsi="Arial" w:cs="Arial"/>
          <w:spacing w:val="20"/>
          <w:kern w:val="24"/>
        </w:rPr>
      </w:pPr>
    </w:p>
    <w:p w:rsidR="00B53F64" w:rsidRPr="009451F1" w:rsidRDefault="00B53F64" w:rsidP="009411EE">
      <w:pPr>
        <w:autoSpaceDE w:val="0"/>
        <w:autoSpaceDN w:val="0"/>
        <w:adjustRightInd w:val="0"/>
        <w:contextualSpacing/>
        <w:jc w:val="both"/>
        <w:rPr>
          <w:rFonts w:ascii="Arial" w:hAnsi="Arial" w:cs="Arial"/>
          <w:spacing w:val="20"/>
          <w:kern w:val="24"/>
        </w:rPr>
      </w:pPr>
    </w:p>
    <w:p w:rsidR="009411EE" w:rsidRDefault="009411EE" w:rsidP="009411EE">
      <w:pPr>
        <w:contextualSpacing/>
        <w:rPr>
          <w:rFonts w:ascii="Arial" w:hAnsi="Arial" w:cs="Arial"/>
          <w:b/>
          <w:spacing w:val="20"/>
          <w:kern w:val="24"/>
        </w:rPr>
      </w:pPr>
    </w:p>
    <w:p w:rsidR="009411EE" w:rsidRDefault="009411EE" w:rsidP="009411EE">
      <w:pPr>
        <w:contextualSpacing/>
        <w:jc w:val="center"/>
        <w:rPr>
          <w:rFonts w:ascii="Arial" w:hAnsi="Arial" w:cs="Arial"/>
          <w:b/>
          <w:spacing w:val="20"/>
          <w:kern w:val="24"/>
        </w:rPr>
      </w:pPr>
      <w:r w:rsidRPr="009451F1">
        <w:rPr>
          <w:noProof/>
          <w:lang w:val="es-MX" w:eastAsia="es-MX"/>
        </w:rPr>
        <w:drawing>
          <wp:inline distT="0" distB="0" distL="0" distR="0">
            <wp:extent cx="4784725" cy="3083560"/>
            <wp:effectExtent l="19050" t="0" r="0" b="0"/>
            <wp:docPr id="2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srcRect/>
                    <a:stretch>
                      <a:fillRect/>
                    </a:stretch>
                  </pic:blipFill>
                  <pic:spPr bwMode="auto">
                    <a:xfrm>
                      <a:off x="0" y="0"/>
                      <a:ext cx="4784725" cy="3083560"/>
                    </a:xfrm>
                    <a:prstGeom prst="rect">
                      <a:avLst/>
                    </a:prstGeom>
                    <a:noFill/>
                    <a:ln w="9525">
                      <a:noFill/>
                      <a:miter lim="800000"/>
                      <a:headEnd/>
                      <a:tailEnd/>
                    </a:ln>
                  </pic:spPr>
                </pic:pic>
              </a:graphicData>
            </a:graphic>
          </wp:inline>
        </w:drawing>
      </w:r>
    </w:p>
    <w:p w:rsidR="009411EE" w:rsidRDefault="009411EE" w:rsidP="009411EE">
      <w:pPr>
        <w:contextualSpacing/>
        <w:rPr>
          <w:rFonts w:ascii="Arial" w:hAnsi="Arial" w:cs="Arial"/>
          <w:b/>
          <w:spacing w:val="20"/>
          <w:kern w:val="24"/>
        </w:rPr>
      </w:pPr>
    </w:p>
    <w:p w:rsidR="009411EE" w:rsidRDefault="009411EE" w:rsidP="009411EE">
      <w:pPr>
        <w:contextualSpacing/>
        <w:rPr>
          <w:rFonts w:ascii="Arial" w:hAnsi="Arial" w:cs="Arial"/>
          <w:b/>
          <w:spacing w:val="20"/>
          <w:kern w:val="24"/>
        </w:rPr>
      </w:pPr>
    </w:p>
    <w:p w:rsidR="009411EE" w:rsidRDefault="009411EE">
      <w:pPr>
        <w:rPr>
          <w:rFonts w:ascii="Arial" w:eastAsia="Calibri" w:hAnsi="Arial" w:cs="Arial"/>
          <w:bCs/>
          <w:spacing w:val="20"/>
          <w:kern w:val="2"/>
          <w:lang w:eastAsia="es-MX"/>
        </w:rPr>
      </w:pPr>
      <w:r>
        <w:rPr>
          <w:rFonts w:ascii="Arial" w:eastAsia="Calibri" w:hAnsi="Arial" w:cs="Arial"/>
          <w:bCs/>
          <w:spacing w:val="20"/>
          <w:kern w:val="2"/>
          <w:lang w:eastAsia="es-MX"/>
        </w:rPr>
        <w:br w:type="page"/>
      </w:r>
    </w:p>
    <w:p w:rsidR="00174694" w:rsidRPr="00165CF7" w:rsidRDefault="00174694" w:rsidP="00174694">
      <w:pPr>
        <w:contextualSpacing/>
        <w:jc w:val="both"/>
        <w:rPr>
          <w:rFonts w:ascii="Arial" w:eastAsia="Calibri" w:hAnsi="Arial" w:cs="Arial"/>
          <w:b/>
          <w:bCs/>
          <w:spacing w:val="20"/>
          <w:kern w:val="2"/>
          <w:lang w:eastAsia="es-MX"/>
        </w:rPr>
      </w:pPr>
      <w:r w:rsidRPr="00165CF7">
        <w:rPr>
          <w:rFonts w:ascii="Arial" w:eastAsia="Calibri" w:hAnsi="Arial" w:cs="Arial"/>
          <w:b/>
          <w:bCs/>
          <w:spacing w:val="20"/>
          <w:kern w:val="2"/>
          <w:lang w:eastAsia="es-MX"/>
        </w:rPr>
        <w:lastRenderedPageBreak/>
        <w:t>4.8.7.-  FONDO DE APORTACIONES PARA LA SEGURIDAD</w:t>
      </w:r>
    </w:p>
    <w:p w:rsidR="00174694" w:rsidRPr="00165CF7" w:rsidRDefault="00174694" w:rsidP="00174694">
      <w:pPr>
        <w:contextualSpacing/>
        <w:jc w:val="both"/>
        <w:rPr>
          <w:rFonts w:ascii="Arial" w:eastAsia="Calibri" w:hAnsi="Arial" w:cs="Arial"/>
          <w:b/>
          <w:bCs/>
          <w:spacing w:val="20"/>
          <w:kern w:val="2"/>
          <w:lang w:eastAsia="es-MX"/>
        </w:rPr>
      </w:pPr>
      <w:r w:rsidRPr="00165CF7">
        <w:rPr>
          <w:rFonts w:ascii="Arial" w:eastAsia="Calibri" w:hAnsi="Arial" w:cs="Arial"/>
          <w:b/>
          <w:bCs/>
          <w:spacing w:val="20"/>
          <w:kern w:val="2"/>
          <w:lang w:eastAsia="es-MX"/>
        </w:rPr>
        <w:t>PÚBLICA DE LOS ESTADOS Y DEL DISTRITO FEDERAL</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El Fondo de Aportaciones para la Seguridad Pública de los Estados y del Distrito Federal (FASP) se determina anualmente en el Presupuesto de Egresos de la Federación, utilizando para la distribución de los recursos 13 programas con prioridad nacional en materia de Seguridad Pública: Prevención Social de la Violencia y la Delincuencia con Participación Ciudadana, Fortalecimiento de las Capacidades de Evaluación en Control de Confianza, Profesionalización de las Instituciones de Seguridad Pública, Instrumentación de la Estrategia en el Combate al Secuestro (UECS), Implementación de Centros de Operación Estratégica (COE’S), Nuevo Sistema de Justicia Penal, Fortalecimiento de las Capacidades Humanas y Tecnológicas del Sistema Penitenciario Nacional, Red Nacional de Telecomunicaciones, Sistema Nacional de Información (Bases de Datos), Servicios de Llamadas de Emergencia 066 y de Denuncia Anónima 089, Registro Público Vehicular, Evaluación de los Distintos Programas o Acciones, Fortalecimiento de Programas Prioritarios de las Instituciones Estatales de Seguridad Pública e Impartición de Justicia.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La Seguridad Pública es un tema de suma importancia, dadas sus implicaciones en el desarrollo social y bienestar de la ciudadanía ha sido objeto de especial interés por parte del Ejecutivo Estatal. Por ello, a través de la Secretaría de Seguridad Pública; Procuraduría General de Justicia del Estado y del Secretariado Ejecutivo del Sistema Estatal de Seguridad Pública, se </w:t>
      </w:r>
      <w:r w:rsidR="00B765D8">
        <w:rPr>
          <w:rFonts w:ascii="Arial" w:eastAsia="Calibri" w:hAnsi="Arial" w:cs="Arial"/>
          <w:bCs/>
          <w:spacing w:val="20"/>
          <w:kern w:val="2"/>
          <w:lang w:eastAsia="es-MX"/>
        </w:rPr>
        <w:t>ha</w:t>
      </w:r>
      <w:r w:rsidRPr="00174694">
        <w:rPr>
          <w:rFonts w:ascii="Arial" w:eastAsia="Calibri" w:hAnsi="Arial" w:cs="Arial"/>
          <w:bCs/>
          <w:spacing w:val="20"/>
          <w:kern w:val="2"/>
          <w:lang w:eastAsia="es-MX"/>
        </w:rPr>
        <w:t xml:space="preserve"> trabajado conjuntamente con los sectores sociales con el fin de hacer del estado de Oaxaca una ciudad segura y  libre de  impunidad así como mantener informada a la sociedad acerca de las metas logradas.</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El Fondo de Aportaciones para la Seguridad Publica correspondiente al Ramo 33, devengó un total de 185 millones 807 mil 349 pesos destinados al programa de Implementación del Sistema de  Justicia Penal Acusatorio principalmente en la capacitación básica para policía preventiva, agentes oficiales de guardia y custodia, defensores públicos, agentes estatales de investigación, mediadores y conciliadores, la capacitación especializada para jueces operadores, agentes del ministerio público, abogados litigantes, el equipamiento tecnológico del centro de justicia en "sola de vega", al plan estratégico de difusión en medios complementarios del sistema de justicia penal en el estado de Oaxaca, al proyecto de dotación de mobiliario a los juzgados de la región </w:t>
      </w:r>
      <w:r w:rsidRPr="00174694">
        <w:rPr>
          <w:rFonts w:ascii="Arial" w:eastAsia="Calibri" w:hAnsi="Arial" w:cs="Arial"/>
          <w:bCs/>
          <w:spacing w:val="20"/>
          <w:kern w:val="2"/>
          <w:lang w:eastAsia="es-MX"/>
        </w:rPr>
        <w:lastRenderedPageBreak/>
        <w:t xml:space="preserve">de "la Mixteca", a el sistema de red, voz y datos del centro de justicia de </w:t>
      </w:r>
      <w:proofErr w:type="spellStart"/>
      <w:r w:rsidRPr="00174694">
        <w:rPr>
          <w:rFonts w:ascii="Arial" w:eastAsia="Calibri" w:hAnsi="Arial" w:cs="Arial"/>
          <w:bCs/>
          <w:spacing w:val="20"/>
          <w:kern w:val="2"/>
          <w:lang w:eastAsia="es-MX"/>
        </w:rPr>
        <w:t>Miahuatlán</w:t>
      </w:r>
      <w:proofErr w:type="spellEnd"/>
      <w:r w:rsidRPr="00174694">
        <w:rPr>
          <w:rFonts w:ascii="Arial" w:eastAsia="Calibri" w:hAnsi="Arial" w:cs="Arial"/>
          <w:bCs/>
          <w:spacing w:val="20"/>
          <w:kern w:val="2"/>
          <w:lang w:eastAsia="es-MX"/>
        </w:rPr>
        <w:t xml:space="preserve"> y al programa nacional de prevención del delito, en distintas regiones del Estado.</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Del total de recursos devengados 40 millones 458 mil 252 pesos corresponden a la Secretaria de Seguridad P</w:t>
      </w:r>
      <w:r w:rsidR="00B765D8">
        <w:rPr>
          <w:rFonts w:ascii="Arial" w:eastAsia="Calibri" w:hAnsi="Arial" w:cs="Arial"/>
          <w:bCs/>
          <w:spacing w:val="20"/>
          <w:kern w:val="2"/>
          <w:lang w:eastAsia="es-MX"/>
        </w:rPr>
        <w:t>ú</w:t>
      </w:r>
      <w:r w:rsidRPr="00174694">
        <w:rPr>
          <w:rFonts w:ascii="Arial" w:eastAsia="Calibri" w:hAnsi="Arial" w:cs="Arial"/>
          <w:bCs/>
          <w:spacing w:val="20"/>
          <w:kern w:val="2"/>
          <w:lang w:eastAsia="es-MX"/>
        </w:rPr>
        <w:t xml:space="preserve">blica, </w:t>
      </w:r>
      <w:r w:rsidR="00165CF7">
        <w:rPr>
          <w:rFonts w:ascii="Arial" w:eastAsia="Calibri" w:hAnsi="Arial" w:cs="Arial"/>
          <w:bCs/>
          <w:spacing w:val="20"/>
          <w:kern w:val="2"/>
          <w:lang w:eastAsia="es-MX"/>
        </w:rPr>
        <w:t>un</w:t>
      </w:r>
      <w:r w:rsidRPr="00174694">
        <w:rPr>
          <w:rFonts w:ascii="Arial" w:eastAsia="Calibri" w:hAnsi="Arial" w:cs="Arial"/>
          <w:bCs/>
          <w:spacing w:val="20"/>
          <w:kern w:val="2"/>
          <w:lang w:eastAsia="es-MX"/>
        </w:rPr>
        <w:t xml:space="preserve"> millón 251 mil 747 pesos corresponden a la Procuraduría General de Justicia del Estado y 144 millones 97 mil 350 pesos al Secretariado Ejecutivo del Sistema Estatal de Seguridad P</w:t>
      </w:r>
      <w:r w:rsidR="00B765D8">
        <w:rPr>
          <w:rFonts w:ascii="Arial" w:eastAsia="Calibri" w:hAnsi="Arial" w:cs="Arial"/>
          <w:bCs/>
          <w:spacing w:val="20"/>
          <w:kern w:val="2"/>
          <w:lang w:eastAsia="es-MX"/>
        </w:rPr>
        <w:t>ú</w:t>
      </w:r>
      <w:r w:rsidRPr="00174694">
        <w:rPr>
          <w:rFonts w:ascii="Arial" w:eastAsia="Calibri" w:hAnsi="Arial" w:cs="Arial"/>
          <w:bCs/>
          <w:spacing w:val="20"/>
          <w:kern w:val="2"/>
          <w:lang w:eastAsia="es-MX"/>
        </w:rPr>
        <w:t>blica.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9411EE">
      <w:pPr>
        <w:contextualSpacing/>
        <w:jc w:val="center"/>
        <w:rPr>
          <w:rFonts w:ascii="Arial" w:eastAsia="Calibri" w:hAnsi="Arial" w:cs="Arial"/>
          <w:bCs/>
          <w:spacing w:val="20"/>
          <w:kern w:val="2"/>
          <w:lang w:eastAsia="es-MX"/>
        </w:rPr>
      </w:pPr>
      <w:r w:rsidRPr="00174694">
        <w:rPr>
          <w:rFonts w:ascii="Arial" w:eastAsia="Calibri" w:hAnsi="Arial" w:cs="Arial"/>
          <w:bCs/>
          <w:noProof/>
          <w:spacing w:val="20"/>
          <w:kern w:val="2"/>
          <w:lang w:val="es-MX" w:eastAsia="es-MX"/>
        </w:rPr>
        <w:drawing>
          <wp:inline distT="0" distB="0" distL="0" distR="0">
            <wp:extent cx="5612130" cy="2144424"/>
            <wp:effectExtent l="19050" t="0" r="7620" b="0"/>
            <wp:docPr id="2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srcRect/>
                    <a:stretch>
                      <a:fillRect/>
                    </a:stretch>
                  </pic:blipFill>
                  <pic:spPr bwMode="auto">
                    <a:xfrm>
                      <a:off x="0" y="0"/>
                      <a:ext cx="5612130" cy="2144424"/>
                    </a:xfrm>
                    <a:prstGeom prst="rect">
                      <a:avLst/>
                    </a:prstGeom>
                    <a:noFill/>
                    <a:ln w="9525">
                      <a:noFill/>
                      <a:miter lim="800000"/>
                      <a:headEnd/>
                      <a:tailEnd/>
                    </a:ln>
                  </pic:spPr>
                </pic:pic>
              </a:graphicData>
            </a:graphic>
          </wp:inline>
        </w:drawing>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65CF7" w:rsidRDefault="00174694" w:rsidP="00174694">
      <w:pPr>
        <w:contextualSpacing/>
        <w:jc w:val="both"/>
        <w:rPr>
          <w:rFonts w:ascii="Arial" w:eastAsia="Calibri" w:hAnsi="Arial" w:cs="Arial"/>
          <w:b/>
          <w:bCs/>
          <w:spacing w:val="20"/>
          <w:kern w:val="2"/>
          <w:lang w:eastAsia="es-MX"/>
        </w:rPr>
      </w:pPr>
      <w:r w:rsidRPr="00174694">
        <w:rPr>
          <w:rFonts w:ascii="Arial" w:eastAsia="Calibri" w:hAnsi="Arial" w:cs="Arial"/>
          <w:bCs/>
          <w:spacing w:val="20"/>
          <w:kern w:val="2"/>
          <w:lang w:eastAsia="es-MX"/>
        </w:rPr>
        <w:br w:type="page"/>
      </w:r>
      <w:r w:rsidRPr="00165CF7">
        <w:rPr>
          <w:rFonts w:ascii="Arial" w:eastAsia="Calibri" w:hAnsi="Arial" w:cs="Arial"/>
          <w:b/>
          <w:bCs/>
          <w:spacing w:val="20"/>
          <w:kern w:val="2"/>
          <w:lang w:eastAsia="es-MX"/>
        </w:rPr>
        <w:lastRenderedPageBreak/>
        <w:t>4.8.8.- FONDO DE APORTACIONES PARA EL FORTALECIMIENTO DE LAS ENTIDADES FEDERATIVAS</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Los recursos del Fondo de Aportaciones para el Fortalecimiento de las Entidades Federativas (FAFEF), tienen por objeto fortalecer los presupuestos de las mismas destinándose a inversión en infraestructura física, incluyendo la construcción, reconstrucción, ampliación, mantenimiento y conservación de infraestructura; así como la adquisición de bienes para el equipamiento de obras generadas o adquiridas; infraestructura </w:t>
      </w:r>
      <w:proofErr w:type="spellStart"/>
      <w:r w:rsidRPr="00174694">
        <w:rPr>
          <w:rFonts w:ascii="Arial" w:eastAsia="Calibri" w:hAnsi="Arial" w:cs="Arial"/>
          <w:bCs/>
          <w:spacing w:val="20"/>
          <w:kern w:val="2"/>
          <w:lang w:eastAsia="es-MX"/>
        </w:rPr>
        <w:t>hidroagrícola</w:t>
      </w:r>
      <w:proofErr w:type="spellEnd"/>
      <w:r w:rsidRPr="00174694">
        <w:rPr>
          <w:rFonts w:ascii="Arial" w:eastAsia="Calibri" w:hAnsi="Arial" w:cs="Arial"/>
          <w:bCs/>
          <w:spacing w:val="20"/>
          <w:kern w:val="2"/>
          <w:lang w:eastAsia="es-MX"/>
        </w:rPr>
        <w:t>, realización de estudios, elaboración y evaluación de proyectos, supervisión y control de obras de infraestructura; saneamiento financiero, saneamiento de pensiones, modernización de los registros públicos de la propiedad y del comercio locales, modernización de los catastros, modernización de los sistemas de recaudación locales para desarrollar mecanismos impositivos que permitan ampliar la base gravable de las contribuciones locales, y al fortalecimiento de los proyectos de investigación científica y desarrollo tecnológico, contribución a los fondos constituidos por los Estados para apoyar proyectos de infraestructura concesionada o aquellos donde se combinen recursos públicos y privados; al pago de obras públicas de infraestructura que sean susceptibles de complementarse con inversión privada, en forma inmediata o futura, así como a estudios, proyectos, supervisión, liberación del derecho de vía, y otros bienes y servicios relacionados con las mismas, cumpliendo las condiciones establecidas en el Artículo 47 de la Ley de Coordinación Fiscal.</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En el marco de esta disposición normativa se devengaron recursos de FAFEF por la cantidad de 437 millones 221 mil 593 pesos, y fueron aplicados por las dependencias y entidades como se describe a continuación:</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La Secretaría de las Infraestructuras y el Ordenamiento Territorial Sustentable devengó recursos que ascienden a 122 millones 462 mil 122 pesos, para la ejecución de 125 obras entre las que destacan: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La ampliación de la red de distribución de energía eléctrica en la colonia 26 de septiembre, ampliación de la red de distribución de energía eléctrica en la calle “Francisco Villa”, reconstrucción de pavimento con concreto asfaltico del camino de acceso a San Agustín </w:t>
      </w:r>
      <w:proofErr w:type="spellStart"/>
      <w:r w:rsidRPr="00174694">
        <w:rPr>
          <w:rFonts w:ascii="Arial" w:eastAsia="Calibri" w:hAnsi="Arial" w:cs="Arial"/>
          <w:bCs/>
          <w:spacing w:val="20"/>
          <w:kern w:val="2"/>
          <w:lang w:eastAsia="es-MX"/>
        </w:rPr>
        <w:t>Etla</w:t>
      </w:r>
      <w:proofErr w:type="spellEnd"/>
      <w:r w:rsidRPr="00174694">
        <w:rPr>
          <w:rFonts w:ascii="Arial" w:eastAsia="Calibri" w:hAnsi="Arial" w:cs="Arial"/>
          <w:bCs/>
          <w:spacing w:val="20"/>
          <w:kern w:val="2"/>
          <w:lang w:eastAsia="es-MX"/>
        </w:rPr>
        <w:t xml:space="preserve">, repotenciación de varias   líneas  de distribución de energía eléctrica, la construcción de albergue escolar "Niños Héroes", pavimentación con concreto hidráulico de acceso y explanada en la facultad de economía de </w:t>
      </w:r>
      <w:r w:rsidRPr="00174694">
        <w:rPr>
          <w:rFonts w:ascii="Arial" w:eastAsia="Calibri" w:hAnsi="Arial" w:cs="Arial"/>
          <w:bCs/>
          <w:spacing w:val="20"/>
          <w:kern w:val="2"/>
          <w:lang w:eastAsia="es-MX"/>
        </w:rPr>
        <w:lastRenderedPageBreak/>
        <w:t xml:space="preserve">la UABJO, construcción de muro de contención en la escuela primaria </w:t>
      </w:r>
      <w:proofErr w:type="spellStart"/>
      <w:r w:rsidRPr="00174694">
        <w:rPr>
          <w:rFonts w:ascii="Arial" w:eastAsia="Calibri" w:hAnsi="Arial" w:cs="Arial"/>
          <w:bCs/>
          <w:spacing w:val="20"/>
          <w:kern w:val="2"/>
          <w:lang w:eastAsia="es-MX"/>
        </w:rPr>
        <w:t>Netzahualcoyotl</w:t>
      </w:r>
      <w:proofErr w:type="spellEnd"/>
      <w:r w:rsidRPr="00174694">
        <w:rPr>
          <w:rFonts w:ascii="Arial" w:eastAsia="Calibri" w:hAnsi="Arial" w:cs="Arial"/>
          <w:bCs/>
          <w:spacing w:val="20"/>
          <w:kern w:val="2"/>
          <w:lang w:eastAsia="es-MX"/>
        </w:rPr>
        <w:t xml:space="preserve"> clave 20DPR3499A, ampliación de la red de distribución de energía eléctrica en el barrio la peña, ampliación de la red de distribución energía eléctrica subterránea en la col. </w:t>
      </w:r>
      <w:proofErr w:type="spellStart"/>
      <w:r w:rsidRPr="00174694">
        <w:rPr>
          <w:rFonts w:ascii="Arial" w:eastAsia="Calibri" w:hAnsi="Arial" w:cs="Arial"/>
          <w:bCs/>
          <w:spacing w:val="20"/>
          <w:kern w:val="2"/>
          <w:lang w:eastAsia="es-MX"/>
        </w:rPr>
        <w:t>Zaachila</w:t>
      </w:r>
      <w:proofErr w:type="spellEnd"/>
      <w:r w:rsidRPr="00174694">
        <w:rPr>
          <w:rFonts w:ascii="Arial" w:eastAsia="Calibri" w:hAnsi="Arial" w:cs="Arial"/>
          <w:bCs/>
          <w:spacing w:val="20"/>
          <w:kern w:val="2"/>
          <w:lang w:eastAsia="es-MX"/>
        </w:rPr>
        <w:t xml:space="preserve"> II, ampliación de la red de distribución de energía eléctrica en Hierve el Agua, construcción del centro de manejo integral de residuos </w:t>
      </w:r>
      <w:r w:rsidR="00B765D8" w:rsidRPr="00174694">
        <w:rPr>
          <w:rFonts w:ascii="Arial" w:eastAsia="Calibri" w:hAnsi="Arial" w:cs="Arial"/>
          <w:bCs/>
          <w:spacing w:val="20"/>
          <w:kern w:val="2"/>
          <w:lang w:eastAsia="es-MX"/>
        </w:rPr>
        <w:t>sólidos</w:t>
      </w:r>
      <w:r w:rsidRPr="00174694">
        <w:rPr>
          <w:rFonts w:ascii="Arial" w:eastAsia="Calibri" w:hAnsi="Arial" w:cs="Arial"/>
          <w:bCs/>
          <w:spacing w:val="20"/>
          <w:kern w:val="2"/>
          <w:lang w:eastAsia="es-MX"/>
        </w:rPr>
        <w:t xml:space="preserve"> urbanos  en Asunción </w:t>
      </w:r>
      <w:proofErr w:type="spellStart"/>
      <w:r w:rsidRPr="00174694">
        <w:rPr>
          <w:rFonts w:ascii="Arial" w:eastAsia="Calibri" w:hAnsi="Arial" w:cs="Arial"/>
          <w:bCs/>
          <w:spacing w:val="20"/>
          <w:kern w:val="2"/>
          <w:lang w:eastAsia="es-MX"/>
        </w:rPr>
        <w:t>Nochixtlan</w:t>
      </w:r>
      <w:proofErr w:type="spellEnd"/>
      <w:r w:rsidRPr="00174694">
        <w:rPr>
          <w:rFonts w:ascii="Arial" w:eastAsia="Calibri" w:hAnsi="Arial" w:cs="Arial"/>
          <w:bCs/>
          <w:spacing w:val="20"/>
          <w:kern w:val="2"/>
          <w:lang w:eastAsia="es-MX"/>
        </w:rPr>
        <w:t xml:space="preserve">; por mencionar algunos.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Por medio de la Secretaría de Turismo y Desarrollo Económico, se devengaron recursos por la cantidad de 12 millones 869 mil 945 pesos, para  los proyectos de “Imagen urbana de San Agustinillo”</w:t>
      </w:r>
      <w:r w:rsidR="00B765D8">
        <w:rPr>
          <w:rFonts w:ascii="Arial" w:eastAsia="Calibri" w:hAnsi="Arial" w:cs="Arial"/>
          <w:bCs/>
          <w:spacing w:val="20"/>
          <w:kern w:val="2"/>
          <w:lang w:eastAsia="es-MX"/>
        </w:rPr>
        <w:t xml:space="preserve"> </w:t>
      </w:r>
      <w:r w:rsidRPr="00174694">
        <w:rPr>
          <w:rFonts w:ascii="Arial" w:eastAsia="Calibri" w:hAnsi="Arial" w:cs="Arial"/>
          <w:bCs/>
          <w:spacing w:val="20"/>
          <w:kern w:val="2"/>
          <w:lang w:eastAsia="es-MX"/>
        </w:rPr>
        <w:t>(2ª</w:t>
      </w:r>
      <w:r w:rsidR="00B765D8">
        <w:rPr>
          <w:rFonts w:ascii="Arial" w:eastAsia="Calibri" w:hAnsi="Arial" w:cs="Arial"/>
          <w:bCs/>
          <w:spacing w:val="20"/>
          <w:kern w:val="2"/>
          <w:lang w:eastAsia="es-MX"/>
        </w:rPr>
        <w:t>.</w:t>
      </w:r>
      <w:r w:rsidRPr="00174694">
        <w:rPr>
          <w:rFonts w:ascii="Arial" w:eastAsia="Calibri" w:hAnsi="Arial" w:cs="Arial"/>
          <w:bCs/>
          <w:spacing w:val="20"/>
          <w:kern w:val="2"/>
          <w:lang w:eastAsia="es-MX"/>
        </w:rPr>
        <w:t xml:space="preserve"> etapa) e “Imagen urbana en Santa María del </w:t>
      </w:r>
      <w:proofErr w:type="spellStart"/>
      <w:r w:rsidRPr="00174694">
        <w:rPr>
          <w:rFonts w:ascii="Arial" w:eastAsia="Calibri" w:hAnsi="Arial" w:cs="Arial"/>
          <w:bCs/>
          <w:spacing w:val="20"/>
          <w:kern w:val="2"/>
          <w:lang w:eastAsia="es-MX"/>
        </w:rPr>
        <w:t>Tule</w:t>
      </w:r>
      <w:proofErr w:type="spellEnd"/>
      <w:r w:rsidRPr="00174694">
        <w:rPr>
          <w:rFonts w:ascii="Arial" w:eastAsia="Calibri" w:hAnsi="Arial" w:cs="Arial"/>
          <w:bCs/>
          <w:spacing w:val="20"/>
          <w:kern w:val="2"/>
          <w:lang w:eastAsia="es-MX"/>
        </w:rPr>
        <w:t>” (2ª</w:t>
      </w:r>
      <w:r w:rsidR="00B765D8">
        <w:rPr>
          <w:rFonts w:ascii="Arial" w:eastAsia="Calibri" w:hAnsi="Arial" w:cs="Arial"/>
          <w:bCs/>
          <w:spacing w:val="20"/>
          <w:kern w:val="2"/>
          <w:lang w:eastAsia="es-MX"/>
        </w:rPr>
        <w:t>.</w:t>
      </w:r>
      <w:r w:rsidRPr="00174694">
        <w:rPr>
          <w:rFonts w:ascii="Arial" w:eastAsia="Calibri" w:hAnsi="Arial" w:cs="Arial"/>
          <w:bCs/>
          <w:spacing w:val="20"/>
          <w:kern w:val="2"/>
          <w:lang w:eastAsia="es-MX"/>
        </w:rPr>
        <w:t xml:space="preserve"> etapa).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La Secretaría De Desarrollo Agropecuario, Pesca Y Acuacultura devengó recursos por 1 millón 500 mil pesos para la construcción de la  presa de concreto </w:t>
      </w:r>
      <w:r w:rsidR="00B765D8" w:rsidRPr="00174694">
        <w:rPr>
          <w:rFonts w:ascii="Arial" w:eastAsia="Calibri" w:hAnsi="Arial" w:cs="Arial"/>
          <w:bCs/>
          <w:spacing w:val="20"/>
          <w:kern w:val="2"/>
          <w:lang w:eastAsia="es-MX"/>
        </w:rPr>
        <w:t>ciclópeo</w:t>
      </w:r>
      <w:r w:rsidRPr="00174694">
        <w:rPr>
          <w:rFonts w:ascii="Arial" w:eastAsia="Calibri" w:hAnsi="Arial" w:cs="Arial"/>
          <w:bCs/>
          <w:spacing w:val="20"/>
          <w:kern w:val="2"/>
          <w:lang w:eastAsia="es-MX"/>
        </w:rPr>
        <w:t xml:space="preserve"> en San Bartolo.</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A través de la Secretaría de Finanzas-Normativa se devengaron 19 millones 812 mil 408 pesos como aportación estatal al convenio de coordinación CFE 2015.</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La Secretaría de Administración devengó recursos por 3 millones 993 mil 179 pesos para rehabilitación y mantenimiento del Instituto Tecnológico de Oaxaca.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Caminos y Aeropistas De Oaxaca devengó recursos por la cantidad de 26 millones 342 mil 221 pesos, de los cuales 8 millones 896 mil 335 pesos se destinaron al programa de Caminos Rurales y 17 millones 445 mil 886 pesos. En el primer programa se destinaron a obras como: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Rehabilitación de caminos cosecheros en el municipio de Villa De </w:t>
      </w:r>
      <w:proofErr w:type="spellStart"/>
      <w:r w:rsidRPr="00174694">
        <w:rPr>
          <w:rFonts w:ascii="Arial" w:eastAsia="Calibri" w:hAnsi="Arial" w:cs="Arial"/>
          <w:bCs/>
          <w:spacing w:val="20"/>
          <w:kern w:val="2"/>
          <w:lang w:eastAsia="es-MX"/>
        </w:rPr>
        <w:t>Tututepec</w:t>
      </w:r>
      <w:proofErr w:type="spellEnd"/>
      <w:r w:rsidRPr="00174694">
        <w:rPr>
          <w:rFonts w:ascii="Arial" w:eastAsia="Calibri" w:hAnsi="Arial" w:cs="Arial"/>
          <w:bCs/>
          <w:spacing w:val="20"/>
          <w:kern w:val="2"/>
          <w:lang w:eastAsia="es-MX"/>
        </w:rPr>
        <w:t xml:space="preserve"> de Melchor Ocampo tramos parciales,  construcción del camino plan de Guajolote - San Marcos Mesoncito tramo del km. 0+000 al km. 8+000,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construir del km. 1+000 al km. 2+000, rehabilitación de camino rural tramo de  Cuauhtémoc De Guadalupe  - Camino De Las Conchas, modernización y ampliación del camino San Juan </w:t>
      </w:r>
      <w:proofErr w:type="spellStart"/>
      <w:r w:rsidRPr="00174694">
        <w:rPr>
          <w:rFonts w:ascii="Arial" w:eastAsia="Calibri" w:hAnsi="Arial" w:cs="Arial"/>
          <w:bCs/>
          <w:spacing w:val="20"/>
          <w:kern w:val="2"/>
          <w:lang w:eastAsia="es-MX"/>
        </w:rPr>
        <w:t>Mixtepec-Juxtlahuaca</w:t>
      </w:r>
      <w:proofErr w:type="spellEnd"/>
      <w:r w:rsidRPr="00174694">
        <w:rPr>
          <w:rFonts w:ascii="Arial" w:eastAsia="Calibri" w:hAnsi="Arial" w:cs="Arial"/>
          <w:bCs/>
          <w:spacing w:val="20"/>
          <w:kern w:val="2"/>
          <w:lang w:eastAsia="es-MX"/>
        </w:rPr>
        <w:t>, tramo los Tejocotes-</w:t>
      </w:r>
      <w:proofErr w:type="spellStart"/>
      <w:r w:rsidRPr="00174694">
        <w:rPr>
          <w:rFonts w:ascii="Arial" w:eastAsia="Calibri" w:hAnsi="Arial" w:cs="Arial"/>
          <w:bCs/>
          <w:spacing w:val="20"/>
          <w:kern w:val="2"/>
          <w:lang w:eastAsia="es-MX"/>
        </w:rPr>
        <w:t>Juxtlahuaca</w:t>
      </w:r>
      <w:proofErr w:type="spellEnd"/>
      <w:r w:rsidRPr="00174694">
        <w:rPr>
          <w:rFonts w:ascii="Arial" w:eastAsia="Calibri" w:hAnsi="Arial" w:cs="Arial"/>
          <w:bCs/>
          <w:spacing w:val="20"/>
          <w:kern w:val="2"/>
          <w:lang w:eastAsia="es-MX"/>
        </w:rPr>
        <w:t xml:space="preserve"> del km 0 000 al km. 10+000,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modernizar del km. 0+000 al km. 0+280, construcción del libramiento tramo: el Llano- Buenavista del km</w:t>
      </w:r>
      <w:r w:rsidR="00B765D8">
        <w:rPr>
          <w:rFonts w:ascii="Arial" w:eastAsia="Calibri" w:hAnsi="Arial" w:cs="Arial"/>
          <w:bCs/>
          <w:spacing w:val="20"/>
          <w:kern w:val="2"/>
          <w:lang w:eastAsia="es-MX"/>
        </w:rPr>
        <w:t>.</w:t>
      </w:r>
      <w:r w:rsidRPr="00174694">
        <w:rPr>
          <w:rFonts w:ascii="Arial" w:eastAsia="Calibri" w:hAnsi="Arial" w:cs="Arial"/>
          <w:bCs/>
          <w:spacing w:val="20"/>
          <w:kern w:val="2"/>
          <w:lang w:eastAsia="es-MX"/>
        </w:rPr>
        <w:t xml:space="preserve"> 0+000 al km. 7+000 ,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construir del km. 0+000 al km. 0+120 </w:t>
      </w:r>
      <w:r w:rsidR="00B765D8" w:rsidRPr="00174694">
        <w:rPr>
          <w:rFonts w:ascii="Arial" w:eastAsia="Calibri" w:hAnsi="Arial" w:cs="Arial"/>
          <w:bCs/>
          <w:spacing w:val="20"/>
          <w:kern w:val="2"/>
          <w:lang w:eastAsia="es-MX"/>
        </w:rPr>
        <w:t>terracerías</w:t>
      </w:r>
      <w:r w:rsidRPr="00174694">
        <w:rPr>
          <w:rFonts w:ascii="Arial" w:eastAsia="Calibri" w:hAnsi="Arial" w:cs="Arial"/>
          <w:bCs/>
          <w:spacing w:val="20"/>
          <w:kern w:val="2"/>
          <w:lang w:eastAsia="es-MX"/>
        </w:rPr>
        <w:t>, construcción del puente vehicular: s/rio obispo, s/Camino Esperanza Arroyo La Gloria  (</w:t>
      </w:r>
      <w:proofErr w:type="spellStart"/>
      <w:r w:rsidRPr="00174694">
        <w:rPr>
          <w:rFonts w:ascii="Arial" w:eastAsia="Calibri" w:hAnsi="Arial" w:cs="Arial"/>
          <w:bCs/>
          <w:spacing w:val="20"/>
          <w:kern w:val="2"/>
          <w:lang w:eastAsia="es-MX"/>
        </w:rPr>
        <w:t>Tuxtepec</w:t>
      </w:r>
      <w:proofErr w:type="spellEnd"/>
      <w:r w:rsidRPr="00174694">
        <w:rPr>
          <w:rFonts w:ascii="Arial" w:eastAsia="Calibri" w:hAnsi="Arial" w:cs="Arial"/>
          <w:bCs/>
          <w:spacing w:val="20"/>
          <w:kern w:val="2"/>
          <w:lang w:eastAsia="es-MX"/>
        </w:rPr>
        <w:t xml:space="preserve">) - </w:t>
      </w:r>
      <w:proofErr w:type="spellStart"/>
      <w:r w:rsidRPr="00174694">
        <w:rPr>
          <w:rFonts w:ascii="Arial" w:eastAsia="Calibri" w:hAnsi="Arial" w:cs="Arial"/>
          <w:bCs/>
          <w:spacing w:val="20"/>
          <w:kern w:val="2"/>
          <w:lang w:eastAsia="es-MX"/>
        </w:rPr>
        <w:t>Desparramadero</w:t>
      </w:r>
      <w:proofErr w:type="spellEnd"/>
      <w:r w:rsidRPr="00174694">
        <w:rPr>
          <w:rFonts w:ascii="Arial" w:eastAsia="Calibri" w:hAnsi="Arial" w:cs="Arial"/>
          <w:bCs/>
          <w:spacing w:val="20"/>
          <w:kern w:val="2"/>
          <w:lang w:eastAsia="es-MX"/>
        </w:rPr>
        <w:t xml:space="preserve"> (Loma Bonita) </w:t>
      </w:r>
      <w:r w:rsidRPr="00174694">
        <w:rPr>
          <w:rFonts w:ascii="Arial" w:eastAsia="Calibri" w:hAnsi="Arial" w:cs="Arial"/>
          <w:bCs/>
          <w:spacing w:val="20"/>
          <w:kern w:val="2"/>
          <w:lang w:eastAsia="es-MX"/>
        </w:rPr>
        <w:lastRenderedPageBreak/>
        <w:t xml:space="preserve">de 76.9 </w:t>
      </w:r>
      <w:proofErr w:type="spellStart"/>
      <w:r w:rsidRPr="00174694">
        <w:rPr>
          <w:rFonts w:ascii="Arial" w:eastAsia="Calibri" w:hAnsi="Arial" w:cs="Arial"/>
          <w:bCs/>
          <w:spacing w:val="20"/>
          <w:kern w:val="2"/>
          <w:lang w:eastAsia="es-MX"/>
        </w:rPr>
        <w:t>m</w:t>
      </w:r>
      <w:r w:rsidR="00B765D8">
        <w:rPr>
          <w:rFonts w:ascii="Arial" w:eastAsia="Calibri" w:hAnsi="Arial" w:cs="Arial"/>
          <w:bCs/>
          <w:spacing w:val="20"/>
          <w:kern w:val="2"/>
          <w:lang w:eastAsia="es-MX"/>
        </w:rPr>
        <w:t>ts</w:t>
      </w:r>
      <w:proofErr w:type="spellEnd"/>
      <w:r w:rsidR="00B765D8">
        <w:rPr>
          <w:rFonts w:ascii="Arial" w:eastAsia="Calibri" w:hAnsi="Arial" w:cs="Arial"/>
          <w:bCs/>
          <w:spacing w:val="20"/>
          <w:kern w:val="2"/>
          <w:lang w:eastAsia="es-MX"/>
        </w:rPr>
        <w:t xml:space="preserve">. </w:t>
      </w:r>
      <w:proofErr w:type="gramStart"/>
      <w:r w:rsidRPr="00174694">
        <w:rPr>
          <w:rFonts w:ascii="Arial" w:eastAsia="Calibri" w:hAnsi="Arial" w:cs="Arial"/>
          <w:bCs/>
          <w:spacing w:val="20"/>
          <w:kern w:val="2"/>
          <w:lang w:eastAsia="es-MX"/>
        </w:rPr>
        <w:t>de</w:t>
      </w:r>
      <w:proofErr w:type="gramEnd"/>
      <w:r w:rsidRPr="00174694">
        <w:rPr>
          <w:rFonts w:ascii="Arial" w:eastAsia="Calibri" w:hAnsi="Arial" w:cs="Arial"/>
          <w:bCs/>
          <w:spacing w:val="20"/>
          <w:kern w:val="2"/>
          <w:lang w:eastAsia="es-MX"/>
        </w:rPr>
        <w:t xml:space="preserve"> longitud. (</w:t>
      </w:r>
      <w:proofErr w:type="gramStart"/>
      <w:r w:rsidRPr="00174694">
        <w:rPr>
          <w:rFonts w:ascii="Arial" w:eastAsia="Calibri" w:hAnsi="Arial" w:cs="Arial"/>
          <w:bCs/>
          <w:spacing w:val="20"/>
          <w:kern w:val="2"/>
          <w:lang w:eastAsia="es-MX"/>
        </w:rPr>
        <w:t>primera</w:t>
      </w:r>
      <w:proofErr w:type="gramEnd"/>
      <w:r w:rsidRPr="00174694">
        <w:rPr>
          <w:rFonts w:ascii="Arial" w:eastAsia="Calibri" w:hAnsi="Arial" w:cs="Arial"/>
          <w:bCs/>
          <w:spacing w:val="20"/>
          <w:kern w:val="2"/>
          <w:lang w:eastAsia="es-MX"/>
        </w:rPr>
        <w:t xml:space="preserve"> etapa), construcción del puente vehicular "</w:t>
      </w:r>
      <w:proofErr w:type="spellStart"/>
      <w:r w:rsidRPr="00174694">
        <w:rPr>
          <w:rFonts w:ascii="Arial" w:eastAsia="Calibri" w:hAnsi="Arial" w:cs="Arial"/>
          <w:bCs/>
          <w:spacing w:val="20"/>
          <w:kern w:val="2"/>
          <w:lang w:eastAsia="es-MX"/>
        </w:rPr>
        <w:t>Yokuishi</w:t>
      </w:r>
      <w:proofErr w:type="spellEnd"/>
      <w:r w:rsidRPr="00174694">
        <w:rPr>
          <w:rFonts w:ascii="Arial" w:eastAsia="Calibri" w:hAnsi="Arial" w:cs="Arial"/>
          <w:bCs/>
          <w:spacing w:val="20"/>
          <w:kern w:val="2"/>
          <w:lang w:eastAsia="es-MX"/>
        </w:rPr>
        <w:t xml:space="preserve">”, ubicado en la comunidad de San Miguel </w:t>
      </w:r>
      <w:proofErr w:type="spellStart"/>
      <w:r w:rsidRPr="00174694">
        <w:rPr>
          <w:rFonts w:ascii="Arial" w:eastAsia="Calibri" w:hAnsi="Arial" w:cs="Arial"/>
          <w:bCs/>
          <w:spacing w:val="20"/>
          <w:kern w:val="2"/>
          <w:lang w:eastAsia="es-MX"/>
        </w:rPr>
        <w:t>Ixcatl</w:t>
      </w:r>
      <w:r w:rsidR="00B765D8">
        <w:rPr>
          <w:rFonts w:ascii="Arial" w:eastAsia="Calibri" w:hAnsi="Arial" w:cs="Arial"/>
          <w:bCs/>
          <w:spacing w:val="20"/>
          <w:kern w:val="2"/>
          <w:lang w:eastAsia="es-MX"/>
        </w:rPr>
        <w:t>á</w:t>
      </w:r>
      <w:r w:rsidRPr="00174694">
        <w:rPr>
          <w:rFonts w:ascii="Arial" w:eastAsia="Calibri" w:hAnsi="Arial" w:cs="Arial"/>
          <w:bCs/>
          <w:spacing w:val="20"/>
          <w:kern w:val="2"/>
          <w:lang w:eastAsia="es-MX"/>
        </w:rPr>
        <w:t>n</w:t>
      </w:r>
      <w:proofErr w:type="spellEnd"/>
      <w:r w:rsidRPr="00174694">
        <w:rPr>
          <w:rFonts w:ascii="Arial" w:eastAsia="Calibri" w:hAnsi="Arial" w:cs="Arial"/>
          <w:bCs/>
          <w:spacing w:val="20"/>
          <w:kern w:val="2"/>
          <w:lang w:eastAsia="es-MX"/>
        </w:rPr>
        <w:t xml:space="preserve">, Santiago </w:t>
      </w:r>
      <w:proofErr w:type="spellStart"/>
      <w:r w:rsidRPr="00174694">
        <w:rPr>
          <w:rFonts w:ascii="Arial" w:eastAsia="Calibri" w:hAnsi="Arial" w:cs="Arial"/>
          <w:bCs/>
          <w:spacing w:val="20"/>
          <w:kern w:val="2"/>
          <w:lang w:eastAsia="es-MX"/>
        </w:rPr>
        <w:t>Yosond</w:t>
      </w:r>
      <w:r w:rsidR="00B765D8">
        <w:rPr>
          <w:rFonts w:ascii="Arial" w:eastAsia="Calibri" w:hAnsi="Arial" w:cs="Arial"/>
          <w:bCs/>
          <w:spacing w:val="20"/>
          <w:kern w:val="2"/>
          <w:lang w:eastAsia="es-MX"/>
        </w:rPr>
        <w:t>ú</w:t>
      </w:r>
      <w:r w:rsidRPr="00174694">
        <w:rPr>
          <w:rFonts w:ascii="Arial" w:eastAsia="Calibri" w:hAnsi="Arial" w:cs="Arial"/>
          <w:bCs/>
          <w:spacing w:val="20"/>
          <w:kern w:val="2"/>
          <w:lang w:eastAsia="es-MX"/>
        </w:rPr>
        <w:t>a</w:t>
      </w:r>
      <w:proofErr w:type="spellEnd"/>
      <w:r w:rsidRPr="00174694">
        <w:rPr>
          <w:rFonts w:ascii="Arial" w:eastAsia="Calibri" w:hAnsi="Arial" w:cs="Arial"/>
          <w:bCs/>
          <w:spacing w:val="20"/>
          <w:kern w:val="2"/>
          <w:lang w:eastAsia="es-MX"/>
        </w:rPr>
        <w:t xml:space="preserve"> de 66 </w:t>
      </w:r>
      <w:proofErr w:type="spellStart"/>
      <w:r w:rsidRPr="00174694">
        <w:rPr>
          <w:rFonts w:ascii="Arial" w:eastAsia="Calibri" w:hAnsi="Arial" w:cs="Arial"/>
          <w:bCs/>
          <w:spacing w:val="20"/>
          <w:kern w:val="2"/>
          <w:lang w:eastAsia="es-MX"/>
        </w:rPr>
        <w:t>mts</w:t>
      </w:r>
      <w:proofErr w:type="spellEnd"/>
      <w:r w:rsidRPr="00174694">
        <w:rPr>
          <w:rFonts w:ascii="Arial" w:eastAsia="Calibri" w:hAnsi="Arial" w:cs="Arial"/>
          <w:bCs/>
          <w:spacing w:val="20"/>
          <w:kern w:val="2"/>
          <w:lang w:eastAsia="es-MX"/>
        </w:rPr>
        <w:t xml:space="preserve">. </w:t>
      </w:r>
      <w:proofErr w:type="gramStart"/>
      <w:r w:rsidRPr="00174694">
        <w:rPr>
          <w:rFonts w:ascii="Arial" w:eastAsia="Calibri" w:hAnsi="Arial" w:cs="Arial"/>
          <w:bCs/>
          <w:spacing w:val="20"/>
          <w:kern w:val="2"/>
          <w:lang w:eastAsia="es-MX"/>
        </w:rPr>
        <w:t>de</w:t>
      </w:r>
      <w:proofErr w:type="gramEnd"/>
      <w:r w:rsidRPr="00174694">
        <w:rPr>
          <w:rFonts w:ascii="Arial" w:eastAsia="Calibri" w:hAnsi="Arial" w:cs="Arial"/>
          <w:bCs/>
          <w:spacing w:val="20"/>
          <w:kern w:val="2"/>
          <w:lang w:eastAsia="es-MX"/>
        </w:rPr>
        <w:t xml:space="preserve"> longitud en el km. 0+336.97, ampliación de la carretera prolongación la campiña, entre la margen derecha del Rio Salado y Avenida Universidad, reconstrucción del camino Valle Nacional - Cerro Santo Domingo del km. 0+000 al km. 1+500; por mencionar algunas.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Para el programa de Carreteras Alimentadoras, se devengó 17 millones 445 mil 886 pesos para diversas obras, entre las que destacan la modernización y ampliación del camino </w:t>
      </w:r>
      <w:proofErr w:type="spellStart"/>
      <w:r w:rsidRPr="00174694">
        <w:rPr>
          <w:rFonts w:ascii="Arial" w:eastAsia="Calibri" w:hAnsi="Arial" w:cs="Arial"/>
          <w:bCs/>
          <w:spacing w:val="20"/>
          <w:kern w:val="2"/>
          <w:lang w:eastAsia="es-MX"/>
        </w:rPr>
        <w:t>e.c.</w:t>
      </w:r>
      <w:proofErr w:type="spellEnd"/>
      <w:r w:rsidRPr="00174694">
        <w:rPr>
          <w:rFonts w:ascii="Arial" w:eastAsia="Calibri" w:hAnsi="Arial" w:cs="Arial"/>
          <w:bCs/>
          <w:spacing w:val="20"/>
          <w:kern w:val="2"/>
          <w:lang w:eastAsia="es-MX"/>
        </w:rPr>
        <w:t>(</w:t>
      </w:r>
      <w:proofErr w:type="spellStart"/>
      <w:r w:rsidRPr="00174694">
        <w:rPr>
          <w:rFonts w:ascii="Arial" w:eastAsia="Calibri" w:hAnsi="Arial" w:cs="Arial"/>
          <w:bCs/>
          <w:spacing w:val="20"/>
          <w:kern w:val="2"/>
          <w:lang w:eastAsia="es-MX"/>
        </w:rPr>
        <w:t>Putla</w:t>
      </w:r>
      <w:proofErr w:type="spellEnd"/>
      <w:r w:rsidRPr="00174694">
        <w:rPr>
          <w:rFonts w:ascii="Arial" w:eastAsia="Calibri" w:hAnsi="Arial" w:cs="Arial"/>
          <w:bCs/>
          <w:spacing w:val="20"/>
          <w:kern w:val="2"/>
          <w:lang w:eastAsia="es-MX"/>
        </w:rPr>
        <w:t xml:space="preserve"> - </w:t>
      </w:r>
      <w:proofErr w:type="spellStart"/>
      <w:r w:rsidRPr="00174694">
        <w:rPr>
          <w:rFonts w:ascii="Arial" w:eastAsia="Calibri" w:hAnsi="Arial" w:cs="Arial"/>
          <w:bCs/>
          <w:spacing w:val="20"/>
          <w:kern w:val="2"/>
          <w:lang w:eastAsia="es-MX"/>
        </w:rPr>
        <w:t>Tlaxiaco</w:t>
      </w:r>
      <w:proofErr w:type="spellEnd"/>
      <w:r w:rsidRPr="00174694">
        <w:rPr>
          <w:rFonts w:ascii="Arial" w:eastAsia="Calibri" w:hAnsi="Arial" w:cs="Arial"/>
          <w:bCs/>
          <w:spacing w:val="20"/>
          <w:kern w:val="2"/>
          <w:lang w:eastAsia="es-MX"/>
        </w:rPr>
        <w:t>) San Andr</w:t>
      </w:r>
      <w:r w:rsidR="00B765D8">
        <w:rPr>
          <w:rFonts w:ascii="Arial" w:eastAsia="Calibri" w:hAnsi="Arial" w:cs="Arial"/>
          <w:bCs/>
          <w:spacing w:val="20"/>
          <w:kern w:val="2"/>
          <w:lang w:eastAsia="es-MX"/>
        </w:rPr>
        <w:t>é</w:t>
      </w:r>
      <w:r w:rsidRPr="00174694">
        <w:rPr>
          <w:rFonts w:ascii="Arial" w:eastAsia="Calibri" w:hAnsi="Arial" w:cs="Arial"/>
          <w:bCs/>
          <w:spacing w:val="20"/>
          <w:kern w:val="2"/>
          <w:lang w:eastAsia="es-MX"/>
        </w:rPr>
        <w:t xml:space="preserve">s </w:t>
      </w:r>
      <w:proofErr w:type="spellStart"/>
      <w:r w:rsidRPr="00174694">
        <w:rPr>
          <w:rFonts w:ascii="Arial" w:eastAsia="Calibri" w:hAnsi="Arial" w:cs="Arial"/>
          <w:bCs/>
          <w:spacing w:val="20"/>
          <w:kern w:val="2"/>
          <w:lang w:eastAsia="es-MX"/>
        </w:rPr>
        <w:t>Chicahuaxtla</w:t>
      </w:r>
      <w:proofErr w:type="spellEnd"/>
      <w:r w:rsidRPr="00174694">
        <w:rPr>
          <w:rFonts w:ascii="Arial" w:eastAsia="Calibri" w:hAnsi="Arial" w:cs="Arial"/>
          <w:bCs/>
          <w:spacing w:val="20"/>
          <w:kern w:val="2"/>
          <w:lang w:eastAsia="es-MX"/>
        </w:rPr>
        <w:t xml:space="preserve"> del km. 0+000 al km. 2+000,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modernizar del km. 0+000 al km. 0+500, construcción del puente s/rio Valiente s/carretera </w:t>
      </w:r>
      <w:proofErr w:type="spellStart"/>
      <w:r w:rsidRPr="00174694">
        <w:rPr>
          <w:rFonts w:ascii="Arial" w:eastAsia="Calibri" w:hAnsi="Arial" w:cs="Arial"/>
          <w:bCs/>
          <w:spacing w:val="20"/>
          <w:kern w:val="2"/>
          <w:lang w:eastAsia="es-MX"/>
        </w:rPr>
        <w:t>Cuil</w:t>
      </w:r>
      <w:r w:rsidR="00B765D8">
        <w:rPr>
          <w:rFonts w:ascii="Arial" w:eastAsia="Calibri" w:hAnsi="Arial" w:cs="Arial"/>
          <w:bCs/>
          <w:spacing w:val="20"/>
          <w:kern w:val="2"/>
          <w:lang w:eastAsia="es-MX"/>
        </w:rPr>
        <w:t>á</w:t>
      </w:r>
      <w:r w:rsidRPr="00174694">
        <w:rPr>
          <w:rFonts w:ascii="Arial" w:eastAsia="Calibri" w:hAnsi="Arial" w:cs="Arial"/>
          <w:bCs/>
          <w:spacing w:val="20"/>
          <w:kern w:val="2"/>
          <w:lang w:eastAsia="es-MX"/>
        </w:rPr>
        <w:t>pam</w:t>
      </w:r>
      <w:proofErr w:type="spellEnd"/>
      <w:r w:rsidRPr="00174694">
        <w:rPr>
          <w:rFonts w:ascii="Arial" w:eastAsia="Calibri" w:hAnsi="Arial" w:cs="Arial"/>
          <w:bCs/>
          <w:spacing w:val="20"/>
          <w:kern w:val="2"/>
          <w:lang w:eastAsia="es-MX"/>
        </w:rPr>
        <w:t xml:space="preserve"> – </w:t>
      </w:r>
      <w:proofErr w:type="spellStart"/>
      <w:r w:rsidRPr="00174694">
        <w:rPr>
          <w:rFonts w:ascii="Arial" w:eastAsia="Calibri" w:hAnsi="Arial" w:cs="Arial"/>
          <w:bCs/>
          <w:spacing w:val="20"/>
          <w:kern w:val="2"/>
          <w:lang w:eastAsia="es-MX"/>
        </w:rPr>
        <w:t>Zaachila</w:t>
      </w:r>
      <w:proofErr w:type="spellEnd"/>
      <w:r w:rsidRPr="00174694">
        <w:rPr>
          <w:rFonts w:ascii="Arial" w:eastAsia="Calibri" w:hAnsi="Arial" w:cs="Arial"/>
          <w:bCs/>
          <w:spacing w:val="20"/>
          <w:kern w:val="2"/>
          <w:lang w:eastAsia="es-MX"/>
        </w:rPr>
        <w:t xml:space="preserve"> (obras complementarias), conservación de la carretera Oaxaca - Tehuantepec,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del km 0+000 al km 3+390(cerro del fortín 4 carriles), reconstrucción de la carretera de acceso y plataforma del </w:t>
      </w:r>
      <w:r w:rsidR="00B765D8">
        <w:rPr>
          <w:rFonts w:ascii="Arial" w:eastAsia="Calibri" w:hAnsi="Arial" w:cs="Arial"/>
          <w:bCs/>
          <w:spacing w:val="20"/>
          <w:kern w:val="2"/>
          <w:lang w:eastAsia="es-MX"/>
        </w:rPr>
        <w:t>ha</w:t>
      </w:r>
      <w:r w:rsidRPr="00174694">
        <w:rPr>
          <w:rFonts w:ascii="Arial" w:eastAsia="Calibri" w:hAnsi="Arial" w:cs="Arial"/>
          <w:bCs/>
          <w:spacing w:val="20"/>
          <w:kern w:val="2"/>
          <w:lang w:eastAsia="es-MX"/>
        </w:rPr>
        <w:t>ngar de la base A</w:t>
      </w:r>
      <w:r w:rsidR="00B765D8">
        <w:rPr>
          <w:rFonts w:ascii="Arial" w:eastAsia="Calibri" w:hAnsi="Arial" w:cs="Arial"/>
          <w:bCs/>
          <w:spacing w:val="20"/>
          <w:kern w:val="2"/>
          <w:lang w:eastAsia="es-MX"/>
        </w:rPr>
        <w:t>é</w:t>
      </w:r>
      <w:r w:rsidRPr="00174694">
        <w:rPr>
          <w:rFonts w:ascii="Arial" w:eastAsia="Calibri" w:hAnsi="Arial" w:cs="Arial"/>
          <w:bCs/>
          <w:spacing w:val="20"/>
          <w:kern w:val="2"/>
          <w:lang w:eastAsia="es-MX"/>
        </w:rPr>
        <w:t xml:space="preserve">rea militar </w:t>
      </w:r>
      <w:proofErr w:type="spellStart"/>
      <w:r w:rsidRPr="00174694">
        <w:rPr>
          <w:rFonts w:ascii="Arial" w:eastAsia="Calibri" w:hAnsi="Arial" w:cs="Arial"/>
          <w:bCs/>
          <w:spacing w:val="20"/>
          <w:kern w:val="2"/>
          <w:lang w:eastAsia="es-MX"/>
        </w:rPr>
        <w:t>num.</w:t>
      </w:r>
      <w:proofErr w:type="spellEnd"/>
      <w:r w:rsidRPr="00174694">
        <w:rPr>
          <w:rFonts w:ascii="Arial" w:eastAsia="Calibri" w:hAnsi="Arial" w:cs="Arial"/>
          <w:bCs/>
          <w:spacing w:val="20"/>
          <w:kern w:val="2"/>
          <w:lang w:eastAsia="es-MX"/>
        </w:rPr>
        <w:t xml:space="preserve"> 15, reconstrucción de la carretera </w:t>
      </w:r>
      <w:proofErr w:type="spellStart"/>
      <w:r w:rsidRPr="00174694">
        <w:rPr>
          <w:rFonts w:ascii="Arial" w:eastAsia="Calibri" w:hAnsi="Arial" w:cs="Arial"/>
          <w:bCs/>
          <w:spacing w:val="20"/>
          <w:kern w:val="2"/>
          <w:lang w:eastAsia="es-MX"/>
        </w:rPr>
        <w:t>Acatl</w:t>
      </w:r>
      <w:r w:rsidR="00B765D8">
        <w:rPr>
          <w:rFonts w:ascii="Arial" w:eastAsia="Calibri" w:hAnsi="Arial" w:cs="Arial"/>
          <w:bCs/>
          <w:spacing w:val="20"/>
          <w:kern w:val="2"/>
          <w:lang w:eastAsia="es-MX"/>
        </w:rPr>
        <w:t>á</w:t>
      </w:r>
      <w:r w:rsidRPr="00174694">
        <w:rPr>
          <w:rFonts w:ascii="Arial" w:eastAsia="Calibri" w:hAnsi="Arial" w:cs="Arial"/>
          <w:bCs/>
          <w:spacing w:val="20"/>
          <w:kern w:val="2"/>
          <w:lang w:eastAsia="es-MX"/>
        </w:rPr>
        <w:t>n</w:t>
      </w:r>
      <w:proofErr w:type="spellEnd"/>
      <w:r w:rsidRPr="00174694">
        <w:rPr>
          <w:rFonts w:ascii="Arial" w:eastAsia="Calibri" w:hAnsi="Arial" w:cs="Arial"/>
          <w:bCs/>
          <w:spacing w:val="20"/>
          <w:kern w:val="2"/>
          <w:lang w:eastAsia="es-MX"/>
        </w:rPr>
        <w:t xml:space="preserve"> de P</w:t>
      </w:r>
      <w:r w:rsidR="00B765D8">
        <w:rPr>
          <w:rFonts w:ascii="Arial" w:eastAsia="Calibri" w:hAnsi="Arial" w:cs="Arial"/>
          <w:bCs/>
          <w:spacing w:val="20"/>
          <w:kern w:val="2"/>
          <w:lang w:eastAsia="es-MX"/>
        </w:rPr>
        <w:t>é</w:t>
      </w:r>
      <w:r w:rsidRPr="00174694">
        <w:rPr>
          <w:rFonts w:ascii="Arial" w:eastAsia="Calibri" w:hAnsi="Arial" w:cs="Arial"/>
          <w:bCs/>
          <w:spacing w:val="20"/>
          <w:kern w:val="2"/>
          <w:lang w:eastAsia="es-MX"/>
        </w:rPr>
        <w:t xml:space="preserve">rez Figueroa - </w:t>
      </w:r>
      <w:proofErr w:type="spellStart"/>
      <w:r w:rsidRPr="00174694">
        <w:rPr>
          <w:rFonts w:ascii="Arial" w:eastAsia="Calibri" w:hAnsi="Arial" w:cs="Arial"/>
          <w:bCs/>
          <w:spacing w:val="20"/>
          <w:kern w:val="2"/>
          <w:lang w:eastAsia="es-MX"/>
        </w:rPr>
        <w:t>Cosolapa</w:t>
      </w:r>
      <w:proofErr w:type="spellEnd"/>
      <w:r w:rsidRPr="00174694">
        <w:rPr>
          <w:rFonts w:ascii="Arial" w:eastAsia="Calibri" w:hAnsi="Arial" w:cs="Arial"/>
          <w:bCs/>
          <w:spacing w:val="20"/>
          <w:kern w:val="2"/>
          <w:lang w:eastAsia="es-MX"/>
        </w:rPr>
        <w:t xml:space="preserve">, tramo del km. 0+000 al km. 42+000, </w:t>
      </w:r>
      <w:proofErr w:type="spellStart"/>
      <w:r w:rsidRPr="00174694">
        <w:rPr>
          <w:rFonts w:ascii="Arial" w:eastAsia="Calibri" w:hAnsi="Arial" w:cs="Arial"/>
          <w:bCs/>
          <w:spacing w:val="20"/>
          <w:kern w:val="2"/>
          <w:lang w:eastAsia="es-MX"/>
        </w:rPr>
        <w:t>subtramo</w:t>
      </w:r>
      <w:proofErr w:type="spellEnd"/>
      <w:r w:rsidRPr="00174694">
        <w:rPr>
          <w:rFonts w:ascii="Arial" w:eastAsia="Calibri" w:hAnsi="Arial" w:cs="Arial"/>
          <w:bCs/>
          <w:spacing w:val="20"/>
          <w:kern w:val="2"/>
          <w:lang w:eastAsia="es-MX"/>
        </w:rPr>
        <w:t xml:space="preserve"> a rehabilitar del km. 37+700 al km. 42+000, conservación del circuito de la VIII zona militar del km 0+000 al km 0+900 primera etapa.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La Comisión Estatal del Agua, destino recursos por 22 millones 46 mil 610 pesos, para 40 obras entre los programas de sistemas de agua potable, sistemas de alcantarillado, sistemas de tratamiento de aguas residuales, administración del servicio</w:t>
      </w:r>
      <w:r w:rsidR="00B765D8">
        <w:rPr>
          <w:rFonts w:ascii="Arial" w:eastAsia="Calibri" w:hAnsi="Arial" w:cs="Arial"/>
          <w:bCs/>
          <w:spacing w:val="20"/>
          <w:kern w:val="2"/>
          <w:lang w:eastAsia="es-MX"/>
        </w:rPr>
        <w:t>,</w:t>
      </w:r>
      <w:r w:rsidRPr="00174694">
        <w:rPr>
          <w:rFonts w:ascii="Arial" w:eastAsia="Calibri" w:hAnsi="Arial" w:cs="Arial"/>
          <w:bCs/>
          <w:spacing w:val="20"/>
          <w:kern w:val="2"/>
          <w:lang w:eastAsia="es-MX"/>
        </w:rPr>
        <w:t xml:space="preserve"> rescate y regeneración de ríos y arroyos.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El Instituto Oaxaqueño Constructor de Infraestructura Física Educativa, devengó recursos por un monto de 36 millones 9 mil 800 pesos, para atender 19  acciones siendo las más relevantes las siguientes: </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construcción de un aula audiovisual y reparaciones generales en la universidad pedagógica nacional de </w:t>
      </w:r>
      <w:proofErr w:type="spellStart"/>
      <w:r w:rsidRPr="00174694">
        <w:rPr>
          <w:rFonts w:ascii="Arial" w:eastAsia="Calibri" w:hAnsi="Arial" w:cs="Arial"/>
          <w:bCs/>
          <w:spacing w:val="20"/>
          <w:kern w:val="2"/>
          <w:lang w:eastAsia="es-MX"/>
        </w:rPr>
        <w:t>Tlaxiaco</w:t>
      </w:r>
      <w:proofErr w:type="spellEnd"/>
      <w:r w:rsidRPr="00174694">
        <w:rPr>
          <w:rFonts w:ascii="Arial" w:eastAsia="Calibri" w:hAnsi="Arial" w:cs="Arial"/>
          <w:bCs/>
          <w:spacing w:val="20"/>
          <w:kern w:val="2"/>
          <w:lang w:eastAsia="es-MX"/>
        </w:rPr>
        <w:t xml:space="preserve">, construcción y equipamiento de siete aulas, un laboratorio, un taller, una planta de tratamiento, servicios sanitarios, bodega y escalera en CECYTE no. 33, construcción de un gimnasio auditorio en la escuela normal superior federal de Oaxaca (1a. etapa), mantenimiento y remodelación de 10 edificios de aulas, talleres y laboratorios eléctrica,  electromecánica, civil, centro de información y dentro de computo en Instituto Tecnológico </w:t>
      </w:r>
      <w:r w:rsidR="00B765D8">
        <w:rPr>
          <w:rFonts w:ascii="Arial" w:eastAsia="Calibri" w:hAnsi="Arial" w:cs="Arial"/>
          <w:bCs/>
          <w:spacing w:val="20"/>
          <w:kern w:val="2"/>
          <w:lang w:eastAsia="es-MX"/>
        </w:rPr>
        <w:t>d</w:t>
      </w:r>
      <w:r w:rsidRPr="00174694">
        <w:rPr>
          <w:rFonts w:ascii="Arial" w:eastAsia="Calibri" w:hAnsi="Arial" w:cs="Arial"/>
          <w:bCs/>
          <w:spacing w:val="20"/>
          <w:kern w:val="2"/>
          <w:lang w:eastAsia="es-MX"/>
        </w:rPr>
        <w:t xml:space="preserve">el Istmo (Heroica Ciudad </w:t>
      </w:r>
      <w:r w:rsidR="00B765D8">
        <w:rPr>
          <w:rFonts w:ascii="Arial" w:eastAsia="Calibri" w:hAnsi="Arial" w:cs="Arial"/>
          <w:bCs/>
          <w:spacing w:val="20"/>
          <w:kern w:val="2"/>
          <w:lang w:eastAsia="es-MX"/>
        </w:rPr>
        <w:t>d</w:t>
      </w:r>
      <w:r w:rsidRPr="00174694">
        <w:rPr>
          <w:rFonts w:ascii="Arial" w:eastAsia="Calibri" w:hAnsi="Arial" w:cs="Arial"/>
          <w:bCs/>
          <w:spacing w:val="20"/>
          <w:kern w:val="2"/>
          <w:lang w:eastAsia="es-MX"/>
        </w:rPr>
        <w:t xml:space="preserve">e Juchitán </w:t>
      </w:r>
      <w:r w:rsidR="00B765D8">
        <w:rPr>
          <w:rFonts w:ascii="Arial" w:eastAsia="Calibri" w:hAnsi="Arial" w:cs="Arial"/>
          <w:bCs/>
          <w:spacing w:val="20"/>
          <w:kern w:val="2"/>
          <w:lang w:eastAsia="es-MX"/>
        </w:rPr>
        <w:t>d</w:t>
      </w:r>
      <w:r w:rsidRPr="00174694">
        <w:rPr>
          <w:rFonts w:ascii="Arial" w:eastAsia="Calibri" w:hAnsi="Arial" w:cs="Arial"/>
          <w:bCs/>
          <w:spacing w:val="20"/>
          <w:kern w:val="2"/>
          <w:lang w:eastAsia="es-MX"/>
        </w:rPr>
        <w:t xml:space="preserve">e Zaragoza), equipamiento para laboratorios y departamentos en el Instituto Tecnológico </w:t>
      </w:r>
      <w:r w:rsidR="00B765D8">
        <w:rPr>
          <w:rFonts w:ascii="Arial" w:eastAsia="Calibri" w:hAnsi="Arial" w:cs="Arial"/>
          <w:bCs/>
          <w:spacing w:val="20"/>
          <w:kern w:val="2"/>
          <w:lang w:eastAsia="es-MX"/>
        </w:rPr>
        <w:t>d</w:t>
      </w:r>
      <w:r w:rsidRPr="00174694">
        <w:rPr>
          <w:rFonts w:ascii="Arial" w:eastAsia="Calibri" w:hAnsi="Arial" w:cs="Arial"/>
          <w:bCs/>
          <w:spacing w:val="20"/>
          <w:kern w:val="2"/>
          <w:lang w:eastAsia="es-MX"/>
        </w:rPr>
        <w:t xml:space="preserve">e Oaxaca </w:t>
      </w:r>
      <w:r w:rsidR="00B765D8">
        <w:rPr>
          <w:rFonts w:ascii="Arial" w:eastAsia="Calibri" w:hAnsi="Arial" w:cs="Arial"/>
          <w:bCs/>
          <w:spacing w:val="20"/>
          <w:kern w:val="2"/>
          <w:lang w:eastAsia="es-MX"/>
        </w:rPr>
        <w:t>d</w:t>
      </w:r>
      <w:r w:rsidRPr="00174694">
        <w:rPr>
          <w:rFonts w:ascii="Arial" w:eastAsia="Calibri" w:hAnsi="Arial" w:cs="Arial"/>
          <w:bCs/>
          <w:spacing w:val="20"/>
          <w:kern w:val="2"/>
          <w:lang w:eastAsia="es-MX"/>
        </w:rPr>
        <w:t xml:space="preserve">e </w:t>
      </w:r>
      <w:r w:rsidRPr="00174694">
        <w:rPr>
          <w:rFonts w:ascii="Arial" w:eastAsia="Calibri" w:hAnsi="Arial" w:cs="Arial"/>
          <w:bCs/>
          <w:spacing w:val="20"/>
          <w:kern w:val="2"/>
          <w:lang w:eastAsia="es-MX"/>
        </w:rPr>
        <w:lastRenderedPageBreak/>
        <w:t>Juárez, construcción de un aula en IEBO no. 193, construcción de comedor en escuela primaria "</w:t>
      </w:r>
      <w:r w:rsidR="00B765D8" w:rsidRPr="00174694">
        <w:rPr>
          <w:rFonts w:ascii="Arial" w:eastAsia="Calibri" w:hAnsi="Arial" w:cs="Arial"/>
          <w:bCs/>
          <w:spacing w:val="20"/>
          <w:kern w:val="2"/>
          <w:lang w:eastAsia="es-MX"/>
        </w:rPr>
        <w:t>José</w:t>
      </w:r>
      <w:r w:rsidRPr="00174694">
        <w:rPr>
          <w:rFonts w:ascii="Arial" w:eastAsia="Calibri" w:hAnsi="Arial" w:cs="Arial"/>
          <w:bCs/>
          <w:spacing w:val="20"/>
          <w:kern w:val="2"/>
          <w:lang w:eastAsia="es-MX"/>
        </w:rPr>
        <w:t xml:space="preserve"> </w:t>
      </w:r>
      <w:r w:rsidR="00B765D8" w:rsidRPr="00174694">
        <w:rPr>
          <w:rFonts w:ascii="Arial" w:eastAsia="Calibri" w:hAnsi="Arial" w:cs="Arial"/>
          <w:bCs/>
          <w:spacing w:val="20"/>
          <w:kern w:val="2"/>
          <w:lang w:eastAsia="es-MX"/>
        </w:rPr>
        <w:t>María</w:t>
      </w:r>
      <w:r w:rsidRPr="00174694">
        <w:rPr>
          <w:rFonts w:ascii="Arial" w:eastAsia="Calibri" w:hAnsi="Arial" w:cs="Arial"/>
          <w:bCs/>
          <w:spacing w:val="20"/>
          <w:kern w:val="2"/>
          <w:lang w:eastAsia="es-MX"/>
        </w:rPr>
        <w:t xml:space="preserve"> Morelos" (barrio de la </w:t>
      </w:r>
      <w:r w:rsidR="00B765D8">
        <w:rPr>
          <w:rFonts w:ascii="Arial" w:eastAsia="Calibri" w:hAnsi="Arial" w:cs="Arial"/>
          <w:bCs/>
          <w:spacing w:val="20"/>
          <w:kern w:val="2"/>
          <w:lang w:eastAsia="es-MX"/>
        </w:rPr>
        <w:t>S</w:t>
      </w:r>
      <w:r w:rsidRPr="00174694">
        <w:rPr>
          <w:rFonts w:ascii="Arial" w:eastAsia="Calibri" w:hAnsi="Arial" w:cs="Arial"/>
          <w:bCs/>
          <w:spacing w:val="20"/>
          <w:kern w:val="2"/>
          <w:lang w:eastAsia="es-MX"/>
        </w:rPr>
        <w:t xml:space="preserve">oledad </w:t>
      </w:r>
      <w:r w:rsidR="00B765D8">
        <w:rPr>
          <w:rFonts w:ascii="Arial" w:eastAsia="Calibri" w:hAnsi="Arial" w:cs="Arial"/>
          <w:bCs/>
          <w:spacing w:val="20"/>
          <w:kern w:val="2"/>
          <w:lang w:eastAsia="es-MX"/>
        </w:rPr>
        <w:t>V</w:t>
      </w:r>
      <w:r w:rsidRPr="00174694">
        <w:rPr>
          <w:rFonts w:ascii="Arial" w:eastAsia="Calibri" w:hAnsi="Arial" w:cs="Arial"/>
          <w:bCs/>
          <w:spacing w:val="20"/>
          <w:kern w:val="2"/>
          <w:lang w:eastAsia="es-MX"/>
        </w:rPr>
        <w:t xml:space="preserve">ista </w:t>
      </w:r>
      <w:r w:rsidR="00B765D8">
        <w:rPr>
          <w:rFonts w:ascii="Arial" w:eastAsia="Calibri" w:hAnsi="Arial" w:cs="Arial"/>
          <w:bCs/>
          <w:spacing w:val="20"/>
          <w:kern w:val="2"/>
          <w:lang w:eastAsia="es-MX"/>
        </w:rPr>
        <w:t>H</w:t>
      </w:r>
      <w:r w:rsidRPr="00174694">
        <w:rPr>
          <w:rFonts w:ascii="Arial" w:eastAsia="Calibri" w:hAnsi="Arial" w:cs="Arial"/>
          <w:bCs/>
          <w:spacing w:val="20"/>
          <w:kern w:val="2"/>
          <w:lang w:eastAsia="es-MX"/>
        </w:rPr>
        <w:t>ermosa).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Servicios de Agua Potable y Alcantarillado de Oaxaca, devengó recursos por 5 millones 214 mil 806 pesos, destinados a la  rehabilitación de colector sanitario en  San Pablo </w:t>
      </w:r>
      <w:proofErr w:type="spellStart"/>
      <w:r w:rsidRPr="00174694">
        <w:rPr>
          <w:rFonts w:ascii="Arial" w:eastAsia="Calibri" w:hAnsi="Arial" w:cs="Arial"/>
          <w:bCs/>
          <w:spacing w:val="20"/>
          <w:kern w:val="2"/>
          <w:lang w:eastAsia="es-MX"/>
        </w:rPr>
        <w:t>Etla</w:t>
      </w:r>
      <w:proofErr w:type="spellEnd"/>
      <w:r w:rsidRPr="00174694">
        <w:rPr>
          <w:rFonts w:ascii="Arial" w:eastAsia="Calibri" w:hAnsi="Arial" w:cs="Arial"/>
          <w:bCs/>
          <w:spacing w:val="20"/>
          <w:kern w:val="2"/>
          <w:lang w:eastAsia="es-MX"/>
        </w:rPr>
        <w:t>, proyectos ejecutivos para la sectorización del macro sector San Antonio de la Cal y el suministro e instalación de 2,250 micro medidores magnéticos a lectura remota por radio frecuencia, zona centro histórico en las rutas 5,8 y 9 (2</w:t>
      </w:r>
      <w:r w:rsidR="00B765D8">
        <w:rPr>
          <w:rFonts w:ascii="Arial" w:eastAsia="Calibri" w:hAnsi="Arial" w:cs="Arial"/>
          <w:bCs/>
          <w:spacing w:val="20"/>
          <w:kern w:val="2"/>
          <w:lang w:eastAsia="es-MX"/>
        </w:rPr>
        <w:t>ª.</w:t>
      </w:r>
      <w:r w:rsidRPr="00174694">
        <w:rPr>
          <w:rFonts w:ascii="Arial" w:eastAsia="Calibri" w:hAnsi="Arial" w:cs="Arial"/>
          <w:bCs/>
          <w:spacing w:val="20"/>
          <w:kern w:val="2"/>
          <w:lang w:eastAsia="es-MX"/>
        </w:rPr>
        <w:t xml:space="preserve"> etapa).</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 xml:space="preserve">El Instituto del Patrimonio Cultural </w:t>
      </w:r>
      <w:r w:rsidR="00B765D8">
        <w:rPr>
          <w:rFonts w:ascii="Arial" w:eastAsia="Calibri" w:hAnsi="Arial" w:cs="Arial"/>
          <w:bCs/>
          <w:spacing w:val="20"/>
          <w:kern w:val="2"/>
          <w:lang w:eastAsia="es-MX"/>
        </w:rPr>
        <w:t>d</w:t>
      </w:r>
      <w:r w:rsidRPr="00174694">
        <w:rPr>
          <w:rFonts w:ascii="Arial" w:eastAsia="Calibri" w:hAnsi="Arial" w:cs="Arial"/>
          <w:bCs/>
          <w:spacing w:val="20"/>
          <w:kern w:val="2"/>
          <w:lang w:eastAsia="es-MX"/>
        </w:rPr>
        <w:t>el E</w:t>
      </w:r>
      <w:r w:rsidR="00B765D8">
        <w:rPr>
          <w:rFonts w:ascii="Arial" w:eastAsia="Calibri" w:hAnsi="Arial" w:cs="Arial"/>
          <w:bCs/>
          <w:spacing w:val="20"/>
          <w:kern w:val="2"/>
          <w:lang w:eastAsia="es-MX"/>
        </w:rPr>
        <w:t>stado</w:t>
      </w:r>
      <w:r w:rsidRPr="00174694">
        <w:rPr>
          <w:rFonts w:ascii="Arial" w:eastAsia="Calibri" w:hAnsi="Arial" w:cs="Arial"/>
          <w:bCs/>
          <w:spacing w:val="20"/>
          <w:kern w:val="2"/>
          <w:lang w:eastAsia="es-MX"/>
        </w:rPr>
        <w:t xml:space="preserve"> de Oaxaca devengó recursos por 9 millones 299 mil 925 pesos, en la restauración del templo de San Pablo Apóstol, la restauración del templo del Rosario </w:t>
      </w:r>
      <w:proofErr w:type="spellStart"/>
      <w:r w:rsidRPr="00174694">
        <w:rPr>
          <w:rFonts w:ascii="Arial" w:eastAsia="Calibri" w:hAnsi="Arial" w:cs="Arial"/>
          <w:bCs/>
          <w:spacing w:val="20"/>
          <w:kern w:val="2"/>
          <w:lang w:eastAsia="es-MX"/>
        </w:rPr>
        <w:t>Temextitlán</w:t>
      </w:r>
      <w:proofErr w:type="spellEnd"/>
      <w:r w:rsidRPr="00174694">
        <w:rPr>
          <w:rFonts w:ascii="Arial" w:eastAsia="Calibri" w:hAnsi="Arial" w:cs="Arial"/>
          <w:bCs/>
          <w:spacing w:val="20"/>
          <w:kern w:val="2"/>
          <w:lang w:eastAsia="es-MX"/>
        </w:rPr>
        <w:t xml:space="preserve">, en la  restauración del templo de San Pedro Apóstol, también en la restauración del templo de Santa María de la Asunción, la restauración del templo de San Felipe </w:t>
      </w:r>
      <w:proofErr w:type="spellStart"/>
      <w:r w:rsidRPr="00174694">
        <w:rPr>
          <w:rFonts w:ascii="Arial" w:eastAsia="Calibri" w:hAnsi="Arial" w:cs="Arial"/>
          <w:bCs/>
          <w:spacing w:val="20"/>
          <w:kern w:val="2"/>
          <w:lang w:eastAsia="es-MX"/>
        </w:rPr>
        <w:t>Neri</w:t>
      </w:r>
      <w:proofErr w:type="spellEnd"/>
      <w:r w:rsidRPr="00174694">
        <w:rPr>
          <w:rFonts w:ascii="Arial" w:eastAsia="Calibri" w:hAnsi="Arial" w:cs="Arial"/>
          <w:bCs/>
          <w:spacing w:val="20"/>
          <w:kern w:val="2"/>
          <w:lang w:eastAsia="es-MX"/>
        </w:rPr>
        <w:t xml:space="preserve"> así como en la restauración del templo de Santa María </w:t>
      </w:r>
      <w:proofErr w:type="spellStart"/>
      <w:r w:rsidRPr="00174694">
        <w:rPr>
          <w:rFonts w:ascii="Arial" w:eastAsia="Calibri" w:hAnsi="Arial" w:cs="Arial"/>
          <w:bCs/>
          <w:spacing w:val="20"/>
          <w:kern w:val="2"/>
          <w:lang w:eastAsia="es-MX"/>
        </w:rPr>
        <w:t>Huazolotitlán</w:t>
      </w:r>
      <w:proofErr w:type="spellEnd"/>
      <w:r w:rsidRPr="00174694">
        <w:rPr>
          <w:rFonts w:ascii="Arial" w:eastAsia="Calibri" w:hAnsi="Arial" w:cs="Arial"/>
          <w:bCs/>
          <w:spacing w:val="20"/>
          <w:kern w:val="2"/>
          <w:lang w:eastAsia="es-MX"/>
        </w:rPr>
        <w:t xml:space="preserve">. También  destinó recursos para la restauración del templo de Santiago </w:t>
      </w:r>
      <w:proofErr w:type="spellStart"/>
      <w:r w:rsidRPr="00174694">
        <w:rPr>
          <w:rFonts w:ascii="Arial" w:eastAsia="Calibri" w:hAnsi="Arial" w:cs="Arial"/>
          <w:bCs/>
          <w:spacing w:val="20"/>
          <w:kern w:val="2"/>
          <w:lang w:eastAsia="es-MX"/>
        </w:rPr>
        <w:t>Comaltepec</w:t>
      </w:r>
      <w:proofErr w:type="spellEnd"/>
      <w:r w:rsidRPr="00174694">
        <w:rPr>
          <w:rFonts w:ascii="Arial" w:eastAsia="Calibri" w:hAnsi="Arial" w:cs="Arial"/>
          <w:bCs/>
          <w:spacing w:val="20"/>
          <w:kern w:val="2"/>
          <w:lang w:eastAsia="es-MX"/>
        </w:rPr>
        <w:t xml:space="preserve">, restauración del </w:t>
      </w:r>
      <w:proofErr w:type="spellStart"/>
      <w:r w:rsidRPr="00174694">
        <w:rPr>
          <w:rFonts w:ascii="Arial" w:eastAsia="Calibri" w:hAnsi="Arial" w:cs="Arial"/>
          <w:bCs/>
          <w:spacing w:val="20"/>
          <w:kern w:val="2"/>
          <w:lang w:eastAsia="es-MX"/>
        </w:rPr>
        <w:t>exconvento</w:t>
      </w:r>
      <w:proofErr w:type="spellEnd"/>
      <w:r w:rsidRPr="00174694">
        <w:rPr>
          <w:rFonts w:ascii="Arial" w:eastAsia="Calibri" w:hAnsi="Arial" w:cs="Arial"/>
          <w:bCs/>
          <w:spacing w:val="20"/>
          <w:kern w:val="2"/>
          <w:lang w:eastAsia="es-MX"/>
        </w:rPr>
        <w:t xml:space="preserve"> de los Siete Príncipes (instalación eléctrica). 2</w:t>
      </w:r>
      <w:r w:rsidR="00B765D8">
        <w:rPr>
          <w:rFonts w:ascii="Arial" w:eastAsia="Calibri" w:hAnsi="Arial" w:cs="Arial"/>
          <w:bCs/>
          <w:spacing w:val="20"/>
          <w:kern w:val="2"/>
          <w:lang w:eastAsia="es-MX"/>
        </w:rPr>
        <w:t xml:space="preserve">ª. </w:t>
      </w:r>
      <w:r w:rsidRPr="00174694">
        <w:rPr>
          <w:rFonts w:ascii="Arial" w:eastAsia="Calibri" w:hAnsi="Arial" w:cs="Arial"/>
          <w:bCs/>
          <w:spacing w:val="20"/>
          <w:kern w:val="2"/>
          <w:lang w:eastAsia="es-MX"/>
        </w:rPr>
        <w:t>Etapa, la restauración del edificio del frontispicio de la escuela de medicina de la UABJO (2</w:t>
      </w:r>
      <w:r w:rsidR="00B765D8">
        <w:rPr>
          <w:rFonts w:ascii="Arial" w:eastAsia="Calibri" w:hAnsi="Arial" w:cs="Arial"/>
          <w:bCs/>
          <w:spacing w:val="20"/>
          <w:kern w:val="2"/>
          <w:lang w:eastAsia="es-MX"/>
        </w:rPr>
        <w:t xml:space="preserve">ª. </w:t>
      </w:r>
      <w:r w:rsidRPr="00174694">
        <w:rPr>
          <w:rFonts w:ascii="Arial" w:eastAsia="Calibri" w:hAnsi="Arial" w:cs="Arial"/>
          <w:bCs/>
          <w:spacing w:val="20"/>
          <w:kern w:val="2"/>
          <w:lang w:eastAsia="es-MX"/>
        </w:rPr>
        <w:t xml:space="preserve">etapa), y finalmente la restauración del templo de Santo Tomás </w:t>
      </w:r>
      <w:proofErr w:type="spellStart"/>
      <w:r w:rsidRPr="00174694">
        <w:rPr>
          <w:rFonts w:ascii="Arial" w:eastAsia="Calibri" w:hAnsi="Arial" w:cs="Arial"/>
          <w:bCs/>
          <w:spacing w:val="20"/>
          <w:kern w:val="2"/>
          <w:lang w:eastAsia="es-MX"/>
        </w:rPr>
        <w:t>Ixtlán</w:t>
      </w:r>
      <w:proofErr w:type="spellEnd"/>
      <w:r w:rsidRPr="00174694">
        <w:rPr>
          <w:rFonts w:ascii="Arial" w:eastAsia="Calibri" w:hAnsi="Arial" w:cs="Arial"/>
          <w:bCs/>
          <w:spacing w:val="20"/>
          <w:kern w:val="2"/>
          <w:lang w:eastAsia="es-MX"/>
        </w:rPr>
        <w:t>.</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Aunado a lo anterior los municipios devengaron 177 millones 670 mil 577 pesos,  que fueron destinados al financiamiento de 96 acciones, entre las cuales destacan:</w:t>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r w:rsidRPr="00174694">
        <w:rPr>
          <w:rFonts w:ascii="Arial" w:eastAsia="Calibri" w:hAnsi="Arial" w:cs="Arial"/>
          <w:bCs/>
          <w:spacing w:val="20"/>
          <w:kern w:val="2"/>
          <w:lang w:eastAsia="es-MX"/>
        </w:rPr>
        <w:t>Construcción de centro de control y comando c2 (2</w:t>
      </w:r>
      <w:r w:rsidR="00B765D8">
        <w:rPr>
          <w:rFonts w:ascii="Arial" w:eastAsia="Calibri" w:hAnsi="Arial" w:cs="Arial"/>
          <w:bCs/>
          <w:spacing w:val="20"/>
          <w:kern w:val="2"/>
          <w:lang w:eastAsia="es-MX"/>
        </w:rPr>
        <w:t xml:space="preserve">ª. </w:t>
      </w:r>
      <w:r w:rsidRPr="00174694">
        <w:rPr>
          <w:rFonts w:ascii="Arial" w:eastAsia="Calibri" w:hAnsi="Arial" w:cs="Arial"/>
          <w:bCs/>
          <w:spacing w:val="20"/>
          <w:kern w:val="2"/>
          <w:lang w:eastAsia="es-MX"/>
        </w:rPr>
        <w:t xml:space="preserve">etapa), remodelación y modernización del mercado "20 de Noviembre" del municipio de Oaxaca de Juárez, construcción de plaza cívica en el IEBO 201, remodelación y modernización del "mercado democracia" del municipio de Oaxaca de Juárez, pavimentación con concreto hidráulico en la calle camino al rancho (barrio </w:t>
      </w:r>
      <w:r w:rsidR="00B765D8">
        <w:rPr>
          <w:rFonts w:ascii="Arial" w:eastAsia="Calibri" w:hAnsi="Arial" w:cs="Arial"/>
          <w:bCs/>
          <w:spacing w:val="20"/>
          <w:kern w:val="2"/>
          <w:lang w:eastAsia="es-MX"/>
        </w:rPr>
        <w:t>S</w:t>
      </w:r>
      <w:r w:rsidRPr="00174694">
        <w:rPr>
          <w:rFonts w:ascii="Arial" w:eastAsia="Calibri" w:hAnsi="Arial" w:cs="Arial"/>
          <w:bCs/>
          <w:spacing w:val="20"/>
          <w:kern w:val="2"/>
          <w:lang w:eastAsia="es-MX"/>
        </w:rPr>
        <w:t xml:space="preserve">an </w:t>
      </w:r>
      <w:r w:rsidR="00B765D8">
        <w:rPr>
          <w:rFonts w:ascii="Arial" w:eastAsia="Calibri" w:hAnsi="Arial" w:cs="Arial"/>
          <w:bCs/>
          <w:spacing w:val="20"/>
          <w:kern w:val="2"/>
          <w:lang w:eastAsia="es-MX"/>
        </w:rPr>
        <w:t>M</w:t>
      </w:r>
      <w:r w:rsidRPr="00174694">
        <w:rPr>
          <w:rFonts w:ascii="Arial" w:eastAsia="Calibri" w:hAnsi="Arial" w:cs="Arial"/>
          <w:bCs/>
          <w:spacing w:val="20"/>
          <w:kern w:val="2"/>
          <w:lang w:eastAsia="es-MX"/>
        </w:rPr>
        <w:t xml:space="preserve">iguel) y calle </w:t>
      </w:r>
      <w:r w:rsidR="00B765D8">
        <w:rPr>
          <w:rFonts w:ascii="Arial" w:eastAsia="Calibri" w:hAnsi="Arial" w:cs="Arial"/>
          <w:bCs/>
          <w:spacing w:val="20"/>
          <w:kern w:val="2"/>
          <w:lang w:eastAsia="es-MX"/>
        </w:rPr>
        <w:t>M</w:t>
      </w:r>
      <w:r w:rsidRPr="00174694">
        <w:rPr>
          <w:rFonts w:ascii="Arial" w:eastAsia="Calibri" w:hAnsi="Arial" w:cs="Arial"/>
          <w:bCs/>
          <w:spacing w:val="20"/>
          <w:kern w:val="2"/>
          <w:lang w:eastAsia="es-MX"/>
        </w:rPr>
        <w:t xml:space="preserve">atamoros, remodelación y modernización del mercado Benito Juárez del municipio de Oaxaca de Juárez, construcción de un nuevo mercado para atender la demanda y comercialización de productos orgánicos de los valles centrales de Oaxaca, mercado orgánico el pochote, remodelación del mercado público de Santa Cruz </w:t>
      </w:r>
      <w:proofErr w:type="spellStart"/>
      <w:r w:rsidRPr="00174694">
        <w:rPr>
          <w:rFonts w:ascii="Arial" w:eastAsia="Calibri" w:hAnsi="Arial" w:cs="Arial"/>
          <w:bCs/>
          <w:spacing w:val="20"/>
          <w:kern w:val="2"/>
          <w:lang w:eastAsia="es-MX"/>
        </w:rPr>
        <w:t>Itundujia</w:t>
      </w:r>
      <w:proofErr w:type="spellEnd"/>
      <w:r w:rsidRPr="00174694">
        <w:rPr>
          <w:rFonts w:ascii="Arial" w:eastAsia="Calibri" w:hAnsi="Arial" w:cs="Arial"/>
          <w:bCs/>
          <w:spacing w:val="20"/>
          <w:kern w:val="2"/>
          <w:lang w:eastAsia="es-MX"/>
        </w:rPr>
        <w:t xml:space="preserve">, construcción de mercado municipal San Pablo </w:t>
      </w:r>
      <w:proofErr w:type="spellStart"/>
      <w:r w:rsidRPr="00174694">
        <w:rPr>
          <w:rFonts w:ascii="Arial" w:eastAsia="Calibri" w:hAnsi="Arial" w:cs="Arial"/>
          <w:bCs/>
          <w:spacing w:val="20"/>
          <w:kern w:val="2"/>
          <w:lang w:eastAsia="es-MX"/>
        </w:rPr>
        <w:t>Huixtepec</w:t>
      </w:r>
      <w:proofErr w:type="spellEnd"/>
      <w:r w:rsidRPr="00174694">
        <w:rPr>
          <w:rFonts w:ascii="Arial" w:eastAsia="Calibri" w:hAnsi="Arial" w:cs="Arial"/>
          <w:bCs/>
          <w:spacing w:val="20"/>
          <w:kern w:val="2"/>
          <w:lang w:eastAsia="es-MX"/>
        </w:rPr>
        <w:t xml:space="preserve">, reconstrucción y cambio de imagen del mercado de San Jerónimo </w:t>
      </w:r>
      <w:proofErr w:type="spellStart"/>
      <w:r w:rsidRPr="00174694">
        <w:rPr>
          <w:rFonts w:ascii="Arial" w:eastAsia="Calibri" w:hAnsi="Arial" w:cs="Arial"/>
          <w:bCs/>
          <w:spacing w:val="20"/>
          <w:kern w:val="2"/>
          <w:lang w:eastAsia="es-MX"/>
        </w:rPr>
        <w:t>Tlacochahuaya</w:t>
      </w:r>
      <w:proofErr w:type="spellEnd"/>
      <w:r w:rsidRPr="00174694">
        <w:rPr>
          <w:rFonts w:ascii="Arial" w:eastAsia="Calibri" w:hAnsi="Arial" w:cs="Arial"/>
          <w:bCs/>
          <w:spacing w:val="20"/>
          <w:kern w:val="2"/>
          <w:lang w:eastAsia="es-MX"/>
        </w:rPr>
        <w:t>, construcción de mercado municipal de San Bartolom</w:t>
      </w:r>
      <w:r w:rsidR="00B765D8">
        <w:rPr>
          <w:rFonts w:ascii="Arial" w:eastAsia="Calibri" w:hAnsi="Arial" w:cs="Arial"/>
          <w:bCs/>
          <w:spacing w:val="20"/>
          <w:kern w:val="2"/>
          <w:lang w:eastAsia="es-MX"/>
        </w:rPr>
        <w:t>é</w:t>
      </w:r>
      <w:r w:rsidRPr="00174694">
        <w:rPr>
          <w:rFonts w:ascii="Arial" w:eastAsia="Calibri" w:hAnsi="Arial" w:cs="Arial"/>
          <w:bCs/>
          <w:spacing w:val="20"/>
          <w:kern w:val="2"/>
          <w:lang w:eastAsia="es-MX"/>
        </w:rPr>
        <w:t xml:space="preserve"> </w:t>
      </w:r>
      <w:proofErr w:type="spellStart"/>
      <w:r w:rsidRPr="00174694">
        <w:rPr>
          <w:rFonts w:ascii="Arial" w:eastAsia="Calibri" w:hAnsi="Arial" w:cs="Arial"/>
          <w:bCs/>
          <w:spacing w:val="20"/>
          <w:kern w:val="2"/>
          <w:lang w:eastAsia="es-MX"/>
        </w:rPr>
        <w:t>Quialana</w:t>
      </w:r>
      <w:proofErr w:type="spellEnd"/>
      <w:r w:rsidRPr="00174694">
        <w:rPr>
          <w:rFonts w:ascii="Arial" w:eastAsia="Calibri" w:hAnsi="Arial" w:cs="Arial"/>
          <w:bCs/>
          <w:spacing w:val="20"/>
          <w:kern w:val="2"/>
          <w:lang w:eastAsia="es-MX"/>
        </w:rPr>
        <w:t xml:space="preserve">, construcción de la zona de </w:t>
      </w:r>
      <w:r w:rsidRPr="00174694">
        <w:rPr>
          <w:rFonts w:ascii="Arial" w:eastAsia="Calibri" w:hAnsi="Arial" w:cs="Arial"/>
          <w:bCs/>
          <w:spacing w:val="20"/>
          <w:kern w:val="2"/>
          <w:lang w:eastAsia="es-MX"/>
        </w:rPr>
        <w:lastRenderedPageBreak/>
        <w:t xml:space="preserve">tianguis del mercado de </w:t>
      </w:r>
      <w:proofErr w:type="spellStart"/>
      <w:r w:rsidRPr="00174694">
        <w:rPr>
          <w:rFonts w:ascii="Arial" w:eastAsia="Calibri" w:hAnsi="Arial" w:cs="Arial"/>
          <w:bCs/>
          <w:spacing w:val="20"/>
          <w:kern w:val="2"/>
          <w:lang w:eastAsia="es-MX"/>
        </w:rPr>
        <w:t>Tlacolula</w:t>
      </w:r>
      <w:proofErr w:type="spellEnd"/>
      <w:r w:rsidRPr="00174694">
        <w:rPr>
          <w:rFonts w:ascii="Arial" w:eastAsia="Calibri" w:hAnsi="Arial" w:cs="Arial"/>
          <w:bCs/>
          <w:spacing w:val="20"/>
          <w:kern w:val="2"/>
          <w:lang w:eastAsia="es-MX"/>
        </w:rPr>
        <w:t xml:space="preserve">, construcción del mercado municipal de San Gabriel </w:t>
      </w:r>
      <w:proofErr w:type="spellStart"/>
      <w:r w:rsidRPr="00174694">
        <w:rPr>
          <w:rFonts w:ascii="Arial" w:eastAsia="Calibri" w:hAnsi="Arial" w:cs="Arial"/>
          <w:bCs/>
          <w:spacing w:val="20"/>
          <w:kern w:val="2"/>
          <w:lang w:eastAsia="es-MX"/>
        </w:rPr>
        <w:t>Mixtepec</w:t>
      </w:r>
      <w:proofErr w:type="spellEnd"/>
      <w:r w:rsidRPr="00174694">
        <w:rPr>
          <w:rFonts w:ascii="Arial" w:eastAsia="Calibri" w:hAnsi="Arial" w:cs="Arial"/>
          <w:bCs/>
          <w:spacing w:val="20"/>
          <w:kern w:val="2"/>
          <w:lang w:eastAsia="es-MX"/>
        </w:rPr>
        <w:t xml:space="preserve">, construcción del mercado municipal Santos Reyes </w:t>
      </w:r>
      <w:proofErr w:type="spellStart"/>
      <w:r w:rsidRPr="00174694">
        <w:rPr>
          <w:rFonts w:ascii="Arial" w:eastAsia="Calibri" w:hAnsi="Arial" w:cs="Arial"/>
          <w:bCs/>
          <w:spacing w:val="20"/>
          <w:kern w:val="2"/>
          <w:lang w:eastAsia="es-MX"/>
        </w:rPr>
        <w:t>Nopala</w:t>
      </w:r>
      <w:proofErr w:type="spellEnd"/>
      <w:r w:rsidRPr="00174694">
        <w:rPr>
          <w:rFonts w:ascii="Arial" w:eastAsia="Calibri" w:hAnsi="Arial" w:cs="Arial"/>
          <w:bCs/>
          <w:spacing w:val="20"/>
          <w:kern w:val="2"/>
          <w:lang w:eastAsia="es-MX"/>
        </w:rPr>
        <w:t xml:space="preserve">, construcción del mercado municipal de Bajos De Chila, construcción de la planta de tratamiento de aguas residuales, para beneficiar a la localidad de </w:t>
      </w:r>
      <w:proofErr w:type="spellStart"/>
      <w:r w:rsidRPr="00174694">
        <w:rPr>
          <w:rFonts w:ascii="Arial" w:eastAsia="Calibri" w:hAnsi="Arial" w:cs="Arial"/>
          <w:bCs/>
          <w:spacing w:val="20"/>
          <w:kern w:val="2"/>
          <w:lang w:eastAsia="es-MX"/>
        </w:rPr>
        <w:t>Totontepec</w:t>
      </w:r>
      <w:proofErr w:type="spellEnd"/>
      <w:r w:rsidRPr="00174694">
        <w:rPr>
          <w:rFonts w:ascii="Arial" w:eastAsia="Calibri" w:hAnsi="Arial" w:cs="Arial"/>
          <w:bCs/>
          <w:spacing w:val="20"/>
          <w:kern w:val="2"/>
          <w:lang w:eastAsia="es-MX"/>
        </w:rPr>
        <w:t xml:space="preserve"> Villa </w:t>
      </w:r>
      <w:r w:rsidR="00B765D8">
        <w:rPr>
          <w:rFonts w:ascii="Arial" w:eastAsia="Calibri" w:hAnsi="Arial" w:cs="Arial"/>
          <w:bCs/>
          <w:spacing w:val="20"/>
          <w:kern w:val="2"/>
          <w:lang w:eastAsia="es-MX"/>
        </w:rPr>
        <w:t>d</w:t>
      </w:r>
      <w:r w:rsidRPr="00174694">
        <w:rPr>
          <w:rFonts w:ascii="Arial" w:eastAsia="Calibri" w:hAnsi="Arial" w:cs="Arial"/>
          <w:bCs/>
          <w:spacing w:val="20"/>
          <w:kern w:val="2"/>
          <w:lang w:eastAsia="es-MX"/>
        </w:rPr>
        <w:t>e Morelos, en el municipio del mismo nombre.</w:t>
      </w:r>
    </w:p>
    <w:p w:rsidR="00174694" w:rsidRDefault="00174694" w:rsidP="00174694">
      <w:pPr>
        <w:contextualSpacing/>
        <w:jc w:val="both"/>
        <w:rPr>
          <w:rFonts w:ascii="Arial" w:eastAsia="Calibri" w:hAnsi="Arial" w:cs="Arial"/>
          <w:bCs/>
          <w:spacing w:val="20"/>
          <w:kern w:val="2"/>
          <w:lang w:eastAsia="es-MX"/>
        </w:rPr>
      </w:pPr>
    </w:p>
    <w:p w:rsidR="005A1A31" w:rsidRDefault="005A1A31" w:rsidP="00174694">
      <w:pPr>
        <w:contextualSpacing/>
        <w:jc w:val="both"/>
        <w:rPr>
          <w:rFonts w:ascii="Arial" w:eastAsia="Calibri" w:hAnsi="Arial" w:cs="Arial"/>
          <w:bCs/>
          <w:spacing w:val="20"/>
          <w:kern w:val="2"/>
          <w:lang w:eastAsia="es-MX"/>
        </w:rPr>
      </w:pPr>
      <w:r>
        <w:rPr>
          <w:rFonts w:ascii="Arial" w:eastAsia="Calibri" w:hAnsi="Arial" w:cs="Arial"/>
          <w:bCs/>
          <w:spacing w:val="20"/>
          <w:kern w:val="2"/>
          <w:lang w:eastAsia="es-MX"/>
        </w:rPr>
        <w:t>P</w:t>
      </w:r>
      <w:r w:rsidRPr="00795D71">
        <w:rPr>
          <w:rFonts w:ascii="Arial" w:eastAsia="Calibri" w:hAnsi="Arial" w:cs="Arial"/>
          <w:bCs/>
          <w:spacing w:val="20"/>
          <w:kern w:val="2"/>
          <w:lang w:eastAsia="es-MX"/>
        </w:rPr>
        <w:t xml:space="preserve">ara el servicio de la deuda pública, con fundamento en los artículos 47 fracción II y 50 de la Ley de Coordinación Fiscal, donde el primero permite el saneamiento financiero y el segundo permite afectar para servir como fuente de pago obligaciones que contraigan con la Federación, las instituciones de crédito o con personas físicas o morales. Destinando para el pago de amortización de capital 299 millones 704 mil 633 pesos y para intereses 300 millones 893 mil 626 pesos a Banco Interacciones S.A., </w:t>
      </w:r>
      <w:proofErr w:type="spellStart"/>
      <w:r w:rsidRPr="00795D71">
        <w:rPr>
          <w:rFonts w:ascii="Arial" w:eastAsia="Calibri" w:hAnsi="Arial" w:cs="Arial"/>
          <w:bCs/>
          <w:spacing w:val="20"/>
          <w:kern w:val="2"/>
          <w:lang w:eastAsia="es-MX"/>
        </w:rPr>
        <w:t>Banobras</w:t>
      </w:r>
      <w:proofErr w:type="spellEnd"/>
      <w:r w:rsidRPr="00795D71">
        <w:rPr>
          <w:rFonts w:ascii="Arial" w:eastAsia="Calibri" w:hAnsi="Arial" w:cs="Arial"/>
          <w:bCs/>
          <w:spacing w:val="20"/>
          <w:kern w:val="2"/>
          <w:lang w:eastAsia="es-MX"/>
        </w:rPr>
        <w:t>, S.N.C., Banco HSBC México S.A., y Emisiones Bursátiles Oaxaca 11 y 13. El Estado, ejercicio en total 600 millones 598 mil 28</w:t>
      </w:r>
      <w:r w:rsidR="002752B7">
        <w:rPr>
          <w:rFonts w:ascii="Arial" w:eastAsia="Calibri" w:hAnsi="Arial" w:cs="Arial"/>
          <w:bCs/>
          <w:spacing w:val="20"/>
          <w:kern w:val="2"/>
          <w:lang w:eastAsia="es-MX"/>
        </w:rPr>
        <w:t>8</w:t>
      </w:r>
      <w:r w:rsidRPr="00795D71">
        <w:rPr>
          <w:rFonts w:ascii="Arial" w:eastAsia="Calibri" w:hAnsi="Arial" w:cs="Arial"/>
          <w:bCs/>
          <w:spacing w:val="20"/>
          <w:kern w:val="2"/>
          <w:lang w:eastAsia="es-MX"/>
        </w:rPr>
        <w:t xml:space="preserve"> pesos</w:t>
      </w:r>
    </w:p>
    <w:p w:rsidR="005A1A31" w:rsidRPr="00174694" w:rsidRDefault="005A1A31"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9411EE">
      <w:pPr>
        <w:contextualSpacing/>
        <w:jc w:val="center"/>
        <w:rPr>
          <w:rFonts w:ascii="Arial" w:eastAsia="Calibri" w:hAnsi="Arial" w:cs="Arial"/>
          <w:bCs/>
          <w:spacing w:val="20"/>
          <w:kern w:val="2"/>
          <w:lang w:eastAsia="es-MX"/>
        </w:rPr>
      </w:pPr>
      <w:r w:rsidRPr="00174694">
        <w:rPr>
          <w:rFonts w:ascii="Arial" w:eastAsia="Calibri" w:hAnsi="Arial" w:cs="Arial"/>
          <w:bCs/>
          <w:noProof/>
          <w:spacing w:val="20"/>
          <w:kern w:val="2"/>
          <w:lang w:val="es-MX" w:eastAsia="es-MX"/>
        </w:rPr>
        <w:drawing>
          <wp:inline distT="0" distB="0" distL="0" distR="0">
            <wp:extent cx="5337810" cy="2924175"/>
            <wp:effectExtent l="19050" t="0" r="0" b="0"/>
            <wp:docPr id="2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srcRect/>
                    <a:stretch>
                      <a:fillRect/>
                    </a:stretch>
                  </pic:blipFill>
                  <pic:spPr bwMode="auto">
                    <a:xfrm>
                      <a:off x="0" y="0"/>
                      <a:ext cx="5337810" cy="2924175"/>
                    </a:xfrm>
                    <a:prstGeom prst="rect">
                      <a:avLst/>
                    </a:prstGeom>
                    <a:noFill/>
                    <a:ln w="9525">
                      <a:noFill/>
                      <a:miter lim="800000"/>
                      <a:headEnd/>
                      <a:tailEnd/>
                    </a:ln>
                  </pic:spPr>
                </pic:pic>
              </a:graphicData>
            </a:graphic>
          </wp:inline>
        </w:drawing>
      </w: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Pr="00174694" w:rsidRDefault="00174694" w:rsidP="00174694">
      <w:pPr>
        <w:contextualSpacing/>
        <w:jc w:val="both"/>
        <w:rPr>
          <w:rFonts w:ascii="Arial" w:eastAsia="Calibri" w:hAnsi="Arial" w:cs="Arial"/>
          <w:bCs/>
          <w:spacing w:val="20"/>
          <w:kern w:val="2"/>
          <w:lang w:eastAsia="es-MX"/>
        </w:rPr>
      </w:pPr>
    </w:p>
    <w:p w:rsidR="00174694" w:rsidRDefault="00174694" w:rsidP="00174694">
      <w:pPr>
        <w:spacing w:line="264" w:lineRule="auto"/>
        <w:contextualSpacing/>
        <w:jc w:val="center"/>
      </w:pPr>
    </w:p>
    <w:p w:rsidR="000C4674" w:rsidRPr="00D83D8E" w:rsidRDefault="000C4674" w:rsidP="000C4674">
      <w:pPr>
        <w:contextualSpacing/>
        <w:jc w:val="both"/>
        <w:rPr>
          <w:rFonts w:ascii="Arial" w:hAnsi="Arial" w:cs="Arial"/>
          <w:b/>
          <w:spacing w:val="20"/>
          <w:kern w:val="2"/>
        </w:rPr>
      </w:pPr>
      <w:r>
        <w:rPr>
          <w:rFonts w:ascii="Arial" w:hAnsi="Arial" w:cs="Arial"/>
          <w:b/>
          <w:spacing w:val="20"/>
          <w:kern w:val="2"/>
        </w:rPr>
        <w:t>5</w:t>
      </w:r>
      <w:r w:rsidRPr="00D83D8E">
        <w:rPr>
          <w:rFonts w:ascii="Arial" w:hAnsi="Arial" w:cs="Arial"/>
          <w:b/>
          <w:spacing w:val="20"/>
          <w:kern w:val="2"/>
        </w:rPr>
        <w:t xml:space="preserve">.- </w:t>
      </w:r>
      <w:r>
        <w:rPr>
          <w:rFonts w:ascii="Arial" w:hAnsi="Arial" w:cs="Arial"/>
          <w:b/>
          <w:spacing w:val="20"/>
          <w:kern w:val="2"/>
        </w:rPr>
        <w:t>SEGURO POPULAR</w:t>
      </w:r>
    </w:p>
    <w:p w:rsidR="003640BE" w:rsidRDefault="003640BE" w:rsidP="00CB3B20">
      <w:pPr>
        <w:contextualSpacing/>
        <w:jc w:val="both"/>
        <w:rPr>
          <w:rFonts w:ascii="Arial" w:hAnsi="Arial" w:cs="Arial"/>
          <w:kern w:val="2"/>
        </w:rPr>
      </w:pPr>
    </w:p>
    <w:p w:rsidR="000C4674" w:rsidRDefault="000C4674" w:rsidP="000C4674">
      <w:pPr>
        <w:contextualSpacing/>
        <w:jc w:val="both"/>
        <w:rPr>
          <w:rFonts w:ascii="Arial" w:eastAsia="Calibri" w:hAnsi="Arial" w:cs="Arial"/>
          <w:spacing w:val="20"/>
          <w:kern w:val="2"/>
        </w:rPr>
      </w:pPr>
      <w:r w:rsidRPr="000C4674">
        <w:rPr>
          <w:rFonts w:ascii="Arial" w:eastAsia="Calibri" w:hAnsi="Arial" w:cs="Arial"/>
          <w:spacing w:val="20"/>
          <w:kern w:val="2"/>
        </w:rPr>
        <w:t xml:space="preserve">A través del Programa Seguro Popular se ejercieron recursos por la cantidad de </w:t>
      </w:r>
      <w:r>
        <w:rPr>
          <w:rFonts w:ascii="Arial" w:eastAsia="Calibri" w:hAnsi="Arial" w:cs="Arial"/>
          <w:spacing w:val="20"/>
          <w:kern w:val="2"/>
        </w:rPr>
        <w:t>un</w:t>
      </w:r>
      <w:r w:rsidRPr="000C4674">
        <w:rPr>
          <w:rFonts w:ascii="Arial" w:eastAsia="Calibri" w:hAnsi="Arial" w:cs="Arial"/>
          <w:spacing w:val="20"/>
          <w:kern w:val="2"/>
        </w:rPr>
        <w:t xml:space="preserve"> mil 721 millones 655 mil 302 pesos fortaleciendo en el Estado de Oaxaca a 806 Centros de Salud, 12  Centros de Salud con Servicios Ampliados, 21 Hospitales Básicos Comunitarios, 12 Hospitales y 3 Hospitales de Especialidades incorporados a la Red de Prestadores de Servicios del Sistema de Protección Social en Salud.</w:t>
      </w:r>
    </w:p>
    <w:p w:rsidR="000C4674" w:rsidRPr="000C4674" w:rsidRDefault="000C4674" w:rsidP="000C4674">
      <w:pPr>
        <w:contextualSpacing/>
        <w:jc w:val="both"/>
        <w:rPr>
          <w:rFonts w:ascii="Arial" w:eastAsia="Calibri" w:hAnsi="Arial" w:cs="Arial"/>
          <w:spacing w:val="20"/>
          <w:kern w:val="2"/>
        </w:rPr>
      </w:pPr>
    </w:p>
    <w:p w:rsidR="000C4674" w:rsidRDefault="000C4674" w:rsidP="000C4674">
      <w:pPr>
        <w:contextualSpacing/>
        <w:jc w:val="both"/>
        <w:rPr>
          <w:rFonts w:ascii="Arial" w:eastAsia="Calibri" w:hAnsi="Arial" w:cs="Arial"/>
          <w:spacing w:val="20"/>
          <w:kern w:val="2"/>
        </w:rPr>
      </w:pPr>
      <w:r w:rsidRPr="000C4674">
        <w:rPr>
          <w:rFonts w:ascii="Arial" w:eastAsia="Calibri" w:hAnsi="Arial" w:cs="Arial"/>
          <w:spacing w:val="20"/>
          <w:kern w:val="2"/>
        </w:rPr>
        <w:t xml:space="preserve">Se cuenta con 44 Módulos de Afiliación y Orientación, 35 Brigadas, se logró </w:t>
      </w:r>
      <w:proofErr w:type="spellStart"/>
      <w:r w:rsidRPr="000C4674">
        <w:rPr>
          <w:rFonts w:ascii="Arial" w:eastAsia="Calibri" w:hAnsi="Arial" w:cs="Arial"/>
          <w:spacing w:val="20"/>
          <w:kern w:val="2"/>
        </w:rPr>
        <w:t>reafiliar</w:t>
      </w:r>
      <w:proofErr w:type="spellEnd"/>
      <w:r w:rsidRPr="000C4674">
        <w:rPr>
          <w:rFonts w:ascii="Arial" w:eastAsia="Calibri" w:hAnsi="Arial" w:cs="Arial"/>
          <w:spacing w:val="20"/>
          <w:kern w:val="2"/>
        </w:rPr>
        <w:t xml:space="preserve"> en el periodo del mes de Enero a Octubre 534,297 y de Noviembre a Diciembre 129,469 personas cuyos derechos se vencían en el ejercicio, lo cual ha permitido mantener e incrementar el Padrón de Beneficiarios conformado al mes de Octubre 2,297,591 afiliados y durante Noviembre y Diciembre por 459,519, para hacer un total de 2,297,591 afiliados en nuestro Estado.</w:t>
      </w:r>
    </w:p>
    <w:p w:rsidR="000C4674" w:rsidRPr="000C4674" w:rsidRDefault="000C4674" w:rsidP="000C4674">
      <w:pPr>
        <w:contextualSpacing/>
        <w:jc w:val="both"/>
        <w:rPr>
          <w:rFonts w:ascii="Arial" w:eastAsia="Calibri" w:hAnsi="Arial" w:cs="Arial"/>
          <w:spacing w:val="20"/>
          <w:kern w:val="2"/>
        </w:rPr>
      </w:pPr>
    </w:p>
    <w:p w:rsidR="000C4674" w:rsidRDefault="000C4674" w:rsidP="000C4674">
      <w:pPr>
        <w:contextualSpacing/>
        <w:jc w:val="both"/>
        <w:rPr>
          <w:rFonts w:ascii="Arial" w:eastAsia="Calibri" w:hAnsi="Arial" w:cs="Arial"/>
          <w:spacing w:val="20"/>
          <w:kern w:val="2"/>
        </w:rPr>
      </w:pPr>
      <w:r w:rsidRPr="000C4674">
        <w:rPr>
          <w:rFonts w:ascii="Arial" w:eastAsia="Calibri" w:hAnsi="Arial" w:cs="Arial"/>
          <w:spacing w:val="20"/>
          <w:kern w:val="2"/>
        </w:rPr>
        <w:t>En el marco del Sistema Nominal de Salud, se realizaron registros de huellas digitales de Enero a Octubre 273,662, Noviembre y Diciembre 90,215 haciendo un total anual de 363,877. Consultas seguras Enero a Octubre 443,278, Noviembre y Diciembre 139,907 con un total anual de 583,185.</w:t>
      </w:r>
    </w:p>
    <w:p w:rsidR="000C4674" w:rsidRPr="000C4674" w:rsidRDefault="000C4674" w:rsidP="000C4674">
      <w:pPr>
        <w:contextualSpacing/>
        <w:jc w:val="both"/>
        <w:rPr>
          <w:rFonts w:ascii="Arial" w:eastAsia="Calibri" w:hAnsi="Arial" w:cs="Arial"/>
          <w:spacing w:val="20"/>
          <w:kern w:val="2"/>
        </w:rPr>
      </w:pPr>
    </w:p>
    <w:p w:rsidR="000C4674" w:rsidRDefault="000C4674" w:rsidP="000C4674">
      <w:pPr>
        <w:contextualSpacing/>
        <w:jc w:val="both"/>
        <w:rPr>
          <w:rFonts w:ascii="Arial" w:eastAsia="Calibri" w:hAnsi="Arial" w:cs="Arial"/>
          <w:spacing w:val="20"/>
          <w:kern w:val="2"/>
        </w:rPr>
      </w:pPr>
      <w:r w:rsidRPr="000C4674">
        <w:rPr>
          <w:rFonts w:ascii="Arial" w:eastAsia="Calibri" w:hAnsi="Arial" w:cs="Arial"/>
          <w:spacing w:val="20"/>
          <w:kern w:val="2"/>
        </w:rPr>
        <w:t>En el ejercicio 2015 y con el  propósito de fortalecer su capacidad resolutiva en beneficio a los afiliados, el REPSS otorgo un fortalecimiento financiero a las Unidades Médicas equivalente 20% adicional de recursos por la cantidad de 41 millones 88 mil 771 pesos por concepto de atención médicas.</w:t>
      </w:r>
    </w:p>
    <w:p w:rsidR="00FA3C1C" w:rsidRDefault="00FA3C1C">
      <w:pPr>
        <w:rPr>
          <w:rFonts w:ascii="Arial" w:eastAsia="Calibri" w:hAnsi="Arial" w:cs="Arial"/>
          <w:spacing w:val="20"/>
          <w:kern w:val="2"/>
        </w:rPr>
      </w:pPr>
      <w:r>
        <w:rPr>
          <w:rFonts w:ascii="Arial" w:eastAsia="Calibri" w:hAnsi="Arial" w:cs="Arial"/>
          <w:spacing w:val="20"/>
          <w:kern w:val="2"/>
        </w:rPr>
        <w:br w:type="page"/>
      </w:r>
    </w:p>
    <w:p w:rsidR="000C4674" w:rsidRDefault="000C4674" w:rsidP="000C4674">
      <w:pPr>
        <w:contextualSpacing/>
        <w:jc w:val="both"/>
        <w:rPr>
          <w:rFonts w:ascii="Arial" w:eastAsia="Calibri" w:hAnsi="Arial" w:cs="Arial"/>
          <w:spacing w:val="20"/>
          <w:kern w:val="2"/>
        </w:rPr>
      </w:pPr>
    </w:p>
    <w:p w:rsidR="00FA3C1C" w:rsidRDefault="000C4674" w:rsidP="000C4674">
      <w:pPr>
        <w:contextualSpacing/>
        <w:jc w:val="both"/>
        <w:rPr>
          <w:rFonts w:ascii="Arial" w:eastAsia="Calibri" w:hAnsi="Arial" w:cs="Arial"/>
          <w:spacing w:val="20"/>
          <w:kern w:val="2"/>
        </w:rPr>
      </w:pPr>
      <w:r w:rsidRPr="000C4674">
        <w:rPr>
          <w:rFonts w:eastAsia="Calibri"/>
          <w:noProof/>
          <w:lang w:val="es-MX" w:eastAsia="es-MX"/>
        </w:rPr>
        <w:drawing>
          <wp:inline distT="0" distB="0" distL="0" distR="0">
            <wp:extent cx="5882005" cy="3091677"/>
            <wp:effectExtent l="19050" t="0" r="4445"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srcRect/>
                    <a:stretch>
                      <a:fillRect/>
                    </a:stretch>
                  </pic:blipFill>
                  <pic:spPr bwMode="auto">
                    <a:xfrm>
                      <a:off x="0" y="0"/>
                      <a:ext cx="5882005" cy="3091677"/>
                    </a:xfrm>
                    <a:prstGeom prst="rect">
                      <a:avLst/>
                    </a:prstGeom>
                    <a:noFill/>
                    <a:ln w="9525">
                      <a:noFill/>
                      <a:miter lim="800000"/>
                      <a:headEnd/>
                      <a:tailEnd/>
                    </a:ln>
                  </pic:spPr>
                </pic:pic>
              </a:graphicData>
            </a:graphic>
          </wp:inline>
        </w:drawing>
      </w:r>
    </w:p>
    <w:p w:rsidR="00FA3C1C" w:rsidRDefault="00FA3C1C">
      <w:pPr>
        <w:rPr>
          <w:rFonts w:ascii="Arial" w:eastAsia="Calibri" w:hAnsi="Arial" w:cs="Arial"/>
          <w:spacing w:val="20"/>
          <w:kern w:val="2"/>
        </w:rPr>
      </w:pPr>
      <w:r>
        <w:rPr>
          <w:rFonts w:ascii="Arial" w:eastAsia="Calibri" w:hAnsi="Arial" w:cs="Arial"/>
          <w:spacing w:val="20"/>
          <w:kern w:val="2"/>
        </w:rPr>
        <w:br w:type="page"/>
      </w:r>
    </w:p>
    <w:p w:rsidR="00FA3C1C" w:rsidRPr="00D83D8E" w:rsidRDefault="00451C66" w:rsidP="00FA3C1C">
      <w:pPr>
        <w:contextualSpacing/>
        <w:jc w:val="both"/>
        <w:rPr>
          <w:rFonts w:ascii="Arial" w:hAnsi="Arial" w:cs="Arial"/>
          <w:b/>
          <w:spacing w:val="20"/>
          <w:kern w:val="2"/>
        </w:rPr>
      </w:pPr>
      <w:r>
        <w:rPr>
          <w:rFonts w:ascii="Arial" w:hAnsi="Arial" w:cs="Arial"/>
          <w:b/>
          <w:spacing w:val="20"/>
          <w:kern w:val="2"/>
        </w:rPr>
        <w:lastRenderedPageBreak/>
        <w:t>6</w:t>
      </w:r>
      <w:r w:rsidR="00FA3C1C" w:rsidRPr="00D83D8E">
        <w:rPr>
          <w:rFonts w:ascii="Arial" w:hAnsi="Arial" w:cs="Arial"/>
          <w:b/>
          <w:spacing w:val="20"/>
          <w:kern w:val="2"/>
        </w:rPr>
        <w:t xml:space="preserve">.- </w:t>
      </w:r>
      <w:r w:rsidR="00FA3C1C">
        <w:rPr>
          <w:rFonts w:ascii="Arial" w:hAnsi="Arial" w:cs="Arial"/>
          <w:b/>
          <w:spacing w:val="20"/>
          <w:kern w:val="2"/>
        </w:rPr>
        <w:t>TRANSFERENCIAS A MUNICIPIOS</w:t>
      </w:r>
    </w:p>
    <w:p w:rsidR="000C4674" w:rsidRDefault="000C4674" w:rsidP="000C4674">
      <w:pPr>
        <w:contextualSpacing/>
        <w:jc w:val="both"/>
        <w:rPr>
          <w:rFonts w:ascii="Arial" w:eastAsia="Calibri" w:hAnsi="Arial" w:cs="Arial"/>
          <w:spacing w:val="20"/>
          <w:kern w:val="2"/>
        </w:rPr>
      </w:pPr>
    </w:p>
    <w:p w:rsidR="00FA3C1C" w:rsidRDefault="00FA3C1C" w:rsidP="00FA3C1C">
      <w:pPr>
        <w:rPr>
          <w:rFonts w:ascii="Arial" w:hAnsi="Arial" w:cs="Arial"/>
          <w:b/>
          <w:spacing w:val="20"/>
        </w:rPr>
      </w:pPr>
      <w:r w:rsidRPr="00FA3C1C">
        <w:rPr>
          <w:rFonts w:ascii="Arial" w:hAnsi="Arial" w:cs="Arial"/>
          <w:b/>
          <w:spacing w:val="20"/>
        </w:rPr>
        <w:t>6.1.- PARTICIPACIONES FEDERALES DISTRIBUIDAS A LOS 570 MUNICIPIOS DEL ESTADO</w:t>
      </w:r>
    </w:p>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left w:val="nil"/>
              <w:bottom w:val="single" w:sz="4" w:space="0" w:color="auto"/>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w:t>
            </w:r>
          </w:p>
        </w:tc>
        <w:tc>
          <w:tcPr>
            <w:tcW w:w="3291" w:type="dxa"/>
            <w:tcBorders>
              <w:left w:val="nil"/>
              <w:bottom w:val="single" w:sz="4" w:space="0" w:color="auto"/>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w:t>
            </w:r>
          </w:p>
        </w:tc>
        <w:tc>
          <w:tcPr>
            <w:tcW w:w="1280" w:type="dxa"/>
            <w:tcBorders>
              <w:left w:val="nil"/>
              <w:bottom w:val="single" w:sz="4" w:space="0" w:color="auto"/>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r w:rsidRPr="009B54B0">
              <w:rPr>
                <w:rFonts w:ascii="Calibri" w:hAnsi="Calibri"/>
                <w:b/>
                <w:bCs/>
                <w:color w:val="000000"/>
                <w:sz w:val="16"/>
                <w:szCs w:val="16"/>
                <w:lang w:val="es-MX" w:eastAsia="es-MX"/>
              </w:rPr>
              <w:t>2,861,829,674.50</w:t>
            </w:r>
          </w:p>
        </w:tc>
        <w:tc>
          <w:tcPr>
            <w:tcW w:w="1280" w:type="dxa"/>
            <w:tcBorders>
              <w:left w:val="nil"/>
              <w:bottom w:val="single" w:sz="4" w:space="0" w:color="auto"/>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r w:rsidRPr="009B54B0">
              <w:rPr>
                <w:rFonts w:ascii="Calibri" w:hAnsi="Calibri"/>
                <w:b/>
                <w:bCs/>
                <w:color w:val="000000"/>
                <w:sz w:val="16"/>
                <w:szCs w:val="16"/>
                <w:lang w:val="es-MX" w:eastAsia="es-MX"/>
              </w:rPr>
              <w:t>1,194,033,422.40</w:t>
            </w:r>
          </w:p>
        </w:tc>
        <w:tc>
          <w:tcPr>
            <w:tcW w:w="1158" w:type="dxa"/>
            <w:tcBorders>
              <w:left w:val="nil"/>
              <w:bottom w:val="single" w:sz="4" w:space="0" w:color="auto"/>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r w:rsidRPr="009B54B0">
              <w:rPr>
                <w:rFonts w:ascii="Calibri" w:hAnsi="Calibri"/>
                <w:b/>
                <w:bCs/>
                <w:color w:val="000000"/>
                <w:sz w:val="16"/>
                <w:szCs w:val="16"/>
                <w:lang w:val="es-MX" w:eastAsia="es-MX"/>
              </w:rPr>
              <w:t>112,493,435.80</w:t>
            </w:r>
          </w:p>
        </w:tc>
        <w:tc>
          <w:tcPr>
            <w:tcW w:w="1077" w:type="dxa"/>
            <w:tcBorders>
              <w:left w:val="nil"/>
              <w:bottom w:val="single" w:sz="4" w:space="0" w:color="auto"/>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r w:rsidRPr="009B54B0">
              <w:rPr>
                <w:rFonts w:ascii="Calibri" w:hAnsi="Calibri"/>
                <w:b/>
                <w:bCs/>
                <w:color w:val="000000"/>
                <w:sz w:val="16"/>
                <w:szCs w:val="16"/>
                <w:lang w:val="es-MX" w:eastAsia="es-MX"/>
              </w:rPr>
              <w:t>86,296,486.80</w:t>
            </w:r>
          </w:p>
        </w:tc>
        <w:tc>
          <w:tcPr>
            <w:tcW w:w="1280" w:type="dxa"/>
            <w:tcBorders>
              <w:left w:val="nil"/>
              <w:bottom w:val="single" w:sz="4" w:space="0" w:color="auto"/>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r w:rsidRPr="009B54B0">
              <w:rPr>
                <w:rFonts w:ascii="Calibri" w:hAnsi="Calibri"/>
                <w:b/>
                <w:bCs/>
                <w:color w:val="000000"/>
                <w:sz w:val="16"/>
                <w:szCs w:val="16"/>
                <w:lang w:val="es-MX" w:eastAsia="es-MX"/>
              </w:rPr>
              <w:t>4,254,653,019.50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ABEJONES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1,447,121.90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638,849.70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33,993.80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17,236.80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2,137,202.20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ACATLAN DE PEREZ FIGUEROA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21,619,151.10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8,006,120.50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1,364,511.00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739,037.00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31,728,819.60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CACALOTEPEC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1,803,075.00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594,792.00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80,565.00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39,643.00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2,518,075.00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CUYOTEPEJI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1,017,848.70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471,823.00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29,202.00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1,537,226.70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IXTALTEPEC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11,974,454.50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4,008,198.70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406,316.00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268,525.00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16,657,494.20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NOCHIXTLAN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12,912,981.10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5,601,058.00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503,935.00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472,198.00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19,490,172.10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OCOTLAN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2,550,639.20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1,014,445.70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87,441.00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41,501.00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3,694,026.90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TLACOLULITA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1,193,150.30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623,967.30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25,054.00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20,215.00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1,862,386.60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AYOTZINTEPEC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3,656,576.60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2,069,697.90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200,604.00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117,956.00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6,044,834.50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EL BARRIO DE LA SOLEDAD</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6,968,097.00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2,640,416.00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367,487.00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256,315.00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10,232,315.00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CALIHUALA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1,228,589.90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474,888.00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40,113.00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19,387.00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1,762,977.90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CANDELARIA LOXICHA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4,817,607.00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1,318,480.20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328,362.00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166,778.00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6,631,227.20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CIENEGA DE ZIMATLAN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3,677,876.60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2,096,606.00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79,266.00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77,911.00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5,931,659.60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CIUDAD 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22,452,050.50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7,649,875.40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684,309.00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679,539.00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31,465,773.90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COATECAS ALTAS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3,053,200.50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977,909.60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170,263.00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74,866.00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4,276,239.10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COICOYAN DE LAS FLORES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4,342,338.80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892,296.00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316,398.00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135,544.00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5,686,576.80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LA COMPAÑIA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2,322,677.10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598,359.60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110,049.00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52,464.00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3,083,549.70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CONCEPCION BUENAVISTA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1,148,662.50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554,271.00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1,746,705.50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CONCEPCION PAPALO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2,051,483.70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571,560.00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97,644.00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49,961.00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2,770,648.70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CONSTANCIA DEL ROSARIO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2,532,544.40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1,980,911.20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127,499.00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66,314.00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4,707,268.60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COSOLAPA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7,081,134.40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2,426,688.00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420,760.00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233,037.00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10,161,619.40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COSOLTEPEC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1,152,847.20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530,476.40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25,120.00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1,730,836.60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CUILAPAM DE GUERRERO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7,348,601.40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3,766,008.00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517,072.00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292,793.00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11,924,474.40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CUYAMECALCO VILLA DE ZARAGOZA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4,304,689.90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2,391,064.20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129,969.00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64,924.00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6,890,647.10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CHAHUITES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5,984,523.90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2,882,403.20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323,828.00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194,121.00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9,384,876.10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CHALCATONGO DE HIDALGO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4,903,619.00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1,258,392.00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262,794.00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134,748.00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6,559,553.00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CHIQUIHUITLAN DE BENITO JUAREZ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1,950,787.80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1,359,288.00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80,223.00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39,054.00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3,429,352.80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CIUDAD DE EJUTLA DE CRESPO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10,272,406.60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2,844,000.00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597,496.00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312,670.00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14,026,572.60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ELOXOCHITLAN DE FLORES MAGON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3,095,525.70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2,042,688.00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155,775.00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67,732.00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5,361,720.70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EL ESPINAL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15,838,538.70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1,688,191.60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207,951.00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294,074.00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18,028,755.30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TAMAZULAPAM DEL ESPIRITU SANTO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6,425,511.70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1,135,920.00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231,717.00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116,969.00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7,910,117.70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FRESNILLO DE TRUJANO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1,278,385.00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636,825.60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32,567.00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16,413.00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1,964,190.60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GUADALUPE ETLA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1,407,936.60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664,140.20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63,995.00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54,641.00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2,190,712.80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GUADALUPE DE RAMIREZ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1,347,885.90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715,297.30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41,747.00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22,641.00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2,127,571.20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GUELATAO DE JUAREZ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652,346.00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604,406.70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13,704.00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1,282,232.70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GUEVEA DE HUMBOLDT</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3,102,392.50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751,536.00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167,429.00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84,725.00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4,106,082.50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bl>
    <w:p w:rsidR="00FA3C1C" w:rsidRDefault="00FA3C1C" w:rsidP="00FA3C1C"/>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MESONES HIDALGO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2,642,426.40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673,340.20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148,257.00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70,262.00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3,534,285.60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HIDALGO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1,583,875.70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848,400.20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68,303.00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37,424.00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2,538,002.90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CIUDAD DE HUAJUAPAN DE LEON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62,354,862.50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28,716,830.90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1,841,312.00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2,125,612.00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95,038,617.40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HUAUTEPEC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3,248,578.20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780,096.00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212,281.00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95,252.00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4,336,207.20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HUAUTLA DE JIMENEZ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17,294,333.80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8,362,869.70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988,895.00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511,371.00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27,157,469.50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IXTLAN DE JUAREZ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5,461,285.70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1,630,287.90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228,182.00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171,920.00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7,491,675.60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CIUDAD DE JUCHITAN DE ZARAGOZA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66,252,004.10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25,443,302.30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2,536,012.00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1,974,095.00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96,205,413.40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LOMA BONITA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31,972,754.20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16,119,166.70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1,167,729.00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899,971.00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50,159,620.90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APASCO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3,369,913.90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2,544,979.50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196,525.00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129,742.00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6,241,160.40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JALTEPEC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3,201,583.00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1,376,840.80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102,473.00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90,622.00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4,771,518.80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MAGDALENA JICOTLAN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599,116.10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362,249.10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966,998.20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MIXTEPEC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1,457,852.80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679,344.00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44,361.00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21,846.00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2,203,403.80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OCOTLAN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1,219,645.00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548,412.20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34,657.00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24,140.00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1,826,854.20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PEÑASCO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2,587,341.10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936,390.30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123,468.00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60,026.00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3,707,225.40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TEITIPAC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2,849,923.50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1,092,827.30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151,545.00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69,402.00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4,163,697.80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TEQUISISTLAN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4,037,899.00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1,498,850.70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181,950.00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117,831.00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5,836,530.70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TLACOTEPEC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3,987,628.00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2,109,336.00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35,147.00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6,151,510.00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ZAHUATLAN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923,510.00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500,673.50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1,448,522.50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MARISCALA DE JUAREZ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2,426,274.90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1,188,759.50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105,429.00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56,087.00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3,776,550.40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MARTIRES DE TACUBAYA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1,250,158.50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471,888.00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44,662.00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1,789,872.50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MATIAS ROMERO AVENDAÑO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28,486,212.00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10,180,467.10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1,058,503.00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966,496.00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40,691,678.10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MAZATLAN VILLA DE FLORES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6,708,741.90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1,181,208.00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462,886.00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213,461.00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8,566,296.90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MIAHUATLAN DE PORFIRIO DIAZ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25,719,110.90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11,097,577.70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1,238,335.00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657,580.00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38,712,603.60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MIXISTLAN DE LA REFORMA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2,090,466.00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872,491.40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89,910.00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48,776.00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3,101,643.40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MONJAS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2,787,122.70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1,215,095.50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87,422.00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57,593.00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4,147,233.20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NATIVIDAD</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951,582.10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500,146.00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16,087.00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1,478,743.10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NAZARENO ETLA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1,713,964.70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434,703.80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103,744.00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65,163.00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2,317,575.50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NEJAPA DE MADERO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4,215,035.00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1,392,937.20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223,826.00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144,288.00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5,976,086.20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IXPANTEPEC NIEVES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1,497,697.20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850,695.40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38,320.00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22,440.00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2,409,152.60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NILTEPEC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4,643,166.40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3,280,304.20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160,266.00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90,156.00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8,173,892.60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OAXACA DE JUAREZ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397,568,090.00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172,494,757.10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6,478,886.00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12,270,348.00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588,812,081.10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OCOTLAN DE MORELOS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12,225,263.70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5,372,575.30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609,711.00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339,076.00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18,546,626.00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LA PE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1,837,095.00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630,291.50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77,985.00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39,322.00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2,584,693.50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PINOTEPA DE DON LUIS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3,277,913.80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1,428,106.10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209,589.00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105,326.00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5,020,934.90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PLUMA HIDALGO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3,639,971.40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2,243,040.00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101,410.00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48,619.00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6,033,040.40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DEL PROGRESO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3,249,192.60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820,372.50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207,952.00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104,532.00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4,382,049.10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PUTLA VILLA DE GUERRERO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16,146,314.90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5,948,802.10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933,146.00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506,796.00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23,535,059.00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QUIOQUITANI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1,225,701.10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621,552.00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1,871,429.10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REFORMA DE PINEDA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3,975,939.90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1,741,210.60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77,358.00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46,760.00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5,841,268.50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LA REFORMA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2,249,085.00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1,158,158.90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101,599.00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64,331.00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3,573,173.90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REYES ETLA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2,283,693.90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971,640.30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98,288.00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71,647.00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3,425,269.20</w:t>
            </w:r>
          </w:p>
        </w:tc>
      </w:tr>
    </w:tbl>
    <w:p w:rsidR="00FA3C1C" w:rsidRDefault="00FA3C1C" w:rsidP="00FA3C1C"/>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ROJAS DE CUAUHTEMOC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1,356,715.40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569,673.10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29,596.00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17,348.00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1,973,332.50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SALINA CRUZ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67,104,453.20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20,390,261.20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2,073,618.00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2,800,075.00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92,368,407.40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AMATENGO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1,352,682.60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594,093.20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41,563.00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2,009,183.80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ATENANGO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1,487,931.00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568,824.80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60,321.00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35,170.00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2,152,246.80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CHAYUCO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2,503,141.80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669,000.00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122,941.00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63,282.00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3,358,364.80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DE LAS JUNTAS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3,400,839.00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1,798,550.50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213,301.00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149,529.00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5,562,219.50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ETLA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2,494,659.20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953,425.10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99,824.00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89,571.00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3,637,479.30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LOXICHA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9,341,807.30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1,458,624.00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800,043.00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358,525.00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11,958,999.30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TLACOTEPEC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1,147,535.70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605,889.20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26,570.00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1,797,284.90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YATARENI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2,123,134.20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1,494,069.30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120,695.00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71,825.00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3,809,723.50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CABECERA NUEVA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2,296,336.00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1,020,389.00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91,160.00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65,517.00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3,473,402.00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DINICUITI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1,522,126.20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460,968.00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63,350.00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35,478.00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2,081,922.20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HUAXPALTEPEC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3,479,269.30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1,462,620.50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181,756.00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104,734.00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5,228,379.80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HUAYAPAM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2,768,115.90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2,377,852.00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124,883.00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92,840.00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5,363,690.90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IXTLAHUACA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1,495,071.00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694,587.40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41,311.00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29,957.00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2,260,926.40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LAGUNAS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840,079.20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378,640.50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1,243,821.70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NUXIÑO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1,581,023.50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565,043.30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58,175.00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32,284.00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2,236,525.80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PAXTLAN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2,689,216.50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1,214,950.40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139,203.00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63,396.00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4,106,765.90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SINAXTLA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1,044,043.80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354,676.90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20,972.00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20,292.00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1,439,984.70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SOLAGA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1,396,204.10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633,224.80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52,693.00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31,004.00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2,113,125.90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TEOTILALPAM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2,685,760.90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633,876.70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146,570.00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70,338.00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3,536,545.60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TEPETLAPA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1,373,646.90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715,849.00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15,334.00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7,547.00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2,112,376.90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YAA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1,184,483.70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597,960.00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15,506.00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1,805,846.70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ZABACHE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1,309,341.40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633,721.20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23,656.00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11,533.00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1,978,251.60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ZAUTLA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2,165,431.10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868,083.70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124,971.00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73,404.00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3,231,889.80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ANTONINO CASTILLO VELASCO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4,156,504.00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2,111,803.30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174,078.00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167,114.00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6,609,499.30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ANTONINO EL ALTO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2,650,350.00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1,308,474.70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79,803.00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59,379.00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4,098,006.70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ANTONINO MONTE VERDE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3,433,665.90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735,360.00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205,550.00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107,206.00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4,481,781.90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ACUTLA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802,395.00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368,487.50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8,934.00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12,747.00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1,192,563.50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DE LA CAL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8,882,210.60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4,500,545.10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570,479.00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354,520.00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14,307,754.70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HUITEPEC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2,607,527.30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687,080.50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137,994.00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73,414.00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3,506,015.80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NANAHUATIPAM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1,033,214.60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439,550.30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34,758.00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1,527,113.90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SINICAHUA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1,729,558.20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635,496.20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55,869.00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31,222.00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2,452,145.40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TEPETLAPA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3,036,976.10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1,016,746.00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144,012.00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69,814.00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4,267,548.10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BALTAZAR CHICHICAPAM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4,115,470.00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2,114,213.40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74,373.00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53,851.00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6,357,907.40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BALTAZAR LOXICHA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2,528,245.80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1,853,784.10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88,599.00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63,335.00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4,533,963.90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BALTAZAR YATZACHI EL BAJO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1,023,030.80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437,422.80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20,691.00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1,492,686.60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 COYOTEPEC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4,086,043.70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2,225,169.50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227,121.00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217,937.00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6,756,271.20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AYAUTLA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2,542,761.00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727,259.40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138,444.00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67,070.00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3,475,534.40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LOXICHA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1,817,947.30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726,480.00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78,908.00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39,483.00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2,662,818.30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QUIALANA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4,175,355.40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1,502,012.80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80,751.00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69,873.00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5,827,992.20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YUCUAÑE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1,036,433.00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570,521.20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12,433.00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1,627,840.20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ZOOGOCHO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1,119,572.00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606,694.20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10,756.00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8,671.00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1,745,693.20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 SOYALTEPEC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1,129,906.00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493,403.80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19,715.00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1,657,752.80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 YAUTEPEC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961,363.00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566,328.90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19,052.00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11,651.00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1,558,394.90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BERNARDO MIXTEPEC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1,782,415.50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1,001,327.70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82,889.00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46,219.00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2,912,851.20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BLAS ATEMPA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8,720,173.00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2,829,591.60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579,383.00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332,763.00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12,461,910.60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CARLOS YAUTEPEC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6,211,314.10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2,687,160.20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377,879.00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187,691.00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9,464,044.30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CRISTOBAL AMATLAN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2,795,762.10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1,141,647.50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167,100.00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83,785.00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4,188,294.60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CRISTOBAL AMOLTEPEC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1,627,856.00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595,536.00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44,369.00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27,778.00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2,295,539.00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CRISTOBAL LACHIRIOAG</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1,333,727.40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768,589.30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36,426.00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21,381.00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2,160,123.70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CRISTOBAL SUCHIXTLAHUACA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1,623,210.10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974,611.10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9,190.00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39,660.00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2,646,671.20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DIONISIO DEL MAR</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6,271,671.50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1,753,202.00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164,639.00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649,032.00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8,838,544.50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DIONISIO OCOTEPEC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7,102,624.70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3,051,553.50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330,858.00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191,961.00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10,676,997.20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DIONISIO OCOTLAN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1,644,417.00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726,665.90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35,968.00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33,861.00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2,440,911.90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ESTEBAN ATATLAHUCA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2,582,352.60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900,306.50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134,344.00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68,556.00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3,685,559.10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FELIPE JALAPA DE DIAZ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11,102,548.80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3,585,615.70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881,108.00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426,418.00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15,995,690.50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FELIPE TEJALAPAM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3,082,315.00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747,760.50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212,331.00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118,278.00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4,160,684.50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FELIPE USILA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5,958,308.00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3,531,697.70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354,694.00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202,548.00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10,047,247.70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CAHUACUA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2,728,158.40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2,707,028.50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112,250.00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68,214.00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5,615,650.90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CAJONOS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864,928.00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453,071.70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13,906.00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1,341,961.70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CHAPULAPA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1,885,518.60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642,360.00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72,123.00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33,939.00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2,633,940.60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CHINDUA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854,747.10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355,992.00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1,247,964.10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DEL MAR</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4,005,861.60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1,250,631.50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223,298.00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116,442.00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5,596,233.10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HUEHUETLAN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1,208,765.20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480,600.00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37,563.00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1,746,495.20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IXHUATAN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6,106,604.40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2,402,255.90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258,914.00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142,345.00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8,910,119.30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JALTEPETONGO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985,250.30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427,539.50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1,464,063.80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LACHIGOLO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2,813,656.70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980,163.00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97,044.00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101,985.00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3,992,848.70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LOGUECHE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2,143,035.40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1,073,000.70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88,669.00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45,677.00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3,350,382.10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NUXAÑO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1,408,164.00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781,056.80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2,219,681.80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OZOLOTEPEC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2,201,860.00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988,507.30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63,548.00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56,830.00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3,310,745.30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SOLA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1,467,522.70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750,275.00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50,186.00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26,524.00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2,294,507.70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TELIXTLAHUACA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5,087,957.30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1,305,897.90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318,817.00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222,143.00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6,934,815.20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TEOPAN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808,350.90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360,912.00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12,416.00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6,259.00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1,187,937.90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TLAPANCINGO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1,608,487.10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578,904.00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72,746.00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34,216.00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2,294,353.10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GABRIEL MIXTEPEC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2,448,807.50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670,388.30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144,798.00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78,122.00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3,342,115.80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ILDEFONSO AMATLAN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2,173,569.00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976,927.90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76,188.00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49,233.00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3,275,917.90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ILDEFONSO SOLA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1,340,058.20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688,659.90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32,190.00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2,075,843.10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ILDEFONSO VILLA ALTA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2,293,559.00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823,848.00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104,009.00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55,260.00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3,276,676.00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JACINTO AMILPAS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10,498,097.00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2,891,137.20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332,405.00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387,249.00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14,108,888.20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JACINTO TLACOTEPEC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1,949,081.10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783,648.00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74,993.00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35,447.00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2,843,169.10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COATLAN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2,943,028.10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1,007,631.20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182,462.00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92,427.00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4,225,548.30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SILACAYOAPILLA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1,604,317.30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652,080.90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42,619.00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28,665.00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2,327,682.20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SOSOLA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1,912,394.20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627,631.30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79,398.00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40,874.00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2,660,297.50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TAVICHE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1,477,858.00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512,472.00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58,320.00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29,363.00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2,078,013.00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TECOATL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1,393,424.60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1,089,891.10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53,240.00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25,517.00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2,562,072.70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JORGE NUCHITA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1,965,864.10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2,204,644.30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101,594.00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52,410.00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4,324,512.40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AYUQUILA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1,466,016.50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891,555.00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47,245.00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24,007.00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2,428,823.50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CHILTEPEC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5,648,151.10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1,705,512.60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325,401.00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200,253.00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7,879,317.70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DEL PEÑASCO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1,558,758.40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660,678.30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66,928.00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33,270.00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2,319,634.70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ESTANCIA GRANDE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1,094,712.80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457,680.00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30,212.00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15,523.00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1,598,127.80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INDEPENDENCIA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2,653,497.00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1,110,384.00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128,869.00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58,532.00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3,951,282.00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LACHIGUIRI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3,272,105.00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1,175,410.90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134,555.00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64,136.00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4,646,206.90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TENANGO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8,758,108.00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3,333,930.50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697,839.00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310,183.00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13,100,060.50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ACHIUTLA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543,268.10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238,464.00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800,839.10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1,341,476.00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588,098.50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45,905.00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26,945.00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2,002,424.50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ANIMAS TRUJANO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2,035,069.20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1,012,948.60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95,291.00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59,724.00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3,203,032.80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ATATLAHUCA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1,473,038.70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746,336.00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53,984.00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27,613.00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2,300,971.70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COIXTLAHUACA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2,565,253.90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980,010.60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88,553.00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44,616.00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3,678,433.50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CUICATLAN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4,831,549.50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1,053,796.20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280,294.00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150,003.00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6,315,642.70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GUELACHE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2,700,625.20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534,024.00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168,244.00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99,890.00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3,502,783.20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JAYACATLAN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1,511,033.00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772,660.90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45,027.00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26,336.00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2,355,056.90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LO DE SOTO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1,632,135.60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592,056.00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70,290.00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2,331,420.60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SUCHITEPEC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965,418.70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484,517.00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12,521.00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9,072.00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1,471,528.70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TLACOATZINTEPEC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1,682,414.30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593,928.00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74,289.00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36,416.00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2,387,047.30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TLACHICHILCO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1,469,990.00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702,879.30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44,976.00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2,244,342.30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TUXTEPEC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146,662,040.90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74,706,821.50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4,202,175.00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4,347,043.00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229,918,080.40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CACAHUATEPEC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4,068,805.50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1,202,088.00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255,098.00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137,914.00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5,663,905.50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CIENEGUILLA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1,180,645.70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638,799.50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18,365.00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10,130.00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1,847,940.20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COATZOSPAM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1,801,317.00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665,481.70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84,502.00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42,596.00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2,593,896.70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COLORADO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4,269,754.20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840,696.00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301,083.00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150,846.00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5,562,379.20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COMALTEPEC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1,779,104.00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523,320.00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88,244.00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39,989.00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2,430,657.00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COTZOCON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9,960,610.50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1,807,721.50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687,075.00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355,204.00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12,810,611.00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CHICOMEZUCHIL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561,001.20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267,186.80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9,093.00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5,087.00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842,368.00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CHILATECA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1,336,246.70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646,072.80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38,359.00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2,048,669.50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DEL ESTADO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1,515,720.20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512,397.30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72,811.00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40,453.00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2,141,381.50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DEL RIO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1,725,346.80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702,860.50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36,341.00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2,484,106.30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DIUXI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1,896,253.50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807,172.90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41,300.00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31,258.00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2,775,984.40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EVANGELISTA ANALCO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874,001.00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443,861.10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11,285.00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8,219.00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1,337,366.10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GUELAVIA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3,006,182.00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1,380,922.40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90,826.00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74,584.00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4,552,514.40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GUICHICOVI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13,089,096.70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7,747,693.00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902,018.00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447,133.00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22,185,940.70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IHUALTEPEC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1,108,530.80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514,913.10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24,240.00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1,659,404.90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JUQUILA MIXES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2,481,931.00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757,677.70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125,044.00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69,258.00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3,433,910.70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JUQUILA VIJANOS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1,450,499.90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455,736.00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58,845.00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29,108.00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1,994,188.90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LACHAO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2,737,853.60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966,224.80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145,358.00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76,899.00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3,926,335.40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LACHIGALLA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2,341,884.40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756,290.70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112,479.00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52,193.00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3,262,847.10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LAJARCIA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867,833.70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458,982.90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20,691.00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12,050.00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1,359,557.60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LALANA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8,394,626.90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3,292,324.80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573,676.00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276,427.00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12,537,054.70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DE LOS CUES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1,504,070.90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477,096.00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70,169.00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37,449.00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2,088,784.90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MAZATLAN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8,685,537.50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2,984,903.10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606,001.00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303,416.00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12,579,857.60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MIXTEPEC - DTO. 08 -</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4,298,857.80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1,119,770.60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247,526.00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121,369.00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5,787,523.40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MIXTEPEC - DTO. 26 -</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1,409,394.80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735,674.50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23,133.00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13,370.00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2,181,572.30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ÑUMI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3,625,329.70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742,584.00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209,007.00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106,423.00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4,683,343.70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OZOLOTEPEC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2,089,128.60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804,984.00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105,061.00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50,335.00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3,049,508.60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PETLAPA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2,180,115.10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652,248.00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112,367.00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44,600.00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2,989,330.10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QUIAHIJE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2,765,016.80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1,121,786.10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115,989.00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61,279.00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4,064,070.90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QUIOTEPEC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1,813,484.10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527,352.00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75,740.00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37,710.00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2,454,286.10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SAYULTEPEC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948,285.40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563,178.80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21,451.00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1,550,668.20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TABAA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1,529,147.30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776,390.40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40,877.00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30,006.00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2,376,420.70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TAMAZOLA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2,614,749.90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709,814.10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116,563.00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62,119.00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3,503,246.00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TEITA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1,138,508.70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609,861.70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19,965.00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1,779,155.40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TEITIPAC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2,150,111.80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888,936.00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81,429.00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40,755.00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3,161,231.80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TEPEUXILA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2,181,755.40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867,537.70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84,433.00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44,057.00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3,177,783.10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TEPOSCOLULA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1,183,822.90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636,726.50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40,527.00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24,967.00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1,886,043.40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YAEE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1,352,838.80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617,457.00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24,667.00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2,042,665.80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YATZONA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1,006,967.50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838,649.00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8,272.00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1,867,450.50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YUCUITA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775,007.60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456,648.00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19,347.00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1,261,869.60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3,226,002.60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747,000.00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199,887.00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94,618.00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4,267,507.60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ALBARRADAS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1,755,564.60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1,253,969.70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83,949.00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44,862.00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3,138,345.30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CACAOTEPEC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6,910,384.00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3,012,185.20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352,354.00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274,439.00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10,549,362.20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CUAUNECUILTITLA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1,415,404.40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671,907.90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25,351.00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12,250.00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2,124,913.30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TEXMELUCAN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3,735,192.50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1,298,513.40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242,337.00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114,220.00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5,390,262.90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VICTORIA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1,067,566.00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504,975.40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30,583.00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17,803.00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1,620,927.40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LUCAS CAMOTLAN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2,005,574.20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660,480.00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104,764.00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48,079.00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2,818,897.20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LUCAS OJITLAN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12,169,938.70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3,759,454.80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720,328.00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369,819.00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17,019,540.50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LUCAS QUIAVINI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2,052,780.10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1,542,160.20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57,494.00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41,690.00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3,694,124.30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LUCAS ZOQUIAPAM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3,922,457.00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821,136.00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260,645.00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120,020.00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5,124,258.00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LUIS AMATLAN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2,788,160.20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1,204,472.10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120,766.00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64,421.00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4,177,819.30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MARCIAL OZOLOTEPEC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1,806,111.10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1,006,260.00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53,425.00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33,103.00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2,898,899.10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MARCOS ARTEAGA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1,506,176.70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659,856.00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44,720.00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24,738.00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2,235,490.70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DE LOS CANSECOS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1,343,094.20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691,810.20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24,292.00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2,072,162.40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HUAMELULPAM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1,067,306.00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462,364.00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31,956.00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25,582.00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1,587,208.00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ITUNYOSO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1,977,234.50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663,576.00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87,500.00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39,998.00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2,768,308.50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LACHILA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1,269,872.40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662,331.20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33,350.00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21,527.00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1,987,080.60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PERAS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5,859,049.30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962,928.00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406,296.00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180,509.00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7,408,782.30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TILCAJETE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1,945,252.10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1,048,044.20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49,240.00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34,655.00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3,077,191.30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TOXPALAN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2,027,792.40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611,232.00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108,399.00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58,295.00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2,805,718.40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ZACATEPEC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1,177,113.10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422,040.00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39,501.00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1,658,944.10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CAJONOS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1,022,842.60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487,200.00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19,368.00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1,539,376.60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CAPULALPAM DE MENDEZ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2,131,091.00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690,321.50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37,945.00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83,620.00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2,942,977.50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DEL MAR</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6,067,972.80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2,020,680.00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512,872.00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226,443.00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8,827,967.80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YOLOXOCHITLAN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2,090,533.90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1,019,585.70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111,930.00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57,056.00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3,279,105.60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ETLATONGO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1,994,454.40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759,486.90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34,230.00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35,395.00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2,823,566.30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NEJAPAM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1,566,059.30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755,269.90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38,392.00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2,381,160.20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PEÑASCO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1,669,773.60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598,152.00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67,418.00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2,368,963.60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PIÑAS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2,158,429.40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852,434.60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76,394.00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35,368.00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3,122,626.00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RIO HONDO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2,378,820.30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1,014,594.40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108,719.00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52,559.00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3,554,692.70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SINDIHUI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1,778,828.90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563,352.00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70,752.00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40,546.00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2,453,478.90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TLAPILTEPEC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923,875.70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464,645.40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6,931.00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5,222.00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1,400,674.10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MELCHOR BETAZA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1,369,677.00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645,271.30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35,410.00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2,067,803.30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ACHIUTLA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1,081,473.20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569,183.50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14,208.00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1,687,326.70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AHUEHUETITLAN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2,143,260.00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1,270,553.50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83,269.00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42,849.00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3,539,931.50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ALOAPAM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1,704,968.40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584,899.70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79,178.00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40,447.00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2,409,493.10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AMATITLAN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3,627,392.30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3,474,937.00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236,387.00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115,097.00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7,453,813.30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AMATLAN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995,097.00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359,103.60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29,977.00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26,869.00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1,411,046.60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COATLAN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2,536,033.30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1,089,916.20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123,007.00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60,311.00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3,809,267.50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CHICAHUA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1,828,145.80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1,053,312.00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74,208.00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36,531.00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2,992,196.80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CHIMALAPA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3,632,310.30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726,072.00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212,645.00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104,990.00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4,676,017.30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DEL PUERTO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4,536,449.50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6,941,402.00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272,996.00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152,257.00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11,903,104.50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DEL RIO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794,001.00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426,118.80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8,205.00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5,700.00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1,234,024.80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EJUTLA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1,197,986.00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550,370.00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27,440.00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1,797,531.00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EL GRANDE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3,688,038.90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2,759,216.20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121,041.00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68,241.00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6,636,537.10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HUAUTLA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1,405,168.40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661,449.70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47,968.00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22,229.00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2,136,815.10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MIXTEPEC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1,979,967.00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583,008.00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110,614.00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52,487.00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2,726,076.00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PANIXTLAHUACA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3,162,038.00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796,294.30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187,578.00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112,498.00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4,258,408.30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PERAS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2,284,268.80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989,656.90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120,182.00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59,234.00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3,453,341.70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PIEDRAS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1,462,110.90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600,384.00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44,613.00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20,592.00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2,127,699.90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QUETZALTEPEC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3,494,998.80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783,576.00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234,839.00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118,367.00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4,631,780.80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SANTA FLOR</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1,541,352.90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872,928.90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27,144.00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12,727.00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2,454,152.80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SOLA DE VEGA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7,883,405.00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3,183,867.20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423,901.00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220,343.00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11,711,516.20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SOYALTEPEC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16,489,878.50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7,202,451.20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1,167,909.00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616,657.00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25,476,895.70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SUCHIXTEPEC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2,012,286.30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920,910.80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91,119.00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3,072,083.10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TALEA DE CASTRO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2,077,792.80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949,631.50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69,748.00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43,810.00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3,140,982.30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TECOMATLAN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902,561.80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378,887.20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1,302,188.00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TENANGO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1,100,495.60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416,712.00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25,125.00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1,555,142.60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TEQUIXTEPEC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1,249,965.00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681,181.10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31,296.00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25,686.00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1,988,128.10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TILQUIAPAM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4,013,716.00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1,831,924.60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108,989.00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53,156.00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6,007,785.60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TLACAMAMA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2,152,880.40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1,011,357.20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106,396.00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53,798.00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3,324,431.60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TLACOTEPEC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2,629,056.90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1,160,774.60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100,279.00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51,162.00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3,941,272.50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TULANCINGO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892,463.00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399,373.70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10,307.00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13,992.00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1,316,135.70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YOTAO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1,085,557.40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756,197.90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19,030.00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9,815.00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1,870,600.30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NICOLAS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1,350,069.80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593,112.00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34,768.00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18,160.00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1,996,109.80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NICOLAS HIDALGO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1,064,373.30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473,172.60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30,463.00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16,078.00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1,584,086.90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COATLAN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2,460,728.10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687,240.00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132,284.00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66,209.00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3,346,461.10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CUATRO VENADOS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1,451,441.00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617,918.50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46,691.00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23,829.00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2,139,879.50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ETLA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8,961,877.00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4,209,916.50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378,762.00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448,798.00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13,999,353.50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HUITZO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3,327,981.00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1,828,719.10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165,989.00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136,347.00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5,459,036.10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HUIXTEPEC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6,565,862.00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3,326,968.40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243,512.00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234,483.00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10,370,825.40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MACUILTIANGUIS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1,112,424.00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537,080.50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21,900.00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1,699,316.50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TIJALTEPEC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1,744,540.00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718,071.10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73,017.00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46,237.00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2,581,865.10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VILLA DE MITLA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6,561,757.00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2,397,216.60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347,118.00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216,440.00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9,522,531.60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YAGANIZA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1,371,910.00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585,936.00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33,864.00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27,337.00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2,019,047.00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AMUZGOS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3,114,383.50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1,152,766.20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204,249.00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102,767.00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4,574,165.70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APOSTOL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2,853,462.20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1,532,728.20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49,301.00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38,131.00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4,473,622.40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ATOYAC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2,964,673.10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834,912.90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133,630.00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70,851.00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4,004,067.00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CAJONOS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1,078,687.10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409,680.00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35,610.00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1,543,414.10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COXCALTEPEC CANTAROS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1,099,035.10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491,568.00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27,300.00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1,631,424.10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COMITANCILLO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2,333,487.10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1,195,451.40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103,764.00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80,079.00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3,712,781.50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EL ALTO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2,509,294.80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1,095,192.00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130,040.00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62,012.00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3,796,538.80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HUAMELULA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4,371,075.20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780,153.10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285,829.00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152,434.00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5,589,491.30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HUILOTEPEC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2,260,142.90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1,656,916.20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84,347.00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45,108.00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4,046,514.10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IXCATLAN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5,583,642.20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1,826,114.50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340,290.00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164,781.00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7,914,827.70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IXTLAHUACA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3,288,424.90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1,362,569.00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201,365.00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123,999.00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4,976,357.90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JALTEPETONGO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1,263,494.80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636,074.30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14,336.00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1,924,222.10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JICAYAN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5,187,323.60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1,071,413.00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390,020.00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187,644.00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6,836,400.60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JOCOTIPAC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1,360,058.00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632,424.00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27,046.00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2,032,781.00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JUCHATENGO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1,674,491.50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799,861.80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49,504.00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44,615.00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2,568,472.30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MARTIR</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1,741,575.00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887,911.30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59,503.00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31,159.00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2,720,148.30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MARTIR QUIECHAPA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1,406,946.90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721,678.20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22,839.00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11,965.00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2,163,429.10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MARTIR YUCUXACO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1,549,372.00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771,920.70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42,585.00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31,864.00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2,395,741.70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MIXTEPEC - DTO. 22 -</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30,838,882.40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10,794,575.90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1,164,838.00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1,103,136.00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43,901,432.30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MIXTEPEC - DTO. 26 -</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859,419.70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297,576.00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34,944.00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1,209,400.70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MOLINOS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823,894.40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322,536.00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21,638.00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11,652.00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1,179,720.40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NOPALA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1,136,962.50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471,245.80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27,545.00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14,885.00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1,650,638.30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OCOPETATILLO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1,404,781.50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673,032.00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29,602.00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2,121,461.50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OCOTEPEC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1,786,855.00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539,256.00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69,771.00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2,431,624.00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POCHUTLA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20,157,653.80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5,535,041.00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1,328,678.00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696,869.00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27,718,241.80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QUIATONI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5,330,333.20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2,343,840.00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351,808.00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176,530.00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8,202,511.20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SOCHIAPAM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3,451,496.10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1,972,212.20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160,217.00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87,676.00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5,671,601.30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TAPANATEPEC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15,377,818.20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6,867,987.90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409,825.00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304,997.00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22,960,628.10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TAVICHE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1,221,083.10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492,768.00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38,570.00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19,580.00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1,772,001.10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TEOZACOALCO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1,444,096.00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584,349.00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42,587.00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31,580.00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2,102,612.00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TEUTILA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2,488,116.00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717,263.10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137,769.00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69,035.00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3,412,183.10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TIDAA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1,621,612.70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722,861.50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28,217.00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25,719.00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2,398,410.20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TOPILTEPEC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688,796.30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306,024.00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11,867.00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1,013,140.30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TOTOLAPAM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1,895,356.00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701,537.70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73,882.00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59,142.00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2,729,917.70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TUTUTEPEC DE MELCHOR OCAMPO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18,549,319.30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4,537,678.00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1,330,371.00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697,712.00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25,115,080.30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YANERI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1,387,501.10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606,312.00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33,005.00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16,973.00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2,043,791.10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YOLOX</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2,327,830.00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1,110,138.60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74,105.00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51,528.00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3,563,601.60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 SAN PABLO AYUTLA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3,599,639.30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1,407,018.30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194,296.00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108,156.00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5,309,109.60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ETLA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4,770,625.10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3,156,816.80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238,151.00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147,445.00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8,313,037.90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 SAN PABLO TEPOSCOLULA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3,967,509.70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1,485,926.00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111,621.00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63,380.00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5,628,436.70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 SAN PABLO TEQUIXTEPEC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1,553,308.50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503,261.50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56,879.00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31,420.00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2,144,869.00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YUCUNAMA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993,876.70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426,694.80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6,556.00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7,698.00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1,434,825.50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RAYMUNDO JALPAN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4,324,132.00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1,425,323.50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57,788.00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70,507.00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5,877,750.50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ABASOLO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1,798,736.70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861,828.70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53,378.00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38,703.00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2,752,646.40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COATLAN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2,098,187.60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1,082,230.60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81,759.00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41,515.00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3,303,692.20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IXCAPA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2,426,459.60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649,416.00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122,040.00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63,046.00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3,260,961.60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NICANANDUTA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1,693,471.60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573,188.50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44,139.00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2,338,790.10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RIO HONDO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2,188,729.10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650,040.00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121,643.00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58,217.00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3,018,629.10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TECOMAXTLAHUACA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5,211,617.20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2,625,510.30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258,614.00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147,676.00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8,243,417.50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TEITIPAC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1,534,437.00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1,040,492.70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59,738.00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34,485.00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2,669,152.70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TUTLA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10,948,897.00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4,418,793.00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383,311.00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436,870.00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16,187,871.00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SIMON ALMOLONGAS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1,910,105.30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904,027.00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82,856.00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42,830.00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2,939,818.30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SIMON ZAHUATLAN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2,263,425.70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712,320.00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134,823.00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60,899.00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3,171,467.70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1,710,085.80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1,343,838.40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61,603.00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37,836.00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3,153,363.20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ATEIXTLAHUACA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1,148,667.00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553,416.30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18,158.00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1,730,073.30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CUAUHTEMOC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1,119,101.90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545,760.00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24,566.00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1,701,155.90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DEL VALLE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2,368,722.00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771,831.10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60,372.00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67,236.00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3,268,161.10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TAVELA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1,472,870.90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632,293.10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27,304.00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14,427.00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2,146,895.00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TLAPACOYAN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2,272,609.00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996,637.90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57,557.00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40,990.00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3,367,793.90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YARENI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1,389,660.90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652,509.90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24,566.00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18,740.00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2,085,476.80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ZEGACHE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2,862,299.00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1,561,362.90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112,828.00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73,674.00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4,610,163.90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CATALINA QUIERI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1,407,545.00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737,041.70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29,320.00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16,151.00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2,190,057.70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CUIXTLA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1,663,596.60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718,925.80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45,338.00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36,068.00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2,463,928.40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IXTEPEJI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2,000,346.00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822,770.60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76,281.00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65,702.00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2,965,099.60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JUQUILA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7,994,464.00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3,567,243.80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455,396.00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264,109.00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12,281,212.80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LACHATAO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1,187,931.10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486,140.10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38,520.00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1,735,067.20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LOXICHA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3,471,107.10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1,974,638.00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135,709.00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86,767.00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5,668,221.10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MECHOACAN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2,622,809.50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882,125.30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151,095.00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72,183.00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3,728,212.80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MINAS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3,478,154.30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1,920,726.50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54,752.00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36,832.00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5,490,464.80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QUIANE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1,312,943.50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777,531.90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51,455.00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29,621.00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2,171,551.40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TAYATA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1,227,402.50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620,124.30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17,481.00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1,884,982.80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TICUA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1,521,640.10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716,235.60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26,393.00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2,294,465.70</w:t>
            </w:r>
          </w:p>
        </w:tc>
      </w:tr>
    </w:tbl>
    <w:p w:rsidR="00FA3C1C" w:rsidRDefault="00FA3C1C" w:rsidP="00FA3C1C"/>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YOSONOTU</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1,767,555.90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812,690.90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60,974.00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31,764.00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2,672,984.80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ZAPOQUILA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951,351.50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445,056.00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14,148.00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7,207.00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1,417,762.50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ACATEPEC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1,317,712.40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499,680.00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50,911.00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23,356.00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1,891,659.40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AMILPAS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6,250,479.00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2,752,203.50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256,682.00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299,648.00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9,559,012.50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DE BRAVO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792,997.60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402,947.80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11,130.00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5,783.00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1,212,858.40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ITUNDUJIA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5,446,751.10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2,041,959.50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368,617.00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187,985.00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8,045,312.60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MIXTEPEC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2,107,355.50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1,368,726.50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109,552.00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68,641.00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3,654,275.00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NUNDACO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1,912,219.60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616,063.20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96,903.00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47,302.00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2,672,487.80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PAPALUTLA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1,384,018.80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468,027.20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58,479.00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32,784.00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1,943,309.00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TACACHE DE MINA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1,681,226.60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1,290,575.50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74,742.00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41,405.00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3,087,949.10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TACAHUA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1,353,852.10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649,805.30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39,531.00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19,560.00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2,062,748.40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TAYATA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980,108.00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405,857.20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11,024.00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1,415,006.20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XITLA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2,560,985.30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727,104.00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145,300.00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71,833.00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3,505,222.30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XOXOCOTLAN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53,678,948.00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12,849,053.10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2,008,919.00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2,436,133.00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70,973,053.10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ZENZONTEPEC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13,148,902.00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3,184,721.70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621,644.00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503,914.00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17,459,181.70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GERTRUDIS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1,976,930.50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890,896.60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84,662.00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55,128.00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3,007,617.10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INES DEL MONTE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1,991,704.40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2,158,158.90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85,421.00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40,491.00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4,275,775.30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INES YATZECHE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1,698,086.10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824,598.60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30,114.00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2,567,432.70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LUCIA DEL CAMINO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20,782,387.20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7,774,901.10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1,154,410.00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852,138.00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30,563,836.30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LUCIA MIAHUATLAN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2,362,401.30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1,032,273.60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122,108.00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55,971.00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3,572,753.90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LUCIA MONTEVERDE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3,899,487.20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1,500,125.10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229,184.00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114,841.00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5,743,637.30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LUCIA OCOTLAN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2,442,763.70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896,450.20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112,110.00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62,734.00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3,514,057.90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ALOTEPEC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1,655,271.80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467,568.00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84,555.00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44,138.00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2,251,532.80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APAZCO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1,847,421.90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699,770.50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65,720.00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2,643,069.40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LA ASUNCION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2,361,830.90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808,526.40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115,410.00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53,392.00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3,339,159.30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CIUDAD DE TLAXIACO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23,231,114.00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10,060,128.50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1,092,062.00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826,956.00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35,210,260.50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AYOQUEZCO DE ALDAMA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3,331,392.00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1,564,920.70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135,717.00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92,991.00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5,125,020.70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ATZOMPA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12,883,684.30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3,970,632.00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729,279.00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436,378.00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18,019,973.30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CAMOTLAN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1,957,033.80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663,569.10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47,727.00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34,182.00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2,702,511.90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COLOTEPEC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11,035,774.80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4,645,118.70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644,848.00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358,476.00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16,684,217.50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CORTIJO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1,165,785.20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488,064.00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17,208.00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1,703,854.20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COYOTEPEC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2,086,556.40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1,076,590.80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74,203.00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78,329.00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3,315,679.20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CHACHOAPAM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1,198,077.00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708,865.20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21,476.00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1,951,715.20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CHILAPA DE DIAZ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1,977,959.00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816,803.40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57,643.00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68,658.00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2,921,063.40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CHILCHOTLA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10,621,990.40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3,049,021.10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748,349.00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327,050.00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14,746,410.50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CHIMALAPA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4,330,465.90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864,912.00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279,931.00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135,148.00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5,610,456.90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DEL ROSARIO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969,220.00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594,891.80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14,514.00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1,593,442.80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DEL TULE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5,860,261.00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2,011,928.00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196,594.00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279,195.00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8,347,978.00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ECATEPEC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2,328,168.40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753,240.00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103,645.00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54,990.00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3,240,043.40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GUELACE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1,102,190.70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564,746.80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22,659.00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1,702,562.50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GUIENAGATI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3,175,893.80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715,484.00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100,605.00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87,512.00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4,079,494.80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HUATULCO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77,367,408.00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29,078,158.80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1,051,861.00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2,787,899.00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110,285,326.80</w:t>
            </w:r>
          </w:p>
        </w:tc>
      </w:tr>
    </w:tbl>
    <w:p w:rsidR="00FA3C1C" w:rsidRDefault="00FA3C1C" w:rsidP="00FA3C1C"/>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HUAZOLOTITLAN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5,342,128.30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1,798,574.40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333,805.00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180,848.00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7,655,355.70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IPALAPA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2,595,783.40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647,448.00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149,110.00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77,662.00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3,470,003.40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IXCATLAN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1,180,382.20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640,154.70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16,476.00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1,847,733.90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JACATEPEC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5,350,534.00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2,838,468.50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282,701.00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161,210.00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8,632,913.50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JALAPA DEL MARQUES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4,953,028.20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1,465,675.10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336,858.00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188,884.00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6,944,445.30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JALTIANGUIS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1,083,091.00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589,911.30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15,855.00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13,619.00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1,702,476.30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LACHIXIO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1,708,697.90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574,608.00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53,838.00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28,361.00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2,365,504.90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MIXTEQUILLA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4,792,152.60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2,066,587.10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129,106.00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94,034.00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7,081,879.70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NATIVITAS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1,220,956.00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510,844.80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20,581.00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1,763,201.80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NDUAYACO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987,940.00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400,944.00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17,351.00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10,850.00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1,417,085.00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OZOLOTEPEC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2,703,460.50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2,134,218.20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131,853.00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66,352.00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5,035,883.70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PAPALO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2,030,845.10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866,173.00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72,215.00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35,097.00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3,004,330.10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PEÑOLES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4,740,891.00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1,015,354.70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269,019.00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198,460.00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6,223,724.70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PETAPA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6,291,873.00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2,069,594.70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454,341.00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270,482.00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9,086,290.70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QUIEGOLANI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1,674,983.70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658,848.00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58,250.00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32,327.00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2,424,408.70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SOLA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1,533,934.50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614,184.00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49,619.00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24,215.00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2,221,952.50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TATALTEPEC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942,766.00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527,387.20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7,851.00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8,006.00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1,486,010.20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TECOMAVACA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1,237,255.70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524,001.60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51,760.00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28,186.00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1,841,203.30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TEMAXCALAPA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1,370,444.40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674,568.00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28,786.00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19,273.00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2,093,071.40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TEMAXCALTEPEC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1,887,814.90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577,584.00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88,512.00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41,229.00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2,595,139.90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TEOPOXCO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2,886,360.20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809,424.00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151,974.00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76,037.00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3,923,795.20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TEPANTLALI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2,250,362.00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976,983.40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117,500.00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60,770.00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3,405,615.40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TEXCATITLAN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1,237,587.90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565,823.40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34,569.00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1,856,179.30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TLAHUITOLTEPEC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8,253,043.60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865,728.00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318,397.00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223,699.00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9,660,867.60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TLALIXTAC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1,686,269.90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631,680.00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57,528.00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2,403,344.90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TONAMECA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10,934,756.50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27,299,011.60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801,778.00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386,375.00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39,421,921.10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TOTOLAPILLA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1,339,001.30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950,630.30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26,949.00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2,330,816.60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XADANI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3,463,244.90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1,773,492.80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230,123.00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126,053.00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5,592,913.70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YALINA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757,378.80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409,477.60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10,688.00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1,184,010.40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YAVESIA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806,662.00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355,985.70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12,333.00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9,954.00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1,184,934.70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YOLOTEPEC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1,052,457.00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471,693.20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1,562,376.20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YOSOYUA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1,586,502.10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620,880.00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50,245.00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26,482.00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2,284,109.10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YUCUHITI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3,465,082.20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1,244,347.80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193,629.00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116,112.00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5,019,171.00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ZACATEPEC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6,731,809.80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3,255,203.90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470,898.00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239,536.00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10,697,447.70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ZANIZA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1,580,397.70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511,680.00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68,511.00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34,367.00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2,194,955.70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ZOQUITLAN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2,084,372.10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696,101.30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105,600.00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57,532.00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2,943,605.40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AMOLTEPEC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6,088,797.00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1,021,824.00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450,655.00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195,634.00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7,756,910.00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APOALA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1,444,413.00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559,296.00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35,274.00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2,056,841.00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APOSTOL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3,333,258.30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1,385,718.40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138,974.00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77,235.00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4,935,185.70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ASTATA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1,871,362.70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409,176.00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115,376.00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62,202.00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2,458,116.70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ATITLAN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1,996,840.20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557,856.00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100,813.00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50,525.00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2,706,034.20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AYUQUILILLA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2,021,985.50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943,666.60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86,637.00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50,473.00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3,102,762.10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CACALOXTEPEC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1,375,898.70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864,354.10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50,793.00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30,999.00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2,322,044.80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CAMOTLAN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2,399,620.00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682,516.80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114,730.00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67,997.00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3,264,863.80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COMALTEPEC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1,845,218.30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689,810.60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32,753.00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2,604,697.90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CHAZUMBA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3,070,457.70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1,437,732.00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128,699.00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89,118.00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4,726,006.70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CHOAPAM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3,210,077.20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809,616.00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175,949.00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86,006.00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4,281,648.20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DEL RIO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1,271,745.00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967,692.10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20,234.00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40,151.00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2,299,822.10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HUAJOLOTITLAN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3,007,208.40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1,387,605.10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123,289.00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86,207.00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4,604,309.50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HUAUCLILLA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980,715.20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445,030.00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20,678.00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12,144.00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1,458,567.20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IHUITLAN PLUMAS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903,085.10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416,376.00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14,731.00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7,627.00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1,341,819.10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IXCUINTEPEC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1,328,435.10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535,392.00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48,634.00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24,913.00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1,937,374.10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IXTAYUTLA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5,809,217.80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992,448.00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410,652.00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189,343.00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7,401,660.80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JAMILTEPEC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8,450,967.20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18,417,652.40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539,920.00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307,212.00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27,715,751.60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JOCOTEPEC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6,549,705.70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3,034,871.20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438,476.00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215,575.00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10,238,627.90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JUXTLAHUACA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16,861,376.40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5,795,400.00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1,089,503.00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523,163.00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24,269,442.40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LACHIGUIRI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2,704,866.10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642,091.80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149,012.00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74,564.00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3,570,533.90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LALOPA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1,145,012.00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636,657.80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9,494.00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1,806,564.80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LAOLLAGA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4,689,552.60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2,162,688.00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91,364.00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50,811.00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6,994,415.60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LAXOPA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1,379,762.00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617,345.60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41,851.00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23,613.00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2,062,571.60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LLANO GRANDE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1,933,777.10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582,600.00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98,355.00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51,796.00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2,666,528.10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MATATLAN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6,944,358.00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4,286,025.50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308,665.00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264,235.00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11,803,283.50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MILTEPEC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858,434.00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420,944.50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12,000.00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10,594.00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1,301,972.50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MINAS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1,587,380.90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809,816.90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47,673.00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24,364.00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2,469,234.80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NACALTEPEC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1,572,431.80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458,904.00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58,067.00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30,769.00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2,120,171.80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NEJAPILLA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742,425.00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374,495.30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6,703.00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4,141.00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1,127,764.30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NUNDICHE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1,430,774.00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593,639.40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31,687.00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22,092.00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2,078,192.40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NUYOO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1,749,090.70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697,776.00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60,352.00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35,754.00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2,542,972.70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PINOTEPA NACIONAL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36,962,784.10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9,503,984.10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1,508,421.00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1,233,813.00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49,209,002.20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SUCHILQUITONGO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4,582,421.20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2,211,659.40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258,297.00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176,309.00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7,228,686.60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TAMAZOLA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3,096,484.00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1,260,478.50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132,212.00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86,302.00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4,575,476.50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TAPEXTLA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2,148,370.70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989,444.40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101,232.00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49,575.00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3,288,622.10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TEJUPAM DE LA UNION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1,782,161.80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2,458,262.50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72,676.00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4,352,328.30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TENANGO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2,373,251.60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892,669.30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56,858.00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44,899.00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3,367,677.90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TEPETLAPA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820,409.40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477,436.50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3,811.00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1,305,873.90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3,116,419.30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919,042.30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162,086.00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80,905.00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4,278,452.60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TEXCALCINGO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1,950,305.20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691,507.10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102,959.00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48,873.00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2,793,644.30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TEXTITLAN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2,365,453.80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683,496.00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130,089.00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72,279.00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3,251,317.80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TILANTONGO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2,983,445.50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1,124,811.50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106,375.00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55,511.00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4,270,143.00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TILLO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821,269.60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411,224.60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15,749.00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11,393.00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1,259,636.20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TLAZOYALTEPEC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2,928,762.70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1,278,634.10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164,641.00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77,792.00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4,449,829.80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XANICA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2,174,740.70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697,224.00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95,570.00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45,821.00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3,013,355.70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XIACUI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1,345,426.20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584,082.50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58,536.00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35,639.00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2,023,683.70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YAITEPEC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2,629,686.00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1,147,067.90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140,845.00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67,693.00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3,985,291.90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YAVEO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4,096,015.50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1,418,228.50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217,449.00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114,905.00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5,846,598.00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YOLOMECATL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1,799,395.30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807,553.10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55,531.00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51,289.00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2,713,768.40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YOSONDUA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4,247,401.10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1,119,513.70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241,601.00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125,250.00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5,733,765.80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YUCUYACHI</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1,197,277.00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532,581.10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29,181.00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31,416.00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1,790,455.10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ZACATEPEC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3,126,512.70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744,648.00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186,356.00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94,511.00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4,152,027.70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ZOOCHILA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1,543,511.00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551,568.00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11,181.00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5,941.00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2,112,201.00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NUEVO ZOQUIAPAM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1,728,490.80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761,147.30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49,481.00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26,626.00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2,565,745.10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INGENIO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4,175,564.80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829,872.00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207,906.00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304,797.00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5,518,139.80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ALBARRADAS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1,089,353.00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584,864.30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24,279.00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23,130.00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1,721,626.30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ARMENTA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2,058,395.90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881,304.00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104,991.00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51,223.00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3,095,913.90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CHIHUITAN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1,139,189.70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386,755.80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42,497.00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24,167.00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1,592,609.50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DE MORELOS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4,989,284.50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1,556,016.00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363,976.00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178,442.00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7,087,718.50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IXCATLAN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1,219,181.90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425,400.00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29,021.00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1,687,537.90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NUXAA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2,242,489.30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1,226,343.50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123,720.00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61,683.00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3,654,235.80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OZOLOTEPEC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1,236,011.60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535,224.00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29,489.00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1,815,566.60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PETAPA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4,169,681.70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966,264.00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245,916.00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133,368.00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5,515,229.70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ROAYAGA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1,413,509.00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629,291.60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34,548.00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18,242.00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2,095,590.60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TEHUANTEPEC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36,929,593.00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15,377,869.60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1,732,452.00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1,424,676.00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55,464,590.60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TEOJOMULCO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2,959,586.00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844,283.70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145,875.00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81,010.00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4,030,754.70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TEPUXTEPEC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2,914,156.00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776,351.70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177,066.00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107,917.00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3,975,490.70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TLATAYAPAM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734,005.00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416,995.40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4,325.00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6,684.00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1,162,009.40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TOMALTEPEC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1,941,267.00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975,252.80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81,308.00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56,763.00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3,054,590.80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TONALA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4,700,637.00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2,328,726.00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216,707.00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153,157.00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7,399,227.00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TONALTEPEC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950,664.00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456,049.60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6,318.00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1,421,917.60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XAGACIA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1,195,017.70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492,936.00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39,801.00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19,274.00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1,747,028.70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YANHUITLAN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2,052,169.20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723,633.70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46,773.00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25,566.00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2,848,141.90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YODOHINO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880,683.40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405,456.40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6,569.00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1,303,720.80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ZANATEPEC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7,820,876.00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2,643,252.40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324,037.00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215,081.00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11,003,246.40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SANTOS REYES NOPALA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6,906,767.80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1,838,643.20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507,508.00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253,993.00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9,506,912.00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SANTOS REYES PAPALO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2,125,834.80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1,100,400.00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88,367.00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44,947.00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3,359,548.80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SANTOS REYES TEPEJILLO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1,337,251.00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555,092.10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38,513.00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24,109.00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1,954,965.10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SANTOS REYES YUCUNA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1,463,669.50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578,365.70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46,126.00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21,165.00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2,109,326.20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TOMAS JALIEZA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2,785,372.00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1,140,950.80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106,418.00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98,137.00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4,130,877.80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TOMAS MAZALTEPEC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1,662,409.40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581,496.00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65,695.00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38,035.00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2,347,635.40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TOMAS OCOTEPEC</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2,391,083.10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1,400,069.10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129,597.00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67,045.00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3,987,794.20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TOMAS TAMAZULAPAN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1,956,539.80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909,040.40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65,860.00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39,233.00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2,970,673.20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VICENTE COATLAN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2,479,326.80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857,448.00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130,250.00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72,845.00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3,539,869.80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VICENTE LACHIXIO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2,423,435.40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662,928.00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95,449.00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48,885.00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3,230,697.40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VICENTE NUÑU</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953,496.00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460,670.40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14,594.00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11,486.00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1,440,246.40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SILACAYOAPAM</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5,129,781.70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1,984,190.00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207,920.00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107,200.00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7,429,091.70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SITIO DE XITLAPEHUA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1,233,539.00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626,691.50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21,917.00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22,765.00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1,904,912.50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SOLEDAD ETLA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2,374,589.20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1,346,452.70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133,360.00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83,318.00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3,937,719.90</w:t>
            </w:r>
          </w:p>
        </w:tc>
      </w:tr>
    </w:tbl>
    <w:p w:rsidR="00FA3C1C" w:rsidRDefault="00FA3C1C" w:rsidP="00FA3C1C">
      <w:pPr>
        <w:rPr>
          <w:rFonts w:ascii="Arial" w:hAnsi="Arial" w:cs="Arial"/>
          <w:b/>
          <w:spacing w:val="20"/>
        </w:rPr>
      </w:pPr>
    </w:p>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675"/>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91"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de Participaciones</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Fomento Municipal</w:t>
            </w:r>
          </w:p>
        </w:tc>
        <w:tc>
          <w:tcPr>
            <w:tcW w:w="1158"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Compensación</w:t>
            </w:r>
          </w:p>
        </w:tc>
        <w:tc>
          <w:tcPr>
            <w:tcW w:w="1077"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Municipal Sobre  el Impuesto a las Ventas Finales de  Gasolina y Diesel</w:t>
            </w:r>
          </w:p>
        </w:tc>
        <w:tc>
          <w:tcPr>
            <w:tcW w:w="1280"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91"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158"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077"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280"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bl>
    <w:p w:rsidR="00FA3C1C" w:rsidRDefault="00FA3C1C" w:rsidP="00FA3C1C"/>
    <w:tbl>
      <w:tblPr>
        <w:tblW w:w="9786" w:type="dxa"/>
        <w:tblInd w:w="45" w:type="dxa"/>
        <w:tblCellMar>
          <w:left w:w="70" w:type="dxa"/>
          <w:right w:w="70" w:type="dxa"/>
        </w:tblCellMar>
        <w:tblLook w:val="04A0"/>
      </w:tblPr>
      <w:tblGrid>
        <w:gridCol w:w="420"/>
        <w:gridCol w:w="3291"/>
        <w:gridCol w:w="1280"/>
        <w:gridCol w:w="1280"/>
        <w:gridCol w:w="1158"/>
        <w:gridCol w:w="1077"/>
        <w:gridCol w:w="1280"/>
      </w:tblGrid>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TAMAZULAPAM DEL PROGRESO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4,409,025.60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2,130,902.30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190,808.00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112,156.00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6,842,891.90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TANETZE DE ZARAGOZA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1,475,949.00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735,768.90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51,397.00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28,055.00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2,291,169.90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TANICHE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1,233,442.70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669,649.00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22,950.00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11,852.00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1,937,893.70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TATALTEPEC DE VALDES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2,937,412.80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698,223.80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179,388.00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88,355.00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3,903,379.60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TEOCOCUILCO DE MARCOS PEREZ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1,319,559.10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593,677.40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32,412.00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21,651.00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1,967,299.50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TEOTITLAN DE FLORES MAGON</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8,592,133.20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4,266,181.00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243,562.00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164,480.00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13,266,356.20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TEOTITLAN DEL VALLE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3,146,895.80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1,343,736.50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171,119.00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95,636.00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4,757,387.30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TEOTONGO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1,349,200.20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644,522.10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28,066.00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2,040,209.30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TEPELMEME VILLA DE MORELOS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2,215,914.00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1,030,612.30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54,291.00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28,146.00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3,328,963.30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VILLA TEZOATLAN DE SEGURA Y LUNA, CUNA DE LA INDEPENDENCIA DE OAXACA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7,398,839.20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3,225,146.30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357,815.00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179,842.00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11,161,642.50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TLACOCHAHUAYA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4,411,175.00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1,084,238.10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144,744.00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147,110.00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5,787,267.10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TLACOLULA DE MATAMOROS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17,370,843.80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7,187,019.20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535,772.00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808,821.00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25,902,456.00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TLACOTEPEC PLUMAS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824,416.40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652,974.80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14,998.00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1,504,017.20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TLALIXTAC DE CABRERA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8,547,463.20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2,941,114.90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257,639.00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303,382.00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12,049,599.10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TOTONTEPEC VILLA DE MORELOS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3,667,815.90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1,401,977.60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176,397.00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88,944.00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5,335,134.50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TRINIDAD ZAACHILA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1,836,970.50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920,014.70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81,057.00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42,151.00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2,880,193.20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LA TRINIDAD VISTA HERMOSA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860,236.00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478,943.70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7,314.00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10,705.00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1,357,198.70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UNION HIDALGO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9,096,246.00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4,642,915.50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371,273.00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221,964.00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14,332,398.50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VALERIO TRUJANO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1,146,740.30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384,024.00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44,974.00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1,600,254.30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VALLE NACIONAL</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10,028,024.00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2,046,816.00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677,666.00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356,634.00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13,109,140.00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DIAZ ORDAZ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4,021,838.30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1,694,385.10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190,113.00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124,475.00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6,030,811.40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561</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YAXE</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4,081,659.30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2,168,734.80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82,460.00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56,927.00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6,389,781.10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562</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YODOCONO DE PORFIRIO DIAZ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1,409,527.60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678,605.00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41,885.00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32,131.00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2,162,148.60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563</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YOGANA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1,344,213.40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542,952.00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44,686.00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20,781.00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1,952,632.40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564</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YUTANDUCHI DE GUERRERO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1,814,383.10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731,429.50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41,781.00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25,363.00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2,612,956.60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565</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ZAACHILA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21,227,016.00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8,957,639.10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973,999.00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814,974.00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31,973,628.10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566</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YACUTINDO</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2,421,843.00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724,101.50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101,426.00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76,503.00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3,323,873.50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567</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ZAPOTITLAN LAGUNAS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2,193,214.80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730,222.70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104,168.00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54,328.00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3,081,933.50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568</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ZAPOTITLAN PALMAS</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1,253,544.60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714,747.00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47,597.00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24,056.00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2,039,944.60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569</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INES DE ZARAGOZA</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1,612,703.30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717,728.20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53,086.00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29,997.00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2,413,514.50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570</w:t>
            </w:r>
          </w:p>
        </w:tc>
        <w:tc>
          <w:tcPr>
            <w:tcW w:w="3291"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ZIMATLAN DE ALVAREZ</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11,041,017.60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4,131,515.90</w:t>
            </w:r>
          </w:p>
        </w:tc>
        <w:tc>
          <w:tcPr>
            <w:tcW w:w="1158"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556,575.00</w:t>
            </w:r>
          </w:p>
        </w:tc>
        <w:tc>
          <w:tcPr>
            <w:tcW w:w="1077"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353,882.00</w:t>
            </w:r>
          </w:p>
        </w:tc>
        <w:tc>
          <w:tcPr>
            <w:tcW w:w="1280"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16,082,990.50</w:t>
            </w:r>
          </w:p>
        </w:tc>
      </w:tr>
    </w:tbl>
    <w:p w:rsidR="00FA3C1C" w:rsidRDefault="00FA3C1C" w:rsidP="00FA3C1C">
      <w:pPr>
        <w:rPr>
          <w:rFonts w:ascii="Arial" w:hAnsi="Arial" w:cs="Arial"/>
          <w:b/>
          <w:spacing w:val="20"/>
        </w:rPr>
      </w:pPr>
    </w:p>
    <w:p w:rsidR="00FA3C1C" w:rsidRDefault="00FA3C1C" w:rsidP="00FA3C1C">
      <w:pPr>
        <w:rPr>
          <w:rFonts w:ascii="Arial" w:hAnsi="Arial" w:cs="Arial"/>
          <w:b/>
          <w:spacing w:val="20"/>
        </w:rPr>
      </w:pPr>
      <w:r>
        <w:rPr>
          <w:rFonts w:ascii="Arial" w:hAnsi="Arial" w:cs="Arial"/>
          <w:b/>
          <w:spacing w:val="20"/>
        </w:rPr>
        <w:br w:type="page"/>
      </w:r>
    </w:p>
    <w:p w:rsidR="00FA3C1C" w:rsidRDefault="00FA3C1C" w:rsidP="00FA3C1C">
      <w:pPr>
        <w:rPr>
          <w:rFonts w:ascii="Arial" w:hAnsi="Arial" w:cs="Arial"/>
          <w:b/>
          <w:spacing w:val="20"/>
        </w:rPr>
      </w:pPr>
      <w:r w:rsidRPr="00FA3C1C">
        <w:rPr>
          <w:rFonts w:ascii="Arial" w:hAnsi="Arial" w:cs="Arial"/>
          <w:b/>
          <w:spacing w:val="20"/>
        </w:rPr>
        <w:lastRenderedPageBreak/>
        <w:t>6.</w:t>
      </w:r>
      <w:r>
        <w:rPr>
          <w:rFonts w:ascii="Arial" w:hAnsi="Arial" w:cs="Arial"/>
          <w:b/>
          <w:spacing w:val="20"/>
        </w:rPr>
        <w:t>2</w:t>
      </w:r>
      <w:r w:rsidRPr="00FA3C1C">
        <w:rPr>
          <w:rFonts w:ascii="Arial" w:hAnsi="Arial" w:cs="Arial"/>
          <w:b/>
          <w:spacing w:val="20"/>
        </w:rPr>
        <w:t>.- FONDOS DE APORTACIONES PARA LA INFRAESTRUCTURA SOCIAL MUNICIPAL (FISM) Y PARA EL FORTALECIMIENTO DE LOS MUNICIPIOS Y DE LAS DEMARCACIONES TERRITORIALES DEL DISTRITO FEDERAL (FORTAMUN).</w:t>
      </w:r>
    </w:p>
    <w:p w:rsidR="00FA3C1C" w:rsidRDefault="00FA3C1C" w:rsidP="00FA3C1C">
      <w:pPr>
        <w:spacing w:line="22" w:lineRule="atLeast"/>
        <w:jc w:val="both"/>
        <w:rPr>
          <w:rFonts w:ascii="Arial" w:hAnsi="Arial" w:cs="Arial"/>
          <w:b/>
          <w:spacing w:val="20"/>
        </w:rPr>
      </w:pPr>
    </w:p>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left w:val="nil"/>
              <w:bottom w:val="single" w:sz="4" w:space="0" w:color="auto"/>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w:t>
            </w:r>
          </w:p>
        </w:tc>
        <w:tc>
          <w:tcPr>
            <w:tcW w:w="3283" w:type="dxa"/>
            <w:tcBorders>
              <w:left w:val="nil"/>
              <w:bottom w:val="single" w:sz="4" w:space="0" w:color="auto"/>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w:t>
            </w:r>
          </w:p>
        </w:tc>
        <w:tc>
          <w:tcPr>
            <w:tcW w:w="1559" w:type="dxa"/>
            <w:tcBorders>
              <w:left w:val="nil"/>
              <w:bottom w:val="single" w:sz="4" w:space="0" w:color="auto"/>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r w:rsidRPr="009B54B0">
              <w:rPr>
                <w:rFonts w:ascii="Calibri" w:hAnsi="Calibri"/>
                <w:b/>
                <w:bCs/>
                <w:color w:val="000000"/>
                <w:sz w:val="16"/>
                <w:szCs w:val="16"/>
                <w:lang w:val="es-MX" w:eastAsia="es-MX"/>
              </w:rPr>
              <w:t>5,003,775,681.00</w:t>
            </w:r>
          </w:p>
        </w:tc>
        <w:tc>
          <w:tcPr>
            <w:tcW w:w="1843" w:type="dxa"/>
            <w:tcBorders>
              <w:left w:val="nil"/>
              <w:bottom w:val="single" w:sz="4" w:space="0" w:color="auto"/>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r w:rsidRPr="009B54B0">
              <w:rPr>
                <w:rFonts w:ascii="Calibri" w:hAnsi="Calibri"/>
                <w:b/>
                <w:bCs/>
                <w:color w:val="000000"/>
                <w:sz w:val="16"/>
                <w:szCs w:val="16"/>
                <w:lang w:val="es-MX" w:eastAsia="es-MX"/>
              </w:rPr>
              <w:t>1,953,440,938.00</w:t>
            </w:r>
          </w:p>
        </w:tc>
        <w:tc>
          <w:tcPr>
            <w:tcW w:w="1984" w:type="dxa"/>
            <w:tcBorders>
              <w:left w:val="nil"/>
              <w:bottom w:val="single" w:sz="4" w:space="0" w:color="auto"/>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r w:rsidRPr="009B54B0">
              <w:rPr>
                <w:rFonts w:ascii="Calibri" w:hAnsi="Calibri"/>
                <w:b/>
                <w:bCs/>
                <w:color w:val="000000"/>
                <w:sz w:val="16"/>
                <w:szCs w:val="16"/>
                <w:lang w:val="es-MX" w:eastAsia="es-MX"/>
              </w:rPr>
              <w:t>6,957,216,619.00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ABEJONES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1,689,418.50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556,957.17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2,246,375.67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ACATLAN DE PEREZ FIGUEROA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51,644,510.95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23,061,828.74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74,706,339.69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CACALOTEPEC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5,937,563.82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1,281,926.32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7,219,490.14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CUYOTEPEJI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1,204,402.87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519,963.70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1,724,366.57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IXTALTEPEC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12,233,096.31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7,579,036.11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19,812,132.42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NOCHIXTLAN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19,052,161.88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9,155,882.55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28,208,044.43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OCOTLAN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6,089,850.70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1,342,040.70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7,431,891.40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ASUNCION TLACOLULITA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1,072,619.45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432,618.02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1,505,237.47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009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AYOTZINTEPEC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9,332,377.61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3,452,723.38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12,785,100.99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EL BARRIO DE LA SOLEDAD</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8,800,989.29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6,991,764.85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15,792,754.14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CALIHUALA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1,477,179.91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626,833.71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2,104,013.62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CANDELARIA LOXICHA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21,045,270.12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5,066,049.49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26,111,319.61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CIENEGA DE ZIMATLAN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2,196,191.31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1,430,927.77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3,627,119.08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CIUDAD 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15,406,738.23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13,589,960.34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28,996,698.57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COATECAS ALTAS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10,806,731.19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2,421,016.75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13,227,747.94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COICOYAN DE LAS FLORES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23,660,350.11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4,383,211.78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28,043,561.89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LA COMPAÑIA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6,202,318.50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1,696,561.40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7,898,879.90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CONCEPCION BUENAVISTA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1,188,624.03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428,507.63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1,617,131.66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019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CONCEPCION PAPALO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4,493,914.93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1,577,874.03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6,071,788.96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CONSTANCIA DEL ROSARIO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7,647,832.50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1,983,260.75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9,631,093.25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COSOLAPA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15,588,676.65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7,535,877.06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23,124,553.71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COSOLTEPEC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1,473,490.76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444,949.17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1,918,439.93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CUILAPAM DE GUERRERO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26,377,533.23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9,468,271.80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35,845,805.03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CUYAMECALCO VILLA DE ZARAGOZA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8,225,860.45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1,976,067.58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10,201,928.03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CHAHUITES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10,786,552.30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5,705,728.15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16,492,280.45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CHALCATONGO DE HIDALGO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12,619,375.45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4,357,521.88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16,976,897.33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CHIQUIHUITLAN DE BENITO JUAREZ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5,432,204.66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1,262,915.79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6,695,120.45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CIUDAD DE EJUTLA DE CRESPO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20,822,455.93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10,111,033.26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30,933,489.19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029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ELOXOCHITLAN DE FLORES MAGON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14,294,167.61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2,190,321.40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16,484,489.01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EL ESPINAL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4,623,961.52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4,269,662.40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8,893,623.92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TAMAZULAPAM DEL ESPIRITU SANTO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15,599,180.58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3,782,581.78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19,381,762.36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FRESNILLO DE TRUJANO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1,222,046.57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530,753.46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1,752,800.03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GUADALUPE ETLA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1,943,529.55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1,250,070.83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3,193,600.38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GUADALUPE DE RAMIREZ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1,168,835.71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732,162.32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1,900,998.03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GUELATAO DE JUAREZ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202,180.56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279,506.18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481,686.74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GUEVEA DE HUMBOLDT</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7,205,899.12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2,715,423.08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9,921,322.20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MESONES HIDALGO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9,506,290.92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2,261,739.34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11,768,030.26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HIDALGO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4,319,966.87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1,085,141.64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5,405,108.51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039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CIUDAD DE HUAJUAPAN DE LEON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43,166,635.08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35,883,147.09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79,049,782.17</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HUAUTEPEC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16,108,705.28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3,080,219.75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19,188,925.03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HUAUTLA DE JIMENEZ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60,531,946.66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15,415,998.87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75,947,945.53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IXTLAN DE JUAREZ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8,451,265.84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3,942,886.79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12,394,152.63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CIUDAD DE JUCHITAN DE ZARAGOZA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64,229,849.38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47,802,749.74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112,032,599.12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LOMA BONITA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35,777,437.84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21,340,605.02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57,118,042.86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APASCO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4,020,232.43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3,864,789.48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7,885,021.91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JALTEPEC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5,942,823.57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1,702,213.18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7,645,036.75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MAGDALENA JICOTLAN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82,822.16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47,783.23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130,605.39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MIXTEPEC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2,690,289.81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669,992.75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3,360,282.56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049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OCOTLAN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1,641,254.79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586,243.66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2,227,498.45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PEÑASCO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9,062,956.27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1,941,129.31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11,004,085.58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TEITIPAC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10,415,641.47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2,244,270.20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12,659,911.67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TEQUISISTLAN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7,669,059.34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3,176,299.99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10,845,359.33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TLACOTEPEC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1,085,019.67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627,347.51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1,712,367.18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ZAHUATLAN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373,247.84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210,143.43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583,391.27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MARISCALA DE JUAREZ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3,232,357.51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1,813,707.37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5,046,064.88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MARTIRES DE TACUBAYA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1,424,991.43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745,521.08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2,170,512.51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MATIAS ROMERO AVENDAÑO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32,178,062.23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19,534,090.83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51,712,153.06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MAZATLAN VILLA DE FLORES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24,597,558.56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6,902,877.78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31,500,436.34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059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MIAHUATLAN DE PORFIRIO DIAZ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46,961,951.67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21,264,562.90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68,226,514.57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MIXISTLAN DE LA REFORMA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5,845,115.50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1,423,220.80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7,268,336.30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MONJAS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5,519,451.71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1,319,433.58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6,838,885.29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NATIVIDAD</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325,533.01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301,085.70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626,618.71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NAZARENO ETLA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2,001,102.39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1,994,564.31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3,995,666.70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NEJAPA DE MADERO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13,308,142.92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3,796,968.13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17,105,111.05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IXPANTEPEC NIEVES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1,715,605.96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607,309.38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2,322,915.34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NILTEPEC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7,003,249.69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2,750,361.35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9,753,611.04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OAXACA DE JUAREZ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110,450,567.16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135,312,332.19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245,762,899.35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OCOTLAN DE MORELOS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22,686,440.92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10,964,965.74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33,651,406.66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069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LA PE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3,541,877.47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1,256,750.21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4,798,627.68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PINOTEPA DE DON LUIS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12,230,595.04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3,405,967.76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15,636,562.80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PLUMA HIDALGO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7,191,085.38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1,572,222.26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8,763,307.64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DEL PROGRESO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10,147,034.81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3,380,277.85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13,527,312.66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PUTLA VILLA DE GUERRERO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37,210,444.27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16,388,618.72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53,599,062.99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QUIOQUITANI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714,587.87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259,468.05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974,055.92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REFORMA DE PINEDA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2,534,572.64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1,372,354.79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3,906,927.43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LA REFORMA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3,572,389.97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1,711,461.55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5,283,851.52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REYES ETLA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2,597,035.07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1,833,231.70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4,430,266.77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ROJAS DE CUAUHTEMOC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1,121,484.20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561,067.55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1,682,551.75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079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SALINA CRUZ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35,137,865.82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42,322,065.16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77,459,930.98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AMATENGO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1,834,128.93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674,103.14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2,508,232.07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ATENANGO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3,239,092.54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983,409.61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4,222,502.15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CHAYUCO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5,148,437.96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2,030,530.18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7,178,968.14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DE LAS JUNTAS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5,990,843.14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4,156,113.01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10,146,956.15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ETLA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1,954,244.29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2,000,216.09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3,954,460.38</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LOXICHA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65,418,755.85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11,593,854.64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77,012,610.49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TLACOTEPEC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1,915,022.57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449,059.56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2,364,082.13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AGUSTIN YATARENI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3,678,012.20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2,093,727.35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5,771,739.55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CABECERA NUEVA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6,483,837.94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1,464,838.45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7,948,676.39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089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DINICUITI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1,841,435.71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1,105,693.56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2,947,129.27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HUAXPALTEPEC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7,034,946.51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3,014,453.59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10,049,400.10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HUAYAPAM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2,287,737.43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2,506,821.04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4,794,558.47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IXTLAHUACA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1,996,103.46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739,355.50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2,735,458.96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LAGUNAS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654,013.90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259,468.05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913,481.95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NUXIÑO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3,344,190.00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975,188.84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4,319,378.84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PAXTLAN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9,660,795.93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2,050,054.51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11,710,850.44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SINAXTLA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593,373.83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396,652.15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990,025.98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SOLAGA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2,004,680.95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894,008.73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2,898,689.68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TEOTILALPAM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10,245,071.61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2,274,584.29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12,519,655.90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099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TEPETLAPA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822,411.74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244,054.11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1,066,465.85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YAA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824,713.66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255,357.67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1,080,071.33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ZABACHE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1,399,867.55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373,017.44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1,772,884.99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ANDRES ZAUTLA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6,340,060.04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2,263,280.73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8,603,340.77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ANTONINO CASTILLO VELASCO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5,714,599.37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2,903,473.19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8,618,072.56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ANTONINO EL ALTO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5,621,652.95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1,288,605.69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6,910,258.64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ANTONINO MONTE VERDE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10,184,549.45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3,416,757.52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13,601,306.97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ACUTLA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353,752.43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152,598.04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506,350.47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DE LA CAL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13,016,892.91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11,024,052.52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24,040,945.43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HUITEPEC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8,517,507.44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2,203,680.15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10,721,187.59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109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NANAHUATIPAM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940,740.40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633,513.09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1,574,253.49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SINICAHUA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5,215,506.29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823,618.39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6,039,124.68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ANTONIO TEPETLAPA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7,229,242.54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2,257,628.95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9,486,871.49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BALTAZAR CHICHICAPAM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3,475,617.69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1,253,153.62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4,728,771.31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BALTAZAR LOXICHA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4,025,228.58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1,455,076.28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5,480,304.86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BALTAZAR YATZACHI EL BAJO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926,733.47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347,841.33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1,274,574.80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 COYOTEPEC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4,246,352.52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4,461,822.90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8,708,175.42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AYAUTLA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9,095,998.95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2,081,909.99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11,177,908.94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LOXICHA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6,021,353.39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1,244,419.05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7,265,772.44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QUIALANA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4,492,841.41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1,269,081.36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5,761,922.77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119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YUCUAÑE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825,745.16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205,005.45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1,030,750.61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BARTOLOME ZOOGOCHO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333,518.12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189,077.71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522,595.83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 SOYALTEPEC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969,810.08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336,537.77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1,306,347.85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BARTOLO YAUTEPEC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1,210,073.88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347,841.33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1,557,915.21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BERNARDO MIXTEPEC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4,374,624.27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1,389,823.92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5,764,448.19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BLAS ATEMPA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30,789,929.49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8,782,865.11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39,572,794.60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CARLOS YAUTEPEC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22,749,467.57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6,069,497.22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28,818,964.79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CRISTOBAL AMATLAN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12,686,655.36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2,581,321.77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15,267,977.13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CRISTOBAL AMOLTEPEC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4,374,641.35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659,202.99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5,033,844.34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CRISTOBAL LACHIRIOAG</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1,228,321.42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631,971.69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1,860,293.11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129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CRISTOBAL SUCHIXTLAHUACA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296,792.66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171,608.57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468,401.23</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DIONISIO DEL MAR</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9,743,640.82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2,619,342.83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12,362,983.65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DIONISIO OCOTEPEC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17,601,012.15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5,394,880.29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22,995,892.44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DIONISIO OCOTLAN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1,374,110.51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639,678.66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2,013,789.17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ESTEBAN ATATLAHUCA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14,849,741.23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2,041,833.74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16,891,574.97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FELIPE JALAPA DE DIAZ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44,259,110.11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13,789,314.02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58,048,424.13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FELIPE TEJALAPAM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11,523,543.83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3,692,667.11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15,216,210.94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FELIPE USILA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22,904,715.07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5,947,213.27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28,851,928.34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CAHUACUA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9,833,557.62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1,760,786.17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11,594,343.79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CAJONOS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476,197.40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236,347.14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712,544.54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139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CHAPULAPA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4,911,906.61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1,097,472.79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6,009,379.40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CHINDUA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1,017,162.05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424,911.05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1,442,073.10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DEL MAR</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10,190,345.37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3,715,788.02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13,906,133.39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HUEHUETLAN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1,937,918.85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596,005.82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2,533,924.67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IXHUATAN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9,465,206.66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4,603,117.38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14,068,324.04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JALTEPETONGO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2,018,795.22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570,315.92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2,589,111.14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LACHIGOLO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3,483,580.84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1,784,934.68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5,268,515.52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LOGUECHE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6,181,432.44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1,369,785.79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7,551,218.23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NUXAÑO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661,922.82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194,215.69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856,138.51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OZOLOTEPEC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3,664,059.83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999,337.35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4,663,397.18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149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SOLA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2,532,608.49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775,321.37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3,307,929.86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TELIXTLAHUACA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9,424,724.60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6,110,601.07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15,535,325.67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TEOPAN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650,156.94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202,436.46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852,593.40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FRANCISCO TLAPANCINGO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3,345,941.80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1,105,693.56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4,451,635.36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GABRIEL MIXTEPEC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7,632,903.99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2,431,806.51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10,064,710.50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ILDEFONSO AMATLAN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4,552,688.52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1,229,518.91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5,782,207.43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ILDEFONSO SOLA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1,742,203.40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482,970.24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2,225,173.64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ILDEFONSO VILLA ALTA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3,546,813.36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1,786,989.87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5,333,803.23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JACINTO AMILPAS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4,175,063.52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7,121,241.98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11,296,305.50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JACINTO TLACOTEPEC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4,485,880.77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1,146,283.61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5,632,164.38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159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COATLAN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11,460,834.14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2,799,685.97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14,260,520.11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SILACAYOAPILLA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1,881,300.21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744,493.48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2,625,793.69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SOSOLA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5,139,426.33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1,314,809.40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6,454,235.73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TAVICHE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3,862,594.78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949,498.93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4,812,093.71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TECOATL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3,354,300.97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825,159.78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4,179,460.75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JORGE NUCHITA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3,438,598.38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1,651,860.96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5,090,459.34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AYUQUILA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2,168,427.14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776,348.96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2,944,776.10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CHILTEPEC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15,985,585.56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5,661,541.51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21,647,127.07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DEL PEÑASCO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4,467,578.31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1,075,893.27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5,543,471.58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ESTANCIA GRANDE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1,424,920.75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501,980.77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1,926,901.52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169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INDEPENDENCIA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6,480,705.43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1,892,832.28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8,373,537.71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LACHIGUIRI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10,712,438.51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1,977,608.97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12,690,047.48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JOSE TENANGO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67,572,131.19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9,493,961.71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77,066,092.90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ACHIUTLA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456,448.76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220,933.19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677,381.95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1,090,972.37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779,431.75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1,870,404.12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ANIMAS TRUJANO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1,012,311.46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1,931,367.14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2,943,678.60</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ATATLAHUCA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1,864,050.61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885,787.96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2,749,838.57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COIXTLAHUACA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6,029,312.82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1,442,745.13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7,472,057.95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CUICATLAN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10,369,333.48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4,850,768.08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15,220,101.56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GUELACHE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3,746,357.58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3,230,248.80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6,976,606.38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179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JAYACATLAN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2,128,079.00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751,172.86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2,879,251.86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LO DE SOTO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2,985,697.94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1,194,580.64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4,180,278.58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SUCHITEPEC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730,953.02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214,253.82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945,206.84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TLACOATZINTEPEC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4,672,165.94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1,177,625.30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5,849,791.24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TLACHICHILCO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2,270,073.08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743,465.88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3,013,538.96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TUXTEPEC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116,483,246.87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80,032,278.37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196,515,525.24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CACAHUATEPEC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7,734,353.51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4,459,767.70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12,194,121.21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CIENEGUILLA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789,810.70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310,847.86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1,100,658.56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COATZOSPAM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7,138,630.35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1,302,478.24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8,441,108.59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COLORADO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16,825,225.63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4,877,999.38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21,703,225.01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189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COMALTEPEC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10,809,356.85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1,293,229.87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12,102,586.72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COTZOCON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34,237,764.85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11,486,470.83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45,724,235.68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CHICOMEZUCHIL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199,351.68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164,415.40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363,767.08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CHILATECA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788,392.69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740,896.89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1,529,289.58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DEL ESTADO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2,596,795.45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1,308,130.02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3,904,925.47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DEL RIO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1,584,448.52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632,485.49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2,216,934.01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DIUXI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2,576,390.80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645,330.44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3,221,721.24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EVANGELISTA ANALCO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190,856.80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207,574.44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398,431.24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GUELAVIA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4,303,392.08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1,565,542.88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5,868,934.96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GUICHICOVI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47,540,595.46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14,459,306.77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61,999,902.23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199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IHUALTEPEC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1,416,576.31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366,338.06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1,782,914.37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JUQUILA MIXES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8,529,511.23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2,016,143.83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10,545,655.06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JUQUILA VIJANOS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2,363,394.92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941,278.16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3,304,673.08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LACHAO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7,555,196.22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2,328,019.29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9,883,215.51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LACHIGALLA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6,605,893.28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1,687,826.83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8,293,720.11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LAJARCIA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1,500,311.73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367,365.66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1,867,677.39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LALANA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42,977,207.63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8,939,059.74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51,916,267.37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DE LOS CUES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2,489,964.50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1,211,022.18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3,700,986.68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MAZATLAN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49,417,677.57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8,785,947.90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58,203,625.47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MIXTEPEC - DTO. 08 -</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18,101,082.07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3,910,517.51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22,011,599.58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209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MIXTEPEC - DTO. 26 -</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1,565,308.96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365,310.47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1,930,619.43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ÑUMI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14,591,454.26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3,424,978.29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18,016,432.55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OZOLOTEPEC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6,446,856.98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1,627,712.45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8,074,569.43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PETLAPA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17,878,305.60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1,442,231.33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19,320,536.93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QUIAHIJE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6,762,204.17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1,864,059.59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8,626,263.76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QUIOTEPEC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3,691,615.74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1,188,415.06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4,880,030.80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SAYULTEPEC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971,628.20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392,541.77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1,364,169.97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TABAA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1,107,799.18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683,865.30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1,791,664.48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TAMAZOLA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11,833,211.23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1,770,548.33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13,603,759.56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TEITA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1,356,263.57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311,875.46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1,668,139.03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219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TEITIPAC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4,048,615.63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1,317,892.18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5,366,507.81</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TEPEUXILA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4,643,275.93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1,424,762.19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6,068,038.12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TEPOSCOLULA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1,817,407.66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688,489.48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2,505,897.14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YAEE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1,447,693.10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786,111.13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2,233,804.23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YATZONA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356,703.10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232,236.75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588,939.85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YUCUITA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839,343.45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351,437.92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1,190,781.37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13,598,547.84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3,059,667.82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16,658,215.66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ALBARRADAS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4,938,386.59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1,391,365.32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6,329,751.91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CACAOTEPEC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8,186,038.61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7,041,089.47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15,227,128.08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CUAUNECUILTITLA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1,602,335.09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396,138.35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1,998,473.44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229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TEXMELUCAN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15,373,607.02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3,621,249.17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18,994,856.19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LORENZO VICTORIA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1,010,830.19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517,394.71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1,528,224.90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LUCAS CAMOTLAN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8,674,884.08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1,554,753.12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10,229,637.20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LUCAS OJITLAN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43,709,238.77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11,053,852.81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54,763,091.58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LUCAS QUIAVINI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2,452,978.30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896,577.72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3,349,556.02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LUCAS ZOQUIAPAM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19,198,958.02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3,881,231.02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23,080,189.04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LUIS AMATLAN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7,729,168.48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1,862,004.40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9,591,172.88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MARCIAL OZOLOTEPEC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5,362,613.25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783,542.14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6,146,155.39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MARCOS ARTEAGA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1,596,571.01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799,983.68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2,396,554.69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DE LOS CANSECOS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1,262,656.84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419,259.27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1,681,916.11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239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HUAMELULPAM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2,111,997.73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553,360.58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2,665,358.31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ITUNYOSO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5,886,894.21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1,263,943.38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7,150,837.59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LACHILA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1,528,063.36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556,957.16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2,085,020.52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PERAS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21,737,760.22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5,837,260.47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27,575,020.69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TILCAJETE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1,893,754.49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895,036.33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2,788,790.82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TOXPALAN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3,815,968.52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1,885,125.31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5,701,093.83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MARTIN ZACATEPEC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1,653,904.35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656,120.20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2,310,024.55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CAJONOS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757,923.28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318,554.84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1,076,478.12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CAPULALPAM DE MENDEZ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468,200.14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753,741.85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1,221,941.99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DEL MAR</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38,496,861.74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7,322,650.84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45,819,512.58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249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YOLOXOCHITLAN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5,445,773.60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1,785,448.48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7,231,222.08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ETLATONGO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1,784,109.72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606,795.58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2,390,905.30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NEJAPAM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1,707,154.70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606,281.78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2,313,436.48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PEÑASCO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4,940,513.07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1,087,196.83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6,027,709.90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PIÑAS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8,129,521.12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1,143,714.62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9,273,235.74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RIO HONDO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9,817,746.51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1,699,644.19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11,517,390.70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SINDIHUI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3,928,709.49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1,071,782.88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5,000,492.37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TLAPILTEPEC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220,511.46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120,228.76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340,740.22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MELCHOR BETAZA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2,325,682.56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560,553.75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2,886,236.31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ACHIUTLA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1,130,103.51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382,265.80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1,512,369.31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259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AHUEHUETITLAN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4,871,519.52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1,266,512.37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6,138,031.89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ALOAPAM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4,392,214.88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1,278,329.73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5,670,544.61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AMATITLAN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14,862,678.66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3,721,953.60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18,584,632.26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AMATLAN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1,043,543.99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535,891.44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1,579,435.43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COATLAN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13,428,610.06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1,789,558.86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15,218,168.92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CHICAHUA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5,253,601.65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1,168,376.93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6,421,978.58</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CHIMALAPA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12,771,218.38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3,395,177.99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16,166,396.37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DEL PUERTO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15,488,667.51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4,357,521.88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19,846,189.39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DEL RIO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135,341.44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151,056.65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286,398.09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EJUTLA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866,074.82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470,639.08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1,336,713.90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269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EL GRANDE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7,051,552.04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2,120,444.85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9,171,996.89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HUAUTLA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4,802,515.64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718,803.57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5,521,319.21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MIXTEPEC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8,036,695.50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1,667,274.91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9,703,970.41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PANIXTLAHUACA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9,913,902.08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3,165,510.23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13,079,412.31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PERAS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9,239,453.24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1,796,752.03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11,036,205.27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PIEDRAS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3,007,474.23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665,882.37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3,673,356.60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QUETZALTEPEC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13,443,579.95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3,747,129.71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17,190,709.66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SANTA FLOR</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1,825,611.33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411,552.30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2,237,163.63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SOLA DE VEGA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27,843,746.09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6,435,321.49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34,279,067.58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SOYALTEPEC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52,069,981.20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18,786,514.56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70,856,495.76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279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SUCHIXTEPEC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6,477,909.22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1,495,666.34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7,973,575.56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TALEA DE CASTRO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1,887,810.21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1,230,032.71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3,117,842.92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TECOMATLAN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234,632.14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158,249.82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392,881.96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TENANGO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1,742,611.43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407,955.71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2,150,567.14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TEQUIXTEPEC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1,102,961.07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535,377.64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1,638,338.71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TILQUIAPAM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6,162,549.91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1,623,602.07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7,786,151.98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TLACAMAMA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4,254,956.22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1,739,720.44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5,994,676.66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TLACOTEPEC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4,526,029.18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1,654,429.95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6,180,459.13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TULANCINGO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403,419.99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177,774.15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581,194.14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MIGUEL YOTAO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684,458.14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313,930.65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998,388.79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289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NICOLAS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1,392,457.40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587,271.25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1,979,728.65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NICOLAS HIDALGO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1,110,053.44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519,963.70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1,630,017.14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COATLAN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7,716,928.61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2,140,996.78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9,857,925.39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CUATRO VENADOS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4,045,874.95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713,151.79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4,759,026.74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ETLA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6,271,876.10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7,981,853.84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14,253,729.94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HUITZO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5,494,388.98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3,240,524.76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8,734,913.74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HUIXTEPEC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7,663,661.06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4,637,028.06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12,300,689.12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MACUILTIANGUIS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813,110.49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477,318.46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1,290,428.95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TIJALTEPEC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5,676,840.10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1,104,665.96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6,781,506.06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VILLA DE MITLA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16,177,675.02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6,075,662.80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22,253,337.82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299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PABLO YAGANIZA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1,514,391.04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569,288.32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2,083,679.36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AMUZGOS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10,589,584.69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3,323,246.26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13,912,830.95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APOSTOL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1,433,988.85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793,304.30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2,227,293.15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ATOYAC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7,405,632.58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2,125,069.04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9,530,701.62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CAJONOS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1,053,626.57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602,171.40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1,655,797.97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COXCALTEPEC CANTAROS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1,592,762.50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437,242.20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2,030,004.70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COMITANCILLO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1,973,789.09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2,026,419.80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4,000,208.89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EL ALTO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7,242,500.95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2,005,354.07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9,247,855.02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HUAMELULA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10,982,448.09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4,929,379.19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15,911,827.28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HUILOTEPEC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2,444,991.18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1,458,672.87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3,903,664.05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309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IXCATLAN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17,567,259.63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5,328,600.33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22,895,859.96</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IXTLAHUACA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9,990,664.85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3,505,130.79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13,495,795.64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JALTEPETONGO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569,838.07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235,319.54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805,157.61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JICAYAN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17,191,789.43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5,936,937.31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23,128,726.74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JOCOTIPAC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1,882,831.49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428,507.63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2,311,339.12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JUCHATENGO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1,598,014.29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869,860.22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2,467,874.51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MARTIR</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3,322,929.73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879,108.59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4,202,038.32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MARTIR QUIECHAPA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1,233,308.52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386,889.99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1,620,198.51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MARTIR YUCUXACO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2,578,374.92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721,886.36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3,300,261.28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MIXTEPEC - DTO. 22 -</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32,475,872.33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22,021,387.54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54,497,259.87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319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MIXTEPEC - DTO. 26 -</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1,982,517.55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564,664.14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2,547,181.69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MOLINOS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1,198,081.96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371,476.04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1,569,558.00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NOPALA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1,302,638.32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431,590.42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1,734,228.74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OCOPETATILLO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1,824,984.71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454,197.54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2,279,182.25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OCOTEPEC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4,757,454.40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1,096,958.99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5,854,413.39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POCHUTLA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57,464,856.77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22,535,185.66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80,000,042.43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QUIATONI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32,708,753.77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5,390,256.10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38,099,009.87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SOCHIAPAM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10,248,181.59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2,546,897.29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12,795,078.88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TAPANATEPEC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16,138,132.66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7,189,063.33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23,327,195.99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TAVICHE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2,625,437.45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602,685.20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3,228,122.65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329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TEOZACOALCO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2,380,522.59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678,213.52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3,058,736.11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TEUTILA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8,480,411.78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2,197,514.57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10,677,926.35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TIDAA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2,328,064.02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459,335.52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2,787,399.54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TOPILTEPEC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352,210.87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208,602.04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560,812.91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TOTOLAPAM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2,402,268.85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1,337,416.51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3,739,685.36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TUTUTEPEC DE MELCHOR OCAMPO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53,641,998.25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22,562,416.96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76,204,415.21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YANERI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1,256,518.89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514,825.72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1,771,344.61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YOLOX</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4,299,159.30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1,164,780.34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5,463,939.64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 SAN PABLO AYUTLA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18,550,984.84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2,878,297.08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21,429,281.92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ETLA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5,274,854.50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4,768,046.58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10,042,901.08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339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 SAN PABLO TEPOSCOLULA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3,381,689.94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2,049,540.71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5,431,230.65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 SAN PABLO TEQUIXTEPEC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2,844,810.69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964,912.87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3,809,723.56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PEDRO YUCUNAMA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201,102.85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119,201.16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320,304.01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RAYMUNDO JALPAN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2,133,103.18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1,068,186.30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3,201,289.48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ABASOLO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2,588,034.23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950,012.73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3,538,046.96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COATLAN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4,326,347.44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1,342,554.49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5,668,901.93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IXCAPA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4,484,949.72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2,038,750.95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6,523,700.67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NICANANDUTA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1,046,131.06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744,493.48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1,790,624.54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RIO HONDO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9,068,363.10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1,882,556.32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10,950,919.42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TECOMAXTLAHUACA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13,842,651.27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4,236,779.32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18,079,430.59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349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TEITIPAC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3,028,662.92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1,015,265.09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4,043,928.01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SEBASTIAN TUTLA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4,320,240.31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8,344,595.31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12,664,835.62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SIMON ALMOLONGAS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4,689,461.61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1,347,692.48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6,037,154.09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SIMON ZAHUATLAN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7,231,679.23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1,969,388.20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9,201,067.43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3,132,244.40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1,016,292.69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4,148,537.09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ATEIXTLAHUACA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2,046,455.29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262,037.04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2,308,492.33</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CUAUHTEMOC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1,792,801.91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379,183.01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2,171,984.92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DEL VALLE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1,880,248.06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1,023,999.66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2,904,247.72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TAVELA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1,851,638.04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466,528.70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2,318,166.74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TLAPACOYAN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3,357,634.95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952,581.72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4,310,216.67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359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YARENI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960,986.76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415,662.68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1,376,649.44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ANA ZEGACHE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6,068,127.71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1,845,562.86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7,913,690.57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CATALINA QUIERI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1,650,368.58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473,721.87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2,124,090.45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CUIXTLA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1,560,941.10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768,641.99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2,329,583.09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IXTEPEJI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2,813,486.86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1,352,830.46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4,166,317.32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JUQUILA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20,645,115.22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7,557,970.38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28,203,085.60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LACHATAO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1,962,077.09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671,534.15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2,633,611.24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LOXICHA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10,678,995.00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2,047,999.32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12,726,994.32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MECHOACAN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8,164,754.56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2,334,184.87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10,498,939.43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MINAS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2,885,278.80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933,057.39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3,818,336.19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369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QUIANE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1,453,205.19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948,985.13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2,402,190.32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TAYATA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1,078,641.51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348,868.93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1,427,510.44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TICUA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2,503,616.57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490,163.41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2,993,779.98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YOSONOTU</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4,770,087.24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969,023.26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5,739,110.50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CATARINA ZAPOQUILA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868,505.03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230,181.56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1,098,686.59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ACATEPEC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3,865,811.58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755,283.24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4,621,094.82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AMILPAS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4,640,593.23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5,199,637.00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9,840,230.23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DE BRAVO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450,714.51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187,022.52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637,737.03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ITUNDUJIA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33,016,650.73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5,638,934.40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38,655,585.13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MIXTEPEC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5,743,499.46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1,857,380.21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7,600,879.67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379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NUNDACO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5,656,208.91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1,519,814.85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7,176,023.76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PAPALUTLA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3,065,318.56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1,013,209.90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4,078,528.46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TACACHE DE MINA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1,971,190.93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1,338,957.91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3,310,148.84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TACAHUA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3,948,621.79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601,143.80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4,549,765.59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TAYATA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968,525.72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312,389.26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1,280,914.98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XITLA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8,332,663.16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2,319,284.73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10,651,947.89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XOXOCOTLAN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46,829,595.54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39,990,449.28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86,820,044.82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CRUZ ZENZONTEPEC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41,462,007.21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9,195,445.00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50,657,452.21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GERTRUDIS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3,216,283.87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1,468,435.03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4,684,718.90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INES DEL MONTE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6,239,616.89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1,302,478.24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7,542,095.13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389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INES YATZECHE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2,056,684.13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473,208.07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2,529,892.20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LUCIA DEL CAMINO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13,460,327.08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24,331,423.90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37,791,750.98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LUCIA MIAHUATLAN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10,846,020.09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1,724,306.50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12,570,326.59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LUCIA MONTEVERDE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19,230,218.40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3,431,143.86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22,661,362.26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LUCIA OCOTLAN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5,891,768.64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1,851,728.43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7,743,497.07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ALOTEPEC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4,035,276.43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1,427,331.18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5,462,607.61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APAZCO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6,261,169.02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975,188.84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7,236,357.86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LA ASUNCION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8,789,845.04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1,670,871.49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10,460,716.53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CIUDAD DE TLAXIACO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47,737,017.42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19,757,079.21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67,494,096.63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AYOQUEZCO DE ALDAMA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7,885,251.67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2,263,794.53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10,149,046.20</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399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ATZOMPA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21,302,460.57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14,111,465.44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35,413,926.01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CAMOTLAN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2,143,045.93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838,518.54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2,981,564.47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COLOTEPEC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23,738,388.80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11,592,313.24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35,330,702.04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CORTIJO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1,402,060.97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556,443.37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1,958,504.34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COYOTEPEC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1,811,643.30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1,424,248.40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3,235,891.70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CHACHOAPAM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953,237.63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393,569.36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1,346,806.99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CHILAPA DE DIAZ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2,005,439.98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992,657.97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2,998,097.95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CHILCHOTLA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56,579,424.28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10,576,020.56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67,155,444.84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CHIMALAPA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15,248,396.52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4,370,366.83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19,618,763.35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DEL ROSARIO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855,565.67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246,623.10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1,102,188.77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409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DEL TULE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3,351,760.20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4,195,161.67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7,546,921.87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ECATEPEC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3,396,097.94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1,778,255.30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5,174,353.24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GUELACE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694,373.03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419,259.27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1,113,632.30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GUIENAGATI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8,520,012.27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1,688,340.63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10,208,352.90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HUATULCO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28,868,474.08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19,847,507.68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48,715,981.76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HUAZOLOTITLAN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14,421,746.66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5,545,936.94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19,967,683.60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IPALAPA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5,623,508.12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2,511,445.22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8,134,953.34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IXCATLAN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1,199,899.67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265,119.83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1,465,019.50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JACATEPEC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15,139,852.03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4,747,494.65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19,887,346.68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JALAPA DEL MARQUES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12,383,707.24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6,108,032.08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18,491,739.32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419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JALTIANGUIS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358,336.88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295,433.92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653,770.80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LACHIXIO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4,119,219.82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863,180.85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4,982,400.67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MIXTEQUILLA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3,676,281.65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2,282,291.26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5,958,572.91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NATIVITAS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976,247.80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349,896.52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1,326,144.32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NDUAYACO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1,070,860.81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282,588.97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1,353,449.78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OZOLOTEPEC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8,505,724.75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2,051,082.11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10,556,806.86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PAPALO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4,422,660.12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1,134,980.05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5,557,640.17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PEÑOLES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21,166,961.84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4,041,022.23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25,207,984.07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PETAPA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15,367,762.36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7,905,811.71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23,273,574.07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QUIEGOLANI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3,057,452.01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909,422.68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3,966,874.69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429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SOLA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2,520,460.24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783,028.34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3,303,488.58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TATALTEPEC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550,951.85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129,990.93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680,942.78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TECOMAVACA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1,329,812.55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911,477.87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2,241,290.42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TEMAXCALAPA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979,691.67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497,356.58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1,477,048.25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TEMAXCALTEPEC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5,598,237.54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1,333,306.13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6,931,543.67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TEOPOXCO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8,033,866.59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2,389,675.07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10,423,541.66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TEPANTLALI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11,009,395.27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1,800,862.42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12,810,257.69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TEXCATITLAN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2,033,752.40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571,857.31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2,605,609.71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TLAHUITOLTEPEC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29,182,512.91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4,964,831.26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34,147,344.17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TLALIXTAC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3,403,608.94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901,201.91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4,304,810.85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439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TONAMECA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43,398,690.44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12,494,542.75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55,893,233.19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TOTOLAPILLA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1,196,487.16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460,363.12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1,656,850.28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XADANI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9,642,258.75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3,997,863.19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13,640,121.94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YALINA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339,032.22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181,884.54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520,916.76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YAVESIA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567,208.85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230,181.56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797,390.41</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YOLOTEPEC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1,550,337.06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236,860.93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1,787,197.99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YOSOYUA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2,860,699.72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843,656.52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3,704,356.24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YUCUHITI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10,457,171.04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3,365,891.50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13,823,062.54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ZACATEPEC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17,595,932.23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7,746,020.50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25,341,952.73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ZANIZA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3,271,670.61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1,032,220.43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4,303,891.04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449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MARIA ZOQUITLAN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4,348,446.33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1,725,847.89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6,074,294.22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AMOLTEPEC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41,572,844.41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6,326,396.28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47,899,240.69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APOALA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2,613,633.00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541,029.42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3,154,662.42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APOSTOL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6,662,294.57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2,168,228.08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8,830,522.65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ASTATA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3,991,631.03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2,011,519.65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6,003,150.68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ATITLAN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9,181,035.46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1,633,878.03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10,814,913.49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AYUQUILILLA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3,965,327.14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1,411,917.24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5,377,244.38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CACALOXTEPEC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2,251,826.06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866,263.63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3,118,089.69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CAMOTLAN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13,731,997.23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1,744,344.63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15,476,341.86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COMALTEPEC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1,072,699.17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572,884.91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1,645,584.08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459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CHAZUMBA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5,076,064.45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2,301,301.79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7,377,366.24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CHOAPAM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12,418,734.27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2,781,189.24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15,199,923.51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DEL RIO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1,438,973.47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315,472.05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1,754,445.52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HUAJOLOTITLAN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4,295,665.10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2,235,021.83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6,530,686.93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HUAUCLILLA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993,416.48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340,648.16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1,334,064.64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IHUITLAN PLUMAS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664,857.51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246,623.10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911,480.61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IXCUINTEPEC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2,572,121.02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805,635.46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3,377,756.48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IXTAYUTLA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31,430,706.56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6,122,932.23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37,553,638.79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JAMILTEPEC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21,389,727.30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9,445,150.89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30,834,878.19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JOCOTEPEC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22,839,844.50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6,971,212.93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29,811,057.43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469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JUXTLAHUACA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58,544,509.93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16,917,830.78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75,462,340.71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LACHIGUIRI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10,153,386.16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2,411,254.59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12,564,640.75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LALOPA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359,622.53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254,843.87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614,466.40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LAOLLAGA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3,342,761.84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1,643,126.40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4,985,888.24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LAXOPA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1,965,155.05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716,234.58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2,681,389.63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LLANO GRANDE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4,419,944.68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1,674,981.88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6,094,926.56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MATATLAN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13,342,515.70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4,959,693.28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18,302,208.98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MILTEPEC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583,860.91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210,143.43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794,004.34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MINAS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3,257,292.64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734,731.32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3,992,023.96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NACALTEPEC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2,640,597.65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982,895.81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3,623,493.46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479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NEJAPILLA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448,231.67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112,521.79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560,753.46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NUNDICHE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2,654,524.69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496,842.78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3,151,367.47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NUYOO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3,818,571.84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1,010,127.11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4,828,698.95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PINOTEPA NACIONAL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56,316,913.15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25,848,669.75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82,165,582.90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SUCHILQUITONGO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12,030,540.82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4,902,661.69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16,933,202.51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TAMAZOLA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5,034,375.42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2,161,548.70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7,195,924.12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TAPEXTLA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5,241,799.76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1,557,322.11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6,799,121.87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TEJUPAM DE LA UNION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2,242,620.15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1,268,567.56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3,511,187.71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TENANGO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2,961,524.73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999,337.35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3,960,862.08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TEPETLAPA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106,073.67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67,307.55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173,381.22</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489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8,798,326.71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2,544,842.10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11,343,168.81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TEXCALCINGO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4,524,221.24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1,580,443.03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6,104,664.27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TEXTITLAN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5,881,916.89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2,142,538.17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8,024,455.06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TILANTONGO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8,645,957.01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1,649,291.97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10,295,248.98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TILLO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704,822.45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284,130.36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988,952.81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TLAZOYALTEPEC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13,993,213.22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2,514,528.01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16,507,741.23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XANICA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6,144,935.33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1,481,793.79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7,626,729.12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XIACUI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1,898,319.08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1,115,455.72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3,013,774.80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YAITEPEC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8,837,322.10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2,117,875.86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10,955,197.96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YAVEO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11,096,239.91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3,424,464.49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14,520,704.40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499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YOLOMECATL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1,731,242.75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1,038,386.01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2,769,628.76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YOSONDUA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15,099,806.70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4,050,270.60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19,150,077.30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YUCUYACHI</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1,271,378.87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482,970.24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1,754,349.11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ZACATEPEC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16,309,807.67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2,833,596.65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19,143,404.32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SANTIAGO ZOOCHILA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269,415.84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192,160.50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461,576.34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NUEVO ZOQUIAPAM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1,375,795.90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848,794.50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2,224,590.40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INGENIO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6,687,412.57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3,881,231.02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10,568,643.59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ALBARRADAS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771,298.43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401,790.13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1,173,088.56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ARMENTA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4,736,698.43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1,656,485.15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6,393,183.58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CHIHUITAN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1,303,310.83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781,486.94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2,084,797.77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509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DE MORELOS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22,648,356.11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5,419,028.80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28,067,384.91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IXCATLAN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2,821,569.91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450,600.95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3,272,170.86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NUXAA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11,701,088.59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1,854,811.22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13,555,899.81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OZOLOTEPEC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1,708,459.21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469,097.69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2,177,556.90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PETAPA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9,494,856.75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4,312,821.44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13,807,678.19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ROAYAGA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4,174,606.92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512,256.73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4,686,863.65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TEHUANTEPEC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51,020,455.44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31,789,717.44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82,810,172.88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TEOJOMULCO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6,992,803.06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2,348,571.22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9,341,374.28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TEPUXTEPEC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14,948,296.07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2,668,667.45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17,616,963.52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TLATAYAPAM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211,475.38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78,611.11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290,086.49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519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TOMALTEPEC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2,488,724.62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1,433,496.76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3,922,221.38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TONALA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8,991,445.34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3,675,197.97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12,666,643.31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TONALTEPEC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613,535.99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141,808.28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755,344.27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XAGACIA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1,962,990.48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623,237.12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2,586,227.60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YANHUITLAN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2,291,695.82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826,701.18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3,118,397.00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YODOHINO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477,384.31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189,591.51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666,975.82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DOMINGO ZANATEPEC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10,233,042.42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5,763,787.34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15,996,829.76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SANTOS REYES NOPALA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27,560,725.57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8,213,576.79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35,774,302.36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SANTOS REYES PAPALO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5,217,654.80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1,453,534.89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6,671,189.69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SANTOS REYES TEPEJILLO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1,772,450.88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623,237.12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2,395,688.00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529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SANTOS REYES YUCUNA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2,663,988.18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684,379.10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3,348,367.28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TOMAS JALIEZA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6,326,113.34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1,739,206.65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8,065,319.99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TOMAS MAZALTEPEC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2,053,355.62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1,198,691.02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3,252,046.64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TOMAS OCOTEPEC</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9,053,622.53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2,094,241.15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11,147,863.68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SANTO TOMAS TAMAZULAPAN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2,788,140.04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1,125,731.69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3,913,871.73</w:t>
            </w:r>
          </w:p>
        </w:tc>
      </w:tr>
    </w:tbl>
    <w:p w:rsidR="00FA3C1C" w:rsidRDefault="00FA3C1C" w:rsidP="00FA3C1C"/>
    <w:tbl>
      <w:tblPr>
        <w:tblW w:w="9089" w:type="dxa"/>
        <w:tblInd w:w="53" w:type="dxa"/>
        <w:tblCellMar>
          <w:left w:w="70" w:type="dxa"/>
          <w:right w:w="70" w:type="dxa"/>
        </w:tblCellMar>
        <w:tblLook w:val="04A0"/>
      </w:tblPr>
      <w:tblGrid>
        <w:gridCol w:w="420"/>
        <w:gridCol w:w="3283"/>
        <w:gridCol w:w="1559"/>
        <w:gridCol w:w="1843"/>
        <w:gridCol w:w="1984"/>
      </w:tblGrid>
      <w:tr w:rsidR="00FA3C1C" w:rsidRPr="009B54B0" w:rsidTr="000708E7">
        <w:trPr>
          <w:trHeight w:val="450"/>
        </w:trPr>
        <w:tc>
          <w:tcPr>
            <w:tcW w:w="420"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NO</w:t>
            </w:r>
          </w:p>
        </w:tc>
        <w:tc>
          <w:tcPr>
            <w:tcW w:w="3283" w:type="dxa"/>
            <w:tcBorders>
              <w:top w:val="single" w:sz="4" w:space="0" w:color="auto"/>
              <w:left w:val="nil"/>
              <w:bottom w:val="single" w:sz="4" w:space="0" w:color="auto"/>
              <w:right w:val="nil"/>
            </w:tcBorders>
            <w:shd w:val="clear" w:color="000000" w:fill="D8D8D8"/>
            <w:noWrap/>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MUNICIPIO</w:t>
            </w:r>
          </w:p>
        </w:tc>
        <w:tc>
          <w:tcPr>
            <w:tcW w:w="1559"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Fondo de Aportaciones para la Infraestructura Social</w:t>
            </w:r>
          </w:p>
        </w:tc>
        <w:tc>
          <w:tcPr>
            <w:tcW w:w="1843"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 xml:space="preserve">Fondo de Aportaciones para el Fortalecimiento de los Municipios </w:t>
            </w:r>
          </w:p>
        </w:tc>
        <w:tc>
          <w:tcPr>
            <w:tcW w:w="1984" w:type="dxa"/>
            <w:tcBorders>
              <w:top w:val="single" w:sz="4" w:space="0" w:color="auto"/>
              <w:left w:val="nil"/>
              <w:bottom w:val="single" w:sz="4" w:space="0" w:color="auto"/>
              <w:right w:val="nil"/>
            </w:tcBorders>
            <w:shd w:val="clear" w:color="000000" w:fill="D8D8D8"/>
            <w:vAlign w:val="center"/>
            <w:hideMark/>
          </w:tcPr>
          <w:p w:rsidR="00FA3C1C" w:rsidRPr="009B54B0" w:rsidRDefault="00FA3C1C" w:rsidP="000708E7">
            <w:pPr>
              <w:jc w:val="center"/>
              <w:rPr>
                <w:rFonts w:ascii="Calibri" w:hAnsi="Calibri"/>
                <w:b/>
                <w:bCs/>
                <w:color w:val="000000"/>
                <w:sz w:val="16"/>
                <w:szCs w:val="16"/>
                <w:lang w:val="es-MX" w:eastAsia="es-MX"/>
              </w:rPr>
            </w:pPr>
            <w:r w:rsidRPr="009B54B0">
              <w:rPr>
                <w:rFonts w:ascii="Calibri" w:hAnsi="Calibri"/>
                <w:b/>
                <w:bCs/>
                <w:color w:val="000000"/>
                <w:sz w:val="16"/>
                <w:szCs w:val="16"/>
                <w:lang w:val="es-MX" w:eastAsia="es-MX"/>
              </w:rPr>
              <w:t>Suma</w:t>
            </w:r>
          </w:p>
        </w:tc>
      </w:tr>
      <w:tr w:rsidR="00FA3C1C" w:rsidRPr="009B54B0" w:rsidTr="000708E7">
        <w:trPr>
          <w:trHeight w:val="225"/>
        </w:trPr>
        <w:tc>
          <w:tcPr>
            <w:tcW w:w="420"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3283" w:type="dxa"/>
            <w:tcBorders>
              <w:top w:val="single" w:sz="4" w:space="0" w:color="auto"/>
              <w:left w:val="nil"/>
              <w:right w:val="nil"/>
            </w:tcBorders>
            <w:shd w:val="clear" w:color="auto" w:fill="auto"/>
            <w:noWrap/>
            <w:vAlign w:val="center"/>
            <w:hideMark/>
          </w:tcPr>
          <w:p w:rsidR="00FA3C1C" w:rsidRPr="009B54B0" w:rsidRDefault="00FA3C1C" w:rsidP="000708E7">
            <w:pPr>
              <w:jc w:val="center"/>
              <w:rPr>
                <w:rFonts w:ascii="Calibri" w:hAnsi="Calibri"/>
                <w:b/>
                <w:bCs/>
                <w:color w:val="000000"/>
                <w:sz w:val="16"/>
                <w:szCs w:val="16"/>
                <w:lang w:val="es-MX" w:eastAsia="es-MX"/>
              </w:rPr>
            </w:pPr>
          </w:p>
        </w:tc>
        <w:tc>
          <w:tcPr>
            <w:tcW w:w="1559"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843"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c>
          <w:tcPr>
            <w:tcW w:w="1984" w:type="dxa"/>
            <w:tcBorders>
              <w:top w:val="single" w:sz="4" w:space="0" w:color="auto"/>
              <w:left w:val="nil"/>
              <w:right w:val="nil"/>
            </w:tcBorders>
            <w:shd w:val="clear" w:color="auto" w:fill="auto"/>
            <w:noWrap/>
            <w:vAlign w:val="center"/>
            <w:hideMark/>
          </w:tcPr>
          <w:p w:rsidR="00FA3C1C" w:rsidRPr="009B54B0" w:rsidRDefault="00FA3C1C" w:rsidP="000708E7">
            <w:pPr>
              <w:jc w:val="right"/>
              <w:rPr>
                <w:rFonts w:ascii="Calibri" w:hAnsi="Calibri"/>
                <w:b/>
                <w:bCs/>
                <w:color w:val="000000"/>
                <w:sz w:val="16"/>
                <w:szCs w:val="16"/>
                <w:lang w:val="es-MX" w:eastAsia="es-MX"/>
              </w:rPr>
            </w:pP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VICENTE COATLAN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7,973,393.33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2,036,695.76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10,010,089.09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VICENTE LACHIXIO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6,762,416.98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1,529,063.21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8,291,480.19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VICENTE NUÑU</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635,598.76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253,302.47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888,901.23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SILACAYOAPAM</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10,809,987.77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3,466,595.93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14,276,583.70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SITIO DE XITLAPEHUA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684,299.79</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362,227.68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1,046,527.47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539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SOLEDAD ETLA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3,403,904.02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2,581,835.57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5,985,739.59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TAMAZULAPAM DEL PROGRESO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5,389,975.41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3,626,900.95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9,016,876.36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TANETZE DE ZARAGOZA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2,641,634.96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877,053.40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3,518,688.36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TANICHE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855,176.25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383,293.40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1,238,469.65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TATALTEPEC DE VALDES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12,729,972.40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2,857,231.36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15,587,203.76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TEOCOCUILCO DE MARCOS PEREZ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1,615,246.92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568,260.72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2,183,507.64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TEOTITLAN DE FLORES MAGON</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6,463,032.36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4,606,713.97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11,069,746.33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TEOTITLAN DEL VALLE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7,452,587.17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2,896,793.82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10,349,380.99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TEOTONGO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1,314,608.54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488,622.01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1,803,230.55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TEPELMEME VILLA DE MORELOS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3,097,811.88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890,925.94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3,988,737.82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549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HEROICA VILLA TEZOATLAN DE SEGURA Y LUNA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19,061,524.11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5,815,680.95</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24,877,205.06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JERONIMO TLACOCHAHUAYA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5,116,582.04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2,608,039.27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7,724,621.31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TLACOLULA DE MATAMOROS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17,097,217.16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10,083,288.16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27,180,505.32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TLACOTEPEC PLUMAS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541,579.23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262,037.04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803,616.27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TLALIXTAC DE CABRERA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5,978,843.06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4,838,436.92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10,817,279.98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TOTONTEPEC VILLA DE MORELOS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10,164,808.58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2,876,241.89</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13,041,050.47</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TRINIDAD ZAACHILA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3,515,608.52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1,363,106.42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4,878,714.94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LA TRINIDAD VISTA HERMOSA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357,928.45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127,935.73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485,864.18</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UNION HIDALGO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8,325,839.97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7,177,759.77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15,503,599.74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VALERIO TRUJANO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1,579,435.71</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792,790.50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2,372,226.21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559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JUAN BAUTISTA VALLE NACIONAL</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32,704,210.90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11,532,712.66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44,236,923.56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DIAZ ORDAZ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10,070,022.84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3,172,189.61</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13,242,212.45</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561</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YAXE</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6,029,742.66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1,378,520.36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7,408,263.02</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562</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MAGDALENA YODOCONO DE PORFIRIO DIAZ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1,771,690.47</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749,117.66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2,520,808.13</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563</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YOGANA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2,672,914.00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672,047.94</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3,344,961.94</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564</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YUTANDUCHI DE GUERRERO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2,585,609.02</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663,827.17</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3,249,436.19</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565</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VILLA DE ZAACHILA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45,709,935.33</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17,521,029.78</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63,230,965.11</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566</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 MATEO YACUTINDO</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6,387,531.46</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1,558,863.50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7,946,394.96</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567</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ZAPOTITLAN LAGUNAS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5,959,262.38</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1,609,729.52</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7,568,991.90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568</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ZAPOTITLAN PALMAS</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3,075,310.64</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777,890.36</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3,853,201.00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569</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SANTA INES DE ZARAGOZA</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3,649,389.00</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877,053.40</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4,526,442.40</w:t>
            </w:r>
          </w:p>
        </w:tc>
      </w:tr>
      <w:tr w:rsidR="00FA3C1C" w:rsidRPr="009B54B0" w:rsidTr="000708E7">
        <w:trPr>
          <w:trHeight w:val="225"/>
        </w:trPr>
        <w:tc>
          <w:tcPr>
            <w:tcW w:w="420"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570</w:t>
            </w:r>
          </w:p>
        </w:tc>
        <w:tc>
          <w:tcPr>
            <w:tcW w:w="3283" w:type="dxa"/>
            <w:tcBorders>
              <w:top w:val="nil"/>
              <w:left w:val="nil"/>
              <w:bottom w:val="nil"/>
              <w:right w:val="nil"/>
            </w:tcBorders>
            <w:shd w:val="clear" w:color="auto" w:fill="auto"/>
            <w:noWrap/>
            <w:vAlign w:val="center"/>
            <w:hideMark/>
          </w:tcPr>
          <w:p w:rsidR="00FA3C1C" w:rsidRPr="009B54B0" w:rsidRDefault="00FA3C1C" w:rsidP="000708E7">
            <w:pPr>
              <w:rPr>
                <w:rFonts w:ascii="Calibri" w:hAnsi="Calibri"/>
                <w:color w:val="000000"/>
                <w:sz w:val="16"/>
                <w:szCs w:val="16"/>
                <w:lang w:val="es-MX" w:eastAsia="es-MX"/>
              </w:rPr>
            </w:pPr>
            <w:r w:rsidRPr="009B54B0">
              <w:rPr>
                <w:rFonts w:ascii="Calibri" w:hAnsi="Calibri"/>
                <w:color w:val="000000"/>
                <w:sz w:val="16"/>
                <w:szCs w:val="16"/>
                <w:lang w:val="es-MX" w:eastAsia="es-MX"/>
              </w:rPr>
              <w:t xml:space="preserve"> ZIMATLAN DE ALVAREZ</w:t>
            </w:r>
          </w:p>
        </w:tc>
        <w:tc>
          <w:tcPr>
            <w:tcW w:w="1559"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19,664,392.35</w:t>
            </w:r>
          </w:p>
        </w:tc>
        <w:tc>
          <w:tcPr>
            <w:tcW w:w="1843"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9,872,630.93</w:t>
            </w:r>
          </w:p>
        </w:tc>
        <w:tc>
          <w:tcPr>
            <w:tcW w:w="1984" w:type="dxa"/>
            <w:tcBorders>
              <w:top w:val="nil"/>
              <w:left w:val="nil"/>
              <w:bottom w:val="nil"/>
              <w:right w:val="nil"/>
            </w:tcBorders>
            <w:shd w:val="clear" w:color="auto" w:fill="auto"/>
            <w:noWrap/>
            <w:vAlign w:val="center"/>
            <w:hideMark/>
          </w:tcPr>
          <w:p w:rsidR="00FA3C1C" w:rsidRPr="009B54B0" w:rsidRDefault="00FA3C1C" w:rsidP="000708E7">
            <w:pPr>
              <w:jc w:val="right"/>
              <w:rPr>
                <w:rFonts w:ascii="Calibri" w:hAnsi="Calibri"/>
                <w:color w:val="000000"/>
                <w:sz w:val="16"/>
                <w:szCs w:val="16"/>
                <w:lang w:val="es-MX" w:eastAsia="es-MX"/>
              </w:rPr>
            </w:pPr>
            <w:r w:rsidRPr="009B54B0">
              <w:rPr>
                <w:rFonts w:ascii="Calibri" w:hAnsi="Calibri"/>
                <w:color w:val="000000"/>
                <w:sz w:val="16"/>
                <w:szCs w:val="16"/>
                <w:lang w:val="es-MX" w:eastAsia="es-MX"/>
              </w:rPr>
              <w:t>29,537,023.28</w:t>
            </w:r>
          </w:p>
        </w:tc>
      </w:tr>
    </w:tbl>
    <w:p w:rsidR="00FA3C1C" w:rsidRDefault="00FA3C1C" w:rsidP="00FA3C1C">
      <w:pPr>
        <w:spacing w:line="22" w:lineRule="atLeast"/>
        <w:jc w:val="both"/>
        <w:rPr>
          <w:rFonts w:ascii="Arial" w:hAnsi="Arial" w:cs="Arial"/>
          <w:b/>
          <w:spacing w:val="20"/>
        </w:rPr>
      </w:pPr>
    </w:p>
    <w:p w:rsidR="00FA3C1C" w:rsidRDefault="00FA3C1C" w:rsidP="00FA3C1C">
      <w:pPr>
        <w:rPr>
          <w:rFonts w:ascii="Arial" w:hAnsi="Arial" w:cs="Arial"/>
          <w:b/>
          <w:spacing w:val="20"/>
        </w:rPr>
      </w:pPr>
      <w:r>
        <w:rPr>
          <w:rFonts w:ascii="Arial" w:hAnsi="Arial" w:cs="Arial"/>
          <w:b/>
          <w:spacing w:val="20"/>
        </w:rPr>
        <w:br w:type="page"/>
      </w:r>
    </w:p>
    <w:p w:rsidR="00576EF7" w:rsidRDefault="00576EF7" w:rsidP="000C4674">
      <w:pPr>
        <w:jc w:val="both"/>
        <w:rPr>
          <w:rFonts w:ascii="Arial" w:hAnsi="Arial" w:cs="Arial"/>
          <w:b/>
        </w:rPr>
      </w:pPr>
      <w:r>
        <w:rPr>
          <w:rFonts w:ascii="Arial" w:hAnsi="Arial" w:cs="Arial"/>
          <w:b/>
        </w:rPr>
        <w:lastRenderedPageBreak/>
        <w:t>7</w:t>
      </w:r>
      <w:r w:rsidRPr="00B73E98">
        <w:rPr>
          <w:rFonts w:ascii="Arial" w:hAnsi="Arial" w:cs="Arial"/>
          <w:b/>
        </w:rPr>
        <w:t xml:space="preserve">.- </w:t>
      </w:r>
      <w:r w:rsidRPr="00576EF7">
        <w:rPr>
          <w:rFonts w:ascii="Arial" w:hAnsi="Arial" w:cs="Arial"/>
          <w:b/>
        </w:rPr>
        <w:t>RESULTADO DE LAS OPERACIONES DERIVADAS DE LA DEUDA PÚBLICA Y OTRAS OBLIGACIONES DE PAGO</w:t>
      </w:r>
    </w:p>
    <w:p w:rsidR="00576EF7" w:rsidRDefault="00576EF7">
      <w:pPr>
        <w:rPr>
          <w:rFonts w:ascii="Arial" w:hAnsi="Arial" w:cs="Arial"/>
          <w:b/>
        </w:rPr>
      </w:pPr>
    </w:p>
    <w:p w:rsidR="00576EF7" w:rsidRDefault="00576EF7" w:rsidP="00576EF7">
      <w:pPr>
        <w:rPr>
          <w:rFonts w:ascii="Arial" w:hAnsi="Arial" w:cs="Arial"/>
          <w:b/>
          <w:bCs/>
        </w:rPr>
      </w:pPr>
      <w:r>
        <w:rPr>
          <w:rFonts w:ascii="Arial" w:hAnsi="Arial" w:cs="Arial"/>
          <w:b/>
          <w:bCs/>
        </w:rPr>
        <w:t xml:space="preserve">7.1.-  </w:t>
      </w:r>
      <w:r w:rsidRPr="00F907D8">
        <w:rPr>
          <w:rFonts w:ascii="Arial" w:hAnsi="Arial" w:cs="Arial"/>
          <w:b/>
          <w:bCs/>
        </w:rPr>
        <w:t xml:space="preserve">POLÍTICA DE DEUDA PÚBLICA </w:t>
      </w:r>
    </w:p>
    <w:p w:rsidR="00576EF7" w:rsidRPr="00F907D8" w:rsidRDefault="00576EF7" w:rsidP="00576EF7">
      <w:pPr>
        <w:rPr>
          <w:rFonts w:ascii="Arial" w:hAnsi="Arial" w:cs="Arial"/>
          <w:b/>
          <w:bCs/>
        </w:rPr>
      </w:pPr>
    </w:p>
    <w:p w:rsidR="00576EF7" w:rsidRPr="00576EF7" w:rsidRDefault="00576EF7" w:rsidP="00576EF7">
      <w:pPr>
        <w:contextualSpacing/>
        <w:jc w:val="both"/>
        <w:rPr>
          <w:rFonts w:ascii="Arial" w:eastAsia="Calibri" w:hAnsi="Arial" w:cs="Arial"/>
          <w:b/>
          <w:spacing w:val="20"/>
          <w:kern w:val="2"/>
        </w:rPr>
      </w:pPr>
      <w:r w:rsidRPr="00576EF7">
        <w:rPr>
          <w:rFonts w:ascii="Arial" w:eastAsia="Calibri" w:hAnsi="Arial" w:cs="Arial"/>
          <w:b/>
          <w:spacing w:val="20"/>
          <w:kern w:val="2"/>
        </w:rPr>
        <w:t>Objetivo</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 xml:space="preserve">Mantener una política responsable de la deuda pública a través de medidas de disciplina y responsabilidad fiscal que garanticen la estabilidad financiera del gobierno. </w:t>
      </w:r>
    </w:p>
    <w:p w:rsid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b/>
          <w:spacing w:val="20"/>
          <w:kern w:val="2"/>
        </w:rPr>
      </w:pPr>
      <w:r w:rsidRPr="00576EF7">
        <w:rPr>
          <w:rFonts w:ascii="Arial" w:eastAsia="Calibri" w:hAnsi="Arial" w:cs="Arial"/>
          <w:b/>
          <w:spacing w:val="20"/>
          <w:kern w:val="2"/>
        </w:rPr>
        <w:t>Estrategia</w:t>
      </w:r>
    </w:p>
    <w:p w:rsidR="00576EF7" w:rsidRPr="00576EF7" w:rsidRDefault="00576EF7"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 xml:space="preserve">Establecer y aplicar de criterios de disciplina y responsabilidad fiscal en la política de  deuda pública, considerando:  i)  Un monto de endeudamiento manejable;  congruentes con la situación de ingresos y gastos, de tal forma que el pago oportuno de los financiamientos sean viables, aún ante posibles entornos adversos futuros; </w:t>
      </w:r>
      <w:proofErr w:type="spellStart"/>
      <w:r w:rsidRPr="00576EF7">
        <w:rPr>
          <w:rFonts w:ascii="Arial" w:eastAsia="Calibri" w:hAnsi="Arial" w:cs="Arial"/>
          <w:spacing w:val="20"/>
          <w:kern w:val="2"/>
        </w:rPr>
        <w:t>ii</w:t>
      </w:r>
      <w:proofErr w:type="spellEnd"/>
      <w:r w:rsidRPr="00576EF7">
        <w:rPr>
          <w:rFonts w:ascii="Arial" w:eastAsia="Calibri" w:hAnsi="Arial" w:cs="Arial"/>
          <w:spacing w:val="20"/>
          <w:kern w:val="2"/>
        </w:rPr>
        <w:t xml:space="preserve">) Manejar perfiles de vencimiento de los  financiamientos en  función  de la naturaleza de los proyectos a desarrollar, así como de la situación financiera del Estado; </w:t>
      </w:r>
      <w:proofErr w:type="spellStart"/>
      <w:r w:rsidRPr="00576EF7">
        <w:rPr>
          <w:rFonts w:ascii="Arial" w:eastAsia="Calibri" w:hAnsi="Arial" w:cs="Arial"/>
          <w:spacing w:val="20"/>
          <w:kern w:val="2"/>
        </w:rPr>
        <w:t>iii</w:t>
      </w:r>
      <w:proofErr w:type="spellEnd"/>
      <w:r w:rsidRPr="00576EF7">
        <w:rPr>
          <w:rFonts w:ascii="Arial" w:eastAsia="Calibri" w:hAnsi="Arial" w:cs="Arial"/>
          <w:spacing w:val="20"/>
          <w:kern w:val="2"/>
        </w:rPr>
        <w:t>) Que el monto de endeudamiento y las características de los financiamientos, no limiten la capacidad y flexibilidad financiera de la administración y generaciones futuras, así como la capacidad para adquirir deuda.</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b/>
          <w:spacing w:val="20"/>
          <w:kern w:val="2"/>
        </w:rPr>
      </w:pPr>
      <w:r w:rsidRPr="00576EF7">
        <w:rPr>
          <w:rFonts w:ascii="Arial" w:eastAsia="Calibri" w:hAnsi="Arial" w:cs="Arial"/>
          <w:b/>
          <w:spacing w:val="20"/>
          <w:kern w:val="2"/>
        </w:rPr>
        <w:t>Limites de endeudamiento autorizados por el H. Congreso del Estado</w:t>
      </w:r>
    </w:p>
    <w:p w:rsidR="00576EF7" w:rsidRDefault="00576EF7"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En la Ley de Ingresos  del Estado de Oaxaca para el ejercicio 2015, mediante decreto número 670, autoriza al Poder Ejecutivo del Estado:</w:t>
      </w:r>
    </w:p>
    <w:p w:rsidR="00085514" w:rsidRPr="00576EF7" w:rsidRDefault="00085514" w:rsidP="00576EF7">
      <w:pPr>
        <w:contextualSpacing/>
        <w:jc w:val="both"/>
        <w:rPr>
          <w:rFonts w:ascii="Arial" w:eastAsia="Calibri" w:hAnsi="Arial" w:cs="Arial"/>
          <w:spacing w:val="20"/>
          <w:kern w:val="2"/>
        </w:rPr>
      </w:pPr>
    </w:p>
    <w:p w:rsidR="00576EF7" w:rsidRPr="00085514" w:rsidRDefault="00576EF7" w:rsidP="00F075EB">
      <w:pPr>
        <w:pStyle w:val="Prrafodelista"/>
        <w:numPr>
          <w:ilvl w:val="0"/>
          <w:numId w:val="11"/>
        </w:numPr>
        <w:contextualSpacing/>
        <w:jc w:val="both"/>
        <w:rPr>
          <w:rFonts w:ascii="Arial" w:eastAsia="Calibri" w:hAnsi="Arial" w:cs="Arial"/>
          <w:spacing w:val="20"/>
          <w:kern w:val="2"/>
        </w:rPr>
      </w:pPr>
      <w:r w:rsidRPr="00085514">
        <w:rPr>
          <w:rFonts w:ascii="Arial" w:eastAsia="Calibri" w:hAnsi="Arial" w:cs="Arial"/>
          <w:spacing w:val="20"/>
          <w:kern w:val="2"/>
        </w:rPr>
        <w:t xml:space="preserve">Gestionar y contratar empréstitos  hasta por la cantidad de 1,000 millones de pesos. </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F075EB">
      <w:pPr>
        <w:pStyle w:val="Prrafodelista"/>
        <w:numPr>
          <w:ilvl w:val="0"/>
          <w:numId w:val="10"/>
        </w:numPr>
        <w:contextualSpacing/>
        <w:jc w:val="both"/>
        <w:rPr>
          <w:rFonts w:ascii="Arial" w:eastAsia="Calibri" w:hAnsi="Arial" w:cs="Arial"/>
          <w:spacing w:val="20"/>
          <w:kern w:val="2"/>
        </w:rPr>
      </w:pPr>
      <w:r w:rsidRPr="00576EF7">
        <w:rPr>
          <w:rFonts w:ascii="Arial" w:eastAsia="Calibri" w:hAnsi="Arial" w:cs="Arial"/>
          <w:spacing w:val="20"/>
          <w:kern w:val="2"/>
        </w:rPr>
        <w:t xml:space="preserve">Gestionar y contratar empréstitos por la cantidad de 800 millones de pesos, para infraestructura educativa. </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F075EB">
      <w:pPr>
        <w:pStyle w:val="Prrafodelista"/>
        <w:numPr>
          <w:ilvl w:val="0"/>
          <w:numId w:val="10"/>
        </w:numPr>
        <w:contextualSpacing/>
        <w:jc w:val="both"/>
        <w:rPr>
          <w:rFonts w:ascii="Arial" w:eastAsia="Calibri" w:hAnsi="Arial" w:cs="Arial"/>
          <w:spacing w:val="20"/>
          <w:kern w:val="2"/>
        </w:rPr>
      </w:pPr>
      <w:r w:rsidRPr="00576EF7">
        <w:rPr>
          <w:rFonts w:ascii="Arial" w:eastAsia="Calibri" w:hAnsi="Arial" w:cs="Arial"/>
          <w:spacing w:val="20"/>
          <w:kern w:val="2"/>
        </w:rPr>
        <w:t>Contratar de conformidad con los lineamientos para apoyar la Implementación del Sistema de Justicia Penal en la Entidades Federativas financiamiento hasta por la cantidad de 420 millones de pesos.</w:t>
      </w:r>
    </w:p>
    <w:p w:rsidR="00576EF7" w:rsidRPr="00576EF7" w:rsidRDefault="00576EF7" w:rsidP="00576EF7">
      <w:pPr>
        <w:contextualSpacing/>
        <w:jc w:val="both"/>
        <w:rPr>
          <w:rFonts w:ascii="Arial" w:eastAsia="Calibri" w:hAnsi="Arial" w:cs="Arial"/>
          <w:spacing w:val="20"/>
          <w:kern w:val="2"/>
        </w:rPr>
      </w:pPr>
    </w:p>
    <w:p w:rsidR="00085514" w:rsidRDefault="00085514" w:rsidP="00085514">
      <w:pPr>
        <w:ind w:left="360"/>
        <w:contextualSpacing/>
        <w:jc w:val="both"/>
        <w:rPr>
          <w:rFonts w:ascii="Arial" w:eastAsia="Calibri" w:hAnsi="Arial" w:cs="Arial"/>
          <w:spacing w:val="20"/>
          <w:kern w:val="2"/>
        </w:rPr>
      </w:pPr>
    </w:p>
    <w:p w:rsidR="00085514" w:rsidRDefault="00085514" w:rsidP="00085514">
      <w:pPr>
        <w:ind w:left="360"/>
        <w:contextualSpacing/>
        <w:jc w:val="both"/>
        <w:rPr>
          <w:rFonts w:ascii="Arial" w:eastAsia="Calibri" w:hAnsi="Arial" w:cs="Arial"/>
          <w:spacing w:val="20"/>
          <w:kern w:val="2"/>
        </w:rPr>
      </w:pPr>
    </w:p>
    <w:p w:rsidR="00085514" w:rsidRDefault="00085514" w:rsidP="00085514">
      <w:pPr>
        <w:ind w:left="360"/>
        <w:contextualSpacing/>
        <w:jc w:val="both"/>
        <w:rPr>
          <w:rFonts w:ascii="Arial" w:eastAsia="Calibri" w:hAnsi="Arial" w:cs="Arial"/>
          <w:spacing w:val="20"/>
          <w:kern w:val="2"/>
        </w:rPr>
      </w:pPr>
    </w:p>
    <w:p w:rsidR="00576EF7" w:rsidRDefault="00576EF7" w:rsidP="00085514">
      <w:pPr>
        <w:ind w:left="360"/>
        <w:contextualSpacing/>
        <w:jc w:val="both"/>
        <w:rPr>
          <w:rFonts w:ascii="Arial" w:eastAsia="Calibri" w:hAnsi="Arial" w:cs="Arial"/>
          <w:spacing w:val="20"/>
          <w:kern w:val="2"/>
        </w:rPr>
      </w:pPr>
      <w:r w:rsidRPr="00085514">
        <w:rPr>
          <w:rFonts w:ascii="Arial" w:eastAsia="Calibri" w:hAnsi="Arial" w:cs="Arial"/>
          <w:spacing w:val="20"/>
          <w:kern w:val="2"/>
        </w:rPr>
        <w:lastRenderedPageBreak/>
        <w:t>En junio mediante decreto especifico número 1264, se autoriza:</w:t>
      </w:r>
    </w:p>
    <w:p w:rsidR="00085514" w:rsidRPr="00085514" w:rsidRDefault="00085514" w:rsidP="00085514">
      <w:pPr>
        <w:ind w:left="360"/>
        <w:contextualSpacing/>
        <w:jc w:val="both"/>
        <w:rPr>
          <w:rFonts w:ascii="Arial" w:eastAsia="Calibri" w:hAnsi="Arial" w:cs="Arial"/>
          <w:spacing w:val="20"/>
          <w:kern w:val="2"/>
        </w:rPr>
      </w:pPr>
    </w:p>
    <w:p w:rsidR="00576EF7" w:rsidRPr="00576EF7" w:rsidRDefault="00576EF7" w:rsidP="00F075EB">
      <w:pPr>
        <w:pStyle w:val="Prrafodelista"/>
        <w:numPr>
          <w:ilvl w:val="0"/>
          <w:numId w:val="10"/>
        </w:numPr>
        <w:contextualSpacing/>
        <w:jc w:val="both"/>
        <w:rPr>
          <w:rFonts w:ascii="Arial" w:eastAsia="Calibri" w:hAnsi="Arial" w:cs="Arial"/>
          <w:spacing w:val="20"/>
          <w:kern w:val="2"/>
        </w:rPr>
      </w:pPr>
      <w:r w:rsidRPr="00576EF7">
        <w:rPr>
          <w:rFonts w:ascii="Arial" w:eastAsia="Calibri" w:hAnsi="Arial" w:cs="Arial"/>
          <w:spacing w:val="20"/>
          <w:kern w:val="2"/>
        </w:rPr>
        <w:t>Gestionar y contratar de uno o varios financiamientos hasta por un monto de 2,400 millones de pesos.</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En el caso de las contrataciones de financiamientos a corto plazo, este se  sustenta en el artículo 9 de la Ley de Deuda Pública.</w:t>
      </w:r>
    </w:p>
    <w:p w:rsidR="00576EF7" w:rsidRPr="00576EF7" w:rsidRDefault="00576EF7" w:rsidP="00576EF7">
      <w:pPr>
        <w:contextualSpacing/>
        <w:jc w:val="both"/>
        <w:rPr>
          <w:rFonts w:ascii="Arial" w:eastAsia="Calibri" w:hAnsi="Arial" w:cs="Arial"/>
          <w:spacing w:val="20"/>
          <w:kern w:val="2"/>
        </w:rPr>
      </w:pPr>
    </w:p>
    <w:p w:rsidR="00E91C2E" w:rsidRDefault="00E91C2E">
      <w:pPr>
        <w:rPr>
          <w:rFonts w:ascii="Arial" w:hAnsi="Arial" w:cs="Arial"/>
          <w:b/>
          <w:bCs/>
        </w:rPr>
      </w:pPr>
      <w:r>
        <w:rPr>
          <w:rFonts w:ascii="Arial" w:hAnsi="Arial" w:cs="Arial"/>
          <w:b/>
          <w:bCs/>
        </w:rPr>
        <w:br w:type="page"/>
      </w:r>
    </w:p>
    <w:p w:rsidR="00576EF7" w:rsidRPr="00576EF7" w:rsidRDefault="00576EF7" w:rsidP="00576EF7">
      <w:pPr>
        <w:rPr>
          <w:rFonts w:ascii="Arial" w:hAnsi="Arial" w:cs="Arial"/>
          <w:b/>
          <w:bCs/>
        </w:rPr>
      </w:pPr>
      <w:r>
        <w:rPr>
          <w:rFonts w:ascii="Arial" w:hAnsi="Arial" w:cs="Arial"/>
          <w:b/>
          <w:bCs/>
        </w:rPr>
        <w:lastRenderedPageBreak/>
        <w:t xml:space="preserve">7.2.- </w:t>
      </w:r>
      <w:r w:rsidRPr="00576EF7">
        <w:rPr>
          <w:rFonts w:ascii="Arial" w:hAnsi="Arial" w:cs="Arial"/>
          <w:b/>
          <w:bCs/>
        </w:rPr>
        <w:t>DEUDA PÚBLICA ESTATAL Y OBLIGACIONES DE PAGO</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La Ley de Deuda Pública del Estado, contempla dos tipos de obligaciones: Deuda Pública  y Obligaciones de Pago.</w:t>
      </w:r>
    </w:p>
    <w:p w:rsidR="00576EF7" w:rsidRPr="00576EF7" w:rsidRDefault="00576EF7"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Existen 9 financiamientos a largo plazo considerados como deuda pública; 5 créditos bono cupón cero a largo plazo  y  3 créditos bancarios a corto plazo considerados como obligaciones de pago:</w:t>
      </w:r>
    </w:p>
    <w:p w:rsidR="00576EF7" w:rsidRPr="00576EF7" w:rsidRDefault="00576EF7" w:rsidP="00576EF7">
      <w:pPr>
        <w:contextualSpacing/>
        <w:jc w:val="both"/>
        <w:rPr>
          <w:rFonts w:ascii="Arial" w:eastAsia="Calibri" w:hAnsi="Arial" w:cs="Arial"/>
          <w:spacing w:val="20"/>
          <w:kern w:val="2"/>
        </w:rPr>
      </w:pPr>
    </w:p>
    <w:p w:rsidR="00576EF7" w:rsidRPr="00576EF7" w:rsidRDefault="00085514" w:rsidP="00576EF7">
      <w:pPr>
        <w:contextualSpacing/>
        <w:jc w:val="both"/>
        <w:rPr>
          <w:rFonts w:ascii="Arial" w:eastAsia="Calibri" w:hAnsi="Arial" w:cs="Arial"/>
          <w:spacing w:val="20"/>
          <w:kern w:val="2"/>
        </w:rPr>
      </w:pPr>
      <w:r w:rsidRPr="00085514">
        <w:rPr>
          <w:rFonts w:eastAsia="Calibri"/>
          <w:noProof/>
          <w:lang w:val="es-MX" w:eastAsia="es-MX"/>
        </w:rPr>
        <w:drawing>
          <wp:inline distT="0" distB="0" distL="0" distR="0">
            <wp:extent cx="5882005" cy="4866298"/>
            <wp:effectExtent l="19050" t="0" r="4445"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5882005" cy="4866298"/>
                    </a:xfrm>
                    <a:prstGeom prst="rect">
                      <a:avLst/>
                    </a:prstGeom>
                    <a:noFill/>
                    <a:ln w="9525">
                      <a:noFill/>
                      <a:miter lim="800000"/>
                      <a:headEnd/>
                      <a:tailEnd/>
                    </a:ln>
                  </pic:spPr>
                </pic:pic>
              </a:graphicData>
            </a:graphic>
          </wp:inline>
        </w:drawing>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p>
    <w:p w:rsidR="00E91C2E" w:rsidRDefault="00E91C2E">
      <w:pPr>
        <w:rPr>
          <w:rFonts w:ascii="Arial" w:hAnsi="Arial" w:cs="Arial"/>
          <w:b/>
          <w:bCs/>
        </w:rPr>
      </w:pPr>
      <w:r>
        <w:rPr>
          <w:rFonts w:ascii="Arial" w:hAnsi="Arial" w:cs="Arial"/>
          <w:b/>
          <w:bCs/>
        </w:rPr>
        <w:br w:type="page"/>
      </w:r>
    </w:p>
    <w:p w:rsidR="00576EF7" w:rsidRPr="00576EF7" w:rsidRDefault="00576EF7" w:rsidP="00576EF7">
      <w:pPr>
        <w:rPr>
          <w:rFonts w:ascii="Arial" w:hAnsi="Arial" w:cs="Arial"/>
          <w:b/>
          <w:bCs/>
        </w:rPr>
      </w:pPr>
      <w:r>
        <w:rPr>
          <w:rFonts w:ascii="Arial" w:hAnsi="Arial" w:cs="Arial"/>
          <w:b/>
          <w:bCs/>
        </w:rPr>
        <w:lastRenderedPageBreak/>
        <w:t>7</w:t>
      </w:r>
      <w:r w:rsidRPr="00576EF7">
        <w:rPr>
          <w:rFonts w:ascii="Arial" w:hAnsi="Arial" w:cs="Arial"/>
          <w:b/>
          <w:bCs/>
        </w:rPr>
        <w:t>.2</w:t>
      </w:r>
      <w:r>
        <w:rPr>
          <w:rFonts w:ascii="Arial" w:hAnsi="Arial" w:cs="Arial"/>
          <w:b/>
          <w:bCs/>
        </w:rPr>
        <w:t>.1.-</w:t>
      </w:r>
      <w:r w:rsidRPr="00576EF7">
        <w:rPr>
          <w:rFonts w:ascii="Arial" w:hAnsi="Arial" w:cs="Arial"/>
          <w:b/>
          <w:bCs/>
        </w:rPr>
        <w:t xml:space="preserve"> DEUDA PÚBLICA ESTATAL</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En este  concepto, se contemplan  los financiamientos contratados directamente por el Estado, que representan un endeudamiento y que afectan la situación patrimonial del Estado. El saldo de la deuda pública bruta al cierre del ejercicio asciende a 7,644 millones 933 mil 356 pesos, comparado con el saldo al cierre de 2014  existe un aumento en la variación anual real de  64.14   por ciento, esto derivado de  la contratación de  nuevos financiamientos.</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 xml:space="preserve">Es importante </w:t>
      </w:r>
      <w:r w:rsidR="00085514">
        <w:rPr>
          <w:rFonts w:ascii="Arial" w:eastAsia="Calibri" w:hAnsi="Arial" w:cs="Arial"/>
          <w:spacing w:val="20"/>
          <w:kern w:val="2"/>
        </w:rPr>
        <w:t>recordar</w:t>
      </w:r>
      <w:r w:rsidRPr="00576EF7">
        <w:rPr>
          <w:rFonts w:ascii="Arial" w:eastAsia="Calibri" w:hAnsi="Arial" w:cs="Arial"/>
          <w:spacing w:val="20"/>
          <w:kern w:val="2"/>
        </w:rPr>
        <w:t>, que la Emisión de Certificados Bursátiles Oaxaca 13, cuenta un Fondo de Reserva 2 consistentes en acciones de Bono Cupón Cero, que fueron adquiridos en diciembre de 2013, con recursos de la misma emisión, su valor inicial  fue de 123 millones 20 mil pesos. Al cierre del ejercicio 2015, el valor de mercado de los citados bonos asciende a  156 millones 881 mil 832 pesos. Las cantidades abonadas en el Fondo de Reserva se destinarán al pago de la amortización anticipada voluntaria total de los Certificados Bursátiles. Por ello aplicando  el valor de los bonos cupón cero a la deuda pública bruta, el saldo de la deuda pública neta se reduce a 7,488 millones 51 mil 524 pesos.</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noProof/>
          <w:spacing w:val="20"/>
          <w:kern w:val="2"/>
          <w:lang w:val="es-MX" w:eastAsia="es-MX"/>
        </w:rPr>
        <w:drawing>
          <wp:inline distT="0" distB="0" distL="0" distR="0">
            <wp:extent cx="5440341" cy="3140159"/>
            <wp:effectExtent l="19050" t="0" r="7959" b="0"/>
            <wp:docPr id="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srcRect/>
                    <a:stretch>
                      <a:fillRect/>
                    </a:stretch>
                  </pic:blipFill>
                  <pic:spPr bwMode="auto">
                    <a:xfrm>
                      <a:off x="0" y="0"/>
                      <a:ext cx="5437311" cy="3138410"/>
                    </a:xfrm>
                    <a:prstGeom prst="rect">
                      <a:avLst/>
                    </a:prstGeom>
                    <a:noFill/>
                    <a:ln w="9525">
                      <a:noFill/>
                      <a:miter lim="800000"/>
                      <a:headEnd/>
                      <a:tailEnd/>
                    </a:ln>
                  </pic:spPr>
                </pic:pic>
              </a:graphicData>
            </a:graphic>
          </wp:inline>
        </w:drawing>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rPr>
          <w:rFonts w:ascii="Arial" w:hAnsi="Arial" w:cs="Arial"/>
          <w:b/>
          <w:bCs/>
        </w:rPr>
      </w:pPr>
      <w:r>
        <w:rPr>
          <w:rFonts w:ascii="Arial" w:hAnsi="Arial" w:cs="Arial"/>
          <w:b/>
          <w:bCs/>
        </w:rPr>
        <w:lastRenderedPageBreak/>
        <w:t>7.</w:t>
      </w:r>
      <w:r w:rsidRPr="00576EF7">
        <w:rPr>
          <w:rFonts w:ascii="Arial" w:hAnsi="Arial" w:cs="Arial"/>
          <w:b/>
          <w:bCs/>
        </w:rPr>
        <w:t>2.1.</w:t>
      </w:r>
      <w:r>
        <w:rPr>
          <w:rFonts w:ascii="Arial" w:hAnsi="Arial" w:cs="Arial"/>
          <w:b/>
          <w:bCs/>
        </w:rPr>
        <w:t>1.-</w:t>
      </w:r>
      <w:r w:rsidRPr="00576EF7">
        <w:rPr>
          <w:rFonts w:ascii="Arial" w:hAnsi="Arial" w:cs="Arial"/>
          <w:b/>
          <w:bCs/>
        </w:rPr>
        <w:t xml:space="preserve">  ENDEUDAMIENTO NETO DE LA DEUDA PÚBLICA</w:t>
      </w:r>
    </w:p>
    <w:p w:rsidR="00576EF7" w:rsidRPr="00576EF7" w:rsidRDefault="00576EF7"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Se contrataron dos nuevos créditos a largo plazo con las instituciones de crédito BBVA Bancomer y  Santander destinados para inversiones públicas productivas.</w:t>
      </w:r>
    </w:p>
    <w:p w:rsidR="00576EF7" w:rsidRPr="00576EF7" w:rsidRDefault="00576EF7" w:rsidP="00576EF7">
      <w:pPr>
        <w:contextualSpacing/>
        <w:jc w:val="both"/>
        <w:rPr>
          <w:rFonts w:ascii="Arial" w:eastAsia="Calibri" w:hAnsi="Arial" w:cs="Arial"/>
          <w:spacing w:val="20"/>
          <w:kern w:val="2"/>
        </w:rPr>
      </w:pPr>
    </w:p>
    <w:p w:rsidR="00576EF7" w:rsidRPr="00576EF7" w:rsidRDefault="00085514" w:rsidP="00576EF7">
      <w:pPr>
        <w:contextualSpacing/>
        <w:jc w:val="center"/>
        <w:rPr>
          <w:rFonts w:ascii="Arial" w:eastAsia="Calibri" w:hAnsi="Arial" w:cs="Arial"/>
          <w:spacing w:val="20"/>
          <w:kern w:val="2"/>
        </w:rPr>
      </w:pPr>
      <w:r w:rsidRPr="00085514">
        <w:rPr>
          <w:rFonts w:eastAsia="Calibri"/>
          <w:noProof/>
          <w:lang w:val="es-MX" w:eastAsia="es-MX"/>
        </w:rPr>
        <w:drawing>
          <wp:inline distT="0" distB="0" distL="0" distR="0">
            <wp:extent cx="3293948" cy="4010025"/>
            <wp:effectExtent l="19050" t="0" r="1702" b="0"/>
            <wp:docPr id="2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srcRect/>
                    <a:stretch>
                      <a:fillRect/>
                    </a:stretch>
                  </pic:blipFill>
                  <pic:spPr bwMode="auto">
                    <a:xfrm>
                      <a:off x="0" y="0"/>
                      <a:ext cx="3305162" cy="4023676"/>
                    </a:xfrm>
                    <a:prstGeom prst="rect">
                      <a:avLst/>
                    </a:prstGeom>
                    <a:noFill/>
                    <a:ln w="9525">
                      <a:noFill/>
                      <a:miter lim="800000"/>
                      <a:headEnd/>
                      <a:tailEnd/>
                    </a:ln>
                  </pic:spPr>
                </pic:pic>
              </a:graphicData>
            </a:graphic>
          </wp:inline>
        </w:drawing>
      </w:r>
    </w:p>
    <w:p w:rsidR="00576EF7" w:rsidRDefault="00576EF7"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El día 07 de julio, el Estado dispuso  en una sola exhibición los recursos del crédito suscrito con BBVA Bancomer y  el día 25 de noviembre dispuso del crédito de Santander, en un  único desembolso.</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b/>
          <w:spacing w:val="20"/>
          <w:kern w:val="2"/>
        </w:rPr>
      </w:pPr>
      <w:r w:rsidRPr="00576EF7">
        <w:rPr>
          <w:rFonts w:ascii="Arial" w:eastAsia="Calibri" w:hAnsi="Arial" w:cs="Arial"/>
          <w:b/>
          <w:spacing w:val="20"/>
          <w:kern w:val="2"/>
        </w:rPr>
        <w:t>Calificación crediticia crédito BBVA Bancomer.</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En noviembre se asigna calificación específica al crédito de BBVA Bancomer, de  ‘AA-(</w:t>
      </w:r>
      <w:proofErr w:type="spellStart"/>
      <w:r w:rsidRPr="00576EF7">
        <w:rPr>
          <w:rFonts w:ascii="Arial" w:eastAsia="Calibri" w:hAnsi="Arial" w:cs="Arial"/>
          <w:spacing w:val="20"/>
          <w:kern w:val="2"/>
        </w:rPr>
        <w:t>mex</w:t>
      </w:r>
      <w:proofErr w:type="spellEnd"/>
      <w:r w:rsidRPr="00576EF7">
        <w:rPr>
          <w:rFonts w:ascii="Arial" w:eastAsia="Calibri" w:hAnsi="Arial" w:cs="Arial"/>
          <w:spacing w:val="20"/>
          <w:kern w:val="2"/>
        </w:rPr>
        <w:t>)</w:t>
      </w:r>
      <w:proofErr w:type="spellStart"/>
      <w:r w:rsidRPr="00576EF7">
        <w:rPr>
          <w:rFonts w:ascii="Arial" w:eastAsia="Calibri" w:hAnsi="Arial" w:cs="Arial"/>
          <w:spacing w:val="20"/>
          <w:kern w:val="2"/>
        </w:rPr>
        <w:t>vra</w:t>
      </w:r>
      <w:proofErr w:type="spellEnd"/>
      <w:r w:rsidRPr="00576EF7">
        <w:rPr>
          <w:rFonts w:ascii="Arial" w:eastAsia="Calibri" w:hAnsi="Arial" w:cs="Arial"/>
          <w:spacing w:val="20"/>
          <w:kern w:val="2"/>
        </w:rPr>
        <w:t xml:space="preserve">’  emitida por </w:t>
      </w:r>
      <w:proofErr w:type="spellStart"/>
      <w:r w:rsidRPr="00576EF7">
        <w:rPr>
          <w:rFonts w:ascii="Arial" w:eastAsia="Calibri" w:hAnsi="Arial" w:cs="Arial"/>
          <w:spacing w:val="20"/>
          <w:kern w:val="2"/>
        </w:rPr>
        <w:t>Fitch</w:t>
      </w:r>
      <w:proofErr w:type="spellEnd"/>
      <w:r w:rsidRPr="00576EF7">
        <w:rPr>
          <w:rFonts w:ascii="Arial" w:eastAsia="Calibri" w:hAnsi="Arial" w:cs="Arial"/>
          <w:spacing w:val="20"/>
          <w:kern w:val="2"/>
        </w:rPr>
        <w:t xml:space="preserve"> Ratings México, fundamentada principalmente por la fortaleza jurídico-financiera del fideicomiso irrevocable de administración y pago; la certidumbre existente en el comportamiento de las Participaciones utilizadas como fuente de pago; los satisfactorios márgenes de seguridad o coberturas </w:t>
      </w:r>
      <w:r w:rsidRPr="00576EF7">
        <w:rPr>
          <w:rFonts w:ascii="Arial" w:eastAsia="Calibri" w:hAnsi="Arial" w:cs="Arial"/>
          <w:spacing w:val="20"/>
          <w:kern w:val="2"/>
        </w:rPr>
        <w:lastRenderedPageBreak/>
        <w:t xml:space="preserve">del servicio de la deuda ante proyecciones de escenarios adversos modelados por </w:t>
      </w:r>
      <w:proofErr w:type="spellStart"/>
      <w:r w:rsidRPr="00576EF7">
        <w:rPr>
          <w:rFonts w:ascii="Arial" w:eastAsia="Calibri" w:hAnsi="Arial" w:cs="Arial"/>
          <w:spacing w:val="20"/>
          <w:kern w:val="2"/>
        </w:rPr>
        <w:t>Fitch</w:t>
      </w:r>
      <w:proofErr w:type="spellEnd"/>
      <w:r w:rsidRPr="00576EF7">
        <w:rPr>
          <w:rFonts w:ascii="Arial" w:eastAsia="Calibri" w:hAnsi="Arial" w:cs="Arial"/>
          <w:spacing w:val="20"/>
          <w:kern w:val="2"/>
        </w:rPr>
        <w:t>; la constitución del  fondo de reserva y la calificación crediticia del Estado de Oaxaca, mejorando con ello la sobretasa del crédito pasando de 1.15  a 1.08 por ciento.</w:t>
      </w:r>
    </w:p>
    <w:p w:rsidR="00085514" w:rsidRDefault="00085514"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El endeudamiento neto asciende a 3 mil 88 millones 155 mil 923 pesos.</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 xml:space="preserve">En el concepto de amortización existe una variación respecto a 2014 de 0.2 por ciento. La amortización de principal en el sector gobierno asciende a 311 millones 844 mil  77 pesos, los cuales se pagaron con </w:t>
      </w:r>
      <w:proofErr w:type="spellStart"/>
      <w:r w:rsidRPr="00576EF7">
        <w:rPr>
          <w:rFonts w:ascii="Arial" w:eastAsia="Calibri" w:hAnsi="Arial" w:cs="Arial"/>
          <w:spacing w:val="20"/>
          <w:kern w:val="2"/>
        </w:rPr>
        <w:t>el</w:t>
      </w:r>
      <w:proofErr w:type="spellEnd"/>
      <w:r w:rsidRPr="00576EF7">
        <w:rPr>
          <w:rFonts w:ascii="Arial" w:eastAsia="Calibri" w:hAnsi="Arial" w:cs="Arial"/>
          <w:spacing w:val="20"/>
          <w:kern w:val="2"/>
        </w:rPr>
        <w:t xml:space="preserve"> con los recursos del Fondo de Aportaciones para el Fortalecimiento de las Entidades Federativas (FAFEF) y Fondo de Aportaciones para la Infraestructura Social Estatal (FISE).</w:t>
      </w:r>
    </w:p>
    <w:p w:rsid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noProof/>
          <w:spacing w:val="20"/>
          <w:kern w:val="2"/>
          <w:lang w:val="es-MX" w:eastAsia="es-MX"/>
        </w:rPr>
        <w:drawing>
          <wp:inline distT="0" distB="0" distL="0" distR="0">
            <wp:extent cx="5771432" cy="3335866"/>
            <wp:effectExtent l="19050" t="0" r="718"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srcRect/>
                    <a:stretch>
                      <a:fillRect/>
                    </a:stretch>
                  </pic:blipFill>
                  <pic:spPr bwMode="auto">
                    <a:xfrm>
                      <a:off x="0" y="0"/>
                      <a:ext cx="5772553" cy="3336514"/>
                    </a:xfrm>
                    <a:prstGeom prst="rect">
                      <a:avLst/>
                    </a:prstGeom>
                    <a:noFill/>
                    <a:ln w="9525">
                      <a:noFill/>
                      <a:miter lim="800000"/>
                      <a:headEnd/>
                      <a:tailEnd/>
                    </a:ln>
                  </pic:spPr>
                </pic:pic>
              </a:graphicData>
            </a:graphic>
          </wp:inline>
        </w:drawing>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p>
    <w:p w:rsidR="00E91C2E" w:rsidRDefault="00E91C2E">
      <w:pPr>
        <w:rPr>
          <w:rFonts w:ascii="Arial" w:hAnsi="Arial" w:cs="Arial"/>
          <w:b/>
          <w:bCs/>
        </w:rPr>
      </w:pPr>
      <w:r>
        <w:rPr>
          <w:rFonts w:ascii="Arial" w:hAnsi="Arial" w:cs="Arial"/>
          <w:b/>
          <w:bCs/>
        </w:rPr>
        <w:br w:type="page"/>
      </w:r>
    </w:p>
    <w:p w:rsidR="00576EF7" w:rsidRPr="00576EF7" w:rsidRDefault="00576EF7" w:rsidP="00576EF7">
      <w:pPr>
        <w:rPr>
          <w:rFonts w:ascii="Arial" w:hAnsi="Arial" w:cs="Arial"/>
          <w:b/>
          <w:bCs/>
        </w:rPr>
      </w:pPr>
      <w:r w:rsidRPr="00576EF7">
        <w:rPr>
          <w:rFonts w:ascii="Arial" w:hAnsi="Arial" w:cs="Arial"/>
          <w:b/>
          <w:bCs/>
        </w:rPr>
        <w:lastRenderedPageBreak/>
        <w:t>7.2.1.2.- COSTO FINANCIERO DE LA DEUDA PÚBLICA ESTATAL</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El costo financiero asciende a 433 millones 140 mil 49 pesos integrado por el pago de intereses, comisiones, gastos y costo por coberturas  de la deuda pública, los cuales se aplicaron con recursos de FAFEF Saneamiento Financiero, FISE  y Participaciones.</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 xml:space="preserve">La variación anual real respecto a 2014 aumento en </w:t>
      </w:r>
      <w:r w:rsidR="00085514">
        <w:rPr>
          <w:rFonts w:ascii="Arial" w:eastAsia="Calibri" w:hAnsi="Arial" w:cs="Arial"/>
          <w:spacing w:val="20"/>
          <w:kern w:val="2"/>
        </w:rPr>
        <w:t>4.21</w:t>
      </w:r>
      <w:r w:rsidRPr="00576EF7">
        <w:rPr>
          <w:rFonts w:ascii="Arial" w:eastAsia="Calibri" w:hAnsi="Arial" w:cs="Arial"/>
          <w:spacing w:val="20"/>
          <w:kern w:val="2"/>
        </w:rPr>
        <w:t xml:space="preserve"> por ciento, esto con motivo del costo de la estructura de los nuevos financiamientos contratados durante el ejercicio.</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noProof/>
          <w:spacing w:val="20"/>
          <w:kern w:val="2"/>
          <w:lang w:val="es-MX" w:eastAsia="es-MX"/>
        </w:rPr>
        <w:drawing>
          <wp:inline distT="0" distB="0" distL="0" distR="0">
            <wp:extent cx="5408083" cy="2427846"/>
            <wp:effectExtent l="19050" t="0" r="2117" b="0"/>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srcRect/>
                    <a:stretch>
                      <a:fillRect/>
                    </a:stretch>
                  </pic:blipFill>
                  <pic:spPr bwMode="auto">
                    <a:xfrm>
                      <a:off x="0" y="0"/>
                      <a:ext cx="5418033" cy="2432313"/>
                    </a:xfrm>
                    <a:prstGeom prst="rect">
                      <a:avLst/>
                    </a:prstGeom>
                    <a:noFill/>
                    <a:ln w="9525">
                      <a:noFill/>
                      <a:miter lim="800000"/>
                      <a:headEnd/>
                      <a:tailEnd/>
                    </a:ln>
                  </pic:spPr>
                </pic:pic>
              </a:graphicData>
            </a:graphic>
          </wp:inline>
        </w:drawing>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p>
    <w:p w:rsidR="00E91C2E" w:rsidRDefault="00E91C2E">
      <w:pPr>
        <w:rPr>
          <w:rFonts w:ascii="Arial" w:hAnsi="Arial" w:cs="Arial"/>
          <w:b/>
          <w:bCs/>
        </w:rPr>
      </w:pPr>
      <w:r>
        <w:rPr>
          <w:rFonts w:ascii="Arial" w:hAnsi="Arial" w:cs="Arial"/>
          <w:b/>
          <w:bCs/>
        </w:rPr>
        <w:br w:type="page"/>
      </w:r>
    </w:p>
    <w:p w:rsidR="00576EF7" w:rsidRPr="00576EF7" w:rsidRDefault="003E144F" w:rsidP="00576EF7">
      <w:pPr>
        <w:rPr>
          <w:rFonts w:ascii="Arial" w:hAnsi="Arial" w:cs="Arial"/>
          <w:b/>
          <w:bCs/>
        </w:rPr>
      </w:pPr>
      <w:r>
        <w:rPr>
          <w:rFonts w:ascii="Arial" w:hAnsi="Arial" w:cs="Arial"/>
          <w:b/>
          <w:bCs/>
        </w:rPr>
        <w:lastRenderedPageBreak/>
        <w:t>7.2.2.-</w:t>
      </w:r>
      <w:r w:rsidR="00576EF7" w:rsidRPr="00576EF7">
        <w:rPr>
          <w:rFonts w:ascii="Arial" w:hAnsi="Arial" w:cs="Arial"/>
          <w:b/>
          <w:bCs/>
        </w:rPr>
        <w:t xml:space="preserve">  OTRAS OBLIGACIONES DE PAGO.</w:t>
      </w:r>
    </w:p>
    <w:p w:rsidR="00576EF7" w:rsidRPr="00576EF7" w:rsidRDefault="00576EF7"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En este concepto se contemplan los créditos Bono Cupón Cero a largo plazo y los créditos bancarios a corto plazo, que no representan un endeudamiento al Estado.</w:t>
      </w:r>
    </w:p>
    <w:p w:rsidR="003E144F" w:rsidRPr="00576EF7" w:rsidRDefault="003E144F" w:rsidP="00576EF7">
      <w:pPr>
        <w:contextualSpacing/>
        <w:jc w:val="both"/>
        <w:rPr>
          <w:rFonts w:ascii="Arial" w:eastAsia="Calibri" w:hAnsi="Arial" w:cs="Arial"/>
          <w:spacing w:val="20"/>
          <w:kern w:val="2"/>
        </w:rPr>
      </w:pPr>
    </w:p>
    <w:p w:rsidR="00576EF7" w:rsidRDefault="003E144F" w:rsidP="00576EF7">
      <w:pPr>
        <w:contextualSpacing/>
        <w:jc w:val="both"/>
        <w:rPr>
          <w:rFonts w:ascii="Arial" w:eastAsia="Calibri" w:hAnsi="Arial" w:cs="Arial"/>
          <w:spacing w:val="20"/>
          <w:kern w:val="2"/>
        </w:rPr>
      </w:pPr>
      <w:r>
        <w:rPr>
          <w:rFonts w:ascii="Arial" w:hAnsi="Arial" w:cs="Arial"/>
          <w:b/>
          <w:bCs/>
        </w:rPr>
        <w:t>7.2.2.1.-</w:t>
      </w:r>
      <w:r w:rsidR="00576EF7" w:rsidRPr="003E144F">
        <w:rPr>
          <w:rFonts w:ascii="Arial" w:hAnsi="Arial" w:cs="Arial"/>
          <w:b/>
          <w:bCs/>
        </w:rPr>
        <w:t xml:space="preserve"> CRÉDITOS BONOS CUPON CERO</w:t>
      </w:r>
      <w:r w:rsidR="00576EF7" w:rsidRPr="00576EF7">
        <w:rPr>
          <w:rFonts w:ascii="Arial" w:eastAsia="Calibri" w:hAnsi="Arial" w:cs="Arial"/>
          <w:spacing w:val="20"/>
          <w:kern w:val="2"/>
        </w:rPr>
        <w:t>.</w:t>
      </w:r>
    </w:p>
    <w:p w:rsidR="003E144F" w:rsidRPr="00576EF7" w:rsidRDefault="003E144F"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Dentro de esta clasificación se consideran los créditos contratados  derivados del Fondo de Reconstrucción para Entidades Federativas (FONREC I, II y III)  y  el Fondo de Apoyo para Infraestructura y Seguridad (PROFISE), que se destinaron para atender los desastres naturales y el desarrollo de la infraestructura de seguridad pública respectivamente,  propuesto y aprobado por el Gobierno Federal, a finales del año 2010, donde se abrieron  líneas de crédito a través del Banco Nacional de Obras y Servicios Públicos (BANOBRAS) con beneficios como el manejo de un bono cupón cero sin pago de capital, solo el pago de intereses por parte de los estados beneficiados, y con un plazo de 20 años. En este año, se incorpora un nuevo fondo para la  Implementación del Sistema de Justicia Penal  de las Entidades Federativas.</w:t>
      </w:r>
    </w:p>
    <w:p w:rsidR="003E144F" w:rsidRPr="00576EF7" w:rsidRDefault="003E144F"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Es importante destacar, que para efectos  informativos y de control el saldo de esta obligación se refleja al pie del Estado de Situación Financiera del Estado, en cuentas de orden.</w:t>
      </w:r>
    </w:p>
    <w:p w:rsidR="00576EF7" w:rsidRPr="00576EF7" w:rsidRDefault="00576EF7" w:rsidP="00576EF7">
      <w:pPr>
        <w:contextualSpacing/>
        <w:jc w:val="both"/>
        <w:rPr>
          <w:rFonts w:ascii="Arial" w:eastAsia="Calibri" w:hAnsi="Arial" w:cs="Arial"/>
          <w:spacing w:val="20"/>
          <w:kern w:val="2"/>
        </w:rPr>
      </w:pPr>
    </w:p>
    <w:p w:rsidR="00576EF7" w:rsidRPr="003E144F" w:rsidRDefault="00576EF7" w:rsidP="00576EF7">
      <w:pPr>
        <w:contextualSpacing/>
        <w:jc w:val="both"/>
        <w:rPr>
          <w:rFonts w:ascii="Arial" w:eastAsia="Calibri" w:hAnsi="Arial" w:cs="Arial"/>
          <w:b/>
          <w:spacing w:val="20"/>
          <w:kern w:val="2"/>
        </w:rPr>
      </w:pPr>
      <w:r w:rsidRPr="003E144F">
        <w:rPr>
          <w:rFonts w:ascii="Arial" w:eastAsia="Calibri" w:hAnsi="Arial" w:cs="Arial"/>
          <w:b/>
          <w:spacing w:val="20"/>
          <w:kern w:val="2"/>
        </w:rPr>
        <w:t>Nuevo Financiamiento.</w:t>
      </w:r>
    </w:p>
    <w:p w:rsidR="003E144F" w:rsidRPr="00576EF7" w:rsidRDefault="003E144F"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 xml:space="preserve">Se suscribe un nuevo financiamiento bajo este mismo esquema, con  </w:t>
      </w:r>
      <w:proofErr w:type="spellStart"/>
      <w:r w:rsidRPr="00576EF7">
        <w:rPr>
          <w:rFonts w:ascii="Arial" w:eastAsia="Calibri" w:hAnsi="Arial" w:cs="Arial"/>
          <w:spacing w:val="20"/>
          <w:kern w:val="2"/>
        </w:rPr>
        <w:t>Banobras</w:t>
      </w:r>
      <w:proofErr w:type="spellEnd"/>
      <w:r w:rsidRPr="00576EF7">
        <w:rPr>
          <w:rFonts w:ascii="Arial" w:eastAsia="Calibri" w:hAnsi="Arial" w:cs="Arial"/>
          <w:spacing w:val="20"/>
          <w:kern w:val="2"/>
        </w:rPr>
        <w:t xml:space="preserve"> S.N.C., hasta por la cantidad de 405 millones 456 mil pesos, dejando como fuente de pago el 0.80% de los derechos sobre las participaciones que en ingresos federales le corresponden al Estado del Fondo General de Participaciones. La contratación  se deriva de la   autorización del    H.  Congreso del Estado, decreto número 670, publicado el día 27 de diciembre de</w:t>
      </w:r>
      <w:r w:rsidR="003E144F">
        <w:rPr>
          <w:rFonts w:ascii="Arial" w:eastAsia="Calibri" w:hAnsi="Arial" w:cs="Arial"/>
          <w:spacing w:val="20"/>
          <w:kern w:val="2"/>
        </w:rPr>
        <w:t xml:space="preserve"> </w:t>
      </w:r>
      <w:r w:rsidRPr="00576EF7">
        <w:rPr>
          <w:rFonts w:ascii="Arial" w:eastAsia="Calibri" w:hAnsi="Arial" w:cs="Arial"/>
          <w:spacing w:val="20"/>
          <w:kern w:val="2"/>
        </w:rPr>
        <w:t>2014.</w:t>
      </w:r>
    </w:p>
    <w:p w:rsidR="003E144F" w:rsidRPr="00576EF7" w:rsidRDefault="003E144F"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Así mismo, se celebró un Contrato de Fideicomiso Irrevocable de Administración y Fuente de Pago identificado con el número F/10754 con Banco Interacciones, S.A. como fiduciario, que servirá como mecánica de pago, para el cumplimiento de la obligación.</w:t>
      </w:r>
    </w:p>
    <w:p w:rsidR="003E144F" w:rsidRPr="00576EF7" w:rsidRDefault="003E144F" w:rsidP="00576EF7">
      <w:pPr>
        <w:contextualSpacing/>
        <w:jc w:val="both"/>
        <w:rPr>
          <w:rFonts w:ascii="Arial" w:eastAsia="Calibri" w:hAnsi="Arial" w:cs="Arial"/>
          <w:spacing w:val="20"/>
          <w:kern w:val="2"/>
        </w:rPr>
      </w:pPr>
    </w:p>
    <w:p w:rsidR="00576EF7" w:rsidRPr="00576EF7" w:rsidRDefault="00576EF7" w:rsidP="003E144F">
      <w:pPr>
        <w:contextualSpacing/>
        <w:jc w:val="center"/>
        <w:rPr>
          <w:rFonts w:ascii="Arial" w:eastAsia="Calibri" w:hAnsi="Arial" w:cs="Arial"/>
          <w:spacing w:val="20"/>
          <w:kern w:val="2"/>
        </w:rPr>
      </w:pPr>
      <w:r w:rsidRPr="00576EF7">
        <w:rPr>
          <w:rFonts w:ascii="Arial" w:eastAsia="Calibri" w:hAnsi="Arial" w:cs="Arial"/>
          <w:noProof/>
          <w:spacing w:val="20"/>
          <w:kern w:val="2"/>
          <w:lang w:val="es-MX" w:eastAsia="es-MX"/>
        </w:rPr>
        <w:lastRenderedPageBreak/>
        <w:drawing>
          <wp:inline distT="0" distB="0" distL="0" distR="0">
            <wp:extent cx="3154508" cy="3953933"/>
            <wp:effectExtent l="19050" t="0" r="7792" b="0"/>
            <wp:docPr id="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rcRect/>
                    <a:stretch>
                      <a:fillRect/>
                    </a:stretch>
                  </pic:blipFill>
                  <pic:spPr bwMode="auto">
                    <a:xfrm>
                      <a:off x="0" y="0"/>
                      <a:ext cx="3159707" cy="3960450"/>
                    </a:xfrm>
                    <a:prstGeom prst="rect">
                      <a:avLst/>
                    </a:prstGeom>
                    <a:noFill/>
                    <a:ln w="9525">
                      <a:noFill/>
                      <a:miter lim="800000"/>
                      <a:headEnd/>
                      <a:tailEnd/>
                    </a:ln>
                  </pic:spPr>
                </pic:pic>
              </a:graphicData>
            </a:graphic>
          </wp:inline>
        </w:drawing>
      </w:r>
    </w:p>
    <w:p w:rsidR="00576EF7" w:rsidRPr="00576EF7" w:rsidRDefault="00576EF7"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El destino del crédito es solventar el costo de inversiones en infraestructura y equipamiento orientadas a apoyar la  implementación del Sistema de Justicia Penal en el Estado, que se precisan a continuación:</w:t>
      </w:r>
    </w:p>
    <w:p w:rsidR="003E144F" w:rsidRPr="00576EF7" w:rsidRDefault="003E144F" w:rsidP="00576EF7">
      <w:pPr>
        <w:contextualSpacing/>
        <w:jc w:val="both"/>
        <w:rPr>
          <w:rFonts w:ascii="Arial" w:eastAsia="Calibri" w:hAnsi="Arial" w:cs="Arial"/>
          <w:spacing w:val="20"/>
          <w:kern w:val="2"/>
        </w:rPr>
      </w:pPr>
    </w:p>
    <w:p w:rsidR="00576EF7" w:rsidRPr="00576EF7" w:rsidRDefault="00576EF7" w:rsidP="003E144F">
      <w:pPr>
        <w:contextualSpacing/>
        <w:jc w:val="center"/>
        <w:rPr>
          <w:rFonts w:ascii="Arial" w:eastAsia="Calibri" w:hAnsi="Arial" w:cs="Arial"/>
          <w:spacing w:val="20"/>
          <w:kern w:val="2"/>
        </w:rPr>
      </w:pPr>
      <w:r w:rsidRPr="00576EF7">
        <w:rPr>
          <w:rFonts w:ascii="Arial" w:eastAsia="Calibri" w:hAnsi="Arial" w:cs="Arial"/>
          <w:noProof/>
          <w:spacing w:val="20"/>
          <w:kern w:val="2"/>
          <w:lang w:val="es-MX" w:eastAsia="es-MX"/>
        </w:rPr>
        <w:drawing>
          <wp:inline distT="0" distB="0" distL="0" distR="0">
            <wp:extent cx="4510617" cy="2020656"/>
            <wp:effectExtent l="19050" t="0" r="4233" b="0"/>
            <wp:docPr id="2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cstate="print"/>
                    <a:srcRect/>
                    <a:stretch>
                      <a:fillRect/>
                    </a:stretch>
                  </pic:blipFill>
                  <pic:spPr bwMode="auto">
                    <a:xfrm>
                      <a:off x="0" y="0"/>
                      <a:ext cx="4507777" cy="2019384"/>
                    </a:xfrm>
                    <a:prstGeom prst="rect">
                      <a:avLst/>
                    </a:prstGeom>
                    <a:noFill/>
                    <a:ln w="9525">
                      <a:noFill/>
                      <a:miter lim="800000"/>
                      <a:headEnd/>
                      <a:tailEnd/>
                    </a:ln>
                  </pic:spPr>
                </pic:pic>
              </a:graphicData>
            </a:graphic>
          </wp:inline>
        </w:drawing>
      </w: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lastRenderedPageBreak/>
        <w:t>Durante el ejercicio, se efectuaron dos desembolsos  de los recursos del crédito de JUSTICIA PENAL, iniciando su periodo de disposición el día 26 de octubre de 2015, el monto dispuesto asciende a  299 millones 720 mil pesos. El Estado  tiene como plazo máximo  para disponer de la totalidad de los recursos del crédito, 18 meses contados a partir de la fecha de la primera disposición, por lo cual, este crédito al cierre del ejercicio, se encuentra en periodo de disposición.</w:t>
      </w:r>
    </w:p>
    <w:p w:rsidR="003E144F" w:rsidRPr="00576EF7" w:rsidRDefault="003E144F"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Respecto al crédito FONREC III,  en este ejercicio concluyó el periodo de disposición de los recursos, durante el año  se dispusieron de 35 millones 685 mil. En total se efectuaron 17 desembolsos contados desde el inicio de su disposición el día 16 de abril de 2014 hasta la última disposición que fue el día 15 de octubre</w:t>
      </w:r>
      <w:r w:rsidR="00085514">
        <w:rPr>
          <w:rFonts w:ascii="Arial" w:eastAsia="Calibri" w:hAnsi="Arial" w:cs="Arial"/>
          <w:spacing w:val="20"/>
          <w:kern w:val="2"/>
        </w:rPr>
        <w:t xml:space="preserve"> de 2015</w:t>
      </w:r>
      <w:r w:rsidRPr="00576EF7">
        <w:rPr>
          <w:rFonts w:ascii="Arial" w:eastAsia="Calibri" w:hAnsi="Arial" w:cs="Arial"/>
          <w:spacing w:val="20"/>
          <w:kern w:val="2"/>
        </w:rPr>
        <w:t>, por un monto total de 210 millones  927 mil 487 pesos. De conformidad con el contrato de crédito estos recursos se destinaron para cubrir el costo de obras y acciones de reconstrucción de infraestructura estatal acordadas con el Poder Ejecutivo Federal, en el marco de los dispuesto en las Reglas Generales del Fondo de Desastres Naturales y sus lineamientos de operación, en virtud de daños ocasionados en el Estado por fenómenos naturales ocurridos en 2012.</w:t>
      </w:r>
    </w:p>
    <w:p w:rsidR="003E144F" w:rsidRPr="00576EF7" w:rsidRDefault="003E144F"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Así mismo el crédito FONREC II, también concluyó el periodo de disposición de los recursos del crédito.  Se dispusieron de 8 millones 210 mil 938 pesos durante el ejercicio  2015.  En total se efectuaron 25 desembolsos contados desde el inicio de la disposición el día 27 de noviembre de 2012 hasta la última disposición que fue el día 23 de septiembre de 2015, por un monto total de 260 millones 526 mil  230 pesos.</w:t>
      </w:r>
    </w:p>
    <w:p w:rsidR="00576EF7" w:rsidRPr="00576EF7" w:rsidRDefault="00576EF7" w:rsidP="00576EF7">
      <w:pPr>
        <w:contextualSpacing/>
        <w:jc w:val="both"/>
        <w:rPr>
          <w:rFonts w:ascii="Arial" w:eastAsia="Calibri" w:hAnsi="Arial" w:cs="Arial"/>
          <w:spacing w:val="20"/>
          <w:kern w:val="2"/>
        </w:rPr>
      </w:pPr>
    </w:p>
    <w:p w:rsidR="00D1241D" w:rsidRDefault="00D1241D">
      <w:pPr>
        <w:rPr>
          <w:rFonts w:ascii="Arial" w:hAnsi="Arial" w:cs="Arial"/>
          <w:b/>
          <w:bCs/>
        </w:rPr>
      </w:pPr>
      <w:r>
        <w:rPr>
          <w:rFonts w:ascii="Arial" w:hAnsi="Arial" w:cs="Arial"/>
          <w:b/>
          <w:bCs/>
        </w:rPr>
        <w:br w:type="page"/>
      </w:r>
    </w:p>
    <w:p w:rsidR="00576EF7" w:rsidRPr="003E144F" w:rsidRDefault="003E144F" w:rsidP="00576EF7">
      <w:pPr>
        <w:contextualSpacing/>
        <w:jc w:val="both"/>
        <w:rPr>
          <w:rFonts w:ascii="Arial" w:hAnsi="Arial" w:cs="Arial"/>
          <w:b/>
          <w:bCs/>
        </w:rPr>
      </w:pPr>
      <w:r>
        <w:rPr>
          <w:rFonts w:ascii="Arial" w:hAnsi="Arial" w:cs="Arial"/>
          <w:b/>
          <w:bCs/>
        </w:rPr>
        <w:lastRenderedPageBreak/>
        <w:t>7.2.2.2</w:t>
      </w:r>
      <w:r w:rsidR="00576EF7" w:rsidRPr="003E144F">
        <w:rPr>
          <w:rFonts w:ascii="Arial" w:hAnsi="Arial" w:cs="Arial"/>
          <w:b/>
          <w:bCs/>
        </w:rPr>
        <w:t>.</w:t>
      </w:r>
      <w:r>
        <w:rPr>
          <w:rFonts w:ascii="Arial" w:hAnsi="Arial" w:cs="Arial"/>
          <w:b/>
          <w:bCs/>
        </w:rPr>
        <w:t xml:space="preserve">- </w:t>
      </w:r>
      <w:r w:rsidRPr="003E144F">
        <w:rPr>
          <w:rFonts w:ascii="Arial" w:hAnsi="Arial" w:cs="Arial"/>
          <w:b/>
          <w:bCs/>
        </w:rPr>
        <w:t>SALDO Y COSTO FINANCIERO DE LOS CRÉDITOS BONO CUPÓN CERO.</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Se realizaron pagos de intereses,  honorarios fiduciarios por administración y calificación específica de los créditos, por la cantidad de 260 millones 443 mil 192 pesos, los cuales se aplicaron con recursos  de Participaciones.</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noProof/>
          <w:spacing w:val="20"/>
          <w:kern w:val="2"/>
          <w:lang w:val="es-MX" w:eastAsia="es-MX"/>
        </w:rPr>
        <w:drawing>
          <wp:inline distT="0" distB="0" distL="0" distR="0">
            <wp:extent cx="5820523" cy="1955800"/>
            <wp:effectExtent l="19050" t="0" r="8777" b="0"/>
            <wp:docPr id="2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srcRect/>
                    <a:stretch>
                      <a:fillRect/>
                    </a:stretch>
                  </pic:blipFill>
                  <pic:spPr bwMode="auto">
                    <a:xfrm>
                      <a:off x="0" y="0"/>
                      <a:ext cx="5821371" cy="1956085"/>
                    </a:xfrm>
                    <a:prstGeom prst="rect">
                      <a:avLst/>
                    </a:prstGeom>
                    <a:noFill/>
                    <a:ln w="9525">
                      <a:noFill/>
                      <a:miter lim="800000"/>
                      <a:headEnd/>
                      <a:tailEnd/>
                    </a:ln>
                  </pic:spPr>
                </pic:pic>
              </a:graphicData>
            </a:graphic>
          </wp:inline>
        </w:drawing>
      </w:r>
    </w:p>
    <w:p w:rsidR="003E144F" w:rsidRPr="00576EF7" w:rsidRDefault="003E144F" w:rsidP="00576EF7">
      <w:pPr>
        <w:contextualSpacing/>
        <w:jc w:val="both"/>
        <w:rPr>
          <w:rFonts w:ascii="Arial" w:eastAsia="Calibri" w:hAnsi="Arial" w:cs="Arial"/>
          <w:spacing w:val="20"/>
          <w:kern w:val="2"/>
        </w:rPr>
      </w:pPr>
    </w:p>
    <w:p w:rsidR="00D1241D" w:rsidRDefault="00D1241D">
      <w:pPr>
        <w:rPr>
          <w:rFonts w:ascii="Arial" w:hAnsi="Arial" w:cs="Arial"/>
          <w:b/>
          <w:bCs/>
        </w:rPr>
      </w:pPr>
      <w:r>
        <w:rPr>
          <w:rFonts w:ascii="Arial" w:hAnsi="Arial" w:cs="Arial"/>
          <w:b/>
          <w:bCs/>
        </w:rPr>
        <w:br w:type="page"/>
      </w:r>
    </w:p>
    <w:p w:rsidR="00576EF7" w:rsidRDefault="003E144F" w:rsidP="00576EF7">
      <w:pPr>
        <w:contextualSpacing/>
        <w:jc w:val="both"/>
        <w:rPr>
          <w:rFonts w:ascii="Arial" w:eastAsia="Calibri" w:hAnsi="Arial" w:cs="Arial"/>
          <w:spacing w:val="20"/>
          <w:kern w:val="2"/>
        </w:rPr>
      </w:pPr>
      <w:r>
        <w:rPr>
          <w:rFonts w:ascii="Arial" w:hAnsi="Arial" w:cs="Arial"/>
          <w:b/>
          <w:bCs/>
        </w:rPr>
        <w:lastRenderedPageBreak/>
        <w:t>7</w:t>
      </w:r>
      <w:r w:rsidR="00576EF7" w:rsidRPr="003E144F">
        <w:rPr>
          <w:rFonts w:ascii="Arial" w:hAnsi="Arial" w:cs="Arial"/>
          <w:b/>
          <w:bCs/>
        </w:rPr>
        <w:t>.</w:t>
      </w:r>
      <w:r>
        <w:rPr>
          <w:rFonts w:ascii="Arial" w:hAnsi="Arial" w:cs="Arial"/>
          <w:b/>
          <w:bCs/>
        </w:rPr>
        <w:t>3.-</w:t>
      </w:r>
      <w:r w:rsidR="00576EF7" w:rsidRPr="003E144F">
        <w:rPr>
          <w:rFonts w:ascii="Arial" w:hAnsi="Arial" w:cs="Arial"/>
          <w:b/>
          <w:bCs/>
        </w:rPr>
        <w:t xml:space="preserve">  CRÉDITOS BANCARIOS A CORTO PLAZO</w:t>
      </w:r>
      <w:r w:rsidR="00576EF7" w:rsidRPr="00576EF7">
        <w:rPr>
          <w:rFonts w:ascii="Arial" w:eastAsia="Calibri" w:hAnsi="Arial" w:cs="Arial"/>
          <w:spacing w:val="20"/>
          <w:kern w:val="2"/>
        </w:rPr>
        <w:t>.</w:t>
      </w:r>
    </w:p>
    <w:p w:rsidR="003E144F" w:rsidRPr="00576EF7" w:rsidRDefault="003E144F"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Con fundamento en el artículo 9 de la Ley de Deuda Pública y  como una medida de liquidez para  atender necesidades emergentes, fue necesario acceder a créditos a corto plazo.</w:t>
      </w:r>
    </w:p>
    <w:p w:rsidR="00085514" w:rsidRPr="00576EF7" w:rsidRDefault="00085514"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El saldo insoluto al cierre del ejercicio, asciende 1,825 millones de  pesos, como acreedores Banco Interacciones y HSBC.</w:t>
      </w:r>
    </w:p>
    <w:p w:rsidR="00576EF7" w:rsidRPr="00576EF7" w:rsidRDefault="00576EF7" w:rsidP="00576EF7">
      <w:pPr>
        <w:contextualSpacing/>
        <w:jc w:val="both"/>
        <w:rPr>
          <w:rFonts w:ascii="Arial" w:eastAsia="Calibri" w:hAnsi="Arial" w:cs="Arial"/>
          <w:spacing w:val="20"/>
          <w:kern w:val="2"/>
        </w:rPr>
      </w:pPr>
    </w:p>
    <w:p w:rsidR="00576EF7" w:rsidRPr="00576EF7" w:rsidRDefault="003E144F" w:rsidP="00576EF7">
      <w:pPr>
        <w:contextualSpacing/>
        <w:jc w:val="both"/>
        <w:rPr>
          <w:rFonts w:ascii="Arial" w:eastAsia="Calibri" w:hAnsi="Arial" w:cs="Arial"/>
          <w:spacing w:val="20"/>
          <w:kern w:val="2"/>
        </w:rPr>
      </w:pPr>
      <w:r>
        <w:rPr>
          <w:rFonts w:ascii="Arial" w:hAnsi="Arial" w:cs="Arial"/>
          <w:b/>
          <w:bCs/>
        </w:rPr>
        <w:t>7.3.1</w:t>
      </w:r>
      <w:r w:rsidR="00576EF7" w:rsidRPr="003E144F">
        <w:rPr>
          <w:rFonts w:ascii="Arial" w:hAnsi="Arial" w:cs="Arial"/>
          <w:b/>
          <w:bCs/>
        </w:rPr>
        <w:t>.</w:t>
      </w:r>
      <w:r>
        <w:rPr>
          <w:rFonts w:ascii="Arial" w:hAnsi="Arial" w:cs="Arial"/>
          <w:b/>
          <w:bCs/>
        </w:rPr>
        <w:t>-</w:t>
      </w:r>
      <w:r w:rsidR="00576EF7" w:rsidRPr="003E144F">
        <w:rPr>
          <w:rFonts w:ascii="Arial" w:hAnsi="Arial" w:cs="Arial"/>
          <w:b/>
          <w:bCs/>
        </w:rPr>
        <w:t xml:space="preserve"> </w:t>
      </w:r>
      <w:r w:rsidRPr="003E144F">
        <w:rPr>
          <w:rFonts w:ascii="Arial" w:hAnsi="Arial" w:cs="Arial"/>
          <w:b/>
          <w:bCs/>
        </w:rPr>
        <w:t>SALDO Y  COSTO FINANCIERO DE LOS CRÉDITOS BANCARIOS A CORTO PLAZO</w:t>
      </w:r>
      <w:r w:rsidRPr="00576EF7">
        <w:rPr>
          <w:rFonts w:ascii="Arial" w:eastAsia="Calibri" w:hAnsi="Arial" w:cs="Arial"/>
          <w:spacing w:val="20"/>
          <w:kern w:val="2"/>
        </w:rPr>
        <w:t>.</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Se realizaron pagos por concepto de intereses y comisiones bancarias por la cantidad de 143 millones 217 mil 49</w:t>
      </w:r>
      <w:r w:rsidR="00085514">
        <w:rPr>
          <w:rFonts w:ascii="Arial" w:eastAsia="Calibri" w:hAnsi="Arial" w:cs="Arial"/>
          <w:spacing w:val="20"/>
          <w:kern w:val="2"/>
        </w:rPr>
        <w:t>3</w:t>
      </w:r>
      <w:r w:rsidRPr="00576EF7">
        <w:rPr>
          <w:rFonts w:ascii="Arial" w:eastAsia="Calibri" w:hAnsi="Arial" w:cs="Arial"/>
          <w:spacing w:val="20"/>
          <w:kern w:val="2"/>
        </w:rPr>
        <w:t xml:space="preserve"> pesos, los cuales se aplicaron con recursos  de Participaciones; se pagaron 26 millones de pesos de amortización de capital del crédito con Banco Interacciones, con recursos de FAFEF Saneamiento Financiero.</w:t>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noProof/>
          <w:spacing w:val="20"/>
          <w:kern w:val="2"/>
          <w:lang w:val="es-MX" w:eastAsia="es-MX"/>
        </w:rPr>
        <w:drawing>
          <wp:inline distT="0" distB="0" distL="0" distR="0">
            <wp:extent cx="5695950" cy="2076945"/>
            <wp:effectExtent l="19050" t="0" r="0" b="0"/>
            <wp:docPr id="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srcRect/>
                    <a:stretch>
                      <a:fillRect/>
                    </a:stretch>
                  </pic:blipFill>
                  <pic:spPr bwMode="auto">
                    <a:xfrm>
                      <a:off x="0" y="0"/>
                      <a:ext cx="5704520" cy="2080070"/>
                    </a:xfrm>
                    <a:prstGeom prst="rect">
                      <a:avLst/>
                    </a:prstGeom>
                    <a:noFill/>
                    <a:ln w="9525">
                      <a:noFill/>
                      <a:miter lim="800000"/>
                      <a:headEnd/>
                      <a:tailEnd/>
                    </a:ln>
                  </pic:spPr>
                </pic:pic>
              </a:graphicData>
            </a:graphic>
          </wp:inline>
        </w:drawing>
      </w:r>
    </w:p>
    <w:p w:rsidR="00576EF7" w:rsidRPr="00576EF7" w:rsidRDefault="00576EF7" w:rsidP="00576EF7">
      <w:pPr>
        <w:contextualSpacing/>
        <w:jc w:val="both"/>
        <w:rPr>
          <w:rFonts w:ascii="Arial" w:eastAsia="Calibri" w:hAnsi="Arial" w:cs="Arial"/>
          <w:spacing w:val="20"/>
          <w:kern w:val="2"/>
        </w:rPr>
      </w:pPr>
    </w:p>
    <w:p w:rsidR="00D1241D" w:rsidRDefault="00D1241D">
      <w:pPr>
        <w:rPr>
          <w:rFonts w:ascii="Arial" w:hAnsi="Arial" w:cs="Arial"/>
          <w:b/>
          <w:bCs/>
        </w:rPr>
      </w:pPr>
      <w:r>
        <w:rPr>
          <w:rFonts w:ascii="Arial" w:hAnsi="Arial" w:cs="Arial"/>
          <w:b/>
          <w:bCs/>
        </w:rPr>
        <w:br w:type="page"/>
      </w:r>
    </w:p>
    <w:p w:rsidR="003E144F" w:rsidRPr="003E144F" w:rsidRDefault="003E144F" w:rsidP="00576EF7">
      <w:pPr>
        <w:contextualSpacing/>
        <w:jc w:val="both"/>
        <w:rPr>
          <w:rFonts w:ascii="Arial" w:hAnsi="Arial" w:cs="Arial"/>
          <w:b/>
          <w:bCs/>
        </w:rPr>
      </w:pPr>
      <w:r>
        <w:rPr>
          <w:rFonts w:ascii="Arial" w:hAnsi="Arial" w:cs="Arial"/>
          <w:b/>
          <w:bCs/>
        </w:rPr>
        <w:lastRenderedPageBreak/>
        <w:t>7.4.-</w:t>
      </w:r>
      <w:r w:rsidR="00576EF7" w:rsidRPr="003E144F">
        <w:rPr>
          <w:rFonts w:ascii="Arial" w:hAnsi="Arial" w:cs="Arial"/>
          <w:b/>
          <w:bCs/>
        </w:rPr>
        <w:t xml:space="preserve"> APLICACIÓN DEL SERVICIO DE  LA DEUDA PÚBLICA Y OBLIGACIONES DE PAGO POR FUENTE DE FINANCIAMIENTO.</w:t>
      </w:r>
    </w:p>
    <w:p w:rsidR="003E144F" w:rsidRPr="003E144F" w:rsidRDefault="003E144F" w:rsidP="00576EF7">
      <w:pPr>
        <w:contextualSpacing/>
        <w:jc w:val="both"/>
        <w:rPr>
          <w:rFonts w:ascii="Arial" w:hAnsi="Arial" w:cs="Arial"/>
          <w:b/>
          <w:bCs/>
        </w:rPr>
      </w:pPr>
    </w:p>
    <w:p w:rsidR="003E144F" w:rsidRDefault="003E144F"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En total se ejercieron presupuestariamente para el servicio de la deuda pública (capitulo del gasto 9000)  y obligaciones de pago (capitulo del gasto 3000)  la cantidad de 1,174 millones 644 mil 811 pesos, los cuales se aplicaron con recursos de Participaciones, FAFEF y FISE.</w:t>
      </w:r>
    </w:p>
    <w:p w:rsidR="003E144F" w:rsidRPr="00576EF7" w:rsidRDefault="003E144F" w:rsidP="00576EF7">
      <w:pPr>
        <w:contextualSpacing/>
        <w:jc w:val="both"/>
        <w:rPr>
          <w:rFonts w:ascii="Arial" w:eastAsia="Calibri" w:hAnsi="Arial" w:cs="Arial"/>
          <w:spacing w:val="20"/>
          <w:kern w:val="2"/>
        </w:rPr>
      </w:pPr>
    </w:p>
    <w:p w:rsidR="00576EF7" w:rsidRPr="00576EF7" w:rsidRDefault="00576EF7" w:rsidP="003E144F">
      <w:pPr>
        <w:contextualSpacing/>
        <w:jc w:val="center"/>
        <w:rPr>
          <w:rFonts w:ascii="Arial" w:eastAsia="Calibri" w:hAnsi="Arial" w:cs="Arial"/>
          <w:spacing w:val="20"/>
          <w:kern w:val="2"/>
        </w:rPr>
      </w:pPr>
      <w:r w:rsidRPr="00576EF7">
        <w:rPr>
          <w:rFonts w:ascii="Arial" w:eastAsia="Calibri" w:hAnsi="Arial" w:cs="Arial"/>
          <w:noProof/>
          <w:spacing w:val="20"/>
          <w:kern w:val="2"/>
          <w:lang w:val="es-MX" w:eastAsia="es-MX"/>
        </w:rPr>
        <w:drawing>
          <wp:inline distT="0" distB="0" distL="0" distR="0">
            <wp:extent cx="5081863" cy="3852333"/>
            <wp:effectExtent l="19050" t="0" r="4487" b="0"/>
            <wp:docPr id="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print"/>
                    <a:srcRect/>
                    <a:stretch>
                      <a:fillRect/>
                    </a:stretch>
                  </pic:blipFill>
                  <pic:spPr bwMode="auto">
                    <a:xfrm>
                      <a:off x="0" y="0"/>
                      <a:ext cx="5092016" cy="3860030"/>
                    </a:xfrm>
                    <a:prstGeom prst="rect">
                      <a:avLst/>
                    </a:prstGeom>
                    <a:noFill/>
                    <a:ln w="9525">
                      <a:noFill/>
                      <a:miter lim="800000"/>
                      <a:headEnd/>
                      <a:tailEnd/>
                    </a:ln>
                  </pic:spPr>
                </pic:pic>
              </a:graphicData>
            </a:graphic>
          </wp:inline>
        </w:drawing>
      </w:r>
    </w:p>
    <w:p w:rsidR="00576EF7" w:rsidRPr="00576EF7" w:rsidRDefault="00576EF7"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p>
    <w:p w:rsidR="00D1241D" w:rsidRDefault="00D1241D">
      <w:pPr>
        <w:rPr>
          <w:rFonts w:ascii="Arial" w:hAnsi="Arial" w:cs="Arial"/>
          <w:b/>
          <w:bCs/>
        </w:rPr>
      </w:pPr>
      <w:r>
        <w:rPr>
          <w:rFonts w:ascii="Arial" w:hAnsi="Arial" w:cs="Arial"/>
          <w:b/>
          <w:bCs/>
        </w:rPr>
        <w:br w:type="page"/>
      </w:r>
    </w:p>
    <w:p w:rsidR="00576EF7" w:rsidRDefault="003E144F" w:rsidP="00576EF7">
      <w:pPr>
        <w:contextualSpacing/>
        <w:jc w:val="both"/>
        <w:rPr>
          <w:rFonts w:ascii="Arial" w:eastAsia="Calibri" w:hAnsi="Arial" w:cs="Arial"/>
          <w:spacing w:val="20"/>
          <w:kern w:val="2"/>
        </w:rPr>
      </w:pPr>
      <w:r>
        <w:rPr>
          <w:rFonts w:ascii="Arial" w:hAnsi="Arial" w:cs="Arial"/>
          <w:b/>
          <w:bCs/>
        </w:rPr>
        <w:lastRenderedPageBreak/>
        <w:t>7.5</w:t>
      </w:r>
      <w:r w:rsidR="00576EF7" w:rsidRPr="003E144F">
        <w:rPr>
          <w:rFonts w:ascii="Arial" w:hAnsi="Arial" w:cs="Arial"/>
          <w:b/>
          <w:bCs/>
        </w:rPr>
        <w:t>.</w:t>
      </w:r>
      <w:r>
        <w:rPr>
          <w:rFonts w:ascii="Arial" w:hAnsi="Arial" w:cs="Arial"/>
          <w:b/>
          <w:bCs/>
        </w:rPr>
        <w:t>-</w:t>
      </w:r>
      <w:r w:rsidR="00576EF7" w:rsidRPr="003E144F">
        <w:rPr>
          <w:rFonts w:ascii="Arial" w:hAnsi="Arial" w:cs="Arial"/>
          <w:b/>
          <w:bCs/>
        </w:rPr>
        <w:t xml:space="preserve"> DEUDA PÚBLICA MUNICIPAL</w:t>
      </w:r>
      <w:r w:rsidR="00576EF7" w:rsidRPr="00576EF7">
        <w:rPr>
          <w:rFonts w:ascii="Arial" w:eastAsia="Calibri" w:hAnsi="Arial" w:cs="Arial"/>
          <w:spacing w:val="20"/>
          <w:kern w:val="2"/>
        </w:rPr>
        <w:t>.</w:t>
      </w:r>
    </w:p>
    <w:p w:rsidR="003E144F" w:rsidRPr="00576EF7" w:rsidRDefault="003E144F"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Los Municipios que tienen contratados créditos a largo plazo aparecen como únicos  deudores y responsables de la obligación, el Estado no es aval, ni deudor solidario de estas obligaciones.</w:t>
      </w:r>
    </w:p>
    <w:p w:rsidR="00771D9C" w:rsidRPr="00576EF7" w:rsidRDefault="00771D9C" w:rsidP="00576EF7">
      <w:pPr>
        <w:contextualSpacing/>
        <w:jc w:val="both"/>
        <w:rPr>
          <w:rFonts w:ascii="Arial" w:eastAsia="Calibri" w:hAnsi="Arial" w:cs="Arial"/>
          <w:spacing w:val="20"/>
          <w:kern w:val="2"/>
        </w:rPr>
      </w:pPr>
    </w:p>
    <w:p w:rsidR="00576EF7" w:rsidRP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Actualmente existen 82 créditos vigentes, donde 6 créditos afectan como fuente de pago las Participaciones y 76 créditos afectan como fuente de pago los recursos del Fondo de Infraestructura Social Municipal.</w:t>
      </w: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Durante el ejercicio se contrataron de 34 créditos y se liquidaron en su totalidad 2 créditos.</w:t>
      </w:r>
    </w:p>
    <w:p w:rsidR="003E144F" w:rsidRPr="00576EF7" w:rsidRDefault="003E144F" w:rsidP="00576EF7">
      <w:pPr>
        <w:contextualSpacing/>
        <w:jc w:val="both"/>
        <w:rPr>
          <w:rFonts w:ascii="Arial" w:eastAsia="Calibri" w:hAnsi="Arial" w:cs="Arial"/>
          <w:spacing w:val="20"/>
          <w:kern w:val="2"/>
        </w:rPr>
      </w:pPr>
    </w:p>
    <w:p w:rsidR="00576EF7" w:rsidRDefault="00576EF7" w:rsidP="00576EF7">
      <w:pPr>
        <w:contextualSpacing/>
        <w:jc w:val="both"/>
        <w:rPr>
          <w:rFonts w:ascii="Arial" w:eastAsia="Calibri" w:hAnsi="Arial" w:cs="Arial"/>
          <w:spacing w:val="20"/>
          <w:kern w:val="2"/>
        </w:rPr>
      </w:pPr>
      <w:r w:rsidRPr="00576EF7">
        <w:rPr>
          <w:rFonts w:ascii="Arial" w:eastAsia="Calibri" w:hAnsi="Arial" w:cs="Arial"/>
          <w:spacing w:val="20"/>
          <w:kern w:val="2"/>
        </w:rPr>
        <w:t>El saldo asciende a 403 millones 746 mil  995pesos.</w:t>
      </w:r>
    </w:p>
    <w:p w:rsidR="003E144F" w:rsidRPr="00576EF7" w:rsidRDefault="003E144F" w:rsidP="00576EF7">
      <w:pPr>
        <w:contextualSpacing/>
        <w:jc w:val="both"/>
        <w:rPr>
          <w:rFonts w:ascii="Arial" w:eastAsia="Calibri" w:hAnsi="Arial" w:cs="Arial"/>
          <w:spacing w:val="20"/>
          <w:kern w:val="2"/>
        </w:rPr>
      </w:pPr>
    </w:p>
    <w:p w:rsidR="00576EF7" w:rsidRDefault="00576EF7" w:rsidP="00576EF7">
      <w:pPr>
        <w:jc w:val="both"/>
        <w:rPr>
          <w:rFonts w:ascii="Arial" w:eastAsia="Calibri" w:hAnsi="Arial" w:cs="Arial"/>
          <w:spacing w:val="20"/>
        </w:rPr>
      </w:pPr>
      <w:r>
        <w:rPr>
          <w:rFonts w:ascii="Arial" w:eastAsia="Calibri" w:hAnsi="Arial" w:cs="Arial"/>
          <w:spacing w:val="20"/>
        </w:rPr>
        <w:t>Es importante  destacar que  todos los créditos contratados en donde dejan como fuente de pago el FISE, terminarán de liquidarse el día 01 de noviembre de 2016.</w:t>
      </w:r>
    </w:p>
    <w:p w:rsidR="003E144F" w:rsidRDefault="003E144F" w:rsidP="00576EF7">
      <w:pPr>
        <w:jc w:val="both"/>
        <w:rPr>
          <w:rFonts w:ascii="Arial" w:eastAsia="Calibri" w:hAnsi="Arial" w:cs="Arial"/>
          <w:spacing w:val="20"/>
        </w:rPr>
      </w:pPr>
    </w:p>
    <w:p w:rsidR="00576EF7" w:rsidRPr="00A20E52" w:rsidRDefault="00576EF7" w:rsidP="00576EF7">
      <w:pPr>
        <w:jc w:val="center"/>
      </w:pPr>
      <w:r w:rsidRPr="00AC5D75">
        <w:rPr>
          <w:noProof/>
          <w:lang w:val="es-MX" w:eastAsia="es-MX"/>
        </w:rPr>
        <w:drawing>
          <wp:inline distT="0" distB="0" distL="0" distR="0">
            <wp:extent cx="5730471" cy="1708865"/>
            <wp:effectExtent l="19050" t="0" r="3579" b="0"/>
            <wp:docPr id="22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srcRect/>
                    <a:stretch>
                      <a:fillRect/>
                    </a:stretch>
                  </pic:blipFill>
                  <pic:spPr bwMode="auto">
                    <a:xfrm>
                      <a:off x="0" y="0"/>
                      <a:ext cx="5720634" cy="1705932"/>
                    </a:xfrm>
                    <a:prstGeom prst="rect">
                      <a:avLst/>
                    </a:prstGeom>
                    <a:noFill/>
                    <a:ln w="9525">
                      <a:noFill/>
                      <a:miter lim="800000"/>
                      <a:headEnd/>
                      <a:tailEnd/>
                    </a:ln>
                  </pic:spPr>
                </pic:pic>
              </a:graphicData>
            </a:graphic>
          </wp:inline>
        </w:drawing>
      </w:r>
    </w:p>
    <w:p w:rsidR="00576EF7" w:rsidRDefault="00576EF7" w:rsidP="00576EF7">
      <w:pPr>
        <w:rPr>
          <w:rFonts w:ascii="Arial" w:hAnsi="Arial" w:cs="Arial"/>
          <w:b/>
        </w:rPr>
      </w:pPr>
      <w:r>
        <w:rPr>
          <w:rFonts w:ascii="Arial" w:hAnsi="Arial" w:cs="Arial"/>
          <w:b/>
        </w:rPr>
        <w:br w:type="page"/>
      </w:r>
    </w:p>
    <w:p w:rsidR="000708E7" w:rsidRDefault="000708E7" w:rsidP="000C4674">
      <w:pPr>
        <w:jc w:val="both"/>
        <w:rPr>
          <w:rFonts w:ascii="Arial" w:eastAsia="Calibri" w:hAnsi="Arial" w:cs="Arial"/>
          <w:spacing w:val="20"/>
          <w:kern w:val="2"/>
        </w:rPr>
      </w:pPr>
    </w:p>
    <w:p w:rsidR="000708E7" w:rsidRDefault="000708E7" w:rsidP="000708E7">
      <w:pPr>
        <w:jc w:val="both"/>
        <w:rPr>
          <w:rFonts w:ascii="Arial" w:hAnsi="Arial" w:cs="Arial"/>
          <w:b/>
        </w:rPr>
      </w:pPr>
      <w:r w:rsidRPr="00B73E98">
        <w:rPr>
          <w:rFonts w:ascii="Arial" w:hAnsi="Arial" w:cs="Arial"/>
          <w:b/>
        </w:rPr>
        <w:t>8.- BURSATILIZACI</w:t>
      </w:r>
      <w:r w:rsidR="00C521CB">
        <w:rPr>
          <w:rFonts w:ascii="Arial" w:hAnsi="Arial" w:cs="Arial"/>
          <w:b/>
        </w:rPr>
        <w:t>Ó</w:t>
      </w:r>
      <w:r w:rsidRPr="00B73E98">
        <w:rPr>
          <w:rFonts w:ascii="Arial" w:hAnsi="Arial" w:cs="Arial"/>
          <w:b/>
        </w:rPr>
        <w:t xml:space="preserve">N </w:t>
      </w:r>
    </w:p>
    <w:p w:rsidR="000708E7" w:rsidRPr="00B73E98" w:rsidRDefault="000708E7" w:rsidP="000708E7">
      <w:pPr>
        <w:jc w:val="both"/>
        <w:rPr>
          <w:rFonts w:ascii="Arial" w:hAnsi="Arial" w:cs="Arial"/>
          <w:b/>
        </w:rPr>
      </w:pPr>
    </w:p>
    <w:p w:rsidR="000708E7" w:rsidRDefault="000708E7" w:rsidP="000708E7">
      <w:pPr>
        <w:contextualSpacing/>
        <w:jc w:val="both"/>
        <w:rPr>
          <w:rFonts w:ascii="Arial" w:eastAsia="Calibri" w:hAnsi="Arial" w:cs="Arial"/>
          <w:spacing w:val="20"/>
          <w:kern w:val="2"/>
        </w:rPr>
      </w:pPr>
      <w:r w:rsidRPr="000708E7">
        <w:rPr>
          <w:rFonts w:ascii="Arial" w:eastAsia="Calibri" w:hAnsi="Arial" w:cs="Arial"/>
          <w:spacing w:val="20"/>
          <w:kern w:val="2"/>
        </w:rPr>
        <w:t>El Gobierno del Estado, ha cumplido en tiempo y forma con la obligaciones contraídas por financiamiento recibido a través de emisión de Certificados Bursátiles Fiduciarios, títulos en Unidades de Inversión (UDI) que cotizan en el mercado bursátil, cuya clave de pizarra es OAXCB U07, como son: los pagos de intereses y de principal al público inversionista tenedores de los títulos emitidos. También ha mantenido a la fecha la calificación de ‘AA+(</w:t>
      </w:r>
      <w:proofErr w:type="spellStart"/>
      <w:r w:rsidRPr="000708E7">
        <w:rPr>
          <w:rFonts w:ascii="Arial" w:eastAsia="Calibri" w:hAnsi="Arial" w:cs="Arial"/>
          <w:spacing w:val="20"/>
          <w:kern w:val="2"/>
        </w:rPr>
        <w:t>mex</w:t>
      </w:r>
      <w:proofErr w:type="spellEnd"/>
      <w:r w:rsidRPr="000708E7">
        <w:rPr>
          <w:rFonts w:ascii="Arial" w:eastAsia="Calibri" w:hAnsi="Arial" w:cs="Arial"/>
          <w:spacing w:val="20"/>
          <w:kern w:val="2"/>
        </w:rPr>
        <w:t xml:space="preserve">)’ de </w:t>
      </w:r>
      <w:proofErr w:type="spellStart"/>
      <w:r w:rsidRPr="000708E7">
        <w:rPr>
          <w:rFonts w:ascii="Arial" w:eastAsia="Calibri" w:hAnsi="Arial" w:cs="Arial"/>
          <w:spacing w:val="20"/>
          <w:kern w:val="2"/>
        </w:rPr>
        <w:t>Fitch</w:t>
      </w:r>
      <w:proofErr w:type="spellEnd"/>
      <w:r w:rsidRPr="000708E7">
        <w:rPr>
          <w:rFonts w:ascii="Arial" w:eastAsia="Calibri" w:hAnsi="Arial" w:cs="Arial"/>
          <w:spacing w:val="20"/>
          <w:kern w:val="2"/>
        </w:rPr>
        <w:t xml:space="preserve"> México, S.A. de C.V y ‘</w:t>
      </w:r>
      <w:proofErr w:type="spellStart"/>
      <w:r w:rsidRPr="000708E7">
        <w:rPr>
          <w:rFonts w:ascii="Arial" w:eastAsia="Calibri" w:hAnsi="Arial" w:cs="Arial"/>
          <w:spacing w:val="20"/>
          <w:kern w:val="2"/>
        </w:rPr>
        <w:t>mx.AA</w:t>
      </w:r>
      <w:proofErr w:type="spellEnd"/>
      <w:r w:rsidRPr="000708E7">
        <w:rPr>
          <w:rFonts w:ascii="Arial" w:eastAsia="Calibri" w:hAnsi="Arial" w:cs="Arial"/>
          <w:spacing w:val="20"/>
          <w:kern w:val="2"/>
        </w:rPr>
        <w:t xml:space="preserve">’ de parte de Standard &amp; </w:t>
      </w:r>
      <w:proofErr w:type="spellStart"/>
      <w:r w:rsidRPr="000708E7">
        <w:rPr>
          <w:rFonts w:ascii="Arial" w:eastAsia="Calibri" w:hAnsi="Arial" w:cs="Arial"/>
          <w:spacing w:val="20"/>
          <w:kern w:val="2"/>
        </w:rPr>
        <w:t>Poor´s</w:t>
      </w:r>
      <w:proofErr w:type="spellEnd"/>
      <w:r w:rsidRPr="000708E7">
        <w:rPr>
          <w:rFonts w:ascii="Arial" w:eastAsia="Calibri" w:hAnsi="Arial" w:cs="Arial"/>
          <w:spacing w:val="20"/>
          <w:kern w:val="2"/>
        </w:rPr>
        <w:t>, S.A. de C. V., que significan una alta calidad crediticia y una solida capacidad de pago de intereses así como de principal.</w:t>
      </w:r>
    </w:p>
    <w:p w:rsidR="00576EF7" w:rsidRPr="000708E7" w:rsidRDefault="00576EF7" w:rsidP="000708E7">
      <w:pPr>
        <w:contextualSpacing/>
        <w:jc w:val="both"/>
        <w:rPr>
          <w:rFonts w:ascii="Arial" w:eastAsia="Calibri" w:hAnsi="Arial" w:cs="Arial"/>
          <w:spacing w:val="20"/>
          <w:kern w:val="2"/>
        </w:rPr>
      </w:pPr>
    </w:p>
    <w:p w:rsidR="000708E7" w:rsidRDefault="000708E7" w:rsidP="000708E7">
      <w:pPr>
        <w:contextualSpacing/>
        <w:jc w:val="both"/>
        <w:rPr>
          <w:rFonts w:ascii="Arial" w:eastAsia="Calibri" w:hAnsi="Arial" w:cs="Arial"/>
          <w:spacing w:val="20"/>
          <w:kern w:val="2"/>
        </w:rPr>
      </w:pPr>
      <w:r w:rsidRPr="000708E7">
        <w:rPr>
          <w:rFonts w:ascii="Arial" w:eastAsia="Calibri" w:hAnsi="Arial" w:cs="Arial"/>
          <w:spacing w:val="20"/>
          <w:kern w:val="2"/>
        </w:rPr>
        <w:t xml:space="preserve"> El 29 de mayo de 2015 se efectuó el corte de cupón número 15 como pago de Intereses y el 7° pago del Principal que sumaron en su totalidad la cantidad de 173 millones 150 mil 735 pesos, y el 30 de noviembre del 2015 se efectuó el pago del cupón número 16 por un monto de 86 millones 467 mil 116 pesos, que fueron cubiertos por el Gobierno del Estado con sus ingresos propios generados de la recaudación de los Impuestos Sobre Nóminas (ISN) Y Derechos Vehiculares (DV) a través de la Fiduciaria HSBC.</w:t>
      </w:r>
    </w:p>
    <w:p w:rsidR="00576EF7" w:rsidRPr="000708E7" w:rsidRDefault="00576EF7" w:rsidP="000708E7">
      <w:pPr>
        <w:contextualSpacing/>
        <w:jc w:val="both"/>
        <w:rPr>
          <w:rFonts w:ascii="Arial" w:eastAsia="Calibri" w:hAnsi="Arial" w:cs="Arial"/>
          <w:spacing w:val="20"/>
          <w:kern w:val="2"/>
        </w:rPr>
      </w:pPr>
    </w:p>
    <w:p w:rsidR="000708E7" w:rsidRDefault="000708E7" w:rsidP="000708E7">
      <w:pPr>
        <w:contextualSpacing/>
        <w:jc w:val="both"/>
        <w:rPr>
          <w:rFonts w:ascii="Arial" w:eastAsia="Calibri" w:hAnsi="Arial" w:cs="Arial"/>
          <w:spacing w:val="20"/>
          <w:kern w:val="2"/>
        </w:rPr>
      </w:pPr>
      <w:r w:rsidRPr="000708E7">
        <w:rPr>
          <w:rFonts w:ascii="Arial" w:eastAsia="Calibri" w:hAnsi="Arial" w:cs="Arial"/>
          <w:spacing w:val="20"/>
          <w:kern w:val="2"/>
        </w:rPr>
        <w:t>En el periodo de Diciembre 2007 a diciembre 2014, el Gobierno, logró recaudar entre los conceptos, ISN y DV el importe de: 5 mil 279 millones 819 mil 428 pesos. En el periodo Diciembre 2007 a junio 2015, el Gobierno ha recibido por concepto de la Cuenta Entrega de Remanentes de parte la Fiduciaria HSBC, el importe de 2 mil 926 millones 228 mil 485 pesos.</w:t>
      </w:r>
    </w:p>
    <w:p w:rsidR="00576EF7" w:rsidRPr="000708E7" w:rsidRDefault="00576EF7" w:rsidP="000708E7">
      <w:pPr>
        <w:contextualSpacing/>
        <w:jc w:val="both"/>
        <w:rPr>
          <w:rFonts w:ascii="Arial" w:eastAsia="Calibri" w:hAnsi="Arial" w:cs="Arial"/>
          <w:spacing w:val="20"/>
          <w:kern w:val="2"/>
        </w:rPr>
      </w:pPr>
    </w:p>
    <w:p w:rsidR="000708E7" w:rsidRDefault="000708E7" w:rsidP="000708E7">
      <w:pPr>
        <w:contextualSpacing/>
        <w:jc w:val="both"/>
        <w:rPr>
          <w:rFonts w:ascii="Arial" w:eastAsia="Calibri" w:hAnsi="Arial" w:cs="Arial"/>
          <w:spacing w:val="20"/>
          <w:kern w:val="2"/>
        </w:rPr>
      </w:pPr>
      <w:r w:rsidRPr="000708E7">
        <w:rPr>
          <w:rFonts w:ascii="Arial" w:eastAsia="Calibri" w:hAnsi="Arial" w:cs="Arial"/>
          <w:spacing w:val="20"/>
          <w:kern w:val="2"/>
        </w:rPr>
        <w:t>Así mismo, cabe señalar que el Gobierno del Estado a través de su administración, ha logrado superar la Cobertura Promedio Anual (CPA) sobre el mínimo exigido por el Fideicomiso que es de 1.6 (uno punto seis) veces al índice de 4.577 (</w:t>
      </w:r>
      <w:r w:rsidR="00C521CB">
        <w:rPr>
          <w:rFonts w:ascii="Arial" w:eastAsia="Calibri" w:hAnsi="Arial" w:cs="Arial"/>
          <w:spacing w:val="20"/>
          <w:kern w:val="2"/>
        </w:rPr>
        <w:t>cuatro</w:t>
      </w:r>
      <w:r w:rsidRPr="000708E7">
        <w:rPr>
          <w:rFonts w:ascii="Arial" w:eastAsia="Calibri" w:hAnsi="Arial" w:cs="Arial"/>
          <w:spacing w:val="20"/>
          <w:kern w:val="2"/>
        </w:rPr>
        <w:t xml:space="preserve"> punto quinientas setenta y siete milésimas) veces. El nivel del coeficiente en mención, se debe a la estrategia de recaudación de los ingresos propios aplicada en el ejercicio 2015. </w:t>
      </w:r>
    </w:p>
    <w:p w:rsidR="00576EF7" w:rsidRPr="000708E7" w:rsidRDefault="00576EF7" w:rsidP="000708E7">
      <w:pPr>
        <w:contextualSpacing/>
        <w:jc w:val="both"/>
        <w:rPr>
          <w:rFonts w:ascii="Arial" w:eastAsia="Calibri" w:hAnsi="Arial" w:cs="Arial"/>
          <w:spacing w:val="20"/>
          <w:kern w:val="2"/>
        </w:rPr>
      </w:pPr>
    </w:p>
    <w:p w:rsidR="000708E7" w:rsidRDefault="000708E7" w:rsidP="000708E7">
      <w:pPr>
        <w:contextualSpacing/>
        <w:jc w:val="both"/>
        <w:rPr>
          <w:rFonts w:ascii="Arial" w:eastAsia="Calibri" w:hAnsi="Arial" w:cs="Arial"/>
          <w:spacing w:val="20"/>
          <w:kern w:val="2"/>
        </w:rPr>
      </w:pPr>
      <w:r w:rsidRPr="000708E7">
        <w:rPr>
          <w:rFonts w:ascii="Arial" w:eastAsia="Calibri" w:hAnsi="Arial" w:cs="Arial"/>
          <w:spacing w:val="20"/>
          <w:kern w:val="2"/>
        </w:rPr>
        <w:t xml:space="preserve">En relación a la Emisión de los Certificados Bursátiles Fiduciarios 2007, fueron </w:t>
      </w:r>
      <w:proofErr w:type="spellStart"/>
      <w:r w:rsidRPr="000708E7">
        <w:rPr>
          <w:rFonts w:ascii="Arial" w:eastAsia="Calibri" w:hAnsi="Arial" w:cs="Arial"/>
          <w:spacing w:val="20"/>
          <w:kern w:val="2"/>
        </w:rPr>
        <w:t>fideicomitidos</w:t>
      </w:r>
      <w:proofErr w:type="spellEnd"/>
      <w:r w:rsidRPr="000708E7">
        <w:rPr>
          <w:rFonts w:ascii="Arial" w:eastAsia="Calibri" w:hAnsi="Arial" w:cs="Arial"/>
          <w:spacing w:val="20"/>
          <w:kern w:val="2"/>
        </w:rPr>
        <w:t xml:space="preserve"> el 100 % de los ingresos de Derecho Vehicular e Impuesto Sobre Nóminas como fuente de pago de los Intereses y del Principal generados por la emisión y otros gastos colaterales de la </w:t>
      </w:r>
      <w:r w:rsidRPr="000708E7">
        <w:rPr>
          <w:rFonts w:ascii="Arial" w:eastAsia="Calibri" w:hAnsi="Arial" w:cs="Arial"/>
          <w:spacing w:val="20"/>
          <w:kern w:val="2"/>
        </w:rPr>
        <w:lastRenderedPageBreak/>
        <w:t xml:space="preserve">misma. Estos recursos captados para tal efecto, han sido suficientes, al grado que de ese total, regresa a las arcas del Gobierno el 55 % por concepto de Remanentes, los cuales son aplicados a las necesidades más apremiantes del Estado. </w:t>
      </w:r>
    </w:p>
    <w:p w:rsidR="00576EF7" w:rsidRPr="000708E7" w:rsidRDefault="00576EF7" w:rsidP="000708E7">
      <w:pPr>
        <w:contextualSpacing/>
        <w:jc w:val="both"/>
        <w:rPr>
          <w:rFonts w:ascii="Arial" w:eastAsia="Calibri" w:hAnsi="Arial" w:cs="Arial"/>
          <w:spacing w:val="20"/>
          <w:kern w:val="2"/>
        </w:rPr>
      </w:pPr>
    </w:p>
    <w:p w:rsidR="000708E7" w:rsidRPr="000708E7" w:rsidRDefault="000708E7" w:rsidP="000708E7">
      <w:pPr>
        <w:contextualSpacing/>
        <w:jc w:val="both"/>
        <w:rPr>
          <w:rFonts w:ascii="Arial" w:eastAsia="Calibri" w:hAnsi="Arial" w:cs="Arial"/>
          <w:spacing w:val="20"/>
          <w:kern w:val="2"/>
        </w:rPr>
      </w:pPr>
      <w:r w:rsidRPr="000708E7">
        <w:rPr>
          <w:rFonts w:ascii="Arial" w:eastAsia="Calibri" w:hAnsi="Arial" w:cs="Arial"/>
          <w:spacing w:val="20"/>
          <w:kern w:val="2"/>
        </w:rPr>
        <w:t>Lo antes descrito, confirma que el Gobierno del Estado de Oaxaca ha cumplido ampliamente con las obligaciones contraídas y que por esta razón, hasta la fecha, no se le han retenido los importes recaudados de las Tenencias tanto Federal y Local que garantizan el Fideicomiso de Sustitución.</w:t>
      </w:r>
    </w:p>
    <w:p w:rsidR="00771D9C" w:rsidRDefault="00771D9C">
      <w:pPr>
        <w:rPr>
          <w:rFonts w:ascii="Arial" w:eastAsia="Calibri" w:hAnsi="Arial" w:cs="Arial"/>
        </w:rPr>
      </w:pPr>
      <w:r>
        <w:rPr>
          <w:rFonts w:ascii="Arial" w:eastAsia="Calibri" w:hAnsi="Arial" w:cs="Arial"/>
        </w:rPr>
        <w:br w:type="page"/>
      </w:r>
    </w:p>
    <w:p w:rsidR="00771D9C" w:rsidRDefault="00354041" w:rsidP="00771D9C">
      <w:pPr>
        <w:contextualSpacing/>
        <w:jc w:val="both"/>
        <w:rPr>
          <w:rFonts w:ascii="Arial" w:eastAsia="Calibri" w:hAnsi="Arial" w:cs="Arial"/>
          <w:spacing w:val="20"/>
          <w:kern w:val="2"/>
        </w:rPr>
      </w:pPr>
      <w:r w:rsidRPr="00354041">
        <w:rPr>
          <w:rFonts w:ascii="Arial" w:hAnsi="Arial" w:cs="Arial"/>
          <w:b/>
        </w:rPr>
        <w:lastRenderedPageBreak/>
        <w:t xml:space="preserve">9.- </w:t>
      </w:r>
      <w:r>
        <w:rPr>
          <w:rFonts w:ascii="Arial" w:hAnsi="Arial" w:cs="Arial"/>
          <w:b/>
        </w:rPr>
        <w:t>PROYECTOS DE PRESTACION DE SERVICIOS A LARGO PLAZO</w:t>
      </w:r>
      <w:r w:rsidR="00771D9C" w:rsidRPr="00771D9C">
        <w:rPr>
          <w:rFonts w:ascii="Arial" w:eastAsia="Calibri" w:hAnsi="Arial" w:cs="Arial"/>
          <w:spacing w:val="20"/>
          <w:kern w:val="2"/>
        </w:rPr>
        <w:t xml:space="preserve">. </w:t>
      </w:r>
    </w:p>
    <w:p w:rsidR="00771D9C" w:rsidRPr="00771D9C" w:rsidRDefault="00771D9C" w:rsidP="00771D9C">
      <w:pPr>
        <w:contextualSpacing/>
        <w:jc w:val="both"/>
        <w:rPr>
          <w:rFonts w:ascii="Arial" w:eastAsia="Calibri" w:hAnsi="Arial" w:cs="Arial"/>
          <w:spacing w:val="20"/>
          <w:kern w:val="2"/>
        </w:rPr>
      </w:pPr>
    </w:p>
    <w:p w:rsidR="00771D9C" w:rsidRDefault="00771D9C" w:rsidP="00771D9C">
      <w:pPr>
        <w:contextualSpacing/>
        <w:jc w:val="both"/>
        <w:rPr>
          <w:rFonts w:ascii="Arial" w:eastAsia="Calibri" w:hAnsi="Arial" w:cs="Arial"/>
          <w:spacing w:val="20"/>
          <w:kern w:val="2"/>
        </w:rPr>
      </w:pPr>
      <w:r w:rsidRPr="00771D9C">
        <w:rPr>
          <w:rFonts w:ascii="Arial" w:eastAsia="Calibri" w:hAnsi="Arial" w:cs="Arial"/>
          <w:spacing w:val="20"/>
          <w:kern w:val="2"/>
        </w:rPr>
        <w:t>La primera entidad federativa de México en realizar reformas para  incorporar el esquema de los PPS, ha sido el Estado de Oaxaca, en el 2005. En efecto, el día 3 de septiembre de 2005 se publicaron en el  Periódico Oficial del Gobierno del Estado de Oaxaca diversas reformas legales, con el propósito de adecuar la legislación local para la operación de este esquema jurídico-financiero.</w:t>
      </w:r>
    </w:p>
    <w:p w:rsidR="00771D9C" w:rsidRPr="00771D9C" w:rsidRDefault="00771D9C" w:rsidP="00771D9C">
      <w:pPr>
        <w:contextualSpacing/>
        <w:jc w:val="both"/>
        <w:rPr>
          <w:rFonts w:ascii="Arial" w:eastAsia="Calibri" w:hAnsi="Arial" w:cs="Arial"/>
          <w:spacing w:val="20"/>
          <w:kern w:val="2"/>
        </w:rPr>
      </w:pPr>
    </w:p>
    <w:p w:rsidR="00771D9C" w:rsidRDefault="00771D9C" w:rsidP="00771D9C">
      <w:pPr>
        <w:contextualSpacing/>
        <w:jc w:val="both"/>
        <w:rPr>
          <w:rFonts w:ascii="Arial" w:eastAsia="Calibri" w:hAnsi="Arial" w:cs="Arial"/>
          <w:spacing w:val="20"/>
          <w:kern w:val="2"/>
        </w:rPr>
      </w:pPr>
      <w:r w:rsidRPr="00771D9C">
        <w:rPr>
          <w:rFonts w:ascii="Arial" w:eastAsia="Calibri" w:hAnsi="Arial" w:cs="Arial"/>
          <w:spacing w:val="20"/>
          <w:kern w:val="2"/>
        </w:rPr>
        <w:t>Las ventajas importantes que presenta la figura financiera de los PPS, son las siguientes: le  permite al Estado convertir un gasto corriente en gasto de inversión, ya que todas las cantidades que venía pagando vía de arrendamientos y servicios generales de oficinas, se aplican para recibir estos servicios y además adquirir el inmueble en que se desarrollan; el financiamiento lo contratan los inversionistas privados, por lo cual no constituye Deuda Directa para el Estado, tocante a la estructura fiscal de los PPS, se recupera y se reinvierte el Impuesto al Valor Agredo (IVA) y no se  pagó como contraprestación hasta no recibir con la entera satisfacción la Ciudad Administrativa “ Benemérito de las Américas” y la Ciudad Judicial y en forma resumida, el beneficio estrictamente económico-financiero del  los PPS para las finanzas públicas del Gobierno del Estado, se ha fortalecido la vocación turística de la Ciudad de Oaxaca al despejar el Centro Histórico de casi todas de las oficinas públicas.</w:t>
      </w:r>
    </w:p>
    <w:p w:rsidR="00771D9C" w:rsidRPr="00771D9C" w:rsidRDefault="00771D9C" w:rsidP="00771D9C">
      <w:pPr>
        <w:contextualSpacing/>
        <w:jc w:val="both"/>
        <w:rPr>
          <w:rFonts w:ascii="Arial" w:eastAsia="Calibri" w:hAnsi="Arial" w:cs="Arial"/>
          <w:spacing w:val="20"/>
          <w:kern w:val="2"/>
        </w:rPr>
      </w:pPr>
    </w:p>
    <w:p w:rsidR="00771D9C" w:rsidRDefault="00771D9C" w:rsidP="00771D9C">
      <w:pPr>
        <w:contextualSpacing/>
        <w:jc w:val="both"/>
        <w:rPr>
          <w:rFonts w:ascii="Arial" w:eastAsia="Calibri" w:hAnsi="Arial" w:cs="Arial"/>
          <w:spacing w:val="20"/>
          <w:kern w:val="2"/>
        </w:rPr>
      </w:pPr>
      <w:r w:rsidRPr="00771D9C">
        <w:rPr>
          <w:rFonts w:ascii="Arial" w:eastAsia="Calibri" w:hAnsi="Arial" w:cs="Arial"/>
          <w:spacing w:val="20"/>
          <w:kern w:val="2"/>
        </w:rPr>
        <w:t>En el mes de febrero de 2006, el gobierno del Estado de Oaxaca dio a conocer que había adoptado el esquema de Proyectos para Prestación de Servicios (PPS) para llevar a cabo obras de infraestructura. La modificación de su marco jurídico le permitía aplicar el capital privado sobre terrenos que son de la  propiedad del gobierno, bajo este contexto, el Estado decidió no comprometer los recursos presupuestales de la entidad y aprovechar la inversión de los particulares.</w:t>
      </w:r>
    </w:p>
    <w:p w:rsidR="00771D9C" w:rsidRPr="00771D9C" w:rsidRDefault="00771D9C" w:rsidP="00771D9C">
      <w:pPr>
        <w:contextualSpacing/>
        <w:jc w:val="both"/>
        <w:rPr>
          <w:rFonts w:ascii="Arial" w:eastAsia="Calibri" w:hAnsi="Arial" w:cs="Arial"/>
          <w:spacing w:val="20"/>
          <w:kern w:val="2"/>
        </w:rPr>
      </w:pPr>
    </w:p>
    <w:p w:rsidR="00771D9C" w:rsidRDefault="00771D9C" w:rsidP="00771D9C">
      <w:pPr>
        <w:contextualSpacing/>
        <w:jc w:val="both"/>
        <w:rPr>
          <w:rFonts w:ascii="Arial" w:eastAsia="Calibri" w:hAnsi="Arial" w:cs="Arial"/>
          <w:spacing w:val="20"/>
          <w:kern w:val="2"/>
        </w:rPr>
      </w:pPr>
      <w:r w:rsidRPr="00771D9C">
        <w:rPr>
          <w:rFonts w:ascii="Arial" w:eastAsia="Calibri" w:hAnsi="Arial" w:cs="Arial"/>
          <w:spacing w:val="20"/>
          <w:kern w:val="2"/>
        </w:rPr>
        <w:t xml:space="preserve">La primera coinversión público-privada fue la edificación de la “Ciudad Administrativa Benemérito de las Américas” en </w:t>
      </w:r>
      <w:proofErr w:type="spellStart"/>
      <w:r w:rsidRPr="00771D9C">
        <w:rPr>
          <w:rFonts w:ascii="Arial" w:eastAsia="Calibri" w:hAnsi="Arial" w:cs="Arial"/>
          <w:spacing w:val="20"/>
          <w:kern w:val="2"/>
        </w:rPr>
        <w:t>Tlalixtac</w:t>
      </w:r>
      <w:proofErr w:type="spellEnd"/>
      <w:r w:rsidRPr="00771D9C">
        <w:rPr>
          <w:rFonts w:ascii="Arial" w:eastAsia="Calibri" w:hAnsi="Arial" w:cs="Arial"/>
          <w:spacing w:val="20"/>
          <w:kern w:val="2"/>
        </w:rPr>
        <w:t xml:space="preserve"> de Cabrera, bajo un contrato de prestación de servicios firmado el 01 de diciembre del 2005, y un segundo proyecto bajo el mismo esquema se edificó el “Centro Administrativo y Judicial Porfirio Díaz Soldado de la Patria”, en Reyes Mantecón, Municipio de San Bartolo </w:t>
      </w:r>
      <w:proofErr w:type="spellStart"/>
      <w:r w:rsidRPr="00771D9C">
        <w:rPr>
          <w:rFonts w:ascii="Arial" w:eastAsia="Calibri" w:hAnsi="Arial" w:cs="Arial"/>
          <w:spacing w:val="20"/>
          <w:kern w:val="2"/>
        </w:rPr>
        <w:t>Coyotepec</w:t>
      </w:r>
      <w:proofErr w:type="spellEnd"/>
      <w:r w:rsidRPr="00771D9C">
        <w:rPr>
          <w:rFonts w:ascii="Arial" w:eastAsia="Calibri" w:hAnsi="Arial" w:cs="Arial"/>
          <w:spacing w:val="20"/>
          <w:kern w:val="2"/>
        </w:rPr>
        <w:t xml:space="preserve">, contrato firmado el día 03 de enero del 2008. El Gobierno del Estado de Oaxaca celebró  por lo tanto, dos contratos de prestación de servicios con inversionistas privados, quienes se encargaron de realizar la inversión para construir, </w:t>
      </w:r>
      <w:r w:rsidRPr="00771D9C">
        <w:rPr>
          <w:rFonts w:ascii="Arial" w:eastAsia="Calibri" w:hAnsi="Arial" w:cs="Arial"/>
          <w:spacing w:val="20"/>
          <w:kern w:val="2"/>
        </w:rPr>
        <w:lastRenderedPageBreak/>
        <w:t>equipar y dar mantenimiento a la infraestructura creada en terrenos estatales.</w:t>
      </w:r>
    </w:p>
    <w:p w:rsidR="00771D9C" w:rsidRPr="00771D9C" w:rsidRDefault="00771D9C" w:rsidP="00771D9C">
      <w:pPr>
        <w:contextualSpacing/>
        <w:jc w:val="both"/>
        <w:rPr>
          <w:rFonts w:ascii="Arial" w:eastAsia="Calibri" w:hAnsi="Arial" w:cs="Arial"/>
          <w:spacing w:val="20"/>
          <w:kern w:val="2"/>
        </w:rPr>
      </w:pPr>
    </w:p>
    <w:p w:rsidR="00771D9C" w:rsidRDefault="00771D9C" w:rsidP="00771D9C">
      <w:pPr>
        <w:contextualSpacing/>
        <w:jc w:val="both"/>
        <w:rPr>
          <w:rFonts w:ascii="Arial" w:eastAsia="Calibri" w:hAnsi="Arial" w:cs="Arial"/>
          <w:spacing w:val="20"/>
          <w:kern w:val="2"/>
        </w:rPr>
      </w:pPr>
      <w:r w:rsidRPr="00771D9C">
        <w:rPr>
          <w:rFonts w:ascii="Arial" w:eastAsia="Calibri" w:hAnsi="Arial" w:cs="Arial"/>
          <w:spacing w:val="20"/>
          <w:kern w:val="2"/>
        </w:rPr>
        <w:t>Una vez terminada la obra, se proyectó el pago de una contraprestación durante los próximos 15 años, por concepto de disponibilidad de la infraestructura, lo que ha permitido diferir la inversión en el gasto de capital a largo plazo, por lo que son más eficientes los recursos públicos, sin que las inversiones impliquen la contratación de Deuda  Pública precisamente al no implicar la transferencia de un recurso extraordinario del privado al Estado ni una obligación indefectible de pago. Esta contraprestación depende en su determinación de la verificación de la inversión en los términos pactados, la edificación con las especificaciones requeridas y el mantenimiento con la calidad pactada.</w:t>
      </w:r>
    </w:p>
    <w:p w:rsidR="00771D9C" w:rsidRPr="00771D9C" w:rsidRDefault="00771D9C" w:rsidP="00771D9C">
      <w:pPr>
        <w:contextualSpacing/>
        <w:jc w:val="both"/>
        <w:rPr>
          <w:rFonts w:ascii="Arial" w:eastAsia="Calibri" w:hAnsi="Arial" w:cs="Arial"/>
          <w:spacing w:val="20"/>
          <w:kern w:val="2"/>
        </w:rPr>
      </w:pPr>
    </w:p>
    <w:p w:rsidR="00771D9C" w:rsidRDefault="00771D9C" w:rsidP="00771D9C">
      <w:pPr>
        <w:contextualSpacing/>
        <w:jc w:val="both"/>
        <w:rPr>
          <w:rFonts w:ascii="Arial" w:eastAsia="Calibri" w:hAnsi="Arial" w:cs="Arial"/>
          <w:spacing w:val="20"/>
          <w:kern w:val="2"/>
        </w:rPr>
      </w:pPr>
      <w:r w:rsidRPr="00771D9C">
        <w:rPr>
          <w:rFonts w:ascii="Arial" w:eastAsia="Calibri" w:hAnsi="Arial" w:cs="Arial"/>
          <w:spacing w:val="20"/>
          <w:kern w:val="2"/>
        </w:rPr>
        <w:t xml:space="preserve">Bajo el esquema de financiamiento de los PPS, permite al Estado la realización de prepagos (abono a capital). El plazo en el caso de Cd. Administrativa ubicada en </w:t>
      </w:r>
      <w:proofErr w:type="spellStart"/>
      <w:r w:rsidRPr="00771D9C">
        <w:rPr>
          <w:rFonts w:ascii="Arial" w:eastAsia="Calibri" w:hAnsi="Arial" w:cs="Arial"/>
          <w:spacing w:val="20"/>
          <w:kern w:val="2"/>
        </w:rPr>
        <w:t>Talixtac</w:t>
      </w:r>
      <w:proofErr w:type="spellEnd"/>
      <w:r w:rsidRPr="00771D9C">
        <w:rPr>
          <w:rFonts w:ascii="Arial" w:eastAsia="Calibri" w:hAnsi="Arial" w:cs="Arial"/>
          <w:spacing w:val="20"/>
          <w:kern w:val="2"/>
        </w:rPr>
        <w:t xml:space="preserve"> de Cabrera, el plazo se reduce 4 años y  se  estima que entre los meses de septiembre y octubre de  2016 quedará finiquitado y llegará formar parte del patrimonio del Estado con un valor superior al doble de su costo inicial. Esta experiencia operacional permite estimar que Ciudad Judicial se cubrirá anticipadamente al plazo convenido.</w:t>
      </w:r>
    </w:p>
    <w:p w:rsidR="00771D9C" w:rsidRPr="00771D9C" w:rsidRDefault="00771D9C" w:rsidP="00771D9C">
      <w:pPr>
        <w:contextualSpacing/>
        <w:jc w:val="both"/>
        <w:rPr>
          <w:rFonts w:ascii="Arial" w:eastAsia="Calibri" w:hAnsi="Arial" w:cs="Arial"/>
          <w:spacing w:val="20"/>
          <w:kern w:val="2"/>
        </w:rPr>
      </w:pPr>
    </w:p>
    <w:p w:rsidR="00771D9C" w:rsidRPr="00771D9C" w:rsidRDefault="00771D9C" w:rsidP="00771D9C">
      <w:pPr>
        <w:contextualSpacing/>
        <w:jc w:val="both"/>
        <w:rPr>
          <w:rFonts w:ascii="Arial" w:eastAsia="Calibri" w:hAnsi="Arial" w:cs="Arial"/>
          <w:spacing w:val="20"/>
          <w:kern w:val="2"/>
        </w:rPr>
      </w:pPr>
      <w:r w:rsidRPr="00771D9C">
        <w:rPr>
          <w:rFonts w:ascii="Arial" w:eastAsia="Calibri" w:hAnsi="Arial" w:cs="Arial"/>
          <w:spacing w:val="20"/>
          <w:kern w:val="2"/>
        </w:rPr>
        <w:t xml:space="preserve">Al cierre del ejercicio fiscal 2015,  Cd. Administrativa </w:t>
      </w:r>
      <w:proofErr w:type="spellStart"/>
      <w:r w:rsidRPr="00771D9C">
        <w:rPr>
          <w:rFonts w:ascii="Arial" w:eastAsia="Calibri" w:hAnsi="Arial" w:cs="Arial"/>
          <w:spacing w:val="20"/>
          <w:kern w:val="2"/>
        </w:rPr>
        <w:t>Tlalixtac</w:t>
      </w:r>
      <w:proofErr w:type="spellEnd"/>
      <w:r w:rsidRPr="00771D9C">
        <w:rPr>
          <w:rFonts w:ascii="Arial" w:eastAsia="Calibri" w:hAnsi="Arial" w:cs="Arial"/>
          <w:spacing w:val="20"/>
          <w:kern w:val="2"/>
        </w:rPr>
        <w:t>, refleja un saldo insoluto de 86 millones 54 mil 985 pesos y el saldo insoluto de Cd. Judicial Reyes Mantecón es de 853 millones 220 mil 446 pesos. Como se observa, a cinco años de pagos de intereses, de amortizaciones periódicas y de la realización de prepagos, se ha cubierto más del 50 % con respecto al monto total que corresponde a las obligaciones contraídas de Ciudad Judicial Reyes Mantecón.</w:t>
      </w:r>
    </w:p>
    <w:p w:rsidR="00771D9C" w:rsidRPr="00771D9C" w:rsidRDefault="00771D9C" w:rsidP="00771D9C">
      <w:pPr>
        <w:contextualSpacing/>
        <w:jc w:val="both"/>
        <w:rPr>
          <w:rFonts w:ascii="Arial" w:eastAsia="Calibri" w:hAnsi="Arial" w:cs="Arial"/>
          <w:spacing w:val="20"/>
          <w:kern w:val="2"/>
        </w:rPr>
      </w:pPr>
    </w:p>
    <w:p w:rsidR="00D9087C" w:rsidRDefault="00D9087C">
      <w:pPr>
        <w:rPr>
          <w:rFonts w:ascii="Arial" w:eastAsia="Calibri" w:hAnsi="Arial" w:cs="Arial"/>
        </w:rPr>
      </w:pPr>
      <w:r>
        <w:rPr>
          <w:rFonts w:ascii="Arial" w:eastAsia="Calibri" w:hAnsi="Arial" w:cs="Arial"/>
        </w:rPr>
        <w:br w:type="page"/>
      </w:r>
    </w:p>
    <w:p w:rsidR="00D9087C" w:rsidRDefault="00D9087C" w:rsidP="00D9087C">
      <w:pPr>
        <w:contextualSpacing/>
        <w:jc w:val="both"/>
        <w:rPr>
          <w:rFonts w:ascii="Arial" w:hAnsi="Arial" w:cs="Arial"/>
          <w:b/>
        </w:rPr>
      </w:pPr>
      <w:r>
        <w:rPr>
          <w:rFonts w:ascii="Arial" w:hAnsi="Arial" w:cs="Arial"/>
          <w:b/>
        </w:rPr>
        <w:lastRenderedPageBreak/>
        <w:t>10</w:t>
      </w:r>
      <w:r w:rsidRPr="00354041">
        <w:rPr>
          <w:rFonts w:ascii="Arial" w:hAnsi="Arial" w:cs="Arial"/>
          <w:b/>
        </w:rPr>
        <w:t xml:space="preserve">.- </w:t>
      </w:r>
      <w:r>
        <w:rPr>
          <w:rFonts w:ascii="Arial" w:hAnsi="Arial" w:cs="Arial"/>
          <w:b/>
        </w:rPr>
        <w:t>INDICADORES DE POSTURA FISCAL</w:t>
      </w:r>
    </w:p>
    <w:p w:rsidR="00312D82" w:rsidRDefault="00312D82" w:rsidP="00D9087C">
      <w:pPr>
        <w:contextualSpacing/>
        <w:jc w:val="both"/>
        <w:rPr>
          <w:rFonts w:ascii="Arial" w:hAnsi="Arial" w:cs="Arial"/>
          <w:b/>
        </w:rPr>
      </w:pPr>
    </w:p>
    <w:p w:rsidR="00312D82" w:rsidRDefault="00312D82" w:rsidP="00D9087C">
      <w:pPr>
        <w:contextualSpacing/>
        <w:jc w:val="both"/>
        <w:rPr>
          <w:rFonts w:ascii="Arial" w:hAnsi="Arial" w:cs="Arial"/>
          <w:b/>
        </w:rPr>
      </w:pPr>
    </w:p>
    <w:p w:rsidR="00312D82" w:rsidRDefault="00312D82" w:rsidP="00D9087C">
      <w:pPr>
        <w:contextualSpacing/>
        <w:jc w:val="both"/>
        <w:rPr>
          <w:rFonts w:ascii="Arial" w:eastAsia="Calibri" w:hAnsi="Arial" w:cs="Arial"/>
          <w:spacing w:val="20"/>
          <w:kern w:val="2"/>
        </w:rPr>
      </w:pPr>
      <w:r w:rsidRPr="00312D82">
        <w:rPr>
          <w:rFonts w:eastAsia="Calibri"/>
          <w:noProof/>
          <w:lang w:val="es-MX" w:eastAsia="es-MX"/>
        </w:rPr>
        <w:drawing>
          <wp:inline distT="0" distB="0" distL="0" distR="0">
            <wp:extent cx="5882005" cy="4289691"/>
            <wp:effectExtent l="19050" t="0" r="4445" b="0"/>
            <wp:docPr id="2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srcRect/>
                    <a:stretch>
                      <a:fillRect/>
                    </a:stretch>
                  </pic:blipFill>
                  <pic:spPr bwMode="auto">
                    <a:xfrm>
                      <a:off x="0" y="0"/>
                      <a:ext cx="5882005" cy="4289691"/>
                    </a:xfrm>
                    <a:prstGeom prst="rect">
                      <a:avLst/>
                    </a:prstGeom>
                    <a:noFill/>
                    <a:ln w="9525">
                      <a:noFill/>
                      <a:miter lim="800000"/>
                      <a:headEnd/>
                      <a:tailEnd/>
                    </a:ln>
                  </pic:spPr>
                </pic:pic>
              </a:graphicData>
            </a:graphic>
          </wp:inline>
        </w:drawing>
      </w:r>
    </w:p>
    <w:p w:rsidR="00D9087C" w:rsidRPr="00771D9C" w:rsidRDefault="00D9087C" w:rsidP="00D9087C">
      <w:pPr>
        <w:contextualSpacing/>
        <w:jc w:val="both"/>
        <w:rPr>
          <w:rFonts w:ascii="Arial" w:eastAsia="Calibri" w:hAnsi="Arial" w:cs="Arial"/>
          <w:spacing w:val="20"/>
          <w:kern w:val="2"/>
        </w:rPr>
      </w:pPr>
    </w:p>
    <w:p w:rsidR="00E474D1" w:rsidRDefault="00E474D1">
      <w:pPr>
        <w:rPr>
          <w:rFonts w:ascii="Arial" w:eastAsia="Calibri" w:hAnsi="Arial" w:cs="Arial"/>
        </w:rPr>
      </w:pPr>
      <w:r>
        <w:rPr>
          <w:rFonts w:ascii="Arial" w:eastAsia="Calibri" w:hAnsi="Arial" w:cs="Arial"/>
        </w:rPr>
        <w:br w:type="page"/>
      </w:r>
    </w:p>
    <w:p w:rsidR="00215896" w:rsidRDefault="00215896" w:rsidP="00E474D1">
      <w:pPr>
        <w:contextualSpacing/>
        <w:jc w:val="both"/>
        <w:rPr>
          <w:rFonts w:ascii="Arial" w:hAnsi="Arial" w:cs="Arial"/>
          <w:b/>
        </w:rPr>
      </w:pPr>
      <w:r>
        <w:rPr>
          <w:rFonts w:ascii="Arial" w:hAnsi="Arial" w:cs="Arial"/>
          <w:b/>
        </w:rPr>
        <w:lastRenderedPageBreak/>
        <w:t xml:space="preserve">11.8.- INFORMES SOBRE PASIVOS CONTINGENTES </w:t>
      </w:r>
    </w:p>
    <w:p w:rsidR="00215896" w:rsidRDefault="00215896" w:rsidP="00E474D1">
      <w:pPr>
        <w:contextualSpacing/>
        <w:jc w:val="both"/>
        <w:rPr>
          <w:rFonts w:ascii="Arial" w:hAnsi="Arial" w:cs="Arial"/>
          <w:b/>
        </w:rPr>
      </w:pPr>
    </w:p>
    <w:p w:rsidR="00215896" w:rsidRDefault="00215896" w:rsidP="00215896">
      <w:pPr>
        <w:spacing w:line="22" w:lineRule="atLeast"/>
        <w:jc w:val="both"/>
        <w:rPr>
          <w:rFonts w:ascii="Arial" w:hAnsi="Arial" w:cs="Arial"/>
          <w:b/>
          <w:spacing w:val="20"/>
        </w:rPr>
      </w:pPr>
      <w:r w:rsidRPr="00086F32">
        <w:rPr>
          <w:rFonts w:ascii="Arial" w:hAnsi="Arial" w:cs="Arial"/>
          <w:b/>
          <w:spacing w:val="20"/>
        </w:rPr>
        <w:t>JUICIOS DE NULIDAD DERIVADOS DEL PROCEDIMIENTO DE EFECTIVIDAD DE GARANTIAS QUE SE ENCUENTRAN EN TRAMITE</w:t>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86F32">
        <w:rPr>
          <w:noProof/>
          <w:lang w:val="es-MX" w:eastAsia="es-MX"/>
        </w:rPr>
        <w:drawing>
          <wp:inline distT="0" distB="0" distL="0" distR="0">
            <wp:extent cx="5671185" cy="5119535"/>
            <wp:effectExtent l="19050" t="0" r="5715"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5671185" cy="5119535"/>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86F32">
        <w:rPr>
          <w:noProof/>
          <w:lang w:val="es-MX" w:eastAsia="es-MX"/>
        </w:rPr>
        <w:drawing>
          <wp:inline distT="0" distB="0" distL="0" distR="0">
            <wp:extent cx="5671185" cy="6404441"/>
            <wp:effectExtent l="19050" t="0" r="5715" b="0"/>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671185" cy="6404441"/>
                    </a:xfrm>
                    <a:prstGeom prst="rect">
                      <a:avLst/>
                    </a:prstGeom>
                    <a:noFill/>
                    <a:ln w="9525">
                      <a:noFill/>
                      <a:miter lim="800000"/>
                      <a:headEnd/>
                      <a:tailEnd/>
                    </a:ln>
                  </pic:spPr>
                </pic:pic>
              </a:graphicData>
            </a:graphic>
          </wp:inline>
        </w:drawing>
      </w:r>
    </w:p>
    <w:p w:rsidR="00215896" w:rsidRDefault="00215896" w:rsidP="00215896">
      <w:pPr>
        <w:rPr>
          <w:rFonts w:ascii="Arial" w:hAnsi="Arial" w:cs="Arial"/>
          <w:b/>
          <w:spacing w:val="20"/>
        </w:rPr>
      </w:pPr>
      <w:r>
        <w:rPr>
          <w:rFonts w:ascii="Arial" w:hAnsi="Arial" w:cs="Arial"/>
          <w:b/>
          <w:spacing w:val="20"/>
        </w:rPr>
        <w:br w:type="page"/>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86F32">
        <w:rPr>
          <w:noProof/>
          <w:lang w:val="es-MX" w:eastAsia="es-MX"/>
        </w:rPr>
        <w:drawing>
          <wp:inline distT="0" distB="0" distL="0" distR="0">
            <wp:extent cx="5671185" cy="1708789"/>
            <wp:effectExtent l="19050" t="0" r="5715"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srcRect/>
                    <a:stretch>
                      <a:fillRect/>
                    </a:stretch>
                  </pic:blipFill>
                  <pic:spPr bwMode="auto">
                    <a:xfrm>
                      <a:off x="0" y="0"/>
                      <a:ext cx="5671185" cy="1708789"/>
                    </a:xfrm>
                    <a:prstGeom prst="rect">
                      <a:avLst/>
                    </a:prstGeom>
                    <a:noFill/>
                    <a:ln w="9525">
                      <a:noFill/>
                      <a:miter lim="800000"/>
                      <a:headEnd/>
                      <a:tailEnd/>
                    </a:ln>
                  </pic:spPr>
                </pic:pic>
              </a:graphicData>
            </a:graphic>
          </wp:inline>
        </w:drawing>
      </w:r>
    </w:p>
    <w:p w:rsidR="00215896" w:rsidRDefault="00215896" w:rsidP="00215896">
      <w:pPr>
        <w:rPr>
          <w:rFonts w:ascii="Arial" w:hAnsi="Arial" w:cs="Arial"/>
          <w:b/>
          <w:spacing w:val="20"/>
        </w:rPr>
      </w:pPr>
      <w:r>
        <w:rPr>
          <w:rFonts w:ascii="Arial" w:hAnsi="Arial" w:cs="Arial"/>
          <w:b/>
          <w:spacing w:val="20"/>
        </w:rPr>
        <w:br w:type="page"/>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F87CF6">
        <w:rPr>
          <w:rFonts w:ascii="Arial" w:hAnsi="Arial" w:cs="Arial"/>
          <w:b/>
          <w:spacing w:val="20"/>
        </w:rPr>
        <w:t>JUICIO LABORALES EN LA JUNTA DE ARBITRAJE PARA LOS EMPLEADOS AL SERVICIO DE LOS PODERES DEL ESTADO</w:t>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F87CF6">
        <w:rPr>
          <w:noProof/>
          <w:lang w:val="es-MX" w:eastAsia="es-MX"/>
        </w:rPr>
        <w:drawing>
          <wp:inline distT="0" distB="0" distL="0" distR="0">
            <wp:extent cx="5671185" cy="5932025"/>
            <wp:effectExtent l="0" t="0" r="0" b="0"/>
            <wp:docPr id="4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srcRect/>
                    <a:stretch>
                      <a:fillRect/>
                    </a:stretch>
                  </pic:blipFill>
                  <pic:spPr bwMode="auto">
                    <a:xfrm>
                      <a:off x="0" y="0"/>
                      <a:ext cx="5671185" cy="5932025"/>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rPr>
          <w:rFonts w:ascii="Arial" w:hAnsi="Arial" w:cs="Arial"/>
          <w:b/>
          <w:spacing w:val="20"/>
        </w:rPr>
      </w:pPr>
      <w:r>
        <w:rPr>
          <w:rFonts w:ascii="Arial" w:hAnsi="Arial" w:cs="Arial"/>
          <w:b/>
          <w:spacing w:val="20"/>
        </w:rPr>
        <w:br w:type="page"/>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Pr>
          <w:rFonts w:ascii="Arial" w:hAnsi="Arial" w:cs="Arial"/>
          <w:b/>
          <w:spacing w:val="20"/>
        </w:rPr>
        <w:t>RECURSOS DE REVOCACION EN MATERIA FISCAL FEDERAL</w:t>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F87CF6">
        <w:rPr>
          <w:noProof/>
          <w:lang w:val="es-MX" w:eastAsia="es-MX"/>
        </w:rPr>
        <w:drawing>
          <wp:inline distT="0" distB="0" distL="0" distR="0">
            <wp:extent cx="5671185" cy="5316362"/>
            <wp:effectExtent l="19050" t="0" r="5715" b="0"/>
            <wp:docPr id="5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srcRect/>
                    <a:stretch>
                      <a:fillRect/>
                    </a:stretch>
                  </pic:blipFill>
                  <pic:spPr bwMode="auto">
                    <a:xfrm>
                      <a:off x="0" y="0"/>
                      <a:ext cx="5671185" cy="5316362"/>
                    </a:xfrm>
                    <a:prstGeom prst="rect">
                      <a:avLst/>
                    </a:prstGeom>
                    <a:noFill/>
                    <a:ln w="9525">
                      <a:noFill/>
                      <a:miter lim="800000"/>
                      <a:headEnd/>
                      <a:tailEnd/>
                    </a:ln>
                  </pic:spPr>
                </pic:pic>
              </a:graphicData>
            </a:graphic>
          </wp:inline>
        </w:drawing>
      </w:r>
    </w:p>
    <w:p w:rsidR="00215896" w:rsidRDefault="00215896" w:rsidP="00215896">
      <w:pPr>
        <w:rPr>
          <w:rFonts w:ascii="Arial" w:hAnsi="Arial" w:cs="Arial"/>
          <w:b/>
          <w:spacing w:val="20"/>
        </w:rPr>
      </w:pPr>
      <w:r>
        <w:rPr>
          <w:rFonts w:ascii="Arial" w:hAnsi="Arial" w:cs="Arial"/>
          <w:b/>
          <w:spacing w:val="20"/>
        </w:rPr>
        <w:br w:type="page"/>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Pr>
          <w:rFonts w:ascii="Arial" w:hAnsi="Arial" w:cs="Arial"/>
          <w:b/>
          <w:spacing w:val="20"/>
        </w:rPr>
        <w:t>RECURSOS DE REVOCACION EN MATERIA ESTATAL</w:t>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1F4FE2">
        <w:rPr>
          <w:noProof/>
          <w:lang w:val="es-MX" w:eastAsia="es-MX"/>
        </w:rPr>
        <w:drawing>
          <wp:inline distT="0" distB="0" distL="0" distR="0">
            <wp:extent cx="5671185" cy="4333839"/>
            <wp:effectExtent l="19050" t="0" r="5715" b="0"/>
            <wp:docPr id="5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srcRect/>
                    <a:stretch>
                      <a:fillRect/>
                    </a:stretch>
                  </pic:blipFill>
                  <pic:spPr bwMode="auto">
                    <a:xfrm>
                      <a:off x="0" y="0"/>
                      <a:ext cx="5671185" cy="4333839"/>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rPr>
          <w:rFonts w:ascii="Arial" w:hAnsi="Arial" w:cs="Arial"/>
          <w:b/>
          <w:spacing w:val="20"/>
        </w:rPr>
      </w:pPr>
      <w:r>
        <w:rPr>
          <w:rFonts w:ascii="Arial" w:hAnsi="Arial" w:cs="Arial"/>
          <w:b/>
          <w:spacing w:val="20"/>
        </w:rPr>
        <w:br w:type="page"/>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Pr>
          <w:rFonts w:ascii="Arial" w:hAnsi="Arial" w:cs="Arial"/>
          <w:b/>
          <w:spacing w:val="20"/>
        </w:rPr>
        <w:t>JUICIOS DE NULIDAD EN MATERIA FISCAL FEDERAL</w:t>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36854">
        <w:rPr>
          <w:noProof/>
          <w:lang w:val="es-MX" w:eastAsia="es-MX"/>
        </w:rPr>
        <w:drawing>
          <wp:inline distT="0" distB="0" distL="0" distR="0">
            <wp:extent cx="5671185" cy="6614483"/>
            <wp:effectExtent l="19050" t="0" r="5715" b="0"/>
            <wp:docPr id="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srcRect/>
                    <a:stretch>
                      <a:fillRect/>
                    </a:stretch>
                  </pic:blipFill>
                  <pic:spPr bwMode="auto">
                    <a:xfrm>
                      <a:off x="0" y="0"/>
                      <a:ext cx="5671185" cy="6614483"/>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36854">
        <w:rPr>
          <w:noProof/>
          <w:lang w:val="es-MX" w:eastAsia="es-MX"/>
        </w:rPr>
        <w:drawing>
          <wp:inline distT="0" distB="0" distL="0" distR="0">
            <wp:extent cx="5671185" cy="6561937"/>
            <wp:effectExtent l="19050" t="0" r="5715" b="0"/>
            <wp:docPr id="5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srcRect/>
                    <a:stretch>
                      <a:fillRect/>
                    </a:stretch>
                  </pic:blipFill>
                  <pic:spPr bwMode="auto">
                    <a:xfrm>
                      <a:off x="0" y="0"/>
                      <a:ext cx="5671185" cy="6561937"/>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Pr>
          <w:rFonts w:ascii="Arial" w:hAnsi="Arial" w:cs="Arial"/>
          <w:b/>
          <w:spacing w:val="20"/>
        </w:rPr>
        <w:t>JUICIOS DE NULIDAD EN MATERIA FISCAL ESTATAL</w:t>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36854">
        <w:rPr>
          <w:noProof/>
          <w:lang w:val="es-MX" w:eastAsia="es-MX"/>
        </w:rPr>
        <w:drawing>
          <wp:inline distT="0" distB="0" distL="0" distR="0">
            <wp:extent cx="5347970" cy="6156325"/>
            <wp:effectExtent l="19050" t="0" r="5080" b="0"/>
            <wp:docPr id="29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a:srcRect/>
                    <a:stretch>
                      <a:fillRect/>
                    </a:stretch>
                  </pic:blipFill>
                  <pic:spPr bwMode="auto">
                    <a:xfrm>
                      <a:off x="0" y="0"/>
                      <a:ext cx="5347970" cy="6156325"/>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Pr>
          <w:rFonts w:ascii="Arial" w:hAnsi="Arial" w:cs="Arial"/>
          <w:b/>
          <w:spacing w:val="20"/>
        </w:rPr>
        <w:t>AMPAROS</w:t>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36854">
        <w:rPr>
          <w:noProof/>
          <w:lang w:val="es-MX" w:eastAsia="es-MX"/>
        </w:rPr>
        <w:drawing>
          <wp:inline distT="0" distB="0" distL="0" distR="0">
            <wp:extent cx="5634990" cy="6634480"/>
            <wp:effectExtent l="19050" t="0" r="3810" b="0"/>
            <wp:docPr id="30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srcRect/>
                    <a:stretch>
                      <a:fillRect/>
                    </a:stretch>
                  </pic:blipFill>
                  <pic:spPr bwMode="auto">
                    <a:xfrm>
                      <a:off x="0" y="0"/>
                      <a:ext cx="5634990" cy="6634480"/>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36854">
        <w:rPr>
          <w:noProof/>
          <w:lang w:val="es-MX" w:eastAsia="es-MX"/>
        </w:rPr>
        <w:drawing>
          <wp:inline distT="0" distB="0" distL="0" distR="0">
            <wp:extent cx="5634990" cy="6964045"/>
            <wp:effectExtent l="19050" t="0" r="3810" b="0"/>
            <wp:docPr id="30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srcRect/>
                    <a:stretch>
                      <a:fillRect/>
                    </a:stretch>
                  </pic:blipFill>
                  <pic:spPr bwMode="auto">
                    <a:xfrm>
                      <a:off x="0" y="0"/>
                      <a:ext cx="5634990" cy="6964045"/>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D1241D" w:rsidRDefault="00D1241D"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r w:rsidRPr="00036854">
        <w:rPr>
          <w:noProof/>
          <w:lang w:val="es-MX" w:eastAsia="es-MX"/>
        </w:rPr>
        <w:drawing>
          <wp:inline distT="0" distB="0" distL="0" distR="0">
            <wp:extent cx="5634990" cy="4678045"/>
            <wp:effectExtent l="19050" t="0" r="3810" b="0"/>
            <wp:docPr id="30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srcRect/>
                    <a:stretch>
                      <a:fillRect/>
                    </a:stretch>
                  </pic:blipFill>
                  <pic:spPr bwMode="auto">
                    <a:xfrm>
                      <a:off x="0" y="0"/>
                      <a:ext cx="5634990" cy="4678045"/>
                    </a:xfrm>
                    <a:prstGeom prst="rect">
                      <a:avLst/>
                    </a:prstGeom>
                    <a:noFill/>
                    <a:ln w="9525">
                      <a:noFill/>
                      <a:miter lim="800000"/>
                      <a:headEnd/>
                      <a:tailEnd/>
                    </a:ln>
                  </pic:spPr>
                </pic:pic>
              </a:graphicData>
            </a:graphic>
          </wp:inline>
        </w:drawing>
      </w:r>
    </w:p>
    <w:p w:rsidR="00215896" w:rsidRDefault="00215896" w:rsidP="00215896">
      <w:pPr>
        <w:spacing w:line="22" w:lineRule="atLeast"/>
        <w:jc w:val="both"/>
        <w:rPr>
          <w:rFonts w:ascii="Arial" w:hAnsi="Arial" w:cs="Arial"/>
          <w:b/>
          <w:spacing w:val="20"/>
        </w:rPr>
      </w:pPr>
    </w:p>
    <w:p w:rsidR="00215896" w:rsidRDefault="00215896" w:rsidP="00215896">
      <w:pPr>
        <w:spacing w:line="22" w:lineRule="atLeast"/>
        <w:jc w:val="both"/>
        <w:rPr>
          <w:rFonts w:ascii="Arial" w:hAnsi="Arial" w:cs="Arial"/>
          <w:b/>
          <w:spacing w:val="20"/>
        </w:rPr>
      </w:pPr>
    </w:p>
    <w:p w:rsidR="00215896" w:rsidRDefault="00215896" w:rsidP="00E474D1">
      <w:pPr>
        <w:contextualSpacing/>
        <w:jc w:val="both"/>
        <w:rPr>
          <w:rFonts w:ascii="Arial" w:hAnsi="Arial" w:cs="Arial"/>
          <w:b/>
        </w:rPr>
      </w:pPr>
    </w:p>
    <w:p w:rsidR="00215896" w:rsidRDefault="00215896" w:rsidP="00E474D1">
      <w:pPr>
        <w:contextualSpacing/>
        <w:jc w:val="both"/>
        <w:rPr>
          <w:rFonts w:ascii="Arial" w:hAnsi="Arial" w:cs="Arial"/>
          <w:b/>
        </w:rPr>
      </w:pPr>
    </w:p>
    <w:p w:rsidR="00547731" w:rsidRDefault="00547731">
      <w:pPr>
        <w:rPr>
          <w:rFonts w:ascii="Arial" w:hAnsi="Arial" w:cs="Arial"/>
          <w:b/>
        </w:rPr>
      </w:pPr>
      <w:r>
        <w:rPr>
          <w:rFonts w:ascii="Arial" w:hAnsi="Arial" w:cs="Arial"/>
          <w:b/>
        </w:rPr>
        <w:br w:type="page"/>
      </w:r>
    </w:p>
    <w:p w:rsidR="00547731" w:rsidRDefault="00547731">
      <w:pPr>
        <w:rPr>
          <w:rFonts w:ascii="Arial" w:hAnsi="Arial" w:cs="Arial"/>
          <w:b/>
        </w:rPr>
      </w:pPr>
      <w:r>
        <w:rPr>
          <w:rFonts w:ascii="Arial" w:hAnsi="Arial" w:cs="Arial"/>
          <w:b/>
        </w:rPr>
        <w:lastRenderedPageBreak/>
        <w:t>11.</w:t>
      </w:r>
      <w:r w:rsidR="002560FC">
        <w:rPr>
          <w:rFonts w:ascii="Arial" w:hAnsi="Arial" w:cs="Arial"/>
          <w:b/>
        </w:rPr>
        <w:t>9</w:t>
      </w:r>
      <w:r>
        <w:rPr>
          <w:rFonts w:ascii="Arial" w:hAnsi="Arial" w:cs="Arial"/>
          <w:b/>
        </w:rPr>
        <w:t>- CLASIFICACION ECONOMICA EN CUENTA DOBLE</w:t>
      </w:r>
    </w:p>
    <w:p w:rsidR="002A4291" w:rsidRDefault="002A4291" w:rsidP="002A4291">
      <w:pPr>
        <w:rPr>
          <w:rFonts w:ascii="Arial" w:hAnsi="Arial" w:cs="Arial"/>
          <w:b/>
        </w:rPr>
      </w:pPr>
    </w:p>
    <w:p w:rsidR="00215896" w:rsidRDefault="00547731" w:rsidP="002A4291">
      <w:pPr>
        <w:rPr>
          <w:rFonts w:ascii="Arial" w:hAnsi="Arial" w:cs="Arial"/>
          <w:b/>
        </w:rPr>
      </w:pPr>
      <w:r w:rsidRPr="00547731">
        <w:rPr>
          <w:noProof/>
          <w:lang w:val="es-MX" w:eastAsia="es-MX"/>
        </w:rPr>
        <w:drawing>
          <wp:inline distT="0" distB="0" distL="0" distR="0">
            <wp:extent cx="6823881" cy="5347273"/>
            <wp:effectExtent l="0" t="723900" r="0" b="729677"/>
            <wp:docPr id="3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rot="16200000">
                      <a:off x="0" y="0"/>
                      <a:ext cx="6831078" cy="5352913"/>
                    </a:xfrm>
                    <a:prstGeom prst="rect">
                      <a:avLst/>
                    </a:prstGeom>
                    <a:noFill/>
                    <a:ln w="9525">
                      <a:noFill/>
                      <a:miter lim="800000"/>
                      <a:headEnd/>
                      <a:tailEnd/>
                    </a:ln>
                  </pic:spPr>
                </pic:pic>
              </a:graphicData>
            </a:graphic>
          </wp:inline>
        </w:drawing>
      </w:r>
    </w:p>
    <w:p w:rsidR="00547731" w:rsidRDefault="00547731">
      <w:pPr>
        <w:rPr>
          <w:rFonts w:ascii="Arial" w:hAnsi="Arial" w:cs="Arial"/>
          <w:b/>
        </w:rPr>
      </w:pPr>
      <w:r>
        <w:rPr>
          <w:rFonts w:ascii="Arial" w:hAnsi="Arial" w:cs="Arial"/>
          <w:b/>
        </w:rPr>
        <w:br w:type="page"/>
      </w:r>
    </w:p>
    <w:p w:rsidR="002560FC" w:rsidRDefault="002560FC" w:rsidP="002560FC">
      <w:pPr>
        <w:rPr>
          <w:rFonts w:ascii="Arial" w:hAnsi="Arial" w:cs="Arial"/>
          <w:b/>
        </w:rPr>
      </w:pPr>
      <w:r>
        <w:rPr>
          <w:rFonts w:ascii="Arial" w:hAnsi="Arial" w:cs="Arial"/>
          <w:b/>
        </w:rPr>
        <w:lastRenderedPageBreak/>
        <w:t>11.10- NOTAS A LOS ESTADOS FINANCIEROS</w:t>
      </w:r>
    </w:p>
    <w:p w:rsidR="002560FC" w:rsidRDefault="002560FC">
      <w:pPr>
        <w:rPr>
          <w:rFonts w:ascii="Arial" w:hAnsi="Arial" w:cs="Arial"/>
          <w:b/>
        </w:rPr>
      </w:pPr>
    </w:p>
    <w:p w:rsidR="00EC510E" w:rsidRDefault="00EC510E" w:rsidP="00EC510E">
      <w:pPr>
        <w:autoSpaceDE w:val="0"/>
        <w:autoSpaceDN w:val="0"/>
        <w:adjustRightInd w:val="0"/>
        <w:spacing w:before="80" w:line="250" w:lineRule="exact"/>
        <w:jc w:val="both"/>
        <w:rPr>
          <w:rFonts w:ascii="Arial" w:hAnsi="Arial" w:cs="Arial"/>
          <w:sz w:val="22"/>
          <w:szCs w:val="22"/>
        </w:rPr>
      </w:pPr>
      <w:r w:rsidRPr="00255030">
        <w:rPr>
          <w:rFonts w:ascii="Arial" w:hAnsi="Arial" w:cs="Arial"/>
          <w:sz w:val="22"/>
          <w:szCs w:val="22"/>
        </w:rPr>
        <w:t>De conformidad al artículo 46, fracción I, inciso e) y 49 de la Ley General de Contabilidad Gubernamental, así como a la normatividad emitida por el Consejo Nacional de Armonización Contable, a continuación se presentan las notas a los estados financieros correspondie</w:t>
      </w:r>
      <w:r>
        <w:rPr>
          <w:rFonts w:ascii="Arial" w:hAnsi="Arial" w:cs="Arial"/>
          <w:sz w:val="22"/>
          <w:szCs w:val="22"/>
        </w:rPr>
        <w:t>ntes al ejercicio fiscal de 2015 y 2014</w:t>
      </w:r>
      <w:r w:rsidRPr="00255030">
        <w:rPr>
          <w:rFonts w:ascii="Arial" w:hAnsi="Arial" w:cs="Arial"/>
          <w:sz w:val="22"/>
          <w:szCs w:val="22"/>
        </w:rPr>
        <w:t>, con los siguientes apartados:</w:t>
      </w:r>
    </w:p>
    <w:p w:rsidR="00EC510E" w:rsidRPr="00255030" w:rsidRDefault="00EC510E" w:rsidP="00EC510E">
      <w:pPr>
        <w:autoSpaceDE w:val="0"/>
        <w:autoSpaceDN w:val="0"/>
        <w:adjustRightInd w:val="0"/>
        <w:spacing w:before="80" w:line="250" w:lineRule="exact"/>
        <w:jc w:val="both"/>
        <w:rPr>
          <w:rFonts w:ascii="Arial" w:hAnsi="Arial" w:cs="Arial"/>
          <w:sz w:val="22"/>
          <w:szCs w:val="22"/>
        </w:rPr>
      </w:pPr>
    </w:p>
    <w:p w:rsidR="00EC510E" w:rsidRPr="00255030" w:rsidRDefault="00EC510E" w:rsidP="00EC510E">
      <w:pPr>
        <w:pStyle w:val="Prrafodelista"/>
        <w:numPr>
          <w:ilvl w:val="0"/>
          <w:numId w:val="126"/>
        </w:numPr>
        <w:spacing w:before="80" w:line="250" w:lineRule="exact"/>
        <w:ind w:left="714" w:hanging="357"/>
        <w:contextualSpacing/>
        <w:jc w:val="both"/>
        <w:rPr>
          <w:rFonts w:ascii="Arial" w:hAnsi="Arial" w:cs="Arial"/>
          <w:sz w:val="22"/>
          <w:szCs w:val="22"/>
        </w:rPr>
      </w:pPr>
      <w:r w:rsidRPr="00255030">
        <w:rPr>
          <w:rFonts w:ascii="Arial" w:hAnsi="Arial" w:cs="Arial"/>
          <w:sz w:val="22"/>
          <w:szCs w:val="22"/>
        </w:rPr>
        <w:t>Notas de Desglose</w:t>
      </w:r>
    </w:p>
    <w:p w:rsidR="00EC510E" w:rsidRPr="00255030" w:rsidRDefault="00EC510E" w:rsidP="00EC510E">
      <w:pPr>
        <w:pStyle w:val="Prrafodelista"/>
        <w:numPr>
          <w:ilvl w:val="0"/>
          <w:numId w:val="126"/>
        </w:numPr>
        <w:spacing w:before="80" w:line="250" w:lineRule="exact"/>
        <w:ind w:left="714" w:hanging="357"/>
        <w:contextualSpacing/>
        <w:jc w:val="both"/>
        <w:rPr>
          <w:rFonts w:ascii="Arial" w:hAnsi="Arial" w:cs="Arial"/>
          <w:sz w:val="22"/>
          <w:szCs w:val="22"/>
        </w:rPr>
      </w:pPr>
      <w:r w:rsidRPr="00255030">
        <w:rPr>
          <w:rFonts w:ascii="Arial" w:hAnsi="Arial" w:cs="Arial"/>
          <w:sz w:val="22"/>
          <w:szCs w:val="22"/>
        </w:rPr>
        <w:t>Notas de Memoria</w:t>
      </w:r>
    </w:p>
    <w:p w:rsidR="00EC510E" w:rsidRPr="00255030" w:rsidRDefault="00EC510E" w:rsidP="00EC510E">
      <w:pPr>
        <w:pStyle w:val="Prrafodelista"/>
        <w:numPr>
          <w:ilvl w:val="0"/>
          <w:numId w:val="126"/>
        </w:numPr>
        <w:spacing w:before="80" w:line="250" w:lineRule="exact"/>
        <w:ind w:left="714" w:hanging="357"/>
        <w:contextualSpacing/>
        <w:jc w:val="both"/>
        <w:rPr>
          <w:rFonts w:ascii="Arial" w:hAnsi="Arial" w:cs="Arial"/>
          <w:sz w:val="22"/>
          <w:szCs w:val="22"/>
        </w:rPr>
      </w:pPr>
      <w:r w:rsidRPr="00255030">
        <w:rPr>
          <w:rFonts w:ascii="Arial" w:hAnsi="Arial" w:cs="Arial"/>
          <w:sz w:val="22"/>
          <w:szCs w:val="22"/>
        </w:rPr>
        <w:t>Notas de Gestión Administrativa</w:t>
      </w:r>
    </w:p>
    <w:p w:rsidR="00EC510E" w:rsidRDefault="00EC510E" w:rsidP="00EC510E">
      <w:pPr>
        <w:autoSpaceDE w:val="0"/>
        <w:autoSpaceDN w:val="0"/>
        <w:adjustRightInd w:val="0"/>
        <w:spacing w:before="240" w:after="120"/>
        <w:jc w:val="center"/>
        <w:rPr>
          <w:rFonts w:ascii="Arial" w:hAnsi="Arial" w:cs="Arial"/>
          <w:b/>
          <w:sz w:val="22"/>
          <w:szCs w:val="22"/>
        </w:rPr>
      </w:pPr>
    </w:p>
    <w:p w:rsidR="00EC510E" w:rsidRPr="00255030"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Notas de Desglose:</w:t>
      </w:r>
    </w:p>
    <w:p w:rsidR="00EC510E" w:rsidRPr="00255030" w:rsidRDefault="00EC510E" w:rsidP="00EC510E">
      <w:pPr>
        <w:autoSpaceDE w:val="0"/>
        <w:autoSpaceDN w:val="0"/>
        <w:adjustRightInd w:val="0"/>
        <w:spacing w:before="240" w:after="120"/>
        <w:jc w:val="both"/>
        <w:rPr>
          <w:rFonts w:ascii="Arial" w:hAnsi="Arial" w:cs="Arial"/>
          <w:b/>
          <w:sz w:val="22"/>
          <w:szCs w:val="22"/>
        </w:rPr>
      </w:pPr>
      <w:r w:rsidRPr="00255030">
        <w:rPr>
          <w:rFonts w:ascii="Arial" w:hAnsi="Arial" w:cs="Arial"/>
          <w:b/>
          <w:sz w:val="22"/>
          <w:szCs w:val="22"/>
        </w:rPr>
        <w:t>Notas al Estado de Situación Financiera del Gobierno Estatal Consolidado.</w:t>
      </w:r>
    </w:p>
    <w:p w:rsidR="00EC510E" w:rsidRDefault="00EC510E" w:rsidP="00EC510E">
      <w:pPr>
        <w:autoSpaceDE w:val="0"/>
        <w:autoSpaceDN w:val="0"/>
        <w:adjustRightInd w:val="0"/>
        <w:spacing w:before="240" w:after="120"/>
        <w:jc w:val="both"/>
        <w:rPr>
          <w:rFonts w:ascii="Arial" w:hAnsi="Arial" w:cs="Arial"/>
          <w:b/>
          <w:sz w:val="22"/>
          <w:szCs w:val="22"/>
        </w:rPr>
      </w:pPr>
    </w:p>
    <w:p w:rsidR="00EC510E" w:rsidRDefault="00EC510E" w:rsidP="00EC510E">
      <w:pPr>
        <w:autoSpaceDE w:val="0"/>
        <w:autoSpaceDN w:val="0"/>
        <w:adjustRightInd w:val="0"/>
        <w:spacing w:before="240" w:after="120"/>
        <w:jc w:val="both"/>
        <w:rPr>
          <w:rFonts w:ascii="Arial" w:hAnsi="Arial" w:cs="Arial"/>
          <w:b/>
          <w:sz w:val="22"/>
          <w:szCs w:val="22"/>
        </w:rPr>
      </w:pPr>
      <w:r w:rsidRPr="00255030">
        <w:rPr>
          <w:rFonts w:ascii="Arial" w:hAnsi="Arial" w:cs="Arial"/>
          <w:b/>
          <w:sz w:val="22"/>
          <w:szCs w:val="22"/>
        </w:rPr>
        <w:t>Activo</w:t>
      </w:r>
    </w:p>
    <w:p w:rsidR="00EC510E" w:rsidRPr="00255030"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t xml:space="preserve">Nota 1. </w:t>
      </w:r>
      <w:r w:rsidRPr="00255030">
        <w:rPr>
          <w:rFonts w:ascii="Arial" w:hAnsi="Arial" w:cs="Arial"/>
          <w:b/>
          <w:sz w:val="22"/>
          <w:szCs w:val="22"/>
        </w:rPr>
        <w:t>Efectivo y Equivalentes</w:t>
      </w:r>
    </w:p>
    <w:p w:rsidR="00EC510E"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En este apartado se integran los recursos monetarios que maneja el Gobierno Estatal en cuentas bancarias en moneda nacional y en aquellos que están en los poderes Ejecutivo, Legislativo, Judicial y Autónomos. A continuación se presenta la integración de este rubro:</w:t>
      </w:r>
    </w:p>
    <w:p w:rsidR="00EC510E" w:rsidRPr="00255030"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6120" w:type="dxa"/>
        <w:jc w:val="center"/>
        <w:tblInd w:w="55" w:type="dxa"/>
        <w:tblCellMar>
          <w:left w:w="70" w:type="dxa"/>
          <w:right w:w="70" w:type="dxa"/>
        </w:tblCellMar>
        <w:tblLook w:val="04A0"/>
      </w:tblPr>
      <w:tblGrid>
        <w:gridCol w:w="2360"/>
        <w:gridCol w:w="2080"/>
        <w:gridCol w:w="1680"/>
      </w:tblGrid>
      <w:tr w:rsidR="00EC510E" w:rsidRPr="001348F9"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1348F9" w:rsidRDefault="00EC510E" w:rsidP="00D1241D">
            <w:pPr>
              <w:jc w:val="center"/>
              <w:rPr>
                <w:rFonts w:ascii="Arial" w:hAnsi="Arial" w:cs="Arial"/>
                <w:b/>
                <w:bCs/>
                <w:color w:val="000000"/>
                <w:sz w:val="20"/>
                <w:szCs w:val="20"/>
              </w:rPr>
            </w:pPr>
            <w:r w:rsidRPr="001348F9">
              <w:rPr>
                <w:rFonts w:ascii="Arial" w:hAnsi="Arial" w:cs="Arial"/>
                <w:b/>
                <w:bCs/>
                <w:color w:val="000000"/>
                <w:sz w:val="20"/>
                <w:szCs w:val="20"/>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1348F9" w:rsidRDefault="00EC510E" w:rsidP="00D1241D">
            <w:pPr>
              <w:jc w:val="center"/>
              <w:rPr>
                <w:rFonts w:ascii="Arial" w:hAnsi="Arial" w:cs="Arial"/>
                <w:b/>
                <w:bCs/>
                <w:color w:val="000000"/>
                <w:sz w:val="20"/>
                <w:szCs w:val="20"/>
              </w:rPr>
            </w:pPr>
            <w:r w:rsidRPr="001348F9">
              <w:rPr>
                <w:rFonts w:ascii="Arial" w:hAnsi="Arial" w:cs="Arial"/>
                <w:b/>
                <w:bCs/>
                <w:color w:val="000000"/>
                <w:sz w:val="20"/>
                <w:szCs w:val="20"/>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1348F9" w:rsidRDefault="00EC510E" w:rsidP="00D1241D">
            <w:pPr>
              <w:jc w:val="center"/>
              <w:rPr>
                <w:rFonts w:ascii="Arial" w:hAnsi="Arial" w:cs="Arial"/>
                <w:b/>
                <w:bCs/>
                <w:color w:val="000000"/>
                <w:sz w:val="20"/>
                <w:szCs w:val="20"/>
              </w:rPr>
            </w:pPr>
            <w:r w:rsidRPr="001348F9">
              <w:rPr>
                <w:rFonts w:ascii="Arial" w:hAnsi="Arial" w:cs="Arial"/>
                <w:b/>
                <w:bCs/>
                <w:color w:val="000000"/>
                <w:sz w:val="20"/>
                <w:szCs w:val="20"/>
              </w:rPr>
              <w:t>2014</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3,358,671,037</w:t>
            </w:r>
          </w:p>
        </w:tc>
        <w:tc>
          <w:tcPr>
            <w:tcW w:w="16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4,931,274,137</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6,674,858</w:t>
            </w:r>
          </w:p>
        </w:tc>
        <w:tc>
          <w:tcPr>
            <w:tcW w:w="16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3,320,090</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39,148,220</w:t>
            </w:r>
          </w:p>
        </w:tc>
        <w:tc>
          <w:tcPr>
            <w:tcW w:w="16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41,870,843</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17,774,260</w:t>
            </w:r>
          </w:p>
        </w:tc>
        <w:tc>
          <w:tcPr>
            <w:tcW w:w="16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228,461,194</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3,422,268,376</w:t>
            </w:r>
          </w:p>
        </w:tc>
        <w:tc>
          <w:tcPr>
            <w:tcW w:w="16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5,204,926,264</w:t>
            </w:r>
          </w:p>
        </w:tc>
      </w:tr>
    </w:tbl>
    <w:p w:rsidR="00EC510E" w:rsidRDefault="00EC510E" w:rsidP="00EC510E">
      <w:pPr>
        <w:autoSpaceDE w:val="0"/>
        <w:autoSpaceDN w:val="0"/>
        <w:adjustRightInd w:val="0"/>
        <w:spacing w:before="80" w:line="250" w:lineRule="exact"/>
        <w:ind w:left="709"/>
        <w:jc w:val="both"/>
        <w:rPr>
          <w:rFonts w:ascii="Arial" w:hAnsi="Arial" w:cs="Arial"/>
          <w:sz w:val="22"/>
          <w:szCs w:val="22"/>
        </w:rPr>
      </w:pPr>
    </w:p>
    <w:p w:rsidR="00EC510E" w:rsidRDefault="00EC510E" w:rsidP="00EC510E">
      <w:pPr>
        <w:autoSpaceDE w:val="0"/>
        <w:autoSpaceDN w:val="0"/>
        <w:adjustRightInd w:val="0"/>
        <w:spacing w:before="80" w:line="250" w:lineRule="exact"/>
        <w:ind w:left="709"/>
        <w:jc w:val="both"/>
        <w:rPr>
          <w:rFonts w:ascii="Arial" w:hAnsi="Arial" w:cs="Arial"/>
          <w:sz w:val="22"/>
          <w:szCs w:val="22"/>
        </w:rPr>
      </w:pPr>
    </w:p>
    <w:p w:rsidR="00940C53" w:rsidRDefault="00EC510E" w:rsidP="00EC510E">
      <w:pPr>
        <w:jc w:val="both"/>
        <w:rPr>
          <w:rFonts w:ascii="Arial" w:hAnsi="Arial" w:cs="Arial"/>
          <w:sz w:val="22"/>
          <w:szCs w:val="22"/>
        </w:rPr>
      </w:pPr>
      <w:r>
        <w:rPr>
          <w:rFonts w:ascii="Arial" w:hAnsi="Arial" w:cs="Arial"/>
          <w:sz w:val="22"/>
          <w:szCs w:val="22"/>
        </w:rPr>
        <w:t xml:space="preserve">Respecto a este rubro, una parte corresponde al efectivo restringido </w:t>
      </w:r>
      <w:r w:rsidRPr="00255030">
        <w:rPr>
          <w:rFonts w:ascii="Arial" w:hAnsi="Arial" w:cs="Arial"/>
          <w:sz w:val="22"/>
          <w:szCs w:val="22"/>
        </w:rPr>
        <w:t>del Gobierno del Estado</w:t>
      </w:r>
      <w:r>
        <w:rPr>
          <w:rFonts w:ascii="Arial" w:hAnsi="Arial" w:cs="Arial"/>
          <w:sz w:val="22"/>
          <w:szCs w:val="22"/>
        </w:rPr>
        <w:t>,</w:t>
      </w:r>
      <w:r w:rsidRPr="00255030">
        <w:rPr>
          <w:rFonts w:ascii="Arial" w:hAnsi="Arial" w:cs="Arial"/>
          <w:sz w:val="22"/>
          <w:szCs w:val="22"/>
        </w:rPr>
        <w:t xml:space="preserve"> </w:t>
      </w:r>
      <w:r>
        <w:rPr>
          <w:rFonts w:ascii="Arial" w:hAnsi="Arial" w:cs="Arial"/>
          <w:sz w:val="22"/>
          <w:szCs w:val="22"/>
        </w:rPr>
        <w:t>que concentra</w:t>
      </w:r>
      <w:r w:rsidRPr="00255030">
        <w:rPr>
          <w:rFonts w:ascii="Arial" w:hAnsi="Arial" w:cs="Arial"/>
          <w:sz w:val="22"/>
          <w:szCs w:val="22"/>
        </w:rPr>
        <w:t xml:space="preserve"> los ingresos afectos al fideicomiso (Impuesto de Erogaciones por Remuneración al Trabajo y Derechos por Servicios de Control Vehicular) que están destinados a cubrir las obligaciones derivadas de la Bursatilización </w:t>
      </w:r>
      <w:r>
        <w:rPr>
          <w:rFonts w:ascii="Arial" w:hAnsi="Arial" w:cs="Arial"/>
          <w:sz w:val="22"/>
          <w:szCs w:val="22"/>
        </w:rPr>
        <w:t xml:space="preserve">2007 </w:t>
      </w:r>
      <w:r w:rsidRPr="00255030">
        <w:rPr>
          <w:rFonts w:ascii="Arial" w:hAnsi="Arial" w:cs="Arial"/>
          <w:sz w:val="22"/>
          <w:szCs w:val="22"/>
        </w:rPr>
        <w:t>y pago del principal e intereses de la misma y de las Fianzas de garantía del Poder Judicial.</w:t>
      </w:r>
      <w:r>
        <w:rPr>
          <w:rFonts w:ascii="Arial" w:hAnsi="Arial" w:cs="Arial"/>
          <w:sz w:val="22"/>
          <w:szCs w:val="22"/>
        </w:rPr>
        <w:t xml:space="preserve"> Los importes por los ejercicios 2015 y 2014, son por 116mil, 504 pesos y un millón 81mil 345 pesos respectivamente.</w:t>
      </w:r>
    </w:p>
    <w:p w:rsidR="00EC510E" w:rsidRPr="00255030"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lastRenderedPageBreak/>
        <w:t>Nota 2. Derechos a R</w:t>
      </w:r>
      <w:r w:rsidRPr="00255030">
        <w:rPr>
          <w:rFonts w:ascii="Arial" w:hAnsi="Arial" w:cs="Arial"/>
          <w:b/>
          <w:sz w:val="22"/>
          <w:szCs w:val="22"/>
        </w:rPr>
        <w:t>ecibir Efectivo o Equivalentes.</w:t>
      </w:r>
    </w:p>
    <w:p w:rsidR="00EC510E"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Corresponde integrar en este rubro los saldos que representan cuentas por cobrar y deudores diversos por cobrar a corto plazo, préstamos otorgados a corto plazo, otros derechos a recibir efectivo o equivalentes a corto plazo. A continuación se presenta la integración de este rubro:</w:t>
      </w: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p>
    <w:p w:rsidR="00EC510E" w:rsidRPr="00255030"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5920" w:type="dxa"/>
        <w:jc w:val="center"/>
        <w:tblInd w:w="55" w:type="dxa"/>
        <w:tblCellMar>
          <w:left w:w="70" w:type="dxa"/>
          <w:right w:w="70" w:type="dxa"/>
        </w:tblCellMar>
        <w:tblLook w:val="04A0"/>
      </w:tblPr>
      <w:tblGrid>
        <w:gridCol w:w="2360"/>
        <w:gridCol w:w="1880"/>
        <w:gridCol w:w="1680"/>
      </w:tblGrid>
      <w:tr w:rsidR="00EC510E" w:rsidRPr="008319A5"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Concepto</w:t>
            </w:r>
          </w:p>
        </w:tc>
        <w:tc>
          <w:tcPr>
            <w:tcW w:w="1880" w:type="dxa"/>
            <w:tcBorders>
              <w:top w:val="single" w:sz="8" w:space="0" w:color="auto"/>
              <w:left w:val="nil"/>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2014</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Ejecutivo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6,732,866,773</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4,726,593,437</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Legislativo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202,078,945</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82,505,826</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Judicial</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91,725,261</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43,086,514</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Órganos Autónomos</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47,191,484</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41,166,871</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Suma</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7,073,862,464</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4,893,352,648</w:t>
            </w:r>
          </w:p>
        </w:tc>
      </w:tr>
    </w:tbl>
    <w:p w:rsidR="00EC510E" w:rsidRDefault="00EC510E" w:rsidP="00EC510E">
      <w:pPr>
        <w:pStyle w:val="Prrafodelista"/>
        <w:spacing w:before="80" w:line="250" w:lineRule="exact"/>
        <w:ind w:left="714"/>
        <w:jc w:val="both"/>
        <w:rPr>
          <w:rFonts w:ascii="Arial" w:hAnsi="Arial" w:cs="Arial"/>
          <w:b/>
        </w:rPr>
      </w:pPr>
    </w:p>
    <w:p w:rsidR="00EC510E" w:rsidRDefault="00EC510E" w:rsidP="00EC510E">
      <w:pPr>
        <w:pStyle w:val="Prrafodelista"/>
        <w:spacing w:before="80" w:line="250" w:lineRule="exact"/>
        <w:ind w:left="714"/>
        <w:jc w:val="both"/>
        <w:rPr>
          <w:rFonts w:ascii="Arial" w:hAnsi="Arial" w:cs="Arial"/>
          <w:b/>
        </w:rPr>
      </w:pPr>
    </w:p>
    <w:p w:rsidR="00EC510E" w:rsidRDefault="00EC510E" w:rsidP="00EC510E">
      <w:pPr>
        <w:pStyle w:val="Prrafodelista"/>
        <w:spacing w:before="80" w:line="250" w:lineRule="exact"/>
        <w:ind w:left="714"/>
        <w:jc w:val="both"/>
        <w:rPr>
          <w:rFonts w:ascii="Arial" w:hAnsi="Arial" w:cs="Arial"/>
          <w:b/>
        </w:rPr>
      </w:pPr>
    </w:p>
    <w:p w:rsidR="00EC510E" w:rsidRPr="00255030"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t xml:space="preserve">Nota 3. </w:t>
      </w:r>
      <w:r w:rsidRPr="00255030">
        <w:rPr>
          <w:rFonts w:ascii="Arial" w:hAnsi="Arial" w:cs="Arial"/>
          <w:b/>
          <w:sz w:val="22"/>
          <w:szCs w:val="22"/>
        </w:rPr>
        <w:t>Derecho</w:t>
      </w:r>
      <w:r>
        <w:rPr>
          <w:rFonts w:ascii="Arial" w:hAnsi="Arial" w:cs="Arial"/>
          <w:b/>
          <w:sz w:val="22"/>
          <w:szCs w:val="22"/>
        </w:rPr>
        <w:t>s a Recibir Bienes ó</w:t>
      </w:r>
      <w:r w:rsidRPr="00255030">
        <w:rPr>
          <w:rFonts w:ascii="Arial" w:hAnsi="Arial" w:cs="Arial"/>
          <w:b/>
          <w:sz w:val="22"/>
          <w:szCs w:val="22"/>
        </w:rPr>
        <w:t xml:space="preserve"> Servicios.</w:t>
      </w: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El importe de este rubro corresponde a los anticipos a los proveedores por la adquisición de bienes y servicios a corto plazo, y a los anticipos a los contratistas para la ejecución de obra pública, a continuación se presenta la integración de este rubro:</w:t>
      </w:r>
    </w:p>
    <w:p w:rsidR="00EC510E" w:rsidRDefault="00EC510E" w:rsidP="00EC510E">
      <w:pPr>
        <w:autoSpaceDE w:val="0"/>
        <w:autoSpaceDN w:val="0"/>
        <w:adjustRightInd w:val="0"/>
        <w:spacing w:before="240" w:after="120"/>
        <w:jc w:val="center"/>
        <w:rPr>
          <w:rFonts w:ascii="Arial" w:hAnsi="Arial" w:cs="Arial"/>
          <w:b/>
          <w:sz w:val="22"/>
          <w:szCs w:val="22"/>
        </w:rPr>
      </w:pPr>
    </w:p>
    <w:p w:rsidR="00EC510E" w:rsidRPr="00255030"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5920" w:type="dxa"/>
        <w:jc w:val="center"/>
        <w:tblInd w:w="55" w:type="dxa"/>
        <w:tblCellMar>
          <w:left w:w="70" w:type="dxa"/>
          <w:right w:w="70" w:type="dxa"/>
        </w:tblCellMar>
        <w:tblLook w:val="04A0"/>
      </w:tblPr>
      <w:tblGrid>
        <w:gridCol w:w="2360"/>
        <w:gridCol w:w="1880"/>
        <w:gridCol w:w="1680"/>
      </w:tblGrid>
      <w:tr w:rsidR="00EC510E" w:rsidRPr="008319A5"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Concepto</w:t>
            </w:r>
          </w:p>
        </w:tc>
        <w:tc>
          <w:tcPr>
            <w:tcW w:w="1880" w:type="dxa"/>
            <w:tcBorders>
              <w:top w:val="single" w:sz="8" w:space="0" w:color="auto"/>
              <w:left w:val="nil"/>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2014</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Ejecutivo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90,728,998</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162,268,683</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Legislativo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 </w:t>
            </w:r>
            <w:r>
              <w:rPr>
                <w:rFonts w:ascii="Arial" w:hAnsi="Arial" w:cs="Arial"/>
                <w:color w:val="000000"/>
                <w:sz w:val="22"/>
                <w:szCs w:val="22"/>
              </w:rPr>
              <w:t>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Judicial</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76,175,440</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Órganos Autónomos</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Suma</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166,904,438</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162,268,683</w:t>
            </w:r>
          </w:p>
        </w:tc>
      </w:tr>
    </w:tbl>
    <w:p w:rsidR="00EC510E" w:rsidRDefault="00EC510E" w:rsidP="00EC510E">
      <w:pPr>
        <w:pStyle w:val="Prrafodelista"/>
        <w:spacing w:before="80" w:line="250" w:lineRule="exact"/>
        <w:ind w:left="714"/>
        <w:jc w:val="both"/>
        <w:rPr>
          <w:rFonts w:ascii="Arial" w:hAnsi="Arial" w:cs="Arial"/>
          <w:b/>
        </w:rPr>
      </w:pPr>
    </w:p>
    <w:p w:rsidR="00EC510E" w:rsidRDefault="00EC510E">
      <w:pPr>
        <w:rPr>
          <w:rFonts w:ascii="Arial" w:hAnsi="Arial" w:cs="Arial"/>
          <w:b/>
          <w:sz w:val="22"/>
          <w:szCs w:val="22"/>
          <w:lang w:val="es-MX"/>
        </w:rPr>
      </w:pPr>
      <w:r>
        <w:rPr>
          <w:rFonts w:ascii="Arial" w:hAnsi="Arial" w:cs="Arial"/>
          <w:b/>
          <w:sz w:val="22"/>
          <w:szCs w:val="22"/>
        </w:rPr>
        <w:br w:type="page"/>
      </w:r>
    </w:p>
    <w:p w:rsidR="00EC510E"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lastRenderedPageBreak/>
        <w:t xml:space="preserve">Nota 4. </w:t>
      </w:r>
      <w:r w:rsidRPr="00255030">
        <w:rPr>
          <w:rFonts w:ascii="Arial" w:hAnsi="Arial" w:cs="Arial"/>
          <w:b/>
          <w:sz w:val="22"/>
          <w:szCs w:val="22"/>
        </w:rPr>
        <w:t>Inversiones Financieras a Largo Plazo.</w:t>
      </w: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Los recursos excedentes del Gobierno Estatal, los tiene invertidos en títulos, valores y demás instrumentos financieros, cuya recuperación se efectuará en un plazo mayor de doce meses. A continuación se presenta la integración de este rubro:</w:t>
      </w:r>
    </w:p>
    <w:p w:rsidR="00D1241D" w:rsidRDefault="00D1241D" w:rsidP="00EC510E">
      <w:pPr>
        <w:autoSpaceDE w:val="0"/>
        <w:autoSpaceDN w:val="0"/>
        <w:adjustRightInd w:val="0"/>
        <w:spacing w:before="240" w:after="120"/>
        <w:jc w:val="center"/>
        <w:rPr>
          <w:rFonts w:ascii="Arial" w:hAnsi="Arial" w:cs="Arial"/>
          <w:b/>
          <w:sz w:val="22"/>
          <w:szCs w:val="22"/>
        </w:rPr>
      </w:pPr>
    </w:p>
    <w:p w:rsidR="00EC510E" w:rsidRPr="00255030"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5920" w:type="dxa"/>
        <w:jc w:val="center"/>
        <w:tblInd w:w="55" w:type="dxa"/>
        <w:tblCellMar>
          <w:left w:w="70" w:type="dxa"/>
          <w:right w:w="70" w:type="dxa"/>
        </w:tblCellMar>
        <w:tblLook w:val="04A0"/>
      </w:tblPr>
      <w:tblGrid>
        <w:gridCol w:w="2360"/>
        <w:gridCol w:w="1880"/>
        <w:gridCol w:w="1680"/>
      </w:tblGrid>
      <w:tr w:rsidR="00EC510E" w:rsidRPr="008319A5"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Concepto</w:t>
            </w:r>
          </w:p>
        </w:tc>
        <w:tc>
          <w:tcPr>
            <w:tcW w:w="1880" w:type="dxa"/>
            <w:tcBorders>
              <w:top w:val="single" w:sz="8" w:space="0" w:color="auto"/>
              <w:left w:val="nil"/>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2014</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Ejecutivo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789,561,663</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657,295,040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Legislativo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 xml:space="preserve"> 0</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Judicial</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Órganos Autónomos</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Pr>
                <w:rFonts w:ascii="Arial" w:hAnsi="Arial" w:cs="Arial"/>
                <w:color w:val="000000"/>
                <w:sz w:val="22"/>
                <w:szCs w:val="22"/>
              </w:rPr>
              <w:t>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Suma</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789,561,663</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657,295,040</w:t>
            </w:r>
          </w:p>
        </w:tc>
      </w:tr>
    </w:tbl>
    <w:p w:rsidR="00EC510E" w:rsidRDefault="00EC510E" w:rsidP="00EC510E">
      <w:pPr>
        <w:jc w:val="both"/>
        <w:rPr>
          <w:rFonts w:ascii="Arial" w:hAnsi="Arial" w:cs="Arial"/>
          <w:b/>
        </w:rPr>
      </w:pPr>
    </w:p>
    <w:p w:rsidR="00D1241D" w:rsidRDefault="00D1241D" w:rsidP="00EC510E">
      <w:pPr>
        <w:pStyle w:val="Prrafodelista"/>
        <w:spacing w:before="80" w:line="250" w:lineRule="exact"/>
        <w:ind w:left="714"/>
        <w:jc w:val="both"/>
        <w:rPr>
          <w:rFonts w:ascii="Arial" w:hAnsi="Arial" w:cs="Arial"/>
          <w:b/>
          <w:sz w:val="22"/>
          <w:szCs w:val="22"/>
        </w:rPr>
      </w:pPr>
    </w:p>
    <w:p w:rsidR="00CC3D62" w:rsidRDefault="00CC3D62" w:rsidP="00EC510E">
      <w:pPr>
        <w:pStyle w:val="Prrafodelista"/>
        <w:spacing w:before="80" w:line="250" w:lineRule="exact"/>
        <w:ind w:left="714"/>
        <w:jc w:val="both"/>
        <w:rPr>
          <w:rFonts w:ascii="Arial" w:hAnsi="Arial" w:cs="Arial"/>
          <w:b/>
          <w:sz w:val="22"/>
          <w:szCs w:val="22"/>
        </w:rPr>
      </w:pPr>
    </w:p>
    <w:p w:rsidR="00EC510E" w:rsidRPr="00255030"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t>Nota 5. Bienes Inmuebles, Infraestructura y construcciones en proceso.</w:t>
      </w: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Se conforma por los bienes necesarios para llevar a cabo las actividades de gobierno y las obras en proceso que se realizan en los diferentes inmuebles.</w:t>
      </w: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Se presenta la integración de los bienes inmu</w:t>
      </w:r>
      <w:r>
        <w:rPr>
          <w:rFonts w:ascii="Arial" w:hAnsi="Arial" w:cs="Arial"/>
          <w:sz w:val="22"/>
          <w:szCs w:val="22"/>
        </w:rPr>
        <w:t>ebles al 31 de diciembre de 2015 y 2014</w:t>
      </w:r>
      <w:r w:rsidRPr="00255030">
        <w:rPr>
          <w:rFonts w:ascii="Arial" w:hAnsi="Arial" w:cs="Arial"/>
          <w:sz w:val="22"/>
          <w:szCs w:val="22"/>
        </w:rPr>
        <w:t>:</w:t>
      </w:r>
    </w:p>
    <w:p w:rsidR="00EC510E" w:rsidRPr="00255030"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5920" w:type="dxa"/>
        <w:jc w:val="center"/>
        <w:tblInd w:w="55" w:type="dxa"/>
        <w:tblCellMar>
          <w:left w:w="70" w:type="dxa"/>
          <w:right w:w="70" w:type="dxa"/>
        </w:tblCellMar>
        <w:tblLook w:val="04A0"/>
      </w:tblPr>
      <w:tblGrid>
        <w:gridCol w:w="2360"/>
        <w:gridCol w:w="1880"/>
        <w:gridCol w:w="1680"/>
      </w:tblGrid>
      <w:tr w:rsidR="00EC510E" w:rsidRPr="008319A5"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Concepto</w:t>
            </w:r>
          </w:p>
        </w:tc>
        <w:tc>
          <w:tcPr>
            <w:tcW w:w="1880" w:type="dxa"/>
            <w:tcBorders>
              <w:top w:val="single" w:sz="8" w:space="0" w:color="auto"/>
              <w:left w:val="nil"/>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2014</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Ejecutivo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9,776,508,033</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8,621,055,127</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Legislativo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52,716,290</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54,873,111</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Judicial</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164,829,962</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25,373,928</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Órganos Autónomos</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88,386,262</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785,260,388</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Suma</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10,082,440,546</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9,486,562,554</w:t>
            </w:r>
          </w:p>
        </w:tc>
      </w:tr>
    </w:tbl>
    <w:p w:rsidR="00EC510E" w:rsidRDefault="00EC510E" w:rsidP="00EC510E">
      <w:pPr>
        <w:autoSpaceDE w:val="0"/>
        <w:autoSpaceDN w:val="0"/>
        <w:adjustRightInd w:val="0"/>
        <w:spacing w:before="80" w:line="250" w:lineRule="exact"/>
        <w:ind w:left="709"/>
        <w:jc w:val="both"/>
        <w:rPr>
          <w:rFonts w:ascii="Arial" w:hAnsi="Arial" w:cs="Arial"/>
          <w:sz w:val="20"/>
          <w:szCs w:val="20"/>
        </w:rPr>
      </w:pPr>
    </w:p>
    <w:p w:rsidR="00EC510E" w:rsidRDefault="00EC510E" w:rsidP="00EC510E">
      <w:pPr>
        <w:autoSpaceDE w:val="0"/>
        <w:autoSpaceDN w:val="0"/>
        <w:adjustRightInd w:val="0"/>
        <w:spacing w:before="80" w:line="250" w:lineRule="exact"/>
        <w:ind w:left="709"/>
        <w:jc w:val="both"/>
        <w:rPr>
          <w:rFonts w:ascii="Arial" w:hAnsi="Arial" w:cs="Arial"/>
          <w:sz w:val="20"/>
          <w:szCs w:val="20"/>
        </w:rPr>
      </w:pPr>
    </w:p>
    <w:p w:rsidR="00D1241D" w:rsidRDefault="00D1241D" w:rsidP="00EC510E">
      <w:pPr>
        <w:autoSpaceDE w:val="0"/>
        <w:autoSpaceDN w:val="0"/>
        <w:adjustRightInd w:val="0"/>
        <w:spacing w:before="80" w:line="250" w:lineRule="exact"/>
        <w:ind w:left="709"/>
        <w:jc w:val="both"/>
        <w:rPr>
          <w:rFonts w:ascii="Arial" w:hAnsi="Arial" w:cs="Arial"/>
          <w:b/>
          <w:sz w:val="22"/>
          <w:szCs w:val="22"/>
        </w:rPr>
      </w:pPr>
    </w:p>
    <w:p w:rsidR="00D1241D" w:rsidRDefault="00D1241D" w:rsidP="00EC510E">
      <w:pPr>
        <w:autoSpaceDE w:val="0"/>
        <w:autoSpaceDN w:val="0"/>
        <w:adjustRightInd w:val="0"/>
        <w:spacing w:before="80" w:line="250" w:lineRule="exact"/>
        <w:ind w:left="709"/>
        <w:jc w:val="both"/>
        <w:rPr>
          <w:rFonts w:ascii="Arial" w:hAnsi="Arial" w:cs="Arial"/>
          <w:b/>
          <w:sz w:val="22"/>
          <w:szCs w:val="22"/>
        </w:rPr>
      </w:pPr>
    </w:p>
    <w:p w:rsidR="00D1241D" w:rsidRDefault="00D1241D" w:rsidP="00EC510E">
      <w:pPr>
        <w:autoSpaceDE w:val="0"/>
        <w:autoSpaceDN w:val="0"/>
        <w:adjustRightInd w:val="0"/>
        <w:spacing w:before="80" w:line="250" w:lineRule="exact"/>
        <w:ind w:left="709"/>
        <w:jc w:val="both"/>
        <w:rPr>
          <w:rFonts w:ascii="Arial" w:hAnsi="Arial" w:cs="Arial"/>
          <w:b/>
          <w:sz w:val="22"/>
          <w:szCs w:val="22"/>
        </w:rPr>
      </w:pPr>
    </w:p>
    <w:p w:rsidR="00D1241D" w:rsidRDefault="00D1241D" w:rsidP="00EC510E">
      <w:pPr>
        <w:autoSpaceDE w:val="0"/>
        <w:autoSpaceDN w:val="0"/>
        <w:adjustRightInd w:val="0"/>
        <w:spacing w:before="80" w:line="250" w:lineRule="exact"/>
        <w:ind w:left="709"/>
        <w:jc w:val="both"/>
        <w:rPr>
          <w:rFonts w:ascii="Arial" w:hAnsi="Arial" w:cs="Arial"/>
          <w:b/>
          <w:sz w:val="22"/>
          <w:szCs w:val="22"/>
        </w:rPr>
      </w:pPr>
    </w:p>
    <w:p w:rsidR="00EC510E" w:rsidRDefault="00EC510E" w:rsidP="00EC510E">
      <w:pPr>
        <w:autoSpaceDE w:val="0"/>
        <w:autoSpaceDN w:val="0"/>
        <w:adjustRightInd w:val="0"/>
        <w:spacing w:before="80" w:line="250" w:lineRule="exact"/>
        <w:ind w:left="709"/>
        <w:jc w:val="both"/>
        <w:rPr>
          <w:rFonts w:ascii="Arial" w:hAnsi="Arial" w:cs="Arial"/>
          <w:b/>
          <w:sz w:val="22"/>
          <w:szCs w:val="22"/>
        </w:rPr>
      </w:pPr>
      <w:r w:rsidRPr="000E1C13">
        <w:rPr>
          <w:rFonts w:ascii="Arial" w:hAnsi="Arial" w:cs="Arial"/>
          <w:b/>
          <w:sz w:val="22"/>
          <w:szCs w:val="22"/>
        </w:rPr>
        <w:lastRenderedPageBreak/>
        <w:t xml:space="preserve">Nota 6. </w:t>
      </w:r>
      <w:r>
        <w:rPr>
          <w:rFonts w:ascii="Arial" w:hAnsi="Arial" w:cs="Arial"/>
          <w:b/>
          <w:sz w:val="22"/>
          <w:szCs w:val="22"/>
        </w:rPr>
        <w:t>Bienes Muebles.</w:t>
      </w:r>
    </w:p>
    <w:p w:rsidR="00EC510E" w:rsidRDefault="00EC510E" w:rsidP="00EC510E">
      <w:pPr>
        <w:autoSpaceDE w:val="0"/>
        <w:autoSpaceDN w:val="0"/>
        <w:adjustRightInd w:val="0"/>
        <w:spacing w:before="80" w:line="250" w:lineRule="exact"/>
        <w:ind w:left="709"/>
        <w:jc w:val="both"/>
        <w:rPr>
          <w:rFonts w:ascii="Arial" w:hAnsi="Arial" w:cs="Arial"/>
          <w:b/>
          <w:sz w:val="22"/>
          <w:szCs w:val="22"/>
        </w:rPr>
      </w:pPr>
      <w:r w:rsidRPr="00255030">
        <w:rPr>
          <w:rFonts w:ascii="Arial" w:hAnsi="Arial" w:cs="Arial"/>
          <w:sz w:val="22"/>
          <w:szCs w:val="22"/>
        </w:rPr>
        <w:t xml:space="preserve">Se conforma por los bienes </w:t>
      </w:r>
      <w:r>
        <w:rPr>
          <w:rFonts w:ascii="Arial" w:hAnsi="Arial" w:cs="Arial"/>
          <w:sz w:val="22"/>
          <w:szCs w:val="22"/>
        </w:rPr>
        <w:t xml:space="preserve">muebles </w:t>
      </w:r>
      <w:r w:rsidRPr="00255030">
        <w:rPr>
          <w:rFonts w:ascii="Arial" w:hAnsi="Arial" w:cs="Arial"/>
          <w:sz w:val="22"/>
          <w:szCs w:val="22"/>
        </w:rPr>
        <w:t>necesarios para llevar a cabo las actividades de gobierno</w:t>
      </w:r>
      <w:r>
        <w:rPr>
          <w:rFonts w:ascii="Arial" w:hAnsi="Arial" w:cs="Arial"/>
          <w:sz w:val="22"/>
          <w:szCs w:val="22"/>
        </w:rPr>
        <w:t>.</w:t>
      </w:r>
      <w:r w:rsidRPr="00255030">
        <w:rPr>
          <w:rFonts w:ascii="Arial" w:hAnsi="Arial" w:cs="Arial"/>
          <w:sz w:val="22"/>
          <w:szCs w:val="22"/>
        </w:rPr>
        <w:t xml:space="preserve"> </w:t>
      </w:r>
    </w:p>
    <w:p w:rsidR="00EC510E" w:rsidRPr="000E1C13" w:rsidRDefault="00EC510E" w:rsidP="00EC510E">
      <w:pPr>
        <w:autoSpaceDE w:val="0"/>
        <w:autoSpaceDN w:val="0"/>
        <w:adjustRightInd w:val="0"/>
        <w:spacing w:before="80" w:line="250" w:lineRule="exact"/>
        <w:ind w:left="709"/>
        <w:jc w:val="both"/>
        <w:rPr>
          <w:rFonts w:ascii="Arial" w:hAnsi="Arial" w:cs="Arial"/>
          <w:b/>
          <w:sz w:val="22"/>
          <w:szCs w:val="22"/>
        </w:rPr>
      </w:pP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A continuación, se presenta la integración de los bienes muebles al 31 de diciembre de 201</w:t>
      </w:r>
      <w:r>
        <w:rPr>
          <w:rFonts w:ascii="Arial" w:hAnsi="Arial" w:cs="Arial"/>
          <w:sz w:val="22"/>
          <w:szCs w:val="22"/>
        </w:rPr>
        <w:t>5</w:t>
      </w:r>
      <w:r w:rsidRPr="00255030">
        <w:rPr>
          <w:rFonts w:ascii="Arial" w:hAnsi="Arial" w:cs="Arial"/>
          <w:sz w:val="22"/>
          <w:szCs w:val="22"/>
        </w:rPr>
        <w:t xml:space="preserve"> y 201</w:t>
      </w:r>
      <w:r>
        <w:rPr>
          <w:rFonts w:ascii="Arial" w:hAnsi="Arial" w:cs="Arial"/>
          <w:sz w:val="22"/>
          <w:szCs w:val="22"/>
        </w:rPr>
        <w:t>4</w:t>
      </w:r>
      <w:r w:rsidRPr="00255030">
        <w:rPr>
          <w:rFonts w:ascii="Arial" w:hAnsi="Arial" w:cs="Arial"/>
          <w:sz w:val="22"/>
          <w:szCs w:val="22"/>
        </w:rPr>
        <w:t>:</w:t>
      </w:r>
    </w:p>
    <w:p w:rsidR="00EC510E" w:rsidRDefault="00EC510E" w:rsidP="00EC510E">
      <w:pPr>
        <w:autoSpaceDE w:val="0"/>
        <w:autoSpaceDN w:val="0"/>
        <w:adjustRightInd w:val="0"/>
        <w:spacing w:before="240" w:after="120"/>
        <w:jc w:val="center"/>
        <w:rPr>
          <w:rFonts w:ascii="Arial" w:hAnsi="Arial" w:cs="Arial"/>
          <w:b/>
          <w:sz w:val="22"/>
          <w:szCs w:val="22"/>
        </w:rPr>
      </w:pPr>
    </w:p>
    <w:p w:rsidR="00EC510E" w:rsidRPr="00255030"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5920" w:type="dxa"/>
        <w:jc w:val="center"/>
        <w:tblInd w:w="55" w:type="dxa"/>
        <w:tblCellMar>
          <w:left w:w="70" w:type="dxa"/>
          <w:right w:w="70" w:type="dxa"/>
        </w:tblCellMar>
        <w:tblLook w:val="04A0"/>
      </w:tblPr>
      <w:tblGrid>
        <w:gridCol w:w="2360"/>
        <w:gridCol w:w="1880"/>
        <w:gridCol w:w="1680"/>
      </w:tblGrid>
      <w:tr w:rsidR="00EC510E" w:rsidRPr="008319A5"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Concepto</w:t>
            </w:r>
          </w:p>
        </w:tc>
        <w:tc>
          <w:tcPr>
            <w:tcW w:w="1880" w:type="dxa"/>
            <w:tcBorders>
              <w:top w:val="single" w:sz="8" w:space="0" w:color="auto"/>
              <w:left w:val="nil"/>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2014</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Ejecutivo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2,040,127,715</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1,747,031,500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Legislativo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54,850,813</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41,896,243</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Judicial</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96,267,166</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134,792,887</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Órganos Autónomos</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31,178,290</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128,609,980</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Suma</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2,222,423,984</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2,052,330,610</w:t>
            </w:r>
          </w:p>
        </w:tc>
      </w:tr>
    </w:tbl>
    <w:p w:rsidR="00EC510E" w:rsidRDefault="00EC510E" w:rsidP="00EC510E">
      <w:pPr>
        <w:autoSpaceDE w:val="0"/>
        <w:autoSpaceDN w:val="0"/>
        <w:adjustRightInd w:val="0"/>
        <w:spacing w:before="80" w:line="250" w:lineRule="exact"/>
        <w:ind w:left="709"/>
        <w:jc w:val="both"/>
        <w:rPr>
          <w:rFonts w:ascii="Arial" w:hAnsi="Arial" w:cs="Arial"/>
          <w:sz w:val="20"/>
          <w:szCs w:val="20"/>
        </w:rPr>
      </w:pPr>
    </w:p>
    <w:p w:rsidR="00EC510E" w:rsidRDefault="00EC510E" w:rsidP="00EC510E">
      <w:pPr>
        <w:autoSpaceDE w:val="0"/>
        <w:autoSpaceDN w:val="0"/>
        <w:adjustRightInd w:val="0"/>
        <w:spacing w:before="80" w:line="250" w:lineRule="exact"/>
        <w:ind w:left="709"/>
        <w:jc w:val="both"/>
        <w:rPr>
          <w:rFonts w:ascii="Arial" w:hAnsi="Arial" w:cs="Arial"/>
          <w:sz w:val="20"/>
          <w:szCs w:val="20"/>
        </w:rPr>
      </w:pPr>
    </w:p>
    <w:p w:rsidR="00EC510E" w:rsidRDefault="00EC510E" w:rsidP="00EC510E">
      <w:pPr>
        <w:autoSpaceDE w:val="0"/>
        <w:autoSpaceDN w:val="0"/>
        <w:adjustRightInd w:val="0"/>
        <w:spacing w:before="80" w:line="250" w:lineRule="exact"/>
        <w:ind w:left="709"/>
        <w:jc w:val="both"/>
        <w:rPr>
          <w:rFonts w:ascii="Arial" w:hAnsi="Arial" w:cs="Arial"/>
          <w:b/>
          <w:sz w:val="22"/>
          <w:szCs w:val="22"/>
        </w:rPr>
      </w:pPr>
      <w:r>
        <w:rPr>
          <w:rFonts w:ascii="Arial" w:hAnsi="Arial" w:cs="Arial"/>
          <w:b/>
          <w:sz w:val="22"/>
          <w:szCs w:val="22"/>
        </w:rPr>
        <w:t>Nota 7</w:t>
      </w:r>
      <w:r w:rsidRPr="000E1C13">
        <w:rPr>
          <w:rFonts w:ascii="Arial" w:hAnsi="Arial" w:cs="Arial"/>
          <w:b/>
          <w:sz w:val="22"/>
          <w:szCs w:val="22"/>
        </w:rPr>
        <w:t xml:space="preserve">. </w:t>
      </w:r>
      <w:r>
        <w:rPr>
          <w:rFonts w:ascii="Arial" w:hAnsi="Arial" w:cs="Arial"/>
          <w:b/>
          <w:sz w:val="22"/>
          <w:szCs w:val="22"/>
        </w:rPr>
        <w:t>Activos Intangibles.</w:t>
      </w:r>
    </w:p>
    <w:p w:rsidR="00EC510E" w:rsidRDefault="00EC510E" w:rsidP="00EC510E">
      <w:pPr>
        <w:autoSpaceDE w:val="0"/>
        <w:autoSpaceDN w:val="0"/>
        <w:adjustRightInd w:val="0"/>
        <w:spacing w:before="80" w:line="250" w:lineRule="exact"/>
        <w:ind w:left="709"/>
        <w:jc w:val="both"/>
        <w:rPr>
          <w:rFonts w:ascii="Arial" w:hAnsi="Arial" w:cs="Arial"/>
          <w:sz w:val="20"/>
          <w:szCs w:val="20"/>
        </w:rPr>
      </w:pPr>
      <w:r w:rsidRPr="00255030">
        <w:rPr>
          <w:rFonts w:ascii="Arial" w:hAnsi="Arial" w:cs="Arial"/>
          <w:sz w:val="22"/>
          <w:szCs w:val="22"/>
        </w:rPr>
        <w:t xml:space="preserve">Se conforma por los bienes </w:t>
      </w:r>
      <w:r>
        <w:rPr>
          <w:rFonts w:ascii="Arial" w:hAnsi="Arial" w:cs="Arial"/>
          <w:sz w:val="22"/>
          <w:szCs w:val="22"/>
        </w:rPr>
        <w:t xml:space="preserve">intangibles </w:t>
      </w:r>
      <w:r w:rsidRPr="00255030">
        <w:rPr>
          <w:rFonts w:ascii="Arial" w:hAnsi="Arial" w:cs="Arial"/>
          <w:sz w:val="22"/>
          <w:szCs w:val="22"/>
        </w:rPr>
        <w:t>necesarios para llevar a cabo las actividades de gobierno</w:t>
      </w:r>
      <w:r>
        <w:rPr>
          <w:rFonts w:ascii="Arial" w:hAnsi="Arial" w:cs="Arial"/>
          <w:sz w:val="22"/>
          <w:szCs w:val="22"/>
        </w:rPr>
        <w:t>.</w:t>
      </w:r>
    </w:p>
    <w:p w:rsidR="00EC510E" w:rsidRDefault="00EC510E">
      <w:pPr>
        <w:rPr>
          <w:rFonts w:ascii="Arial" w:hAnsi="Arial" w:cs="Arial"/>
          <w:b/>
        </w:rPr>
      </w:pP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Se presenta la integración de Intangibles al 31 de diciembre de 201</w:t>
      </w:r>
      <w:r>
        <w:rPr>
          <w:rFonts w:ascii="Arial" w:hAnsi="Arial" w:cs="Arial"/>
          <w:sz w:val="22"/>
          <w:szCs w:val="22"/>
        </w:rPr>
        <w:t>5</w:t>
      </w:r>
      <w:r w:rsidRPr="00255030">
        <w:rPr>
          <w:rFonts w:ascii="Arial" w:hAnsi="Arial" w:cs="Arial"/>
          <w:sz w:val="22"/>
          <w:szCs w:val="22"/>
        </w:rPr>
        <w:t xml:space="preserve"> y 201</w:t>
      </w:r>
      <w:r>
        <w:rPr>
          <w:rFonts w:ascii="Arial" w:hAnsi="Arial" w:cs="Arial"/>
          <w:sz w:val="22"/>
          <w:szCs w:val="22"/>
        </w:rPr>
        <w:t>4</w:t>
      </w:r>
      <w:r w:rsidRPr="00255030">
        <w:rPr>
          <w:rFonts w:ascii="Arial" w:hAnsi="Arial" w:cs="Arial"/>
          <w:sz w:val="22"/>
          <w:szCs w:val="22"/>
        </w:rPr>
        <w:t>:</w:t>
      </w:r>
    </w:p>
    <w:p w:rsidR="00CC3D62" w:rsidRDefault="00CC3D62" w:rsidP="00EC510E">
      <w:pPr>
        <w:autoSpaceDE w:val="0"/>
        <w:autoSpaceDN w:val="0"/>
        <w:adjustRightInd w:val="0"/>
        <w:spacing w:before="240" w:after="120"/>
        <w:jc w:val="center"/>
        <w:rPr>
          <w:rFonts w:ascii="Arial" w:hAnsi="Arial" w:cs="Arial"/>
          <w:b/>
          <w:sz w:val="22"/>
          <w:szCs w:val="22"/>
        </w:rPr>
      </w:pPr>
    </w:p>
    <w:p w:rsidR="00EC510E" w:rsidRPr="00255030"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5920" w:type="dxa"/>
        <w:jc w:val="center"/>
        <w:tblInd w:w="55" w:type="dxa"/>
        <w:tblCellMar>
          <w:left w:w="70" w:type="dxa"/>
          <w:right w:w="70" w:type="dxa"/>
        </w:tblCellMar>
        <w:tblLook w:val="04A0"/>
      </w:tblPr>
      <w:tblGrid>
        <w:gridCol w:w="2360"/>
        <w:gridCol w:w="1880"/>
        <w:gridCol w:w="1680"/>
      </w:tblGrid>
      <w:tr w:rsidR="00EC510E" w:rsidRPr="008319A5"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Concepto</w:t>
            </w:r>
          </w:p>
        </w:tc>
        <w:tc>
          <w:tcPr>
            <w:tcW w:w="1880" w:type="dxa"/>
            <w:tcBorders>
              <w:top w:val="single" w:sz="8" w:space="0" w:color="auto"/>
              <w:left w:val="nil"/>
              <w:bottom w:val="single" w:sz="8" w:space="0" w:color="auto"/>
              <w:right w:val="single" w:sz="8" w:space="0" w:color="auto"/>
            </w:tcBorders>
            <w:shd w:val="clear" w:color="000000" w:fill="BFBFBF"/>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8319A5" w:rsidRDefault="00EC510E" w:rsidP="00D1241D">
            <w:pPr>
              <w:jc w:val="center"/>
              <w:rPr>
                <w:rFonts w:ascii="Arial" w:hAnsi="Arial" w:cs="Arial"/>
                <w:b/>
                <w:bCs/>
                <w:color w:val="000000"/>
              </w:rPr>
            </w:pPr>
            <w:r w:rsidRPr="008319A5">
              <w:rPr>
                <w:rFonts w:ascii="Arial" w:hAnsi="Arial" w:cs="Arial"/>
                <w:b/>
                <w:bCs/>
                <w:color w:val="000000"/>
                <w:sz w:val="22"/>
                <w:szCs w:val="22"/>
              </w:rPr>
              <w:t>2014</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Ejecutivo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90,683,174</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85,551,909</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Legislativo</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1,032,324</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858,324</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Poder Judicial</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1,377,029</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405,652</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both"/>
              <w:rPr>
                <w:rFonts w:ascii="Arial" w:hAnsi="Arial" w:cs="Arial"/>
                <w:color w:val="000000"/>
              </w:rPr>
            </w:pPr>
            <w:r w:rsidRPr="008319A5">
              <w:rPr>
                <w:rFonts w:ascii="Arial" w:hAnsi="Arial" w:cs="Arial"/>
                <w:color w:val="000000"/>
                <w:sz w:val="22"/>
                <w:szCs w:val="22"/>
              </w:rPr>
              <w:t>Órganos Autónomos</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1,445,135</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3,099,246</w:t>
            </w:r>
          </w:p>
        </w:tc>
      </w:tr>
      <w:tr w:rsidR="00EC510E" w:rsidRPr="008319A5"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Suma</w:t>
            </w:r>
          </w:p>
        </w:tc>
        <w:tc>
          <w:tcPr>
            <w:tcW w:w="18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94,537,661</w:t>
            </w:r>
          </w:p>
        </w:tc>
        <w:tc>
          <w:tcPr>
            <w:tcW w:w="1680" w:type="dxa"/>
            <w:tcBorders>
              <w:top w:val="nil"/>
              <w:left w:val="nil"/>
              <w:bottom w:val="single" w:sz="8" w:space="0" w:color="auto"/>
              <w:right w:val="single" w:sz="8" w:space="0" w:color="auto"/>
            </w:tcBorders>
            <w:shd w:val="clear" w:color="auto" w:fill="auto"/>
            <w:vAlign w:val="center"/>
            <w:hideMark/>
          </w:tcPr>
          <w:p w:rsidR="00EC510E" w:rsidRPr="008319A5" w:rsidRDefault="00EC510E" w:rsidP="00D1241D">
            <w:pPr>
              <w:jc w:val="right"/>
              <w:rPr>
                <w:rFonts w:ascii="Arial" w:hAnsi="Arial" w:cs="Arial"/>
                <w:color w:val="000000"/>
              </w:rPr>
            </w:pPr>
            <w:r w:rsidRPr="008319A5">
              <w:rPr>
                <w:rFonts w:ascii="Arial" w:hAnsi="Arial" w:cs="Arial"/>
                <w:color w:val="000000"/>
                <w:sz w:val="22"/>
                <w:szCs w:val="22"/>
              </w:rPr>
              <w:t>89,915,131</w:t>
            </w:r>
          </w:p>
        </w:tc>
      </w:tr>
    </w:tbl>
    <w:p w:rsidR="00EC510E" w:rsidRDefault="00EC510E" w:rsidP="00EC510E">
      <w:pPr>
        <w:pStyle w:val="Prrafodelista"/>
        <w:spacing w:before="80" w:line="250" w:lineRule="exact"/>
        <w:ind w:left="714"/>
        <w:jc w:val="both"/>
        <w:rPr>
          <w:rFonts w:ascii="Arial" w:hAnsi="Arial" w:cs="Arial"/>
          <w:b/>
        </w:rPr>
      </w:pPr>
    </w:p>
    <w:p w:rsidR="00CC3D62" w:rsidRDefault="00CC3D62" w:rsidP="00EC510E">
      <w:pPr>
        <w:pStyle w:val="Prrafodelista"/>
        <w:spacing w:before="80" w:line="250" w:lineRule="exact"/>
        <w:ind w:left="714"/>
        <w:jc w:val="both"/>
        <w:rPr>
          <w:rFonts w:ascii="Arial" w:hAnsi="Arial" w:cs="Arial"/>
          <w:b/>
          <w:sz w:val="22"/>
          <w:szCs w:val="22"/>
        </w:rPr>
      </w:pPr>
    </w:p>
    <w:p w:rsidR="00CC3D62" w:rsidRDefault="00CC3D62" w:rsidP="00EC510E">
      <w:pPr>
        <w:pStyle w:val="Prrafodelista"/>
        <w:spacing w:before="80" w:line="250" w:lineRule="exact"/>
        <w:ind w:left="714"/>
        <w:jc w:val="both"/>
        <w:rPr>
          <w:rFonts w:ascii="Arial" w:hAnsi="Arial" w:cs="Arial"/>
          <w:b/>
          <w:sz w:val="22"/>
          <w:szCs w:val="22"/>
        </w:rPr>
      </w:pPr>
    </w:p>
    <w:p w:rsidR="00CC3D62" w:rsidRDefault="00CC3D62" w:rsidP="00EC510E">
      <w:pPr>
        <w:pStyle w:val="Prrafodelista"/>
        <w:spacing w:before="80" w:line="250" w:lineRule="exact"/>
        <w:ind w:left="714"/>
        <w:jc w:val="both"/>
        <w:rPr>
          <w:rFonts w:ascii="Arial" w:hAnsi="Arial" w:cs="Arial"/>
          <w:b/>
          <w:sz w:val="22"/>
          <w:szCs w:val="22"/>
        </w:rPr>
      </w:pPr>
    </w:p>
    <w:p w:rsidR="00EC510E" w:rsidRPr="00255030"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lastRenderedPageBreak/>
        <w:t xml:space="preserve">Nota 8. </w:t>
      </w:r>
      <w:r w:rsidRPr="00255030">
        <w:rPr>
          <w:rFonts w:ascii="Arial" w:hAnsi="Arial" w:cs="Arial"/>
          <w:b/>
          <w:sz w:val="22"/>
          <w:szCs w:val="22"/>
        </w:rPr>
        <w:t>Cuentas por Pagar a Corto Plazo.</w:t>
      </w: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Los saldos de estas cuentas representan el monto de los adeudos del Estado, que deberá pagar en un plazo menor o igual a doce meses. A continuación se presenta la integración de este rubro:</w:t>
      </w:r>
    </w:p>
    <w:p w:rsidR="00EC510E"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6120" w:type="dxa"/>
        <w:jc w:val="center"/>
        <w:tblInd w:w="55" w:type="dxa"/>
        <w:tblCellMar>
          <w:left w:w="70" w:type="dxa"/>
          <w:right w:w="70" w:type="dxa"/>
        </w:tblCellMar>
        <w:tblLook w:val="04A0"/>
      </w:tblPr>
      <w:tblGrid>
        <w:gridCol w:w="2360"/>
        <w:gridCol w:w="2080"/>
        <w:gridCol w:w="1680"/>
      </w:tblGrid>
      <w:tr w:rsidR="00EC510E" w:rsidRPr="0037688B"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2014</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10,084,077,458</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11,883,741,757</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208,749,626</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85,825,736</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205,162,455</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84,881,017</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64,680,120</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74,002,361</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10,562,669,658</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12,128,450,871</w:t>
            </w:r>
          </w:p>
        </w:tc>
      </w:tr>
    </w:tbl>
    <w:p w:rsidR="00CC3D62" w:rsidRDefault="00CC3D62" w:rsidP="00EC510E">
      <w:pPr>
        <w:pStyle w:val="Prrafodelista"/>
        <w:spacing w:before="80" w:line="250" w:lineRule="exact"/>
        <w:ind w:left="714"/>
        <w:jc w:val="both"/>
        <w:rPr>
          <w:rFonts w:ascii="Arial" w:hAnsi="Arial" w:cs="Arial"/>
          <w:b/>
          <w:sz w:val="22"/>
          <w:szCs w:val="22"/>
        </w:rPr>
      </w:pPr>
    </w:p>
    <w:p w:rsidR="00EC510E" w:rsidRPr="00255030"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t xml:space="preserve">Nota 9. </w:t>
      </w:r>
      <w:r w:rsidRPr="00255030">
        <w:rPr>
          <w:rFonts w:ascii="Arial" w:hAnsi="Arial" w:cs="Arial"/>
          <w:b/>
          <w:sz w:val="22"/>
          <w:szCs w:val="22"/>
        </w:rPr>
        <w:t>Porción a Corto Plazo</w:t>
      </w:r>
      <w:r>
        <w:rPr>
          <w:rFonts w:ascii="Arial" w:hAnsi="Arial" w:cs="Arial"/>
          <w:b/>
          <w:sz w:val="22"/>
          <w:szCs w:val="22"/>
        </w:rPr>
        <w:t xml:space="preserve"> de la Deuda Pública a Largo</w:t>
      </w:r>
      <w:r w:rsidRPr="00255030">
        <w:rPr>
          <w:rFonts w:ascii="Arial" w:hAnsi="Arial" w:cs="Arial"/>
          <w:b/>
          <w:sz w:val="22"/>
          <w:szCs w:val="22"/>
        </w:rPr>
        <w:t xml:space="preserve"> Plazo.</w:t>
      </w: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Pr>
          <w:rFonts w:ascii="Arial" w:hAnsi="Arial" w:cs="Arial"/>
          <w:sz w:val="22"/>
          <w:szCs w:val="22"/>
        </w:rPr>
        <w:t>Este importe corresponde a la porción a corto plazo de la Deuda Pública.</w:t>
      </w:r>
    </w:p>
    <w:p w:rsidR="00EC510E"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6120" w:type="dxa"/>
        <w:jc w:val="center"/>
        <w:tblInd w:w="55" w:type="dxa"/>
        <w:tblCellMar>
          <w:left w:w="70" w:type="dxa"/>
          <w:right w:w="70" w:type="dxa"/>
        </w:tblCellMar>
        <w:tblLook w:val="04A0"/>
      </w:tblPr>
      <w:tblGrid>
        <w:gridCol w:w="2360"/>
        <w:gridCol w:w="2080"/>
        <w:gridCol w:w="1680"/>
      </w:tblGrid>
      <w:tr w:rsidR="00EC510E" w:rsidRPr="0037688B"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2014</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336,815,868</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336,815,868</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bl>
    <w:p w:rsidR="00EC510E" w:rsidRDefault="00EC510E">
      <w:pPr>
        <w:rPr>
          <w:rFonts w:ascii="Arial" w:hAnsi="Arial" w:cs="Arial"/>
          <w:b/>
        </w:rPr>
      </w:pPr>
    </w:p>
    <w:p w:rsidR="00EC510E" w:rsidRPr="00255030"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t xml:space="preserve">Nota 10. </w:t>
      </w:r>
      <w:r w:rsidRPr="00255030">
        <w:rPr>
          <w:rFonts w:ascii="Arial" w:hAnsi="Arial" w:cs="Arial"/>
          <w:b/>
          <w:sz w:val="22"/>
          <w:szCs w:val="22"/>
        </w:rPr>
        <w:t>Otros Pasivos a Corto Plazo.</w:t>
      </w:r>
    </w:p>
    <w:p w:rsidR="00EC510E" w:rsidRPr="00255030" w:rsidRDefault="00EC510E" w:rsidP="00EC510E">
      <w:pPr>
        <w:autoSpaceDE w:val="0"/>
        <w:autoSpaceDN w:val="0"/>
        <w:adjustRightInd w:val="0"/>
        <w:spacing w:before="80" w:line="250" w:lineRule="exact"/>
        <w:ind w:left="709"/>
        <w:jc w:val="both"/>
        <w:rPr>
          <w:rFonts w:ascii="Arial" w:hAnsi="Arial" w:cs="Arial"/>
          <w:sz w:val="22"/>
          <w:szCs w:val="22"/>
        </w:rPr>
      </w:pPr>
      <w:r w:rsidRPr="00255030">
        <w:rPr>
          <w:rFonts w:ascii="Arial" w:hAnsi="Arial" w:cs="Arial"/>
          <w:sz w:val="22"/>
          <w:szCs w:val="22"/>
        </w:rPr>
        <w:t>Los saldos de estas cuentas representan el monto de otros adeudos del Estado con terceros, que deberá pagar en un plazo menor o igual a doce meses. A continuación se presenta la integración de este rubro:</w:t>
      </w:r>
    </w:p>
    <w:p w:rsidR="00EC510E" w:rsidRDefault="00EC510E" w:rsidP="00EC510E">
      <w:pPr>
        <w:autoSpaceDE w:val="0"/>
        <w:autoSpaceDN w:val="0"/>
        <w:adjustRightInd w:val="0"/>
        <w:spacing w:before="240" w:after="120"/>
        <w:jc w:val="center"/>
        <w:rPr>
          <w:rFonts w:ascii="Arial" w:hAnsi="Arial" w:cs="Arial"/>
          <w:b/>
          <w:sz w:val="22"/>
          <w:szCs w:val="22"/>
        </w:rPr>
      </w:pPr>
      <w:r w:rsidRPr="00255030">
        <w:rPr>
          <w:rFonts w:ascii="Arial" w:hAnsi="Arial" w:cs="Arial"/>
          <w:b/>
          <w:sz w:val="22"/>
          <w:szCs w:val="22"/>
        </w:rPr>
        <w:t>(Pesos)</w:t>
      </w:r>
    </w:p>
    <w:tbl>
      <w:tblPr>
        <w:tblW w:w="6120" w:type="dxa"/>
        <w:jc w:val="center"/>
        <w:tblInd w:w="55" w:type="dxa"/>
        <w:tblCellMar>
          <w:left w:w="70" w:type="dxa"/>
          <w:right w:w="70" w:type="dxa"/>
        </w:tblCellMar>
        <w:tblLook w:val="04A0"/>
      </w:tblPr>
      <w:tblGrid>
        <w:gridCol w:w="2360"/>
        <w:gridCol w:w="2080"/>
        <w:gridCol w:w="1680"/>
      </w:tblGrid>
      <w:tr w:rsidR="00EC510E" w:rsidRPr="0037688B"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2014</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30,712,461</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123,840,438</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Calibri" w:hAnsi="Calibri"/>
                <w:color w:val="000000"/>
              </w:rPr>
            </w:pPr>
            <w:r w:rsidRPr="0037688B">
              <w:rPr>
                <w:rFonts w:ascii="Calibri" w:hAnsi="Calibri"/>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bottom"/>
            <w:hideMark/>
          </w:tcPr>
          <w:p w:rsidR="00EC510E" w:rsidRPr="0037688B" w:rsidRDefault="00EC510E" w:rsidP="00D1241D">
            <w:pPr>
              <w:jc w:val="right"/>
              <w:rPr>
                <w:rFonts w:ascii="Calibri" w:hAnsi="Calibri"/>
                <w:color w:val="000000"/>
              </w:rPr>
            </w:pPr>
            <w:r w:rsidRPr="0037688B">
              <w:rPr>
                <w:rFonts w:ascii="Calibri" w:hAnsi="Calibri"/>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Calibri" w:hAnsi="Calibri"/>
                <w:color w:val="000000"/>
              </w:rPr>
            </w:pPr>
            <w:r w:rsidRPr="0037688B">
              <w:rPr>
                <w:rFonts w:ascii="Calibri" w:hAnsi="Calibri"/>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bottom"/>
            <w:hideMark/>
          </w:tcPr>
          <w:p w:rsidR="00EC510E" w:rsidRPr="0037688B" w:rsidRDefault="00EC510E" w:rsidP="00D1241D">
            <w:pPr>
              <w:jc w:val="right"/>
              <w:rPr>
                <w:rFonts w:ascii="Calibri" w:hAnsi="Calibri"/>
                <w:color w:val="000000"/>
              </w:rPr>
            </w:pPr>
            <w:r w:rsidRPr="0037688B">
              <w:rPr>
                <w:rFonts w:ascii="Calibri" w:hAnsi="Calibri"/>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rPr>
                <w:rFonts w:ascii="Arial" w:hAnsi="Arial" w:cs="Arial"/>
                <w:color w:val="000000"/>
              </w:rPr>
            </w:pPr>
            <w:r w:rsidRPr="0037688B">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Calibri" w:hAnsi="Calibri"/>
                <w:color w:val="000000"/>
              </w:rPr>
            </w:pPr>
            <w:r w:rsidRPr="0037688B">
              <w:rPr>
                <w:rFonts w:ascii="Calibri" w:hAnsi="Calibri"/>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bottom"/>
            <w:hideMark/>
          </w:tcPr>
          <w:p w:rsidR="00EC510E" w:rsidRPr="0037688B" w:rsidRDefault="00EC510E" w:rsidP="00D1241D">
            <w:pPr>
              <w:jc w:val="right"/>
              <w:rPr>
                <w:rFonts w:ascii="Calibri" w:hAnsi="Calibri"/>
                <w:color w:val="000000"/>
              </w:rPr>
            </w:pPr>
            <w:r w:rsidRPr="0037688B">
              <w:rPr>
                <w:rFonts w:ascii="Calibri" w:hAnsi="Calibri"/>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30,712,461</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123,840,438</w:t>
            </w:r>
          </w:p>
        </w:tc>
      </w:tr>
    </w:tbl>
    <w:p w:rsidR="00EC510E" w:rsidRDefault="00EC510E" w:rsidP="00EC510E">
      <w:pPr>
        <w:pStyle w:val="Prrafodelista"/>
        <w:spacing w:before="80" w:line="250" w:lineRule="exact"/>
        <w:ind w:left="714"/>
        <w:jc w:val="both"/>
        <w:rPr>
          <w:rFonts w:ascii="Arial" w:hAnsi="Arial" w:cs="Arial"/>
          <w:b/>
        </w:rPr>
      </w:pPr>
    </w:p>
    <w:p w:rsidR="00EC510E" w:rsidRPr="00255030" w:rsidRDefault="00EC510E" w:rsidP="00EC510E">
      <w:pPr>
        <w:pStyle w:val="Prrafodelista"/>
        <w:spacing w:before="80" w:line="250" w:lineRule="exact"/>
        <w:ind w:left="714"/>
        <w:jc w:val="both"/>
        <w:rPr>
          <w:rFonts w:ascii="Arial" w:hAnsi="Arial" w:cs="Arial"/>
          <w:b/>
        </w:rPr>
      </w:pPr>
      <w:r>
        <w:rPr>
          <w:rFonts w:ascii="Arial" w:hAnsi="Arial" w:cs="Arial"/>
          <w:b/>
        </w:rPr>
        <w:t xml:space="preserve">Nota 11. </w:t>
      </w:r>
      <w:r w:rsidRPr="00255030">
        <w:rPr>
          <w:rFonts w:ascii="Arial" w:hAnsi="Arial" w:cs="Arial"/>
          <w:b/>
        </w:rPr>
        <w:t>Cuentas por Pagar a Largo Plazo.</w:t>
      </w:r>
    </w:p>
    <w:p w:rsidR="00EC510E" w:rsidRPr="00255030" w:rsidRDefault="00EC510E" w:rsidP="00EC510E">
      <w:pPr>
        <w:pStyle w:val="Prrafodelista"/>
        <w:autoSpaceDE w:val="0"/>
        <w:autoSpaceDN w:val="0"/>
        <w:adjustRightInd w:val="0"/>
        <w:spacing w:before="80" w:line="250" w:lineRule="exact"/>
        <w:jc w:val="both"/>
        <w:rPr>
          <w:rFonts w:ascii="Arial" w:hAnsi="Arial" w:cs="Arial"/>
        </w:rPr>
      </w:pPr>
      <w:r w:rsidRPr="00255030">
        <w:rPr>
          <w:rFonts w:ascii="Arial" w:hAnsi="Arial" w:cs="Arial"/>
        </w:rPr>
        <w:t>Los saldos de estas cuentas representan el monto de otros adeudos del Estado con terceros, que deberá pagar en un plazo mayor a doce meses. A continuación se presenta la integración de este rubro:</w:t>
      </w:r>
    </w:p>
    <w:p w:rsidR="00EC510E" w:rsidRDefault="00EC510E" w:rsidP="00EC510E">
      <w:pPr>
        <w:autoSpaceDE w:val="0"/>
        <w:autoSpaceDN w:val="0"/>
        <w:adjustRightInd w:val="0"/>
        <w:spacing w:before="240" w:after="120"/>
        <w:jc w:val="center"/>
        <w:rPr>
          <w:rFonts w:ascii="Arial" w:hAnsi="Arial" w:cs="Arial"/>
          <w:b/>
        </w:rPr>
      </w:pPr>
      <w:r w:rsidRPr="00255030">
        <w:rPr>
          <w:rFonts w:ascii="Arial" w:hAnsi="Arial" w:cs="Arial"/>
          <w:b/>
        </w:rPr>
        <w:t>(Pesos)</w:t>
      </w:r>
    </w:p>
    <w:tbl>
      <w:tblPr>
        <w:tblW w:w="6120" w:type="dxa"/>
        <w:jc w:val="center"/>
        <w:tblInd w:w="55" w:type="dxa"/>
        <w:tblCellMar>
          <w:left w:w="70" w:type="dxa"/>
          <w:right w:w="70" w:type="dxa"/>
        </w:tblCellMar>
        <w:tblLook w:val="04A0"/>
      </w:tblPr>
      <w:tblGrid>
        <w:gridCol w:w="2360"/>
        <w:gridCol w:w="2080"/>
        <w:gridCol w:w="1680"/>
      </w:tblGrid>
      <w:tr w:rsidR="00EC510E" w:rsidRPr="0037688B" w:rsidTr="00D1241D">
        <w:trPr>
          <w:trHeight w:val="330"/>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2014</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267,111</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25,350,710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181</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267,111</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25,350,891</w:t>
            </w:r>
          </w:p>
        </w:tc>
      </w:tr>
    </w:tbl>
    <w:p w:rsidR="00EC510E" w:rsidRDefault="00EC510E" w:rsidP="00EC510E">
      <w:pPr>
        <w:autoSpaceDE w:val="0"/>
        <w:autoSpaceDN w:val="0"/>
        <w:adjustRightInd w:val="0"/>
        <w:spacing w:before="240" w:after="120"/>
        <w:jc w:val="center"/>
        <w:rPr>
          <w:rFonts w:ascii="Arial" w:hAnsi="Arial" w:cs="Arial"/>
          <w:b/>
        </w:rPr>
      </w:pPr>
    </w:p>
    <w:p w:rsidR="00EC510E" w:rsidRPr="008549E3"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t xml:space="preserve">Nota 12. </w:t>
      </w:r>
      <w:r w:rsidRPr="008549E3">
        <w:rPr>
          <w:rFonts w:ascii="Arial" w:hAnsi="Arial" w:cs="Arial"/>
          <w:b/>
          <w:sz w:val="22"/>
          <w:szCs w:val="22"/>
        </w:rPr>
        <w:t>Deuda Pública a Largo Plazo.</w:t>
      </w:r>
    </w:p>
    <w:p w:rsidR="00EC510E" w:rsidRPr="008549E3" w:rsidRDefault="00EC510E" w:rsidP="00EC510E">
      <w:pPr>
        <w:autoSpaceDE w:val="0"/>
        <w:autoSpaceDN w:val="0"/>
        <w:adjustRightInd w:val="0"/>
        <w:spacing w:before="240" w:after="120"/>
        <w:ind w:left="709"/>
        <w:jc w:val="both"/>
        <w:rPr>
          <w:rFonts w:ascii="Arial" w:hAnsi="Arial" w:cs="Arial"/>
          <w:sz w:val="22"/>
          <w:szCs w:val="22"/>
        </w:rPr>
      </w:pPr>
      <w:r w:rsidRPr="008549E3">
        <w:rPr>
          <w:rFonts w:ascii="Arial" w:hAnsi="Arial" w:cs="Arial"/>
          <w:sz w:val="22"/>
          <w:szCs w:val="22"/>
        </w:rPr>
        <w:t>El saldo de estas cuentas representa el monto de las obligaciones directas o contingentes derivadas de financiamiento a cargo del Estado. A continuación se presenta la integración de este rubro:</w:t>
      </w:r>
    </w:p>
    <w:p w:rsidR="00CC3D62" w:rsidRDefault="00CC3D62" w:rsidP="00EC510E">
      <w:pPr>
        <w:autoSpaceDE w:val="0"/>
        <w:autoSpaceDN w:val="0"/>
        <w:adjustRightInd w:val="0"/>
        <w:spacing w:before="240" w:after="120"/>
        <w:jc w:val="center"/>
        <w:rPr>
          <w:rFonts w:ascii="Arial" w:hAnsi="Arial" w:cs="Arial"/>
          <w:b/>
          <w:sz w:val="22"/>
          <w:szCs w:val="22"/>
        </w:rPr>
      </w:pPr>
    </w:p>
    <w:p w:rsidR="00EC510E" w:rsidRDefault="00EC510E" w:rsidP="00EC510E">
      <w:pPr>
        <w:autoSpaceDE w:val="0"/>
        <w:autoSpaceDN w:val="0"/>
        <w:adjustRightInd w:val="0"/>
        <w:spacing w:before="240" w:after="120"/>
        <w:jc w:val="center"/>
        <w:rPr>
          <w:rFonts w:ascii="Arial" w:hAnsi="Arial" w:cs="Arial"/>
          <w:b/>
          <w:sz w:val="22"/>
          <w:szCs w:val="22"/>
        </w:rPr>
      </w:pPr>
      <w:r w:rsidRPr="008549E3">
        <w:rPr>
          <w:rFonts w:ascii="Arial" w:hAnsi="Arial" w:cs="Arial"/>
          <w:b/>
          <w:sz w:val="22"/>
          <w:szCs w:val="22"/>
        </w:rPr>
        <w:t>(Pesos)</w:t>
      </w:r>
    </w:p>
    <w:tbl>
      <w:tblPr>
        <w:tblW w:w="6120" w:type="dxa"/>
        <w:jc w:val="center"/>
        <w:tblInd w:w="55" w:type="dxa"/>
        <w:tblCellMar>
          <w:left w:w="70" w:type="dxa"/>
          <w:right w:w="70" w:type="dxa"/>
        </w:tblCellMar>
        <w:tblLook w:val="04A0"/>
      </w:tblPr>
      <w:tblGrid>
        <w:gridCol w:w="2360"/>
        <w:gridCol w:w="2080"/>
        <w:gridCol w:w="1680"/>
      </w:tblGrid>
      <w:tr w:rsidR="00EC510E" w:rsidRPr="0037688B" w:rsidTr="00D1241D">
        <w:trPr>
          <w:trHeight w:val="330"/>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2014</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7,308,117,489</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4,556,777,434</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0</w:t>
            </w:r>
          </w:p>
        </w:tc>
      </w:tr>
      <w:tr w:rsidR="00EC510E" w:rsidRPr="0037688B"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7,308,117,489</w:t>
            </w:r>
          </w:p>
        </w:tc>
        <w:tc>
          <w:tcPr>
            <w:tcW w:w="1680"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4,556,777,434</w:t>
            </w:r>
          </w:p>
        </w:tc>
      </w:tr>
    </w:tbl>
    <w:p w:rsidR="00EC510E" w:rsidRDefault="00EC510E">
      <w:pPr>
        <w:rPr>
          <w:rFonts w:ascii="Arial" w:hAnsi="Arial" w:cs="Arial"/>
          <w:b/>
        </w:rPr>
      </w:pPr>
    </w:p>
    <w:p w:rsidR="00EC510E" w:rsidRPr="00E43AFA" w:rsidRDefault="00EC510E" w:rsidP="00EC510E">
      <w:pPr>
        <w:pStyle w:val="Prrafodelista"/>
        <w:spacing w:before="80" w:line="250" w:lineRule="exact"/>
        <w:ind w:left="714"/>
        <w:jc w:val="both"/>
        <w:rPr>
          <w:rFonts w:ascii="Arial" w:hAnsi="Arial" w:cs="Arial"/>
          <w:sz w:val="22"/>
          <w:szCs w:val="22"/>
        </w:rPr>
      </w:pPr>
      <w:r w:rsidRPr="00E43AFA">
        <w:rPr>
          <w:rFonts w:ascii="Arial" w:hAnsi="Arial" w:cs="Arial"/>
          <w:sz w:val="22"/>
          <w:szCs w:val="22"/>
        </w:rPr>
        <w:t>El importe total de la deuda</w:t>
      </w:r>
      <w:r>
        <w:rPr>
          <w:rFonts w:ascii="Arial" w:hAnsi="Arial" w:cs="Arial"/>
          <w:sz w:val="22"/>
          <w:szCs w:val="22"/>
        </w:rPr>
        <w:t xml:space="preserve"> pública es por 7 mil 644 millones 933 mil 357 pesos, de los cuales  336 millones 815 mil 688 pesos corresponden al corto plazo y 7 mil 308 millones 117 mil 489 pesos corresponden al largo plazo.</w:t>
      </w:r>
    </w:p>
    <w:p w:rsidR="00EC510E" w:rsidRDefault="00EC510E" w:rsidP="00EC510E">
      <w:pPr>
        <w:pStyle w:val="Prrafodelista"/>
        <w:spacing w:before="80" w:line="250" w:lineRule="exact"/>
        <w:ind w:left="714"/>
        <w:jc w:val="both"/>
        <w:rPr>
          <w:rFonts w:ascii="Arial" w:hAnsi="Arial" w:cs="Arial"/>
          <w:b/>
          <w:sz w:val="22"/>
          <w:szCs w:val="22"/>
        </w:rPr>
      </w:pPr>
    </w:p>
    <w:p w:rsidR="00EC510E" w:rsidRDefault="00EC510E" w:rsidP="00EC510E">
      <w:pPr>
        <w:pStyle w:val="Prrafodelista"/>
        <w:spacing w:before="80" w:line="250" w:lineRule="exact"/>
        <w:ind w:left="714"/>
        <w:jc w:val="both"/>
        <w:rPr>
          <w:rFonts w:ascii="Arial" w:hAnsi="Arial" w:cs="Arial"/>
          <w:b/>
          <w:sz w:val="22"/>
          <w:szCs w:val="22"/>
        </w:rPr>
      </w:pPr>
    </w:p>
    <w:p w:rsidR="00CC3D62" w:rsidRDefault="00CC3D62" w:rsidP="00EC510E">
      <w:pPr>
        <w:pStyle w:val="Prrafodelista"/>
        <w:spacing w:before="80" w:line="250" w:lineRule="exact"/>
        <w:ind w:left="714"/>
        <w:jc w:val="both"/>
        <w:rPr>
          <w:rFonts w:ascii="Arial" w:hAnsi="Arial" w:cs="Arial"/>
          <w:b/>
          <w:sz w:val="22"/>
          <w:szCs w:val="22"/>
        </w:rPr>
      </w:pPr>
    </w:p>
    <w:p w:rsidR="00CC3D62" w:rsidRDefault="00CC3D62" w:rsidP="00EC510E">
      <w:pPr>
        <w:pStyle w:val="Prrafodelista"/>
        <w:spacing w:before="80" w:line="250" w:lineRule="exact"/>
        <w:ind w:left="714"/>
        <w:jc w:val="both"/>
        <w:rPr>
          <w:rFonts w:ascii="Arial" w:hAnsi="Arial" w:cs="Arial"/>
          <w:b/>
          <w:sz w:val="22"/>
          <w:szCs w:val="22"/>
        </w:rPr>
      </w:pPr>
    </w:p>
    <w:p w:rsidR="00EC510E" w:rsidRPr="008549E3" w:rsidRDefault="00EC510E" w:rsidP="00EC510E">
      <w:pPr>
        <w:pStyle w:val="Prrafodelista"/>
        <w:spacing w:before="80" w:line="250" w:lineRule="exact"/>
        <w:ind w:left="714"/>
        <w:jc w:val="both"/>
        <w:rPr>
          <w:rFonts w:ascii="Arial" w:hAnsi="Arial" w:cs="Arial"/>
          <w:b/>
          <w:sz w:val="22"/>
          <w:szCs w:val="22"/>
        </w:rPr>
      </w:pPr>
      <w:r>
        <w:rPr>
          <w:rFonts w:ascii="Arial" w:hAnsi="Arial" w:cs="Arial"/>
          <w:b/>
          <w:sz w:val="22"/>
          <w:szCs w:val="22"/>
        </w:rPr>
        <w:lastRenderedPageBreak/>
        <w:t>Nota 13. Fondos y Bienes de Terceros en Garantía y/o en Administración a Largo Plazo.</w:t>
      </w:r>
    </w:p>
    <w:p w:rsidR="00EC510E" w:rsidRDefault="00EC510E" w:rsidP="00EC510E">
      <w:pPr>
        <w:autoSpaceDE w:val="0"/>
        <w:autoSpaceDN w:val="0"/>
        <w:adjustRightInd w:val="0"/>
        <w:spacing w:before="240" w:after="120"/>
        <w:ind w:left="709"/>
        <w:jc w:val="both"/>
        <w:rPr>
          <w:rFonts w:ascii="Arial" w:hAnsi="Arial" w:cs="Arial"/>
          <w:sz w:val="22"/>
          <w:szCs w:val="22"/>
        </w:rPr>
      </w:pPr>
      <w:r>
        <w:rPr>
          <w:rFonts w:ascii="Arial" w:hAnsi="Arial" w:cs="Arial"/>
          <w:sz w:val="22"/>
          <w:szCs w:val="22"/>
        </w:rPr>
        <w:t>El saldo de esta cuenta</w:t>
      </w:r>
      <w:r w:rsidRPr="008549E3">
        <w:rPr>
          <w:rFonts w:ascii="Arial" w:hAnsi="Arial" w:cs="Arial"/>
          <w:sz w:val="22"/>
          <w:szCs w:val="22"/>
        </w:rPr>
        <w:t xml:space="preserve"> representa el monto de</w:t>
      </w:r>
      <w:r>
        <w:rPr>
          <w:rFonts w:ascii="Arial" w:hAnsi="Arial" w:cs="Arial"/>
          <w:sz w:val="22"/>
          <w:szCs w:val="22"/>
        </w:rPr>
        <w:t xml:space="preserve"> los fondos y bienes propiedad de terceros, en garantía de cumplimiento de obligaciones contractuales o legales, en un plazo mayor de doce meses.</w:t>
      </w:r>
      <w:r w:rsidRPr="008549E3">
        <w:rPr>
          <w:rFonts w:ascii="Arial" w:hAnsi="Arial" w:cs="Arial"/>
          <w:sz w:val="22"/>
          <w:szCs w:val="22"/>
        </w:rPr>
        <w:t xml:space="preserve"> A continuación se presenta la integración de este rubro:</w:t>
      </w:r>
    </w:p>
    <w:p w:rsidR="00EC510E" w:rsidRPr="008549E3" w:rsidRDefault="00EC510E" w:rsidP="00EC510E">
      <w:pPr>
        <w:autoSpaceDE w:val="0"/>
        <w:autoSpaceDN w:val="0"/>
        <w:adjustRightInd w:val="0"/>
        <w:spacing w:before="240" w:after="120"/>
        <w:ind w:left="709"/>
        <w:jc w:val="both"/>
        <w:rPr>
          <w:rFonts w:ascii="Arial" w:hAnsi="Arial" w:cs="Arial"/>
          <w:sz w:val="22"/>
          <w:szCs w:val="22"/>
        </w:rPr>
      </w:pPr>
    </w:p>
    <w:tbl>
      <w:tblPr>
        <w:tblW w:w="6120" w:type="dxa"/>
        <w:jc w:val="center"/>
        <w:tblInd w:w="55" w:type="dxa"/>
        <w:tblCellMar>
          <w:left w:w="70" w:type="dxa"/>
          <w:right w:w="70" w:type="dxa"/>
        </w:tblCellMar>
        <w:tblLook w:val="04A0"/>
      </w:tblPr>
      <w:tblGrid>
        <w:gridCol w:w="2360"/>
        <w:gridCol w:w="2080"/>
        <w:gridCol w:w="1680"/>
      </w:tblGrid>
      <w:tr w:rsidR="00EC510E" w:rsidRPr="00387BB3" w:rsidTr="00D1241D">
        <w:trPr>
          <w:trHeight w:val="330"/>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387BB3" w:rsidRDefault="00EC510E" w:rsidP="00D1241D">
            <w:pPr>
              <w:jc w:val="center"/>
              <w:rPr>
                <w:rFonts w:ascii="Arial" w:hAnsi="Arial" w:cs="Arial"/>
                <w:b/>
                <w:bCs/>
                <w:color w:val="000000"/>
              </w:rPr>
            </w:pPr>
            <w:r w:rsidRPr="00387BB3">
              <w:rPr>
                <w:rFonts w:ascii="Arial" w:hAnsi="Arial" w:cs="Arial"/>
                <w:b/>
                <w:bCs/>
                <w:color w:val="000000"/>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387BB3" w:rsidRDefault="00EC510E" w:rsidP="00D1241D">
            <w:pPr>
              <w:jc w:val="center"/>
              <w:rPr>
                <w:rFonts w:ascii="Arial" w:hAnsi="Arial" w:cs="Arial"/>
                <w:b/>
                <w:bCs/>
                <w:color w:val="000000"/>
              </w:rPr>
            </w:pPr>
            <w:r w:rsidRPr="00387BB3">
              <w:rPr>
                <w:rFonts w:ascii="Arial" w:hAnsi="Arial" w:cs="Arial"/>
                <w:b/>
                <w:bCs/>
                <w:color w:val="000000"/>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387BB3" w:rsidRDefault="00EC510E" w:rsidP="00D1241D">
            <w:pPr>
              <w:jc w:val="center"/>
              <w:rPr>
                <w:rFonts w:ascii="Arial" w:hAnsi="Arial" w:cs="Arial"/>
                <w:b/>
                <w:bCs/>
                <w:color w:val="000000"/>
              </w:rPr>
            </w:pPr>
            <w:r w:rsidRPr="00387BB3">
              <w:rPr>
                <w:rFonts w:ascii="Arial" w:hAnsi="Arial" w:cs="Arial"/>
                <w:b/>
                <w:bCs/>
                <w:color w:val="000000"/>
              </w:rPr>
              <w:t>2014</w:t>
            </w:r>
          </w:p>
        </w:tc>
      </w:tr>
      <w:tr w:rsidR="00EC510E" w:rsidRPr="004C64FC"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9,280,515</w:t>
            </w:r>
          </w:p>
        </w:tc>
        <w:tc>
          <w:tcPr>
            <w:tcW w:w="16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Pr>
                <w:rFonts w:ascii="Arial" w:hAnsi="Arial" w:cs="Arial"/>
                <w:color w:val="000000"/>
                <w:sz w:val="22"/>
                <w:szCs w:val="22"/>
              </w:rPr>
              <w:t>19,090,562</w:t>
            </w:r>
          </w:p>
        </w:tc>
      </w:tr>
      <w:tr w:rsidR="00EC510E" w:rsidRPr="004C64FC"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Pr>
                <w:rFonts w:ascii="Arial" w:hAnsi="Arial" w:cs="Arial"/>
                <w:color w:val="000000"/>
                <w:sz w:val="22"/>
                <w:szCs w:val="22"/>
              </w:rPr>
              <w:t>0</w:t>
            </w:r>
          </w:p>
        </w:tc>
      </w:tr>
      <w:tr w:rsidR="00EC510E" w:rsidRPr="004C64FC"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4C64FC" w:rsidRDefault="00EC510E" w:rsidP="00D1241D">
            <w:pPr>
              <w:jc w:val="right"/>
              <w:rPr>
                <w:rFonts w:ascii="Arial" w:hAnsi="Arial" w:cs="Arial"/>
                <w:color w:val="000000"/>
              </w:rPr>
            </w:pPr>
            <w:r>
              <w:rPr>
                <w:rFonts w:ascii="Arial" w:hAnsi="Arial" w:cs="Arial"/>
                <w:color w:val="000000"/>
                <w:sz w:val="22"/>
                <w:szCs w:val="22"/>
              </w:rPr>
              <w:t>0</w:t>
            </w:r>
          </w:p>
        </w:tc>
      </w:tr>
      <w:tr w:rsidR="00EC510E" w:rsidRPr="004C64FC"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Pr>
                <w:rFonts w:ascii="Arial" w:hAnsi="Arial" w:cs="Arial"/>
                <w:color w:val="000000"/>
                <w:sz w:val="22"/>
                <w:szCs w:val="22"/>
              </w:rPr>
              <w:t>0</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4C64FC" w:rsidRDefault="00EC510E" w:rsidP="00D1241D">
            <w:pPr>
              <w:jc w:val="right"/>
              <w:rPr>
                <w:rFonts w:ascii="Arial" w:hAnsi="Arial" w:cs="Arial"/>
                <w:color w:val="000000"/>
              </w:rPr>
            </w:pPr>
            <w:r>
              <w:rPr>
                <w:rFonts w:ascii="Arial" w:hAnsi="Arial" w:cs="Arial"/>
                <w:color w:val="000000"/>
                <w:sz w:val="22"/>
                <w:szCs w:val="22"/>
              </w:rPr>
              <w:t>3,559.515,567</w:t>
            </w:r>
          </w:p>
        </w:tc>
      </w:tr>
      <w:tr w:rsidR="00EC510E" w:rsidRPr="004C64FC"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9,280,515</w:t>
            </w:r>
          </w:p>
        </w:tc>
        <w:tc>
          <w:tcPr>
            <w:tcW w:w="16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3,578,606,129</w:t>
            </w:r>
          </w:p>
        </w:tc>
      </w:tr>
    </w:tbl>
    <w:p w:rsidR="00CC3D62" w:rsidRDefault="00CC3D62" w:rsidP="00EC510E">
      <w:pPr>
        <w:autoSpaceDE w:val="0"/>
        <w:autoSpaceDN w:val="0"/>
        <w:adjustRightInd w:val="0"/>
        <w:spacing w:before="240" w:after="120"/>
        <w:ind w:left="709"/>
        <w:jc w:val="both"/>
        <w:rPr>
          <w:rFonts w:ascii="Arial" w:hAnsi="Arial" w:cs="Arial"/>
          <w:sz w:val="22"/>
          <w:szCs w:val="22"/>
        </w:rPr>
      </w:pPr>
    </w:p>
    <w:p w:rsidR="00EC510E" w:rsidRPr="00387BB3" w:rsidRDefault="00EC510E" w:rsidP="00EC510E">
      <w:pPr>
        <w:autoSpaceDE w:val="0"/>
        <w:autoSpaceDN w:val="0"/>
        <w:adjustRightInd w:val="0"/>
        <w:spacing w:before="240" w:after="120"/>
        <w:ind w:left="709"/>
        <w:jc w:val="both"/>
        <w:rPr>
          <w:rFonts w:ascii="Arial" w:hAnsi="Arial" w:cs="Arial"/>
          <w:sz w:val="22"/>
          <w:szCs w:val="22"/>
        </w:rPr>
      </w:pPr>
      <w:r w:rsidRPr="00387BB3">
        <w:rPr>
          <w:rFonts w:ascii="Arial" w:hAnsi="Arial" w:cs="Arial"/>
          <w:sz w:val="22"/>
          <w:szCs w:val="22"/>
        </w:rPr>
        <w:t>El impor</w:t>
      </w:r>
      <w:r>
        <w:rPr>
          <w:rFonts w:ascii="Arial" w:hAnsi="Arial" w:cs="Arial"/>
          <w:sz w:val="22"/>
          <w:szCs w:val="22"/>
        </w:rPr>
        <w:t>te de esta cuenta en el ejercicio 2014, ascendió a 19 millones 90 mil 562 pesos, en este rubro se incluyó el importe de los beneficios a los empleados a largo plazo de la Universidad Autónoma Benito Juárez de Oaxaca por un importe de 3 mil 559 millones 515 mil 567 pesos, importe que para el ejercicio 2015 no fue considerado por la entidad.</w:t>
      </w:r>
    </w:p>
    <w:p w:rsidR="00EC510E" w:rsidRDefault="00EC510E" w:rsidP="00EC510E">
      <w:pPr>
        <w:autoSpaceDE w:val="0"/>
        <w:autoSpaceDN w:val="0"/>
        <w:adjustRightInd w:val="0"/>
        <w:spacing w:before="240" w:after="120"/>
        <w:ind w:firstLine="708"/>
        <w:rPr>
          <w:rFonts w:ascii="Arial" w:hAnsi="Arial" w:cs="Arial"/>
          <w:b/>
          <w:sz w:val="22"/>
          <w:szCs w:val="22"/>
        </w:rPr>
      </w:pPr>
    </w:p>
    <w:p w:rsidR="00EC510E" w:rsidRDefault="00EC510E" w:rsidP="00EC510E">
      <w:pPr>
        <w:autoSpaceDE w:val="0"/>
        <w:autoSpaceDN w:val="0"/>
        <w:adjustRightInd w:val="0"/>
        <w:spacing w:before="240" w:after="120"/>
        <w:ind w:firstLine="708"/>
        <w:rPr>
          <w:rFonts w:ascii="Arial" w:hAnsi="Arial" w:cs="Arial"/>
          <w:b/>
          <w:sz w:val="22"/>
          <w:szCs w:val="22"/>
        </w:rPr>
      </w:pPr>
      <w:r>
        <w:rPr>
          <w:rFonts w:ascii="Arial" w:hAnsi="Arial" w:cs="Arial"/>
          <w:b/>
          <w:sz w:val="22"/>
          <w:szCs w:val="22"/>
        </w:rPr>
        <w:t>Nota 14. Provisiones a Largo Plazo.</w:t>
      </w:r>
    </w:p>
    <w:p w:rsidR="00EC510E" w:rsidRPr="0007198D" w:rsidRDefault="00EC510E" w:rsidP="00EC510E">
      <w:pPr>
        <w:autoSpaceDE w:val="0"/>
        <w:autoSpaceDN w:val="0"/>
        <w:adjustRightInd w:val="0"/>
        <w:spacing w:before="240" w:after="120"/>
        <w:ind w:left="709"/>
        <w:jc w:val="both"/>
        <w:rPr>
          <w:rFonts w:ascii="Arial" w:hAnsi="Arial" w:cs="Arial"/>
          <w:sz w:val="22"/>
          <w:szCs w:val="22"/>
        </w:rPr>
      </w:pPr>
      <w:r w:rsidRPr="0007198D">
        <w:rPr>
          <w:rFonts w:ascii="Arial" w:hAnsi="Arial" w:cs="Arial"/>
          <w:sz w:val="22"/>
          <w:szCs w:val="22"/>
        </w:rPr>
        <w:t>El saldo de esta cuenta representa el importe de las pensiones a cargo del Gobierno del Estado al cierre del ejercicio.</w:t>
      </w:r>
      <w:r>
        <w:rPr>
          <w:rFonts w:ascii="Arial" w:hAnsi="Arial" w:cs="Arial"/>
          <w:sz w:val="22"/>
          <w:szCs w:val="22"/>
        </w:rPr>
        <w:t xml:space="preserve"> El importe de este rubro es de 3 mil 246 millones 446 mil 530 pesos. En el ejercicio 2014 este importe fue considerado en los estados financieros de la Oficina de Pensiones del Gobierno del Estado y en el ejercicio que se informa este importe se considera nuevamente en los estados financieros del Sector Central.</w:t>
      </w:r>
    </w:p>
    <w:p w:rsidR="00CC3D62" w:rsidRDefault="00CC3D62">
      <w:pPr>
        <w:rPr>
          <w:rFonts w:ascii="Arial" w:hAnsi="Arial" w:cs="Arial"/>
          <w:b/>
          <w:sz w:val="22"/>
          <w:szCs w:val="22"/>
        </w:rPr>
      </w:pPr>
      <w:r>
        <w:rPr>
          <w:rFonts w:ascii="Arial" w:hAnsi="Arial" w:cs="Arial"/>
          <w:b/>
          <w:sz w:val="22"/>
          <w:szCs w:val="22"/>
        </w:rPr>
        <w:br w:type="page"/>
      </w:r>
    </w:p>
    <w:p w:rsidR="00EC510E" w:rsidRPr="008549E3" w:rsidRDefault="00EC510E" w:rsidP="00EC510E">
      <w:pPr>
        <w:autoSpaceDE w:val="0"/>
        <w:autoSpaceDN w:val="0"/>
        <w:adjustRightInd w:val="0"/>
        <w:spacing w:before="240" w:after="120"/>
        <w:ind w:firstLine="708"/>
        <w:jc w:val="both"/>
        <w:rPr>
          <w:rFonts w:ascii="Arial" w:hAnsi="Arial" w:cs="Arial"/>
          <w:b/>
          <w:sz w:val="22"/>
          <w:szCs w:val="22"/>
        </w:rPr>
      </w:pPr>
      <w:r>
        <w:rPr>
          <w:rFonts w:ascii="Arial" w:hAnsi="Arial" w:cs="Arial"/>
          <w:b/>
          <w:sz w:val="22"/>
          <w:szCs w:val="22"/>
        </w:rPr>
        <w:lastRenderedPageBreak/>
        <w:t xml:space="preserve">Nota15. </w:t>
      </w:r>
      <w:r w:rsidRPr="008549E3">
        <w:rPr>
          <w:rFonts w:ascii="Arial" w:hAnsi="Arial" w:cs="Arial"/>
          <w:b/>
          <w:sz w:val="22"/>
          <w:szCs w:val="22"/>
        </w:rPr>
        <w:t>Notas al Estado de Variación de la Hacienda Pública/Patrimonio</w:t>
      </w:r>
    </w:p>
    <w:p w:rsidR="00EC510E" w:rsidRDefault="00EC510E" w:rsidP="00EC510E">
      <w:pPr>
        <w:autoSpaceDE w:val="0"/>
        <w:autoSpaceDN w:val="0"/>
        <w:adjustRightInd w:val="0"/>
        <w:spacing w:before="80" w:line="250" w:lineRule="exact"/>
        <w:ind w:left="709"/>
        <w:jc w:val="both"/>
        <w:rPr>
          <w:rFonts w:ascii="Arial" w:hAnsi="Arial" w:cs="Arial"/>
          <w:sz w:val="22"/>
          <w:szCs w:val="22"/>
        </w:rPr>
      </w:pPr>
    </w:p>
    <w:p w:rsidR="00EC510E" w:rsidRDefault="00EC510E" w:rsidP="00EC510E">
      <w:pPr>
        <w:autoSpaceDE w:val="0"/>
        <w:autoSpaceDN w:val="0"/>
        <w:adjustRightInd w:val="0"/>
        <w:spacing w:before="80" w:line="250" w:lineRule="exact"/>
        <w:ind w:left="709"/>
        <w:jc w:val="both"/>
        <w:rPr>
          <w:rFonts w:ascii="Arial" w:hAnsi="Arial" w:cs="Arial"/>
          <w:sz w:val="20"/>
          <w:szCs w:val="20"/>
        </w:rPr>
      </w:pPr>
      <w:r w:rsidRPr="008549E3">
        <w:rPr>
          <w:rFonts w:ascii="Arial" w:hAnsi="Arial" w:cs="Arial"/>
          <w:sz w:val="22"/>
          <w:szCs w:val="22"/>
        </w:rPr>
        <w:t xml:space="preserve">Este Estado muestra el monto de la Hacienda Pública/Patrimonio al 31 de </w:t>
      </w:r>
      <w:r>
        <w:rPr>
          <w:rFonts w:ascii="Arial" w:hAnsi="Arial" w:cs="Arial"/>
          <w:sz w:val="22"/>
          <w:szCs w:val="22"/>
        </w:rPr>
        <w:t>diciembre de 2015</w:t>
      </w:r>
      <w:r w:rsidRPr="008549E3">
        <w:rPr>
          <w:rFonts w:ascii="Arial" w:hAnsi="Arial" w:cs="Arial"/>
          <w:sz w:val="22"/>
          <w:szCs w:val="22"/>
        </w:rPr>
        <w:t xml:space="preserve"> y </w:t>
      </w:r>
      <w:r>
        <w:rPr>
          <w:rFonts w:ascii="Arial" w:hAnsi="Arial" w:cs="Arial"/>
          <w:sz w:val="22"/>
          <w:szCs w:val="22"/>
        </w:rPr>
        <w:t xml:space="preserve">2014, </w:t>
      </w:r>
      <w:r w:rsidRPr="008549E3">
        <w:rPr>
          <w:rFonts w:ascii="Arial" w:hAnsi="Arial" w:cs="Arial"/>
          <w:sz w:val="22"/>
          <w:szCs w:val="22"/>
        </w:rPr>
        <w:t>se conforma como sigue</w:t>
      </w:r>
      <w:r w:rsidRPr="00B653C9">
        <w:rPr>
          <w:rFonts w:ascii="Arial" w:hAnsi="Arial" w:cs="Arial"/>
          <w:sz w:val="20"/>
          <w:szCs w:val="20"/>
        </w:rPr>
        <w:t>:</w:t>
      </w:r>
    </w:p>
    <w:p w:rsidR="002560FC" w:rsidRDefault="002560FC">
      <w:pPr>
        <w:rPr>
          <w:rFonts w:ascii="Arial" w:hAnsi="Arial" w:cs="Arial"/>
          <w:b/>
        </w:rPr>
      </w:pPr>
    </w:p>
    <w:p w:rsidR="00EC510E" w:rsidRDefault="00EC510E">
      <w:pPr>
        <w:rPr>
          <w:rFonts w:ascii="Arial" w:hAnsi="Arial" w:cs="Arial"/>
          <w:b/>
        </w:rPr>
      </w:pPr>
    </w:p>
    <w:p w:rsidR="00EC510E" w:rsidRDefault="00EC510E" w:rsidP="00EC510E">
      <w:pPr>
        <w:autoSpaceDE w:val="0"/>
        <w:autoSpaceDN w:val="0"/>
        <w:adjustRightInd w:val="0"/>
        <w:spacing w:before="240" w:after="120"/>
        <w:jc w:val="center"/>
        <w:rPr>
          <w:rFonts w:ascii="Arial" w:hAnsi="Arial" w:cs="Arial"/>
          <w:b/>
          <w:sz w:val="20"/>
          <w:szCs w:val="20"/>
        </w:rPr>
      </w:pPr>
      <w:r w:rsidRPr="00B653C9">
        <w:rPr>
          <w:rFonts w:ascii="Arial" w:hAnsi="Arial" w:cs="Arial"/>
          <w:b/>
          <w:sz w:val="20"/>
          <w:szCs w:val="20"/>
        </w:rPr>
        <w:t>(Pesos)</w:t>
      </w:r>
    </w:p>
    <w:tbl>
      <w:tblPr>
        <w:tblW w:w="6167" w:type="dxa"/>
        <w:jc w:val="center"/>
        <w:tblInd w:w="55" w:type="dxa"/>
        <w:tblCellMar>
          <w:left w:w="70" w:type="dxa"/>
          <w:right w:w="70" w:type="dxa"/>
        </w:tblCellMar>
        <w:tblLook w:val="04A0"/>
      </w:tblPr>
      <w:tblGrid>
        <w:gridCol w:w="2378"/>
        <w:gridCol w:w="2096"/>
        <w:gridCol w:w="1693"/>
      </w:tblGrid>
      <w:tr w:rsidR="00EC510E" w:rsidRPr="0037688B" w:rsidTr="00D1241D">
        <w:trPr>
          <w:trHeight w:val="285"/>
          <w:jc w:val="center"/>
        </w:trPr>
        <w:tc>
          <w:tcPr>
            <w:tcW w:w="2378"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Concepto</w:t>
            </w:r>
          </w:p>
        </w:tc>
        <w:tc>
          <w:tcPr>
            <w:tcW w:w="2096" w:type="dxa"/>
            <w:tcBorders>
              <w:top w:val="single" w:sz="8" w:space="0" w:color="auto"/>
              <w:left w:val="nil"/>
              <w:bottom w:val="single" w:sz="8" w:space="0" w:color="auto"/>
              <w:right w:val="single" w:sz="8" w:space="0" w:color="auto"/>
            </w:tcBorders>
            <w:shd w:val="clear" w:color="000000" w:fill="BFBFBF"/>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2015</w:t>
            </w:r>
          </w:p>
        </w:tc>
        <w:tc>
          <w:tcPr>
            <w:tcW w:w="1693"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37688B" w:rsidRDefault="00EC510E" w:rsidP="00D1241D">
            <w:pPr>
              <w:jc w:val="center"/>
              <w:rPr>
                <w:rFonts w:ascii="Arial" w:hAnsi="Arial" w:cs="Arial"/>
                <w:b/>
                <w:bCs/>
                <w:color w:val="000000"/>
              </w:rPr>
            </w:pPr>
            <w:r w:rsidRPr="0037688B">
              <w:rPr>
                <w:rFonts w:ascii="Arial" w:hAnsi="Arial" w:cs="Arial"/>
                <w:b/>
                <w:bCs/>
                <w:color w:val="000000"/>
                <w:sz w:val="22"/>
                <w:szCs w:val="22"/>
              </w:rPr>
              <w:t>2014</w:t>
            </w:r>
          </w:p>
        </w:tc>
      </w:tr>
      <w:tr w:rsidR="00EC510E" w:rsidRPr="0037688B" w:rsidTr="00D1241D">
        <w:trPr>
          <w:trHeight w:val="285"/>
          <w:jc w:val="center"/>
        </w:trPr>
        <w:tc>
          <w:tcPr>
            <w:tcW w:w="2378"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Ejecutivo</w:t>
            </w:r>
          </w:p>
        </w:tc>
        <w:tc>
          <w:tcPr>
            <w:tcW w:w="2096"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1,870,358,624</w:t>
            </w:r>
          </w:p>
        </w:tc>
        <w:tc>
          <w:tcPr>
            <w:tcW w:w="1693"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4,329,197,594</w:t>
            </w:r>
          </w:p>
        </w:tc>
      </w:tr>
      <w:tr w:rsidR="00EC510E" w:rsidRPr="0037688B" w:rsidTr="00D1241D">
        <w:trPr>
          <w:trHeight w:val="285"/>
          <w:jc w:val="center"/>
        </w:trPr>
        <w:tc>
          <w:tcPr>
            <w:tcW w:w="2378"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Legislativo</w:t>
            </w:r>
          </w:p>
        </w:tc>
        <w:tc>
          <w:tcPr>
            <w:tcW w:w="2096"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108,603,604</w:t>
            </w:r>
          </w:p>
        </w:tc>
        <w:tc>
          <w:tcPr>
            <w:tcW w:w="1693"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97,627,678</w:t>
            </w:r>
          </w:p>
        </w:tc>
      </w:tr>
      <w:tr w:rsidR="00EC510E" w:rsidRPr="0037688B" w:rsidTr="00D1241D">
        <w:trPr>
          <w:trHeight w:val="285"/>
          <w:jc w:val="center"/>
        </w:trPr>
        <w:tc>
          <w:tcPr>
            <w:tcW w:w="2378"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Poder Judicial</w:t>
            </w:r>
          </w:p>
        </w:tc>
        <w:tc>
          <w:tcPr>
            <w:tcW w:w="2096"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264,413,862</w:t>
            </w:r>
          </w:p>
        </w:tc>
        <w:tc>
          <w:tcPr>
            <w:tcW w:w="1693"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160,702,045</w:t>
            </w:r>
          </w:p>
        </w:tc>
      </w:tr>
      <w:tr w:rsidR="00EC510E" w:rsidRPr="0037688B" w:rsidTr="00D1241D">
        <w:trPr>
          <w:trHeight w:val="285"/>
          <w:jc w:val="center"/>
        </w:trPr>
        <w:tc>
          <w:tcPr>
            <w:tcW w:w="2378"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both"/>
              <w:rPr>
                <w:rFonts w:ascii="Arial" w:hAnsi="Arial" w:cs="Arial"/>
                <w:color w:val="000000"/>
              </w:rPr>
            </w:pPr>
            <w:r w:rsidRPr="0037688B">
              <w:rPr>
                <w:rFonts w:ascii="Arial" w:hAnsi="Arial" w:cs="Arial"/>
                <w:color w:val="000000"/>
                <w:sz w:val="22"/>
                <w:szCs w:val="22"/>
              </w:rPr>
              <w:t>Órganos Autónomos</w:t>
            </w:r>
          </w:p>
        </w:tc>
        <w:tc>
          <w:tcPr>
            <w:tcW w:w="2096"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121,295,311</w:t>
            </w:r>
          </w:p>
        </w:tc>
        <w:tc>
          <w:tcPr>
            <w:tcW w:w="1693"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-2,446,920,249</w:t>
            </w:r>
          </w:p>
        </w:tc>
      </w:tr>
      <w:tr w:rsidR="00EC510E" w:rsidRPr="0037688B" w:rsidTr="00D1241D">
        <w:trPr>
          <w:trHeight w:val="285"/>
          <w:jc w:val="center"/>
        </w:trPr>
        <w:tc>
          <w:tcPr>
            <w:tcW w:w="2378" w:type="dxa"/>
            <w:tcBorders>
              <w:top w:val="nil"/>
              <w:left w:val="single" w:sz="8" w:space="0" w:color="auto"/>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Suma</w:t>
            </w:r>
          </w:p>
        </w:tc>
        <w:tc>
          <w:tcPr>
            <w:tcW w:w="2096"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2,364,671,401</w:t>
            </w:r>
          </w:p>
        </w:tc>
        <w:tc>
          <w:tcPr>
            <w:tcW w:w="1693" w:type="dxa"/>
            <w:tcBorders>
              <w:top w:val="nil"/>
              <w:left w:val="nil"/>
              <w:bottom w:val="single" w:sz="8" w:space="0" w:color="auto"/>
              <w:right w:val="single" w:sz="8" w:space="0" w:color="auto"/>
            </w:tcBorders>
            <w:shd w:val="clear" w:color="auto" w:fill="auto"/>
            <w:vAlign w:val="center"/>
            <w:hideMark/>
          </w:tcPr>
          <w:p w:rsidR="00EC510E" w:rsidRPr="0037688B" w:rsidRDefault="00EC510E" w:rsidP="00D1241D">
            <w:pPr>
              <w:jc w:val="right"/>
              <w:rPr>
                <w:rFonts w:ascii="Arial" w:hAnsi="Arial" w:cs="Arial"/>
                <w:color w:val="000000"/>
              </w:rPr>
            </w:pPr>
            <w:r w:rsidRPr="0037688B">
              <w:rPr>
                <w:rFonts w:ascii="Arial" w:hAnsi="Arial" w:cs="Arial"/>
                <w:color w:val="000000"/>
                <w:sz w:val="22"/>
                <w:szCs w:val="22"/>
              </w:rPr>
              <w:t>2,140,607,068</w:t>
            </w:r>
          </w:p>
        </w:tc>
      </w:tr>
    </w:tbl>
    <w:p w:rsidR="00EC510E" w:rsidRDefault="00EC510E" w:rsidP="00EC510E">
      <w:pPr>
        <w:autoSpaceDE w:val="0"/>
        <w:autoSpaceDN w:val="0"/>
        <w:adjustRightInd w:val="0"/>
        <w:spacing w:before="240" w:after="120"/>
        <w:jc w:val="both"/>
        <w:rPr>
          <w:rFonts w:ascii="Arial" w:hAnsi="Arial" w:cs="Arial"/>
          <w:b/>
          <w:sz w:val="22"/>
          <w:szCs w:val="22"/>
        </w:rPr>
      </w:pPr>
    </w:p>
    <w:p w:rsidR="00EC510E" w:rsidRPr="00DD4670" w:rsidRDefault="00EC510E" w:rsidP="00EC510E">
      <w:pPr>
        <w:autoSpaceDE w:val="0"/>
        <w:autoSpaceDN w:val="0"/>
        <w:adjustRightInd w:val="0"/>
        <w:spacing w:before="240" w:after="120"/>
        <w:ind w:firstLine="708"/>
        <w:jc w:val="both"/>
        <w:rPr>
          <w:rFonts w:ascii="Arial" w:hAnsi="Arial" w:cs="Arial"/>
          <w:b/>
          <w:sz w:val="22"/>
          <w:szCs w:val="22"/>
        </w:rPr>
      </w:pPr>
      <w:r>
        <w:rPr>
          <w:rFonts w:ascii="Arial" w:hAnsi="Arial" w:cs="Arial"/>
          <w:b/>
          <w:sz w:val="22"/>
          <w:szCs w:val="22"/>
        </w:rPr>
        <w:t xml:space="preserve">Nota 16. </w:t>
      </w:r>
      <w:r w:rsidRPr="00DD4670">
        <w:rPr>
          <w:rFonts w:ascii="Arial" w:hAnsi="Arial" w:cs="Arial"/>
          <w:b/>
          <w:sz w:val="22"/>
          <w:szCs w:val="22"/>
        </w:rPr>
        <w:t>Notas al Estado de Actividades</w:t>
      </w:r>
    </w:p>
    <w:p w:rsidR="00EC510E" w:rsidRPr="00DD4670" w:rsidRDefault="00EC510E" w:rsidP="00EC510E">
      <w:pPr>
        <w:autoSpaceDE w:val="0"/>
        <w:autoSpaceDN w:val="0"/>
        <w:adjustRightInd w:val="0"/>
        <w:spacing w:before="80" w:line="250" w:lineRule="exact"/>
        <w:ind w:left="709"/>
        <w:jc w:val="both"/>
        <w:rPr>
          <w:rFonts w:ascii="Arial" w:hAnsi="Arial" w:cs="Arial"/>
          <w:sz w:val="22"/>
          <w:szCs w:val="22"/>
        </w:rPr>
      </w:pPr>
      <w:r w:rsidRPr="00DD4670">
        <w:rPr>
          <w:rFonts w:ascii="Arial" w:hAnsi="Arial" w:cs="Arial"/>
          <w:sz w:val="22"/>
          <w:szCs w:val="22"/>
        </w:rPr>
        <w:t>Este Estado muestra dos agregados representados por los Ingresos y Otros Beneficios, así como los Gastos y Otras Pérdidas, mostrando los conceptos del ingreso de acuerdo a la contribución de la Ley de Ingresos y los Gastos con los conceptos del Clasificador por Objeto del Gasto, así mismo</w:t>
      </w:r>
      <w:r>
        <w:rPr>
          <w:rFonts w:ascii="Arial" w:hAnsi="Arial" w:cs="Arial"/>
          <w:sz w:val="22"/>
          <w:szCs w:val="22"/>
        </w:rPr>
        <w:t>,</w:t>
      </w:r>
      <w:r w:rsidRPr="00DD4670">
        <w:rPr>
          <w:rFonts w:ascii="Arial" w:hAnsi="Arial" w:cs="Arial"/>
          <w:sz w:val="22"/>
          <w:szCs w:val="22"/>
        </w:rPr>
        <w:t xml:space="preserve"> permite determinar el resultado</w:t>
      </w:r>
      <w:r>
        <w:rPr>
          <w:rFonts w:ascii="Arial" w:hAnsi="Arial" w:cs="Arial"/>
          <w:sz w:val="22"/>
          <w:szCs w:val="22"/>
        </w:rPr>
        <w:t xml:space="preserve"> al cierre del ejercicio</w:t>
      </w:r>
      <w:r w:rsidRPr="00DD4670">
        <w:rPr>
          <w:rFonts w:ascii="Arial" w:hAnsi="Arial" w:cs="Arial"/>
          <w:sz w:val="22"/>
          <w:szCs w:val="22"/>
        </w:rPr>
        <w:t>, el cual p</w:t>
      </w:r>
      <w:r>
        <w:rPr>
          <w:rFonts w:ascii="Arial" w:hAnsi="Arial" w:cs="Arial"/>
          <w:sz w:val="22"/>
          <w:szCs w:val="22"/>
        </w:rPr>
        <w:t>ara este ejercicio, ascendió a 5 mil 53 millones 771 mil 171 pesos.</w:t>
      </w:r>
    </w:p>
    <w:p w:rsidR="00EC510E" w:rsidRDefault="00EC510E" w:rsidP="00EC510E">
      <w:pPr>
        <w:autoSpaceDE w:val="0"/>
        <w:autoSpaceDN w:val="0"/>
        <w:adjustRightInd w:val="0"/>
        <w:jc w:val="both"/>
        <w:rPr>
          <w:rFonts w:ascii="Arial" w:hAnsi="Arial" w:cs="Arial"/>
          <w:b/>
          <w:sz w:val="22"/>
          <w:szCs w:val="22"/>
        </w:rPr>
      </w:pPr>
    </w:p>
    <w:p w:rsidR="00EC510E" w:rsidRDefault="00EC510E" w:rsidP="00EC510E">
      <w:pPr>
        <w:autoSpaceDE w:val="0"/>
        <w:autoSpaceDN w:val="0"/>
        <w:adjustRightInd w:val="0"/>
        <w:spacing w:before="240" w:after="120"/>
        <w:jc w:val="center"/>
        <w:rPr>
          <w:rFonts w:ascii="Arial" w:hAnsi="Arial" w:cs="Arial"/>
          <w:b/>
          <w:sz w:val="20"/>
          <w:szCs w:val="20"/>
        </w:rPr>
      </w:pPr>
      <w:r w:rsidRPr="00B653C9">
        <w:rPr>
          <w:rFonts w:ascii="Arial" w:hAnsi="Arial" w:cs="Arial"/>
          <w:b/>
          <w:sz w:val="20"/>
          <w:szCs w:val="20"/>
        </w:rPr>
        <w:t>(Pesos)</w:t>
      </w:r>
    </w:p>
    <w:tbl>
      <w:tblPr>
        <w:tblW w:w="6120" w:type="dxa"/>
        <w:jc w:val="center"/>
        <w:tblInd w:w="55" w:type="dxa"/>
        <w:tblCellMar>
          <w:left w:w="70" w:type="dxa"/>
          <w:right w:w="70" w:type="dxa"/>
        </w:tblCellMar>
        <w:tblLook w:val="04A0"/>
      </w:tblPr>
      <w:tblGrid>
        <w:gridCol w:w="2360"/>
        <w:gridCol w:w="2080"/>
        <w:gridCol w:w="1680"/>
      </w:tblGrid>
      <w:tr w:rsidR="00EC510E" w:rsidRPr="00E76E3D"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E76E3D" w:rsidRDefault="00EC510E" w:rsidP="00D1241D">
            <w:pPr>
              <w:jc w:val="center"/>
              <w:rPr>
                <w:rFonts w:ascii="Arial" w:hAnsi="Arial" w:cs="Arial"/>
                <w:b/>
                <w:bCs/>
                <w:color w:val="000000"/>
                <w:sz w:val="20"/>
                <w:szCs w:val="20"/>
              </w:rPr>
            </w:pPr>
            <w:r w:rsidRPr="00E76E3D">
              <w:rPr>
                <w:rFonts w:ascii="Arial" w:hAnsi="Arial" w:cs="Arial"/>
                <w:b/>
                <w:bCs/>
                <w:color w:val="000000"/>
                <w:sz w:val="20"/>
                <w:szCs w:val="20"/>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E76E3D" w:rsidRDefault="00EC510E" w:rsidP="00D1241D">
            <w:pPr>
              <w:jc w:val="center"/>
              <w:rPr>
                <w:rFonts w:ascii="Arial" w:hAnsi="Arial" w:cs="Arial"/>
                <w:b/>
                <w:bCs/>
                <w:color w:val="000000"/>
                <w:sz w:val="20"/>
                <w:szCs w:val="20"/>
              </w:rPr>
            </w:pPr>
            <w:r w:rsidRPr="00E76E3D">
              <w:rPr>
                <w:rFonts w:ascii="Arial" w:hAnsi="Arial" w:cs="Arial"/>
                <w:b/>
                <w:bCs/>
                <w:color w:val="000000"/>
                <w:sz w:val="20"/>
                <w:szCs w:val="20"/>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E76E3D" w:rsidRDefault="00EC510E" w:rsidP="00D1241D">
            <w:pPr>
              <w:jc w:val="center"/>
              <w:rPr>
                <w:rFonts w:ascii="Arial" w:hAnsi="Arial" w:cs="Arial"/>
                <w:b/>
                <w:bCs/>
                <w:color w:val="000000"/>
                <w:sz w:val="20"/>
                <w:szCs w:val="20"/>
              </w:rPr>
            </w:pPr>
            <w:r w:rsidRPr="00E76E3D">
              <w:rPr>
                <w:rFonts w:ascii="Arial" w:hAnsi="Arial" w:cs="Arial"/>
                <w:b/>
                <w:bCs/>
                <w:color w:val="000000"/>
                <w:sz w:val="20"/>
                <w:szCs w:val="20"/>
              </w:rPr>
              <w:t>2014</w:t>
            </w:r>
          </w:p>
        </w:tc>
      </w:tr>
      <w:tr w:rsidR="00EC510E" w:rsidRPr="00E76E3D"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E76E3D" w:rsidRDefault="00EC510E" w:rsidP="00D1241D">
            <w:pPr>
              <w:jc w:val="both"/>
              <w:rPr>
                <w:rFonts w:ascii="Arial" w:hAnsi="Arial" w:cs="Arial"/>
                <w:color w:val="000000"/>
              </w:rPr>
            </w:pPr>
            <w:r w:rsidRPr="00E76E3D">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1,403,132,839</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-933,058,320</w:t>
            </w:r>
          </w:p>
        </w:tc>
      </w:tr>
      <w:tr w:rsidR="00EC510E" w:rsidRPr="00E76E3D"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E76E3D" w:rsidRDefault="00EC510E" w:rsidP="00D1241D">
            <w:pPr>
              <w:jc w:val="both"/>
              <w:rPr>
                <w:rFonts w:ascii="Arial" w:hAnsi="Arial" w:cs="Arial"/>
                <w:color w:val="000000"/>
              </w:rPr>
            </w:pPr>
            <w:r w:rsidRPr="00E76E3D">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auto" w:fill="auto"/>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8,019,154</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9,800,804</w:t>
            </w:r>
          </w:p>
        </w:tc>
      </w:tr>
      <w:tr w:rsidR="00EC510E" w:rsidRPr="00E76E3D"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E76E3D" w:rsidRDefault="00EC510E" w:rsidP="00D1241D">
            <w:pPr>
              <w:jc w:val="both"/>
              <w:rPr>
                <w:rFonts w:ascii="Arial" w:hAnsi="Arial" w:cs="Arial"/>
                <w:color w:val="000000"/>
              </w:rPr>
            </w:pPr>
            <w:r w:rsidRPr="00E76E3D">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auto" w:fill="auto"/>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112,662,867</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3,448,695</w:t>
            </w:r>
          </w:p>
        </w:tc>
      </w:tr>
      <w:tr w:rsidR="00EC510E" w:rsidRPr="00E76E3D"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E76E3D" w:rsidRDefault="00EC510E" w:rsidP="00D1241D">
            <w:pPr>
              <w:jc w:val="both"/>
              <w:rPr>
                <w:rFonts w:ascii="Arial" w:hAnsi="Arial" w:cs="Arial"/>
                <w:color w:val="000000"/>
              </w:rPr>
            </w:pPr>
            <w:r w:rsidRPr="00E76E3D">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auto" w:fill="auto"/>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32,496,073</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-401,430,705</w:t>
            </w:r>
          </w:p>
        </w:tc>
      </w:tr>
      <w:tr w:rsidR="00EC510E" w:rsidRPr="00E76E3D"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E76E3D" w:rsidRDefault="00EC510E" w:rsidP="00D1241D">
            <w:pPr>
              <w:jc w:val="both"/>
              <w:rPr>
                <w:rFonts w:ascii="Arial" w:hAnsi="Arial" w:cs="Arial"/>
                <w:color w:val="000000"/>
              </w:rPr>
            </w:pPr>
            <w:r w:rsidRPr="00E76E3D">
              <w:rPr>
                <w:rFonts w:ascii="Arial" w:hAnsi="Arial" w:cs="Arial"/>
                <w:color w:val="000000"/>
                <w:sz w:val="22"/>
                <w:szCs w:val="22"/>
              </w:rPr>
              <w:t>Sector Paraestatal</w:t>
            </w:r>
          </w:p>
        </w:tc>
        <w:tc>
          <w:tcPr>
            <w:tcW w:w="2080" w:type="dxa"/>
            <w:tcBorders>
              <w:top w:val="nil"/>
              <w:left w:val="nil"/>
              <w:bottom w:val="single" w:sz="8" w:space="0" w:color="auto"/>
              <w:right w:val="single" w:sz="8" w:space="0" w:color="auto"/>
            </w:tcBorders>
            <w:shd w:val="clear" w:color="auto" w:fill="auto"/>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3,497,460,238</w:t>
            </w:r>
          </w:p>
        </w:tc>
        <w:tc>
          <w:tcPr>
            <w:tcW w:w="1680" w:type="dxa"/>
            <w:tcBorders>
              <w:top w:val="nil"/>
              <w:left w:val="nil"/>
              <w:bottom w:val="single" w:sz="8" w:space="0" w:color="auto"/>
              <w:right w:val="single" w:sz="8" w:space="0" w:color="auto"/>
            </w:tcBorders>
            <w:shd w:val="clear" w:color="auto" w:fill="auto"/>
            <w:noWrap/>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 </w:t>
            </w:r>
          </w:p>
        </w:tc>
      </w:tr>
      <w:tr w:rsidR="00EC510E" w:rsidRPr="00E76E3D"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5,053,771,171</w:t>
            </w:r>
          </w:p>
        </w:tc>
        <w:tc>
          <w:tcPr>
            <w:tcW w:w="1680" w:type="dxa"/>
            <w:tcBorders>
              <w:top w:val="nil"/>
              <w:left w:val="nil"/>
              <w:bottom w:val="single" w:sz="8" w:space="0" w:color="auto"/>
              <w:right w:val="single" w:sz="8" w:space="0" w:color="auto"/>
            </w:tcBorders>
            <w:shd w:val="clear" w:color="auto" w:fill="auto"/>
            <w:vAlign w:val="center"/>
            <w:hideMark/>
          </w:tcPr>
          <w:p w:rsidR="00EC510E" w:rsidRPr="00E76E3D" w:rsidRDefault="00EC510E" w:rsidP="00D1241D">
            <w:pPr>
              <w:jc w:val="right"/>
              <w:rPr>
                <w:rFonts w:ascii="Arial" w:hAnsi="Arial" w:cs="Arial"/>
                <w:color w:val="000000"/>
              </w:rPr>
            </w:pPr>
            <w:r w:rsidRPr="00E76E3D">
              <w:rPr>
                <w:rFonts w:ascii="Arial" w:hAnsi="Arial" w:cs="Arial"/>
                <w:color w:val="000000"/>
                <w:sz w:val="22"/>
                <w:szCs w:val="22"/>
              </w:rPr>
              <w:t>-1,321,239,526</w:t>
            </w:r>
          </w:p>
        </w:tc>
      </w:tr>
    </w:tbl>
    <w:p w:rsidR="00EC510E" w:rsidRDefault="00EC510E" w:rsidP="00EC510E">
      <w:pPr>
        <w:autoSpaceDE w:val="0"/>
        <w:autoSpaceDN w:val="0"/>
        <w:adjustRightInd w:val="0"/>
        <w:jc w:val="both"/>
        <w:rPr>
          <w:rFonts w:ascii="Arial" w:hAnsi="Arial" w:cs="Arial"/>
          <w:b/>
          <w:sz w:val="22"/>
          <w:szCs w:val="22"/>
        </w:rPr>
      </w:pPr>
    </w:p>
    <w:p w:rsidR="00EC510E" w:rsidRDefault="00EC510E" w:rsidP="00EC510E">
      <w:pPr>
        <w:autoSpaceDE w:val="0"/>
        <w:autoSpaceDN w:val="0"/>
        <w:adjustRightInd w:val="0"/>
        <w:ind w:left="709"/>
        <w:jc w:val="both"/>
        <w:rPr>
          <w:rFonts w:ascii="Arial" w:hAnsi="Arial" w:cs="Arial"/>
          <w:sz w:val="22"/>
          <w:szCs w:val="22"/>
        </w:rPr>
      </w:pPr>
    </w:p>
    <w:p w:rsidR="00EC510E" w:rsidRDefault="00EC510E" w:rsidP="00EC510E">
      <w:pPr>
        <w:autoSpaceDE w:val="0"/>
        <w:autoSpaceDN w:val="0"/>
        <w:adjustRightInd w:val="0"/>
        <w:ind w:left="709"/>
        <w:jc w:val="both"/>
        <w:rPr>
          <w:rFonts w:ascii="Arial" w:hAnsi="Arial" w:cs="Arial"/>
          <w:sz w:val="22"/>
          <w:szCs w:val="22"/>
        </w:rPr>
      </w:pPr>
      <w:r w:rsidRPr="00E76E3D">
        <w:rPr>
          <w:rFonts w:ascii="Arial" w:hAnsi="Arial" w:cs="Arial"/>
          <w:sz w:val="22"/>
          <w:szCs w:val="22"/>
        </w:rPr>
        <w:t>En el ejercicio 2015</w:t>
      </w:r>
      <w:r>
        <w:rPr>
          <w:rFonts w:ascii="Arial" w:hAnsi="Arial" w:cs="Arial"/>
          <w:sz w:val="22"/>
          <w:szCs w:val="22"/>
        </w:rPr>
        <w:t>, se incluye el resultado del ejercicio del Sector Paraestatal, derivado de la correcta distribución del recurso por objeto de gasto. En el ejercicio 2014 el total de ingreso del Sector Paraestatal se consideraba también como total de gasto.</w:t>
      </w:r>
    </w:p>
    <w:p w:rsidR="00EC510E" w:rsidRDefault="00EC510E" w:rsidP="00EC510E">
      <w:pPr>
        <w:autoSpaceDE w:val="0"/>
        <w:autoSpaceDN w:val="0"/>
        <w:adjustRightInd w:val="0"/>
        <w:ind w:left="709"/>
        <w:jc w:val="both"/>
        <w:rPr>
          <w:rFonts w:ascii="Arial" w:hAnsi="Arial" w:cs="Arial"/>
          <w:sz w:val="22"/>
          <w:szCs w:val="22"/>
        </w:rPr>
      </w:pPr>
    </w:p>
    <w:p w:rsidR="00EC510E" w:rsidRPr="00E76E3D" w:rsidRDefault="00EC510E" w:rsidP="00EC510E">
      <w:pPr>
        <w:autoSpaceDE w:val="0"/>
        <w:autoSpaceDN w:val="0"/>
        <w:adjustRightInd w:val="0"/>
        <w:ind w:left="709"/>
        <w:jc w:val="both"/>
        <w:rPr>
          <w:rFonts w:ascii="Arial" w:hAnsi="Arial" w:cs="Arial"/>
          <w:sz w:val="22"/>
          <w:szCs w:val="22"/>
        </w:rPr>
      </w:pPr>
      <w:r>
        <w:rPr>
          <w:rFonts w:ascii="Arial" w:hAnsi="Arial" w:cs="Arial"/>
          <w:sz w:val="22"/>
          <w:szCs w:val="22"/>
        </w:rPr>
        <w:lastRenderedPageBreak/>
        <w:t xml:space="preserve">El resultado del ejercicio 2015, se deriva de inversiones registradas en el activo a largo plazo, las cuales afectarán los resultados </w:t>
      </w:r>
      <w:proofErr w:type="gramStart"/>
      <w:r>
        <w:rPr>
          <w:rFonts w:ascii="Arial" w:hAnsi="Arial" w:cs="Arial"/>
          <w:sz w:val="22"/>
          <w:szCs w:val="22"/>
        </w:rPr>
        <w:t>de los ejercicio</w:t>
      </w:r>
      <w:proofErr w:type="gramEnd"/>
      <w:r>
        <w:rPr>
          <w:rFonts w:ascii="Arial" w:hAnsi="Arial" w:cs="Arial"/>
          <w:sz w:val="22"/>
          <w:szCs w:val="22"/>
        </w:rPr>
        <w:t xml:space="preserve"> siguientes por el efecto de la </w:t>
      </w:r>
      <w:proofErr w:type="spellStart"/>
      <w:r>
        <w:rPr>
          <w:rFonts w:ascii="Arial" w:hAnsi="Arial" w:cs="Arial"/>
          <w:sz w:val="22"/>
          <w:szCs w:val="22"/>
        </w:rPr>
        <w:t>depreaciación</w:t>
      </w:r>
      <w:proofErr w:type="spellEnd"/>
      <w:r>
        <w:rPr>
          <w:rFonts w:ascii="Arial" w:hAnsi="Arial" w:cs="Arial"/>
          <w:sz w:val="22"/>
          <w:szCs w:val="22"/>
        </w:rPr>
        <w:t>.</w:t>
      </w:r>
    </w:p>
    <w:p w:rsidR="00EC510E" w:rsidRDefault="00EC510E" w:rsidP="00EC510E">
      <w:pPr>
        <w:autoSpaceDE w:val="0"/>
        <w:autoSpaceDN w:val="0"/>
        <w:adjustRightInd w:val="0"/>
        <w:jc w:val="both"/>
        <w:rPr>
          <w:rFonts w:ascii="Arial" w:hAnsi="Arial" w:cs="Arial"/>
          <w:b/>
          <w:sz w:val="22"/>
          <w:szCs w:val="22"/>
        </w:rPr>
      </w:pPr>
    </w:p>
    <w:p w:rsidR="00EC510E" w:rsidRPr="00105E9D" w:rsidRDefault="00EC510E" w:rsidP="00EC510E">
      <w:pPr>
        <w:autoSpaceDE w:val="0"/>
        <w:autoSpaceDN w:val="0"/>
        <w:adjustRightInd w:val="0"/>
        <w:spacing w:before="240" w:after="120"/>
        <w:ind w:firstLine="708"/>
        <w:jc w:val="both"/>
        <w:rPr>
          <w:rFonts w:ascii="Arial" w:hAnsi="Arial" w:cs="Arial"/>
          <w:b/>
          <w:sz w:val="22"/>
          <w:szCs w:val="22"/>
        </w:rPr>
      </w:pPr>
      <w:r>
        <w:rPr>
          <w:rFonts w:ascii="Arial" w:hAnsi="Arial" w:cs="Arial"/>
          <w:b/>
          <w:sz w:val="22"/>
          <w:szCs w:val="22"/>
        </w:rPr>
        <w:t xml:space="preserve">Nota1 7. </w:t>
      </w:r>
      <w:r w:rsidRPr="00105E9D">
        <w:rPr>
          <w:rFonts w:ascii="Arial" w:hAnsi="Arial" w:cs="Arial"/>
          <w:b/>
          <w:sz w:val="22"/>
          <w:szCs w:val="22"/>
        </w:rPr>
        <w:t>Notas al Estado de Flujo de Efectivo</w:t>
      </w:r>
    </w:p>
    <w:p w:rsidR="00EC510E" w:rsidRDefault="00EC510E" w:rsidP="00EC510E">
      <w:pPr>
        <w:autoSpaceDE w:val="0"/>
        <w:autoSpaceDN w:val="0"/>
        <w:adjustRightInd w:val="0"/>
        <w:spacing w:before="240" w:after="120"/>
        <w:ind w:left="709"/>
        <w:jc w:val="both"/>
        <w:rPr>
          <w:rFonts w:ascii="Arial" w:hAnsi="Arial" w:cs="Arial"/>
          <w:sz w:val="22"/>
          <w:szCs w:val="22"/>
        </w:rPr>
      </w:pPr>
      <w:r w:rsidRPr="00105E9D">
        <w:rPr>
          <w:rFonts w:ascii="Arial" w:hAnsi="Arial" w:cs="Arial"/>
          <w:sz w:val="22"/>
          <w:szCs w:val="22"/>
        </w:rPr>
        <w:t>El análisis de los saldos inicial y final que figuran en la última parte del Estado de Flujo de Efectivo en la cuenta de efectivo y equivalentes al efectivo se integra de la siguiente forma</w:t>
      </w:r>
      <w:r>
        <w:rPr>
          <w:rFonts w:ascii="Arial" w:hAnsi="Arial" w:cs="Arial"/>
          <w:sz w:val="22"/>
          <w:szCs w:val="22"/>
        </w:rPr>
        <w:t>:</w:t>
      </w:r>
    </w:p>
    <w:p w:rsidR="00EC510E" w:rsidRDefault="00EC510E">
      <w:pPr>
        <w:rPr>
          <w:rFonts w:ascii="Arial" w:hAnsi="Arial" w:cs="Arial"/>
          <w:b/>
        </w:rPr>
      </w:pPr>
    </w:p>
    <w:p w:rsidR="00EC510E" w:rsidRDefault="00EC510E" w:rsidP="00EC510E">
      <w:pPr>
        <w:autoSpaceDE w:val="0"/>
        <w:autoSpaceDN w:val="0"/>
        <w:adjustRightInd w:val="0"/>
        <w:spacing w:before="240" w:after="120"/>
        <w:jc w:val="center"/>
        <w:rPr>
          <w:rFonts w:ascii="Arial" w:hAnsi="Arial" w:cs="Arial"/>
          <w:b/>
          <w:sz w:val="20"/>
          <w:szCs w:val="20"/>
        </w:rPr>
      </w:pPr>
      <w:r w:rsidRPr="00B653C9">
        <w:rPr>
          <w:rFonts w:ascii="Arial" w:hAnsi="Arial" w:cs="Arial"/>
          <w:b/>
          <w:sz w:val="20"/>
          <w:szCs w:val="20"/>
        </w:rPr>
        <w:t>(Pesos)</w:t>
      </w:r>
    </w:p>
    <w:tbl>
      <w:tblPr>
        <w:tblW w:w="6120" w:type="dxa"/>
        <w:jc w:val="center"/>
        <w:tblInd w:w="55" w:type="dxa"/>
        <w:tblCellMar>
          <w:left w:w="70" w:type="dxa"/>
          <w:right w:w="70" w:type="dxa"/>
        </w:tblCellMar>
        <w:tblLook w:val="04A0"/>
      </w:tblPr>
      <w:tblGrid>
        <w:gridCol w:w="2360"/>
        <w:gridCol w:w="2080"/>
        <w:gridCol w:w="1680"/>
      </w:tblGrid>
      <w:tr w:rsidR="00EC510E" w:rsidRPr="001348F9" w:rsidTr="00D1241D">
        <w:trPr>
          <w:trHeight w:val="315"/>
          <w:jc w:val="center"/>
        </w:trPr>
        <w:tc>
          <w:tcPr>
            <w:tcW w:w="236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C510E" w:rsidRPr="001348F9" w:rsidRDefault="00EC510E" w:rsidP="00D1241D">
            <w:pPr>
              <w:jc w:val="center"/>
              <w:rPr>
                <w:rFonts w:ascii="Arial" w:hAnsi="Arial" w:cs="Arial"/>
                <w:b/>
                <w:bCs/>
                <w:color w:val="000000"/>
                <w:sz w:val="20"/>
                <w:szCs w:val="20"/>
              </w:rPr>
            </w:pPr>
            <w:r w:rsidRPr="001348F9">
              <w:rPr>
                <w:rFonts w:ascii="Arial" w:hAnsi="Arial" w:cs="Arial"/>
                <w:b/>
                <w:bCs/>
                <w:color w:val="000000"/>
                <w:sz w:val="20"/>
                <w:szCs w:val="20"/>
              </w:rPr>
              <w:t>Concepto</w:t>
            </w:r>
          </w:p>
        </w:tc>
        <w:tc>
          <w:tcPr>
            <w:tcW w:w="2080" w:type="dxa"/>
            <w:tcBorders>
              <w:top w:val="single" w:sz="8" w:space="0" w:color="auto"/>
              <w:left w:val="nil"/>
              <w:bottom w:val="single" w:sz="8" w:space="0" w:color="auto"/>
              <w:right w:val="single" w:sz="8" w:space="0" w:color="auto"/>
            </w:tcBorders>
            <w:shd w:val="clear" w:color="000000" w:fill="BFBFBF"/>
            <w:vAlign w:val="center"/>
            <w:hideMark/>
          </w:tcPr>
          <w:p w:rsidR="00EC510E" w:rsidRPr="001348F9" w:rsidRDefault="00EC510E" w:rsidP="00D1241D">
            <w:pPr>
              <w:jc w:val="center"/>
              <w:rPr>
                <w:rFonts w:ascii="Arial" w:hAnsi="Arial" w:cs="Arial"/>
                <w:b/>
                <w:bCs/>
                <w:color w:val="000000"/>
                <w:sz w:val="20"/>
                <w:szCs w:val="20"/>
              </w:rPr>
            </w:pPr>
            <w:r w:rsidRPr="001348F9">
              <w:rPr>
                <w:rFonts w:ascii="Arial" w:hAnsi="Arial" w:cs="Arial"/>
                <w:b/>
                <w:bCs/>
                <w:color w:val="000000"/>
                <w:sz w:val="20"/>
                <w:szCs w:val="20"/>
              </w:rPr>
              <w:t>2015</w:t>
            </w:r>
          </w:p>
        </w:tc>
        <w:tc>
          <w:tcPr>
            <w:tcW w:w="1680" w:type="dxa"/>
            <w:tcBorders>
              <w:top w:val="single" w:sz="8" w:space="0" w:color="auto"/>
              <w:left w:val="nil"/>
              <w:bottom w:val="single" w:sz="8" w:space="0" w:color="auto"/>
              <w:right w:val="single" w:sz="8" w:space="0" w:color="auto"/>
            </w:tcBorders>
            <w:shd w:val="clear" w:color="000000" w:fill="BFBFBF"/>
            <w:noWrap/>
            <w:vAlign w:val="center"/>
            <w:hideMark/>
          </w:tcPr>
          <w:p w:rsidR="00EC510E" w:rsidRPr="001348F9" w:rsidRDefault="00EC510E" w:rsidP="00D1241D">
            <w:pPr>
              <w:jc w:val="center"/>
              <w:rPr>
                <w:rFonts w:ascii="Arial" w:hAnsi="Arial" w:cs="Arial"/>
                <w:b/>
                <w:bCs/>
                <w:color w:val="000000"/>
                <w:sz w:val="20"/>
                <w:szCs w:val="20"/>
              </w:rPr>
            </w:pPr>
            <w:r w:rsidRPr="001348F9">
              <w:rPr>
                <w:rFonts w:ascii="Arial" w:hAnsi="Arial" w:cs="Arial"/>
                <w:b/>
                <w:bCs/>
                <w:color w:val="000000"/>
                <w:sz w:val="20"/>
                <w:szCs w:val="20"/>
              </w:rPr>
              <w:t>2014</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Ejecutivo</w:t>
            </w:r>
          </w:p>
        </w:tc>
        <w:tc>
          <w:tcPr>
            <w:tcW w:w="20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3,358,671,037</w:t>
            </w:r>
          </w:p>
        </w:tc>
        <w:tc>
          <w:tcPr>
            <w:tcW w:w="16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4,931,274,137</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Legislativo</w:t>
            </w:r>
          </w:p>
        </w:tc>
        <w:tc>
          <w:tcPr>
            <w:tcW w:w="20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6,674,858</w:t>
            </w:r>
          </w:p>
        </w:tc>
        <w:tc>
          <w:tcPr>
            <w:tcW w:w="16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3,320,090</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Poder Judicial</w:t>
            </w:r>
          </w:p>
        </w:tc>
        <w:tc>
          <w:tcPr>
            <w:tcW w:w="20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39,148,220</w:t>
            </w:r>
          </w:p>
        </w:tc>
        <w:tc>
          <w:tcPr>
            <w:tcW w:w="16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41,870,843</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both"/>
              <w:rPr>
                <w:rFonts w:ascii="Arial" w:hAnsi="Arial" w:cs="Arial"/>
                <w:color w:val="000000"/>
              </w:rPr>
            </w:pPr>
            <w:r w:rsidRPr="004C64FC">
              <w:rPr>
                <w:rFonts w:ascii="Arial" w:hAnsi="Arial" w:cs="Arial"/>
                <w:color w:val="000000"/>
                <w:sz w:val="22"/>
                <w:szCs w:val="22"/>
              </w:rPr>
              <w:t>Órganos Autónomos</w:t>
            </w:r>
          </w:p>
        </w:tc>
        <w:tc>
          <w:tcPr>
            <w:tcW w:w="20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17,774,260</w:t>
            </w:r>
          </w:p>
        </w:tc>
        <w:tc>
          <w:tcPr>
            <w:tcW w:w="1680" w:type="dxa"/>
            <w:tcBorders>
              <w:top w:val="nil"/>
              <w:left w:val="nil"/>
              <w:bottom w:val="single" w:sz="8" w:space="0" w:color="auto"/>
              <w:right w:val="single" w:sz="8" w:space="0" w:color="auto"/>
            </w:tcBorders>
            <w:shd w:val="clear" w:color="000000" w:fill="FFFFFF"/>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228,461,194</w:t>
            </w:r>
          </w:p>
        </w:tc>
      </w:tr>
      <w:tr w:rsidR="00EC510E" w:rsidRPr="001348F9" w:rsidTr="00D1241D">
        <w:trPr>
          <w:trHeight w:val="315"/>
          <w:jc w:val="center"/>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Suma</w:t>
            </w:r>
          </w:p>
        </w:tc>
        <w:tc>
          <w:tcPr>
            <w:tcW w:w="20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3,422,268,376</w:t>
            </w:r>
          </w:p>
        </w:tc>
        <w:tc>
          <w:tcPr>
            <w:tcW w:w="1680" w:type="dxa"/>
            <w:tcBorders>
              <w:top w:val="nil"/>
              <w:left w:val="nil"/>
              <w:bottom w:val="single" w:sz="8" w:space="0" w:color="auto"/>
              <w:right w:val="single" w:sz="8" w:space="0" w:color="auto"/>
            </w:tcBorders>
            <w:shd w:val="clear" w:color="auto" w:fill="auto"/>
            <w:vAlign w:val="center"/>
            <w:hideMark/>
          </w:tcPr>
          <w:p w:rsidR="00EC510E" w:rsidRPr="004C64FC" w:rsidRDefault="00EC510E" w:rsidP="00D1241D">
            <w:pPr>
              <w:jc w:val="right"/>
              <w:rPr>
                <w:rFonts w:ascii="Arial" w:hAnsi="Arial" w:cs="Arial"/>
                <w:color w:val="000000"/>
              </w:rPr>
            </w:pPr>
            <w:r w:rsidRPr="004C64FC">
              <w:rPr>
                <w:rFonts w:ascii="Arial" w:hAnsi="Arial" w:cs="Arial"/>
                <w:color w:val="000000"/>
                <w:sz w:val="22"/>
                <w:szCs w:val="22"/>
              </w:rPr>
              <w:t>5,204,926,264</w:t>
            </w:r>
          </w:p>
        </w:tc>
      </w:tr>
    </w:tbl>
    <w:p w:rsidR="00EC510E" w:rsidRDefault="00EC510E" w:rsidP="00EC510E">
      <w:pPr>
        <w:autoSpaceDE w:val="0"/>
        <w:autoSpaceDN w:val="0"/>
        <w:adjustRightInd w:val="0"/>
        <w:spacing w:before="240" w:after="120"/>
        <w:jc w:val="center"/>
        <w:rPr>
          <w:rFonts w:ascii="Arial" w:hAnsi="Arial" w:cs="Arial"/>
          <w:b/>
          <w:sz w:val="20"/>
          <w:szCs w:val="20"/>
        </w:rPr>
      </w:pPr>
    </w:p>
    <w:p w:rsidR="00EC510E" w:rsidRPr="00B653C9" w:rsidRDefault="00EC510E" w:rsidP="00EC510E">
      <w:pPr>
        <w:autoSpaceDE w:val="0"/>
        <w:autoSpaceDN w:val="0"/>
        <w:adjustRightInd w:val="0"/>
        <w:spacing w:before="240" w:after="120"/>
        <w:jc w:val="center"/>
        <w:rPr>
          <w:rFonts w:ascii="Arial" w:hAnsi="Arial" w:cs="Arial"/>
          <w:b/>
          <w:sz w:val="20"/>
          <w:szCs w:val="20"/>
        </w:rPr>
      </w:pPr>
      <w:r w:rsidRPr="00B653C9">
        <w:rPr>
          <w:rFonts w:ascii="Arial" w:hAnsi="Arial" w:cs="Arial"/>
          <w:b/>
          <w:sz w:val="20"/>
          <w:szCs w:val="20"/>
        </w:rPr>
        <w:t>Notas de Memoria</w:t>
      </w:r>
    </w:p>
    <w:p w:rsidR="00EC510E" w:rsidRPr="00B148E1" w:rsidRDefault="00EC510E" w:rsidP="00EC510E">
      <w:pPr>
        <w:autoSpaceDE w:val="0"/>
        <w:autoSpaceDN w:val="0"/>
        <w:adjustRightInd w:val="0"/>
        <w:spacing w:before="80" w:line="250" w:lineRule="exact"/>
        <w:ind w:left="709"/>
        <w:jc w:val="both"/>
        <w:rPr>
          <w:rFonts w:ascii="Arial" w:hAnsi="Arial" w:cs="Arial"/>
          <w:sz w:val="22"/>
          <w:szCs w:val="22"/>
        </w:rPr>
      </w:pPr>
      <w:r w:rsidRPr="00B148E1">
        <w:rPr>
          <w:rFonts w:ascii="Arial" w:hAnsi="Arial" w:cs="Arial"/>
          <w:sz w:val="22"/>
          <w:szCs w:val="22"/>
        </w:rPr>
        <w:t>Las notas</w:t>
      </w:r>
      <w:r>
        <w:rPr>
          <w:rFonts w:ascii="Arial" w:hAnsi="Arial" w:cs="Arial"/>
          <w:sz w:val="22"/>
          <w:szCs w:val="22"/>
        </w:rPr>
        <w:t xml:space="preserve"> de Memoria del Gobierno Estatal, emanan</w:t>
      </w:r>
      <w:r w:rsidRPr="00B148E1">
        <w:rPr>
          <w:rFonts w:ascii="Arial" w:hAnsi="Arial" w:cs="Arial"/>
          <w:sz w:val="22"/>
          <w:szCs w:val="22"/>
        </w:rPr>
        <w:t xml:space="preserve"> de las notas de cada </w:t>
      </w:r>
      <w:r>
        <w:rPr>
          <w:rFonts w:ascii="Arial" w:hAnsi="Arial" w:cs="Arial"/>
          <w:sz w:val="22"/>
          <w:szCs w:val="22"/>
        </w:rPr>
        <w:t>entidad</w:t>
      </w:r>
      <w:r w:rsidRPr="00B148E1">
        <w:rPr>
          <w:rFonts w:ascii="Arial" w:hAnsi="Arial" w:cs="Arial"/>
          <w:sz w:val="22"/>
          <w:szCs w:val="22"/>
        </w:rPr>
        <w:t xml:space="preserve"> que lo </w:t>
      </w:r>
      <w:r>
        <w:rPr>
          <w:rFonts w:ascii="Arial" w:hAnsi="Arial" w:cs="Arial"/>
          <w:sz w:val="22"/>
          <w:szCs w:val="22"/>
        </w:rPr>
        <w:t>integran</w:t>
      </w:r>
      <w:r w:rsidRPr="00B148E1">
        <w:rPr>
          <w:rFonts w:ascii="Arial" w:hAnsi="Arial" w:cs="Arial"/>
          <w:sz w:val="22"/>
          <w:szCs w:val="22"/>
        </w:rPr>
        <w:t>, mismas que pueden ser consultadas en el respecti</w:t>
      </w:r>
      <w:r>
        <w:rPr>
          <w:rFonts w:ascii="Arial" w:hAnsi="Arial" w:cs="Arial"/>
          <w:sz w:val="22"/>
          <w:szCs w:val="22"/>
        </w:rPr>
        <w:t>vo apartado de cada una de ellas</w:t>
      </w:r>
      <w:r w:rsidRPr="00B148E1">
        <w:rPr>
          <w:rFonts w:ascii="Arial" w:hAnsi="Arial" w:cs="Arial"/>
          <w:sz w:val="22"/>
          <w:szCs w:val="22"/>
        </w:rPr>
        <w:t>.</w:t>
      </w:r>
    </w:p>
    <w:p w:rsidR="00EC510E" w:rsidRPr="00B653C9" w:rsidRDefault="00EC510E" w:rsidP="00EC510E">
      <w:pPr>
        <w:autoSpaceDE w:val="0"/>
        <w:autoSpaceDN w:val="0"/>
        <w:adjustRightInd w:val="0"/>
        <w:spacing w:before="240" w:after="120"/>
        <w:jc w:val="center"/>
        <w:rPr>
          <w:rFonts w:ascii="Arial" w:hAnsi="Arial" w:cs="Arial"/>
          <w:b/>
          <w:sz w:val="20"/>
          <w:szCs w:val="20"/>
        </w:rPr>
      </w:pPr>
      <w:r w:rsidRPr="00B653C9">
        <w:rPr>
          <w:rFonts w:ascii="Arial" w:hAnsi="Arial" w:cs="Arial"/>
          <w:b/>
          <w:sz w:val="20"/>
          <w:szCs w:val="20"/>
        </w:rPr>
        <w:t>Notas de Gestión Administrativa</w:t>
      </w:r>
    </w:p>
    <w:p w:rsidR="00EC510E" w:rsidRPr="00B653C9" w:rsidRDefault="00EC510E" w:rsidP="00EC510E">
      <w:pPr>
        <w:autoSpaceDE w:val="0"/>
        <w:autoSpaceDN w:val="0"/>
        <w:adjustRightInd w:val="0"/>
        <w:spacing w:before="80" w:line="250" w:lineRule="exact"/>
        <w:ind w:left="709"/>
        <w:jc w:val="both"/>
        <w:rPr>
          <w:rFonts w:ascii="Arial" w:hAnsi="Arial" w:cs="Arial"/>
          <w:sz w:val="20"/>
          <w:szCs w:val="20"/>
        </w:rPr>
      </w:pPr>
      <w:r w:rsidRPr="00B653C9">
        <w:rPr>
          <w:rFonts w:ascii="Arial" w:hAnsi="Arial" w:cs="Arial"/>
          <w:sz w:val="20"/>
          <w:szCs w:val="20"/>
        </w:rPr>
        <w:t>.</w:t>
      </w:r>
    </w:p>
    <w:p w:rsidR="00EC510E" w:rsidRPr="00B653C9" w:rsidRDefault="00EC510E" w:rsidP="00EC510E">
      <w:pPr>
        <w:autoSpaceDE w:val="0"/>
        <w:autoSpaceDN w:val="0"/>
        <w:adjustRightInd w:val="0"/>
        <w:spacing w:before="80" w:line="250" w:lineRule="exact"/>
        <w:ind w:left="709"/>
        <w:jc w:val="both"/>
        <w:rPr>
          <w:rFonts w:ascii="Arial" w:hAnsi="Arial" w:cs="Arial"/>
          <w:sz w:val="20"/>
          <w:szCs w:val="20"/>
        </w:rPr>
      </w:pPr>
      <w:r w:rsidRPr="00B148E1">
        <w:rPr>
          <w:rFonts w:ascii="Arial" w:hAnsi="Arial" w:cs="Arial"/>
          <w:sz w:val="22"/>
          <w:szCs w:val="22"/>
        </w:rPr>
        <w:t>Las notas</w:t>
      </w:r>
      <w:r>
        <w:rPr>
          <w:rFonts w:ascii="Arial" w:hAnsi="Arial" w:cs="Arial"/>
          <w:sz w:val="22"/>
          <w:szCs w:val="22"/>
        </w:rPr>
        <w:t xml:space="preserve"> de Gestión Administrativa del Gobierno Estatal, emanan</w:t>
      </w:r>
      <w:r w:rsidRPr="00B148E1">
        <w:rPr>
          <w:rFonts w:ascii="Arial" w:hAnsi="Arial" w:cs="Arial"/>
          <w:sz w:val="22"/>
          <w:szCs w:val="22"/>
        </w:rPr>
        <w:t xml:space="preserve"> de las notas de cada </w:t>
      </w:r>
      <w:r>
        <w:rPr>
          <w:rFonts w:ascii="Arial" w:hAnsi="Arial" w:cs="Arial"/>
          <w:sz w:val="22"/>
          <w:szCs w:val="22"/>
        </w:rPr>
        <w:t>entidad</w:t>
      </w:r>
      <w:r w:rsidRPr="00B148E1">
        <w:rPr>
          <w:rFonts w:ascii="Arial" w:hAnsi="Arial" w:cs="Arial"/>
          <w:sz w:val="22"/>
          <w:szCs w:val="22"/>
        </w:rPr>
        <w:t xml:space="preserve"> que lo </w:t>
      </w:r>
      <w:r>
        <w:rPr>
          <w:rFonts w:ascii="Arial" w:hAnsi="Arial" w:cs="Arial"/>
          <w:sz w:val="22"/>
          <w:szCs w:val="22"/>
        </w:rPr>
        <w:t>integran</w:t>
      </w:r>
      <w:r w:rsidRPr="00B148E1">
        <w:rPr>
          <w:rFonts w:ascii="Arial" w:hAnsi="Arial" w:cs="Arial"/>
          <w:sz w:val="22"/>
          <w:szCs w:val="22"/>
        </w:rPr>
        <w:t>, mismas que pueden ser consultadas en el respecti</w:t>
      </w:r>
      <w:r>
        <w:rPr>
          <w:rFonts w:ascii="Arial" w:hAnsi="Arial" w:cs="Arial"/>
          <w:sz w:val="22"/>
          <w:szCs w:val="22"/>
        </w:rPr>
        <w:t>vo apartado de cada una de ellas</w:t>
      </w:r>
    </w:p>
    <w:p w:rsidR="00EC510E" w:rsidRDefault="00EC510E">
      <w:pPr>
        <w:rPr>
          <w:rFonts w:ascii="Arial" w:hAnsi="Arial" w:cs="Arial"/>
          <w:b/>
        </w:rPr>
      </w:pPr>
    </w:p>
    <w:p w:rsidR="00EC510E" w:rsidRDefault="00EC510E">
      <w:pPr>
        <w:rPr>
          <w:rFonts w:ascii="Arial" w:hAnsi="Arial" w:cs="Arial"/>
          <w:b/>
        </w:rPr>
      </w:pPr>
    </w:p>
    <w:p w:rsidR="00EC510E" w:rsidRDefault="00EC510E">
      <w:pPr>
        <w:rPr>
          <w:rFonts w:ascii="Arial" w:hAnsi="Arial" w:cs="Arial"/>
          <w:b/>
        </w:rPr>
      </w:pPr>
    </w:p>
    <w:p w:rsidR="00EC510E" w:rsidRDefault="00EC510E">
      <w:pPr>
        <w:rPr>
          <w:rFonts w:ascii="Arial" w:hAnsi="Arial" w:cs="Arial"/>
          <w:b/>
        </w:rPr>
      </w:pPr>
    </w:p>
    <w:p w:rsidR="00CC3D62" w:rsidRDefault="00CC3D62" w:rsidP="00E474D1">
      <w:pPr>
        <w:contextualSpacing/>
        <w:jc w:val="both"/>
        <w:rPr>
          <w:rFonts w:ascii="Arial" w:hAnsi="Arial" w:cs="Arial"/>
          <w:b/>
        </w:rPr>
      </w:pPr>
    </w:p>
    <w:p w:rsidR="00CC3D62" w:rsidRDefault="00CC3D62">
      <w:pPr>
        <w:rPr>
          <w:rFonts w:ascii="Arial" w:hAnsi="Arial" w:cs="Arial"/>
          <w:b/>
        </w:rPr>
      </w:pPr>
      <w:r>
        <w:rPr>
          <w:rFonts w:ascii="Arial" w:hAnsi="Arial" w:cs="Arial"/>
          <w:b/>
        </w:rPr>
        <w:br w:type="page"/>
      </w:r>
    </w:p>
    <w:p w:rsidR="00E474D1" w:rsidRDefault="00E474D1" w:rsidP="00E474D1">
      <w:pPr>
        <w:contextualSpacing/>
        <w:jc w:val="both"/>
        <w:rPr>
          <w:rFonts w:ascii="Arial" w:hAnsi="Arial" w:cs="Arial"/>
          <w:b/>
        </w:rPr>
      </w:pPr>
      <w:r>
        <w:rPr>
          <w:rFonts w:ascii="Arial" w:hAnsi="Arial" w:cs="Arial"/>
          <w:b/>
        </w:rPr>
        <w:lastRenderedPageBreak/>
        <w:t>12</w:t>
      </w:r>
      <w:r w:rsidRPr="00354041">
        <w:rPr>
          <w:rFonts w:ascii="Arial" w:hAnsi="Arial" w:cs="Arial"/>
          <w:b/>
        </w:rPr>
        <w:t xml:space="preserve">.- </w:t>
      </w:r>
      <w:r>
        <w:rPr>
          <w:rFonts w:ascii="Arial" w:hAnsi="Arial" w:cs="Arial"/>
          <w:b/>
        </w:rPr>
        <w:t>OPINION DEL AUDITOR</w:t>
      </w:r>
    </w:p>
    <w:p w:rsidR="00E474D1" w:rsidRDefault="00E474D1" w:rsidP="00E474D1">
      <w:pPr>
        <w:contextualSpacing/>
        <w:jc w:val="both"/>
        <w:rPr>
          <w:rFonts w:ascii="Arial" w:hAnsi="Arial" w:cs="Arial"/>
          <w:b/>
        </w:rPr>
      </w:pPr>
    </w:p>
    <w:p w:rsidR="00215896" w:rsidRDefault="00D653BA" w:rsidP="00E474D1">
      <w:pPr>
        <w:contextualSpacing/>
        <w:jc w:val="both"/>
        <w:rPr>
          <w:rFonts w:ascii="Arial" w:hAnsi="Arial" w:cs="Arial"/>
          <w:b/>
        </w:rPr>
      </w:pPr>
      <w:r>
        <w:rPr>
          <w:rFonts w:ascii="Arial" w:hAnsi="Arial" w:cs="Arial"/>
          <w:b/>
          <w:noProof/>
          <w:lang w:val="es-MX" w:eastAsia="es-MX"/>
        </w:rPr>
        <w:drawing>
          <wp:inline distT="0" distB="0" distL="0" distR="0">
            <wp:extent cx="5143500" cy="6850968"/>
            <wp:effectExtent l="19050" t="0" r="0" b="0"/>
            <wp:docPr id="306" name="305 Imagen"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1"/>
                    <a:stretch>
                      <a:fillRect/>
                    </a:stretch>
                  </pic:blipFill>
                  <pic:spPr>
                    <a:xfrm>
                      <a:off x="0" y="0"/>
                      <a:ext cx="5149635" cy="6859139"/>
                    </a:xfrm>
                    <a:prstGeom prst="rect">
                      <a:avLst/>
                    </a:prstGeom>
                  </pic:spPr>
                </pic:pic>
              </a:graphicData>
            </a:graphic>
          </wp:inline>
        </w:drawing>
      </w:r>
    </w:p>
    <w:p w:rsidR="00D653BA" w:rsidRDefault="00D653BA">
      <w:pPr>
        <w:rPr>
          <w:rFonts w:ascii="Arial" w:hAnsi="Arial" w:cs="Arial"/>
          <w:b/>
        </w:rPr>
      </w:pPr>
      <w:r>
        <w:rPr>
          <w:rFonts w:ascii="Arial" w:hAnsi="Arial" w:cs="Arial"/>
          <w:b/>
          <w:noProof/>
          <w:lang w:val="es-MX" w:eastAsia="es-MX"/>
        </w:rPr>
        <w:lastRenderedPageBreak/>
        <w:drawing>
          <wp:inline distT="0" distB="0" distL="0" distR="0">
            <wp:extent cx="5177054" cy="6943725"/>
            <wp:effectExtent l="19050" t="0" r="4546" b="0"/>
            <wp:docPr id="309" name="308 Imagen"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2"/>
                    <a:stretch>
                      <a:fillRect/>
                    </a:stretch>
                  </pic:blipFill>
                  <pic:spPr>
                    <a:xfrm>
                      <a:off x="0" y="0"/>
                      <a:ext cx="5178721" cy="6945961"/>
                    </a:xfrm>
                    <a:prstGeom prst="rect">
                      <a:avLst/>
                    </a:prstGeom>
                  </pic:spPr>
                </pic:pic>
              </a:graphicData>
            </a:graphic>
          </wp:inline>
        </w:drawing>
      </w:r>
      <w:r>
        <w:rPr>
          <w:rFonts w:ascii="Arial" w:hAnsi="Arial" w:cs="Arial"/>
          <w:b/>
        </w:rPr>
        <w:br w:type="page"/>
      </w:r>
    </w:p>
    <w:p w:rsidR="002C55FF" w:rsidRDefault="002C55FF" w:rsidP="00E474D1">
      <w:pPr>
        <w:contextualSpacing/>
        <w:jc w:val="both"/>
        <w:rPr>
          <w:rFonts w:ascii="Arial" w:hAnsi="Arial" w:cs="Arial"/>
          <w:b/>
        </w:rPr>
      </w:pPr>
      <w:r>
        <w:rPr>
          <w:rFonts w:ascii="Arial" w:hAnsi="Arial" w:cs="Arial"/>
          <w:b/>
        </w:rPr>
        <w:lastRenderedPageBreak/>
        <w:t>1</w:t>
      </w:r>
      <w:r w:rsidR="00DF05A6">
        <w:rPr>
          <w:rFonts w:ascii="Arial" w:hAnsi="Arial" w:cs="Arial"/>
          <w:b/>
        </w:rPr>
        <w:t>4</w:t>
      </w:r>
      <w:r>
        <w:rPr>
          <w:rFonts w:ascii="Arial" w:hAnsi="Arial" w:cs="Arial"/>
          <w:b/>
        </w:rPr>
        <w:t>.2.- INDICADORES DE RESULTADOS</w:t>
      </w:r>
    </w:p>
    <w:p w:rsidR="007D438C" w:rsidRDefault="007D438C" w:rsidP="00E474D1">
      <w:pPr>
        <w:contextualSpacing/>
        <w:jc w:val="both"/>
        <w:rPr>
          <w:rFonts w:ascii="Arial" w:hAnsi="Arial" w:cs="Arial"/>
          <w:b/>
        </w:rPr>
      </w:pPr>
    </w:p>
    <w:p w:rsidR="007D438C" w:rsidRPr="007D438C" w:rsidRDefault="007D438C" w:rsidP="007D438C">
      <w:pPr>
        <w:contextualSpacing/>
        <w:jc w:val="both"/>
        <w:rPr>
          <w:rFonts w:ascii="Arial" w:hAnsi="Arial" w:cs="Arial"/>
          <w:b/>
        </w:rPr>
      </w:pPr>
      <w:r w:rsidRPr="007D438C">
        <w:rPr>
          <w:rFonts w:ascii="Arial" w:hAnsi="Arial" w:cs="Arial"/>
          <w:b/>
        </w:rPr>
        <w:t>14.</w:t>
      </w:r>
      <w:r w:rsidR="0072684E">
        <w:rPr>
          <w:rFonts w:ascii="Arial" w:hAnsi="Arial" w:cs="Arial"/>
          <w:b/>
        </w:rPr>
        <w:t>2</w:t>
      </w:r>
      <w:r w:rsidRPr="007D438C">
        <w:rPr>
          <w:rFonts w:ascii="Arial" w:hAnsi="Arial" w:cs="Arial"/>
          <w:b/>
        </w:rPr>
        <w:t>.1.- ARRANQUE PAREJO EN LA VIDA (APV).</w:t>
      </w: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7D438C" w:rsidRPr="004F6AC5"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1.1 Nombre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636B64" w:rsidRDefault="007D438C" w:rsidP="00A56E05">
            <w:pPr>
              <w:rPr>
                <w:rFonts w:ascii="Adobe Caslon Pro" w:hAnsi="Adobe Caslon Pro" w:cs="Calibri"/>
                <w:i/>
                <w:color w:val="000000"/>
                <w:sz w:val="20"/>
                <w:lang w:eastAsia="es-MX"/>
              </w:rPr>
            </w:pPr>
            <w:r w:rsidRPr="00F310C6">
              <w:rPr>
                <w:rFonts w:ascii="Adobe Caslon Pro" w:hAnsi="Adobe Caslon Pro" w:cs="Calibri"/>
                <w:i/>
                <w:color w:val="000000"/>
                <w:sz w:val="20"/>
                <w:lang w:eastAsia="es-MX"/>
              </w:rPr>
              <w:t xml:space="preserve">Evaluación Estratégica </w:t>
            </w:r>
            <w:r>
              <w:rPr>
                <w:rFonts w:ascii="Adobe Caslon Pro" w:hAnsi="Adobe Caslon Pro" w:cs="Calibri"/>
                <w:i/>
                <w:color w:val="000000"/>
                <w:sz w:val="20"/>
                <w:lang w:eastAsia="es-MX"/>
              </w:rPr>
              <w:t>d</w:t>
            </w:r>
            <w:r w:rsidRPr="00F310C6">
              <w:rPr>
                <w:rFonts w:ascii="Adobe Caslon Pro" w:hAnsi="Adobe Caslon Pro" w:cs="Calibri"/>
                <w:i/>
                <w:color w:val="000000"/>
                <w:sz w:val="20"/>
                <w:lang w:eastAsia="es-MX"/>
              </w:rPr>
              <w:t xml:space="preserve">e Consistencia </w:t>
            </w:r>
            <w:r>
              <w:rPr>
                <w:rFonts w:ascii="Adobe Caslon Pro" w:hAnsi="Adobe Caslon Pro" w:cs="Calibri"/>
                <w:i/>
                <w:color w:val="000000"/>
                <w:sz w:val="20"/>
                <w:lang w:eastAsia="es-MX"/>
              </w:rPr>
              <w:t>y Resultados del Programa Arranque Parejo en la Vida (APV</w:t>
            </w:r>
            <w:r w:rsidRPr="00F310C6">
              <w:rPr>
                <w:rFonts w:ascii="Adobe Caslon Pro" w:hAnsi="Adobe Caslon Pro" w:cs="Calibri"/>
                <w:i/>
                <w:color w:val="000000"/>
                <w:sz w:val="20"/>
                <w:lang w:eastAsia="es-MX"/>
              </w:rPr>
              <w:t>)</w:t>
            </w:r>
            <w:r>
              <w:rPr>
                <w:rFonts w:ascii="Adobe Caslon Pro" w:hAnsi="Adobe Caslon Pro" w:cs="Calibri"/>
                <w:i/>
                <w:color w:val="000000"/>
                <w:sz w:val="2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1.2 Fecha de inicio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22/09/2014</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1.3 Fecha de término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24/02/2015</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1.4 Nombre de la persona responsable de darle seguimiento a la evaluación y  nombre de la unidad administrativa a la que pertenece:</w:t>
            </w:r>
          </w:p>
        </w:tc>
      </w:tr>
      <w:tr w:rsidR="007D438C" w:rsidRPr="004F6AC5"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438C"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Nombre:</w:t>
            </w:r>
          </w:p>
          <w:p w:rsidR="007D438C" w:rsidRPr="00D02D2B" w:rsidRDefault="007D438C" w:rsidP="00A56E05">
            <w:pPr>
              <w:rPr>
                <w:rFonts w:ascii="Adobe Caslon Pro" w:hAnsi="Adobe Caslon Pro" w:cs="Calibri"/>
                <w:color w:val="000000"/>
                <w:sz w:val="16"/>
                <w:szCs w:val="16"/>
                <w:lang w:eastAsia="es-MX"/>
              </w:rPr>
            </w:pPr>
          </w:p>
          <w:p w:rsidR="007D438C" w:rsidRPr="002C3B4D" w:rsidRDefault="007D438C" w:rsidP="00A56E05">
            <w:pPr>
              <w:rPr>
                <w:rFonts w:ascii="Adobe Caslon Pro" w:hAnsi="Adobe Caslon Pro" w:cs="Calibri"/>
                <w:i/>
                <w:color w:val="000000"/>
                <w:lang w:eastAsia="es-MX"/>
              </w:rPr>
            </w:pPr>
            <w:r w:rsidRPr="002C3B4D">
              <w:rPr>
                <w:rFonts w:ascii="Adobe Caslon Pro" w:hAnsi="Adobe Caslon Pro" w:cs="Calibri"/>
                <w:i/>
                <w:color w:val="000000"/>
                <w:sz w:val="20"/>
                <w:lang w:eastAsia="es-MX"/>
              </w:rPr>
              <w:t>Mtro. Gonzalo Lapuente Sastre</w:t>
            </w: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7D438C"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Unidad administrativa:</w:t>
            </w:r>
            <w:r>
              <w:rPr>
                <w:rFonts w:ascii="Adobe Caslon Pro" w:hAnsi="Adobe Caslon Pro" w:cs="Calibri"/>
                <w:color w:val="000000"/>
                <w:lang w:eastAsia="es-MX"/>
              </w:rPr>
              <w:t xml:space="preserve"> </w:t>
            </w:r>
          </w:p>
          <w:p w:rsidR="007D438C" w:rsidRPr="00AC127B" w:rsidRDefault="007D438C" w:rsidP="00A56E05">
            <w:pPr>
              <w:rPr>
                <w:rFonts w:ascii="Adobe Caslon Pro" w:hAnsi="Adobe Caslon Pro" w:cs="Calibri"/>
                <w:color w:val="000000"/>
                <w:lang w:eastAsia="es-MX"/>
              </w:rPr>
            </w:pPr>
            <w:r w:rsidRPr="00B17671">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 </w:t>
            </w:r>
            <w:r w:rsidRPr="00B17671">
              <w:rPr>
                <w:rFonts w:ascii="Adobe Caslon Pro" w:hAnsi="Adobe Caslon Pro" w:cs="Calibri"/>
                <w:i/>
                <w:color w:val="000000"/>
                <w:sz w:val="20"/>
                <w:szCs w:val="20"/>
                <w:lang w:eastAsia="es-MX"/>
              </w:rPr>
              <w:t>de la Jefatura de la Gubernatura del Gobierno del estado de Oaxaca.</w:t>
            </w:r>
          </w:p>
        </w:tc>
      </w:tr>
      <w:tr w:rsidR="007D438C" w:rsidRPr="004F6AC5" w:rsidTr="00A56E05">
        <w:trPr>
          <w:trHeight w:val="1131"/>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614B76"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5</w:t>
            </w:r>
            <w:r w:rsidRPr="00066E84">
              <w:rPr>
                <w:rFonts w:ascii="Adobe Caslon Pro" w:hAnsi="Adobe Caslon Pro" w:cs="Calibri"/>
                <w:color w:val="000000"/>
                <w:lang w:eastAsia="es-MX"/>
              </w:rPr>
              <w:t xml:space="preserve"> Objetivo general de la evaluación</w:t>
            </w:r>
            <w:r>
              <w:rPr>
                <w:rFonts w:ascii="Adobe Caslon Pro" w:hAnsi="Adobe Caslon Pro" w:cs="Calibri"/>
                <w:color w:val="000000"/>
                <w:lang w:eastAsia="es-MX"/>
              </w:rPr>
              <w:t>:</w:t>
            </w:r>
          </w:p>
          <w:p w:rsidR="007D438C" w:rsidRPr="00D02D2B" w:rsidRDefault="007D438C" w:rsidP="00A56E05">
            <w:pPr>
              <w:jc w:val="both"/>
              <w:rPr>
                <w:rFonts w:ascii="Adobe Caslon Pro" w:hAnsi="Adobe Caslon Pro" w:cs="Calibri"/>
                <w:i/>
                <w:color w:val="000000"/>
                <w:sz w:val="20"/>
                <w:szCs w:val="20"/>
                <w:lang w:eastAsia="es-MX"/>
              </w:rPr>
            </w:pPr>
            <w:r w:rsidRPr="00113C6E">
              <w:rPr>
                <w:rFonts w:ascii="Adobe Caslon Pro" w:hAnsi="Adobe Caslon Pro" w:cs="Calibri"/>
                <w:i/>
                <w:color w:val="000000"/>
                <w:sz w:val="20"/>
                <w:szCs w:val="20"/>
                <w:lang w:eastAsia="es-MX"/>
              </w:rPr>
              <w:t>Coadyuvar en la Consolidación del Sistema de Evaluación del Desempeño en el Estado de Oaxaca, a través</w:t>
            </w:r>
            <w:r w:rsidRPr="00BE4199">
              <w:rPr>
                <w:rFonts w:ascii="Adobe Caslon Pro" w:hAnsi="Adobe Caslon Pro" w:cs="Calibri"/>
                <w:i/>
                <w:color w:val="000000"/>
                <w:sz w:val="20"/>
                <w:szCs w:val="20"/>
                <w:lang w:eastAsia="es-MX"/>
              </w:rPr>
              <w:t xml:space="preserve"> de identificar y analizar la consistencia y resultados del </w:t>
            </w:r>
            <w:r>
              <w:rPr>
                <w:rFonts w:ascii="Adobe Caslon Pro" w:hAnsi="Adobe Caslon Pro" w:cs="Calibri"/>
                <w:i/>
                <w:color w:val="000000"/>
                <w:sz w:val="20"/>
                <w:lang w:eastAsia="es-MX"/>
              </w:rPr>
              <w:t>Programa Arranque Parejo en la Vida (APV</w:t>
            </w:r>
            <w:r w:rsidRPr="00F310C6">
              <w:rPr>
                <w:rFonts w:ascii="Adobe Caslon Pro" w:hAnsi="Adobe Caslon Pro" w:cs="Calibri"/>
                <w:i/>
                <w:color w:val="000000"/>
                <w:sz w:val="20"/>
                <w:lang w:eastAsia="es-MX"/>
              </w:rPr>
              <w:t>)</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6</w:t>
            </w:r>
            <w:r w:rsidRPr="00066E84">
              <w:rPr>
                <w:rFonts w:ascii="Adobe Caslon Pro" w:hAnsi="Adobe Caslon Pro" w:cs="Calibri"/>
                <w:color w:val="000000"/>
                <w:lang w:eastAsia="es-MX"/>
              </w:rPr>
              <w:t xml:space="preserve"> Objetivos específicos de la evaluación</w:t>
            </w:r>
            <w:r>
              <w:rPr>
                <w:rFonts w:ascii="Adobe Caslon Pro" w:hAnsi="Adobe Caslon Pro" w:cs="Calibri"/>
                <w:color w:val="000000"/>
                <w:lang w:eastAsia="es-MX"/>
              </w:rPr>
              <w:t>:</w:t>
            </w:r>
          </w:p>
          <w:p w:rsidR="007D438C" w:rsidRDefault="007D438C"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programa en los siguientes aspectos:</w:t>
            </w:r>
          </w:p>
          <w:p w:rsidR="007D438C"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Diseño. Es un proceso analítico global que se enfoca en identificar los objetivos del programa, para luego determinar la consistencia de su diseño y los resultados con tales objetivos. </w:t>
            </w:r>
          </w:p>
          <w:p w:rsidR="007D438C"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Planeación Estratégica. Implica analizar los instrumentos de planeación del Programa, y corroborar si tal planeación tiene una orientación para resultados. </w:t>
            </w:r>
          </w:p>
          <w:p w:rsidR="007D438C"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Cobertura y Focalización. Corresponde cuantificar y determinar la población potencial y la población objetivo que está siendo atendida por el Programa. </w:t>
            </w:r>
          </w:p>
          <w:p w:rsidR="007D438C"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Operación. Analiza las principales actividades y procesos establecidos en la normatividad aplicable; la eficiencia, eficacia y economía operativa del Programa; y el cumplimiento y avance en los indicadores estratégicos y de gestión. </w:t>
            </w:r>
          </w:p>
          <w:p w:rsidR="007D438C" w:rsidRPr="00BC71C7"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Percepción de la Población. Analiza el grado de satisfacción de los beneficiarios de los bienes y servicios que conforman el Programa. </w:t>
            </w:r>
          </w:p>
          <w:p w:rsidR="007D438C" w:rsidRDefault="007D438C" w:rsidP="00F075EB">
            <w:pPr>
              <w:numPr>
                <w:ilvl w:val="0"/>
                <w:numId w:val="16"/>
              </w:numPr>
              <w:jc w:val="both"/>
              <w:rPr>
                <w:rFonts w:ascii="Adobe Caslon Pro" w:hAnsi="Adobe Caslon Pro" w:cs="Calibri"/>
                <w:i/>
                <w:color w:val="000000"/>
                <w:sz w:val="20"/>
                <w:lang w:eastAsia="es-MX"/>
              </w:rPr>
            </w:pPr>
            <w:r w:rsidRPr="00BC71C7">
              <w:rPr>
                <w:rFonts w:ascii="Adobe Caslon Pro" w:hAnsi="Adobe Caslon Pro" w:cs="Calibri"/>
                <w:i/>
                <w:color w:val="000000"/>
                <w:sz w:val="20"/>
                <w:lang w:eastAsia="es-MX"/>
              </w:rPr>
              <w:t xml:space="preserve">Resultados. Analiza los resultados intermedios y de impacto alcanzado por el Programa, de acuerdo a la evidencia documentada, para observar si éste ha logrado mejorar o resolver el problema para el cual fue creado. </w:t>
            </w:r>
          </w:p>
          <w:p w:rsidR="007D438C" w:rsidRPr="00BC71C7" w:rsidRDefault="007D438C" w:rsidP="00F075EB">
            <w:pPr>
              <w:numPr>
                <w:ilvl w:val="0"/>
                <w:numId w:val="16"/>
              </w:numPr>
              <w:jc w:val="both"/>
              <w:rPr>
                <w:rFonts w:ascii="Adobe Caslon Pro" w:hAnsi="Adobe Caslon Pro" w:cs="Calibri"/>
                <w:i/>
                <w:color w:val="000000"/>
                <w:sz w:val="20"/>
                <w:lang w:eastAsia="es-MX"/>
              </w:rPr>
            </w:pPr>
            <w:r w:rsidRPr="00BC71C7">
              <w:rPr>
                <w:rFonts w:ascii="Adobe Caslon Pro" w:hAnsi="Adobe Caslon Pro" w:cs="Calibri"/>
                <w:i/>
                <w:color w:val="000000"/>
                <w:sz w:val="20"/>
                <w:lang w:eastAsia="es-MX"/>
              </w:rPr>
              <w:t>Ejercicio de los recursos. Analiza el grado de cumplimiento en la aplicación de los recursos en tiempo y forma, de acuerdo a los objetivos para los cuales están destinados.</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7</w:t>
            </w:r>
            <w:r w:rsidRPr="00066E84">
              <w:rPr>
                <w:rFonts w:ascii="Adobe Caslon Pro" w:hAnsi="Adobe Caslon Pro" w:cs="Calibri"/>
                <w:color w:val="000000"/>
                <w:lang w:eastAsia="es-MX"/>
              </w:rPr>
              <w:t xml:space="preserve"> Metodología utilizada en la evaluación</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Instrumentos de recolección de información: </w:t>
            </w:r>
          </w:p>
        </w:tc>
      </w:tr>
      <w:tr w:rsidR="007D438C" w:rsidRPr="004F6AC5"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Pr="00BB2252"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 Cuestionarios</w:t>
            </w:r>
            <w:r>
              <w:rPr>
                <w:rFonts w:ascii="Adobe Caslon Pro" w:hAnsi="Adobe Caslon Pro" w:cs="Calibri"/>
                <w:color w:val="000000"/>
                <w:lang w:eastAsia="es-MX"/>
              </w:rPr>
              <w:t xml:space="preserve">__   Entrevistas__   Formatos__   </w:t>
            </w:r>
            <w:proofErr w:type="spellStart"/>
            <w:r>
              <w:rPr>
                <w:rFonts w:ascii="Adobe Caslon Pro" w:hAnsi="Adobe Caslon Pro" w:cs="Calibri"/>
                <w:color w:val="000000"/>
                <w:lang w:eastAsia="es-MX"/>
              </w:rPr>
              <w:t>Otros_X</w:t>
            </w:r>
            <w:proofErr w:type="spellEnd"/>
            <w:r>
              <w:rPr>
                <w:rFonts w:ascii="Adobe Caslon Pro" w:hAnsi="Adobe Caslon Pro" w:cs="Calibri"/>
                <w:color w:val="000000"/>
                <w:lang w:eastAsia="es-MX"/>
              </w:rPr>
              <w:t>_  Especifique:</w:t>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p>
          <w:p w:rsidR="007D438C" w:rsidRPr="00F11793" w:rsidRDefault="007D438C" w:rsidP="00F075EB">
            <w:pPr>
              <w:numPr>
                <w:ilvl w:val="0"/>
                <w:numId w:val="12"/>
              </w:numPr>
              <w:jc w:val="both"/>
              <w:rPr>
                <w:rFonts w:ascii="Adobe Caslon Pro" w:hAnsi="Adobe Caslon Pro" w:cs="Calibri"/>
                <w:i/>
                <w:color w:val="000000"/>
                <w:sz w:val="20"/>
                <w:lang w:eastAsia="es-MX"/>
              </w:rPr>
            </w:pPr>
            <w:r w:rsidRPr="00D073B5">
              <w:rPr>
                <w:rFonts w:ascii="Adobe Caslon Pro" w:hAnsi="Adobe Caslon Pro" w:cs="Calibri"/>
                <w:i/>
                <w:color w:val="000000"/>
                <w:sz w:val="20"/>
                <w:lang w:eastAsia="es-MX"/>
              </w:rPr>
              <w:t xml:space="preserve">Información proporcionada por la dependencia </w:t>
            </w:r>
            <w:r>
              <w:rPr>
                <w:rFonts w:ascii="Adobe Caslon Pro" w:hAnsi="Adobe Caslon Pro" w:cs="Calibri"/>
                <w:i/>
                <w:color w:val="000000"/>
                <w:sz w:val="20"/>
                <w:lang w:eastAsia="es-MX"/>
              </w:rPr>
              <w:t>o entidad responsable del programa.</w:t>
            </w:r>
          </w:p>
        </w:tc>
      </w:tr>
      <w:tr w:rsidR="007D438C" w:rsidRPr="004F6AC5"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Descripción de las técnicas y modelos utilizados: </w:t>
            </w:r>
          </w:p>
          <w:p w:rsidR="007D438C" w:rsidRPr="00963A04" w:rsidRDefault="007D438C" w:rsidP="00A56E05">
            <w:pPr>
              <w:jc w:val="both"/>
              <w:rPr>
                <w:rFonts w:ascii="Adobe Caslon Pro" w:hAnsi="Adobe Caslon Pro" w:cs="Calibri"/>
                <w:i/>
                <w:color w:val="4472C4"/>
                <w:sz w:val="20"/>
                <w:u w:val="single"/>
                <w:lang w:eastAsia="es-MX"/>
              </w:rPr>
            </w:pPr>
            <w:r w:rsidRPr="006F4A63">
              <w:rPr>
                <w:rFonts w:ascii="Adobe Caslon Pro" w:hAnsi="Adobe Caslon Pro" w:cs="Calibri"/>
                <w:i/>
                <w:color w:val="000000"/>
                <w:sz w:val="20"/>
                <w:lang w:eastAsia="es-MX"/>
              </w:rPr>
              <w:t>La metodología de Evaluación fue desarrollada por “LA JEFATURA”, quien funge como la Instancia Técnica de Evaluación, con la finalidad de obtener información confiable para mejorar la gestión, la toma de decisi</w:t>
            </w:r>
            <w:r>
              <w:rPr>
                <w:rFonts w:ascii="Adobe Caslon Pro" w:hAnsi="Adobe Caslon Pro" w:cs="Calibri"/>
                <w:i/>
                <w:color w:val="000000"/>
                <w:sz w:val="20"/>
                <w:lang w:eastAsia="es-MX"/>
              </w:rPr>
              <w:t xml:space="preserve">ones y el proceso presupuestario, los cuales se encuentran en los Términos de Referencia en la siguiente liga: </w:t>
            </w:r>
            <w:hyperlink r:id="rId123" w:history="1">
              <w:r w:rsidRPr="00632619">
                <w:rPr>
                  <w:rStyle w:val="Hipervnculo"/>
                  <w:rFonts w:ascii="Adobe Caslon Pro" w:hAnsi="Adobe Caslon Pro" w:cs="Calibri"/>
                  <w:i/>
                  <w:sz w:val="20"/>
                  <w:lang w:eastAsia="es-MX"/>
                </w:rPr>
                <w:t>http://www.jefaturadelagubernatura-evaluacion.oaxaca.gob.mx/index.php/pae-sidepanel/pae-2014</w:t>
              </w:r>
            </w:hyperlink>
          </w:p>
          <w:p w:rsidR="007D438C" w:rsidRPr="00963A04" w:rsidRDefault="007D438C" w:rsidP="00A56E05">
            <w:pPr>
              <w:jc w:val="both"/>
              <w:rPr>
                <w:rFonts w:ascii="Adobe Caslon Pro" w:hAnsi="Adobe Caslon Pro" w:cs="Calibri"/>
                <w:i/>
                <w:color w:val="4472C4"/>
                <w:sz w:val="20"/>
                <w:u w:val="single"/>
                <w:lang w:eastAsia="es-MX"/>
              </w:rPr>
            </w:pPr>
          </w:p>
          <w:p w:rsidR="007D438C" w:rsidRDefault="007D438C" w:rsidP="00A56E05">
            <w:pPr>
              <w:jc w:val="both"/>
              <w:rPr>
                <w:rFonts w:ascii="Adobe Caslon Pro" w:hAnsi="Adobe Caslon Pro" w:cs="Calibri"/>
                <w:i/>
                <w:sz w:val="20"/>
                <w:lang w:eastAsia="es-MX"/>
              </w:rPr>
            </w:pPr>
            <w:r>
              <w:rPr>
                <w:rFonts w:ascii="Adobe Caslon Pro" w:hAnsi="Adobe Caslon Pro" w:cs="Calibri"/>
                <w:i/>
                <w:sz w:val="20"/>
                <w:lang w:eastAsia="es-MX"/>
              </w:rPr>
              <w:t>Base de datos de gabinete utilizados para el análisis:</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del Programa.</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Matriz de Indicadores para Resultados del Programa. </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técnico que incluya el análisis del problema que está siendo atendido con los recursos del Programa.</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Objetivos Estratégicos de la Dependencia coordinadora del Programa.</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Nacional de Desarrollo.</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Estatal de Desarrollo y Plan Sectorial de Desarrollo.</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Diagnóstico situacional del Programa y sus beneficiarios.</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Padrón de beneficiarios. </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Características socioeconómicas de los beneficiarios.</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Reglas de Operación.</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 Programas federales y estatales con características similares</w:t>
            </w:r>
            <w:r>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Estratégico de la Dependencia responsable de la MIR del Programa o Plan Sectorial.</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Manual de programación</w:t>
            </w:r>
            <w:r>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Reporte de Evaluación del Programa.</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Planes de mejora asociados a la evaluación del Programa.</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w:t>
            </w:r>
            <w:r>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Potencial.</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Objetivo</w:t>
            </w:r>
            <w:r>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Atendida.</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Reporte de seguimiento de metas del sistema de evaluación del desempeño</w:t>
            </w:r>
            <w:r>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 para la selección de beneficiarios.</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Criterios de elegibilidad aplicados</w:t>
            </w:r>
            <w:r>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Avance físico-financiero</w:t>
            </w:r>
            <w:r>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Cierre de ejercicio.</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Recursos no devengados.</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Estructura organizacional de la dependencia, que incluya las áreas operativas relacionadas con 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organizacional de la dependencia, que incluya las responsabilidades y funciones asociadas con 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técnico que contenga los procesos de la entrega/recepción de componentes.</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contenga el procedimiento a través del cual se proporciona la información sobre estados financieros relacionados con 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descriptivo, normativo funcional acerca de los sistemas de información que conforman la administración financiera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estratégicos y de gestión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Costos de Operación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Procedimientos para medir costo-efectividad en la ejecución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resultados de la medición costo-efectividad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de eficiencia.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Aprobado.</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Ejercido.</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Instrumentos de recuperación de Deuda relacionados con el cumplimiento de objetivos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lastRenderedPageBreak/>
              <w:t>Documento normativo que describa el procedimiento a través del cual se administra y opera 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sistemas de información que se utilizan en la gestión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procedimientos de actualización del padrón de beneficiarios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del Sistema de Rendición de Cuentas y Transparencia para los funcionarios que administran 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Transparencia (En donde se transparenten los resultados de la evaluación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la gaceta oficial de difusión (En donde se transparenten los resultados de la evaluación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oficial que indique el monto y la fecha de recepción de recursos destinados a la operación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Calendario de transferencia de recursos para la operación del Programa.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Reportes de Cuenta Pública.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de Desempeño.</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Guía para usuarios del SED Estatal y Federal.</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de resultados.</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financiero del Programa.</w:t>
            </w:r>
          </w:p>
          <w:p w:rsidR="007D438C" w:rsidRPr="00B3377B"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Ficha técnica de los indicadores de Resultados del Programa.</w:t>
            </w:r>
          </w:p>
        </w:tc>
      </w:tr>
      <w:tr w:rsidR="007D438C" w:rsidRPr="004F6AC5" w:rsidTr="00A56E05">
        <w:trPr>
          <w:trHeight w:val="60"/>
          <w:jc w:val="center"/>
        </w:trPr>
        <w:tc>
          <w:tcPr>
            <w:tcW w:w="999" w:type="dxa"/>
            <w:gridSpan w:val="2"/>
            <w:tcBorders>
              <w:top w:val="single" w:sz="4" w:space="0" w:color="auto"/>
              <w:bottom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7D438C" w:rsidRPr="00DE6244" w:rsidRDefault="007D438C" w:rsidP="00A56E05">
            <w:pPr>
              <w:rPr>
                <w:rFonts w:ascii="Adobe Caslon Pro" w:hAnsi="Adobe Caslon Pro" w:cs="Calibri"/>
                <w:color w:val="000000"/>
                <w:sz w:val="10"/>
                <w:szCs w:val="10"/>
                <w:lang w:eastAsia="es-MX"/>
              </w:rPr>
            </w:pPr>
          </w:p>
        </w:tc>
      </w:tr>
      <w:tr w:rsidR="007D438C"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2.1 Describir los hallazgos más relevantes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tc>
      </w:tr>
      <w:tr w:rsidR="007D438C" w:rsidRPr="004F6AC5"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 Señalar cuáles son las principales Fortalezas, Oportunidades, Debilidades y Amenazas (FODA), de acuerdo con los</w:t>
            </w:r>
            <w:r>
              <w:rPr>
                <w:rFonts w:ascii="Adobe Caslon Pro" w:hAnsi="Adobe Caslon Pro" w:cs="Calibri"/>
                <w:color w:val="000000"/>
                <w:lang w:eastAsia="es-MX"/>
              </w:rPr>
              <w:t xml:space="preserve"> temas</w:t>
            </w:r>
            <w:r w:rsidRPr="00066E84">
              <w:rPr>
                <w:rFonts w:ascii="Adobe Caslon Pro" w:hAnsi="Adobe Caslon Pro" w:cs="Calibri"/>
                <w:color w:val="000000"/>
                <w:lang w:eastAsia="es-MX"/>
              </w:rPr>
              <w:t xml:space="preserve"> del programa</w:t>
            </w:r>
            <w:r>
              <w:rPr>
                <w:rFonts w:ascii="Adobe Caslon Pro" w:hAnsi="Adobe Caslon Pro" w:cs="Calibri"/>
                <w:color w:val="000000"/>
                <w:lang w:eastAsia="es-MX"/>
              </w:rPr>
              <w:t>, estrategia o instituciones</w:t>
            </w:r>
            <w:r w:rsidRPr="00066E84">
              <w:rPr>
                <w:rFonts w:ascii="Adobe Caslon Pro" w:hAnsi="Adobe Caslon Pro" w:cs="Calibri"/>
                <w:color w:val="000000"/>
                <w:lang w:eastAsia="es-MX"/>
              </w:rPr>
              <w:t>.</w:t>
            </w:r>
          </w:p>
        </w:tc>
      </w:tr>
      <w:tr w:rsidR="007D438C" w:rsidRPr="004F6AC5"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2.2.1 Fortalezas</w:t>
            </w:r>
            <w:r>
              <w:rPr>
                <w:rFonts w:ascii="Adobe Caslon Pro" w:hAnsi="Adobe Caslon Pro" w:cs="Calibri"/>
                <w:color w:val="000000"/>
                <w:lang w:eastAsia="es-MX"/>
              </w:rPr>
              <w:t>:</w:t>
            </w: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7D438C" w:rsidRPr="00084B81" w:rsidRDefault="007D438C" w:rsidP="00F075EB">
            <w:pPr>
              <w:numPr>
                <w:ilvl w:val="0"/>
                <w:numId w:val="12"/>
              </w:numPr>
              <w:jc w:val="both"/>
              <w:rPr>
                <w:rFonts w:ascii="Adobe Caslon Pro" w:hAnsi="Adobe Caslon Pro" w:cs="Calibri"/>
                <w:i/>
                <w:color w:val="000000"/>
                <w:sz w:val="20"/>
                <w:szCs w:val="20"/>
                <w:lang w:eastAsia="es-MX"/>
              </w:rPr>
            </w:pPr>
            <w:r w:rsidRPr="00084B81">
              <w:rPr>
                <w:rFonts w:ascii="Adobe Caslon Pro" w:hAnsi="Adobe Caslon Pro" w:cs="Calibri"/>
                <w:i/>
                <w:color w:val="000000"/>
                <w:sz w:val="20"/>
                <w:szCs w:val="20"/>
                <w:lang w:eastAsia="es-MX"/>
              </w:rPr>
              <w:t>El Fin y el Propósito del Fondo corresponden a la solución del problema y</w:t>
            </w:r>
            <w:r>
              <w:rPr>
                <w:rFonts w:ascii="Adobe Caslon Pro" w:hAnsi="Adobe Caslon Pro" w:cs="Calibri"/>
                <w:i/>
                <w:color w:val="000000"/>
                <w:sz w:val="20"/>
                <w:szCs w:val="20"/>
                <w:lang w:eastAsia="es-MX"/>
              </w:rPr>
              <w:t xml:space="preserve"> </w:t>
            </w:r>
            <w:r w:rsidRPr="00084B81">
              <w:rPr>
                <w:rFonts w:ascii="Adobe Caslon Pro" w:hAnsi="Adobe Caslon Pro" w:cs="Calibri"/>
                <w:i/>
                <w:color w:val="000000"/>
                <w:sz w:val="20"/>
                <w:szCs w:val="20"/>
                <w:lang w:eastAsia="es-MX"/>
              </w:rPr>
              <w:t>están claramente definidos.</w:t>
            </w:r>
          </w:p>
          <w:p w:rsidR="007D438C" w:rsidRPr="00084B81" w:rsidRDefault="007D438C" w:rsidP="00F075EB">
            <w:pPr>
              <w:numPr>
                <w:ilvl w:val="0"/>
                <w:numId w:val="12"/>
              </w:numPr>
              <w:jc w:val="both"/>
              <w:rPr>
                <w:rFonts w:ascii="Adobe Caslon Pro" w:hAnsi="Adobe Caslon Pro" w:cs="Calibri"/>
                <w:i/>
                <w:color w:val="000000"/>
                <w:sz w:val="20"/>
                <w:szCs w:val="20"/>
                <w:lang w:eastAsia="es-MX"/>
              </w:rPr>
            </w:pPr>
            <w:r w:rsidRPr="00084B81">
              <w:rPr>
                <w:rFonts w:ascii="Adobe Caslon Pro" w:hAnsi="Adobe Caslon Pro" w:cs="Calibri"/>
                <w:i/>
                <w:color w:val="000000"/>
                <w:sz w:val="20"/>
                <w:szCs w:val="20"/>
                <w:lang w:eastAsia="es-MX"/>
              </w:rPr>
              <w:t>Existe una relación lógica de las obras y/o proyectos de inversión, entre</w:t>
            </w:r>
            <w:r>
              <w:rPr>
                <w:rFonts w:ascii="Adobe Caslon Pro" w:hAnsi="Adobe Caslon Pro" w:cs="Calibri"/>
                <w:i/>
                <w:color w:val="000000"/>
                <w:sz w:val="20"/>
                <w:szCs w:val="20"/>
                <w:lang w:eastAsia="es-MX"/>
              </w:rPr>
              <w:t xml:space="preserve"> </w:t>
            </w:r>
            <w:r w:rsidRPr="00084B81">
              <w:rPr>
                <w:rFonts w:ascii="Adobe Caslon Pro" w:hAnsi="Adobe Caslon Pro" w:cs="Calibri"/>
                <w:i/>
                <w:color w:val="000000"/>
                <w:sz w:val="20"/>
                <w:szCs w:val="20"/>
                <w:lang w:eastAsia="es-MX"/>
              </w:rPr>
              <w:t>otros, que se asocian al Fondo y a su vez se relacionan con el Plan Nacional</w:t>
            </w:r>
            <w:r>
              <w:rPr>
                <w:rFonts w:ascii="Adobe Caslon Pro" w:hAnsi="Adobe Caslon Pro" w:cs="Calibri"/>
                <w:i/>
                <w:color w:val="000000"/>
                <w:sz w:val="20"/>
                <w:szCs w:val="20"/>
                <w:lang w:eastAsia="es-MX"/>
              </w:rPr>
              <w:t xml:space="preserve"> </w:t>
            </w:r>
            <w:r w:rsidRPr="00084B81">
              <w:rPr>
                <w:rFonts w:ascii="Adobe Caslon Pro" w:hAnsi="Adobe Caslon Pro" w:cs="Calibri"/>
                <w:i/>
                <w:color w:val="000000"/>
                <w:sz w:val="20"/>
                <w:szCs w:val="20"/>
                <w:lang w:eastAsia="es-MX"/>
              </w:rPr>
              <w:t>de Desarrollo y el Plan Estatal de Desarrollo.</w:t>
            </w:r>
          </w:p>
          <w:p w:rsidR="007D438C" w:rsidRPr="00084B81" w:rsidRDefault="007D438C" w:rsidP="00F075EB">
            <w:pPr>
              <w:numPr>
                <w:ilvl w:val="0"/>
                <w:numId w:val="12"/>
              </w:numPr>
              <w:jc w:val="both"/>
              <w:rPr>
                <w:rFonts w:ascii="Adobe Caslon Pro" w:hAnsi="Adobe Caslon Pro" w:cs="Calibri"/>
                <w:i/>
                <w:color w:val="000000"/>
                <w:sz w:val="20"/>
                <w:szCs w:val="20"/>
                <w:lang w:eastAsia="es-MX"/>
              </w:rPr>
            </w:pPr>
            <w:r w:rsidRPr="00084B81">
              <w:rPr>
                <w:rFonts w:ascii="Adobe Caslon Pro" w:hAnsi="Adobe Caslon Pro" w:cs="Calibri"/>
                <w:i/>
                <w:color w:val="000000"/>
                <w:sz w:val="20"/>
                <w:szCs w:val="20"/>
                <w:lang w:eastAsia="es-MX"/>
              </w:rPr>
              <w:t>Se muestran los indicadores correspondientes para medir el desempeño</w:t>
            </w:r>
            <w:r>
              <w:rPr>
                <w:rFonts w:ascii="Adobe Caslon Pro" w:hAnsi="Adobe Caslon Pro" w:cs="Calibri"/>
                <w:i/>
                <w:color w:val="000000"/>
                <w:sz w:val="20"/>
                <w:szCs w:val="20"/>
                <w:lang w:eastAsia="es-MX"/>
              </w:rPr>
              <w:t xml:space="preserve"> </w:t>
            </w:r>
            <w:r w:rsidRPr="00084B81">
              <w:rPr>
                <w:rFonts w:ascii="Adobe Caslon Pro" w:hAnsi="Adobe Caslon Pro" w:cs="Calibri"/>
                <w:i/>
                <w:color w:val="000000"/>
                <w:sz w:val="20"/>
                <w:szCs w:val="20"/>
                <w:lang w:eastAsia="es-MX"/>
              </w:rPr>
              <w:t>de las acciones realizadas, así como los indicadores de la Matriz de Indicadores</w:t>
            </w:r>
            <w:r>
              <w:rPr>
                <w:rFonts w:ascii="Adobe Caslon Pro" w:hAnsi="Adobe Caslon Pro" w:cs="Calibri"/>
                <w:i/>
                <w:color w:val="000000"/>
                <w:sz w:val="20"/>
                <w:szCs w:val="20"/>
                <w:lang w:eastAsia="es-MX"/>
              </w:rPr>
              <w:t xml:space="preserve"> </w:t>
            </w:r>
            <w:r w:rsidRPr="00084B81">
              <w:rPr>
                <w:rFonts w:ascii="Adobe Caslon Pro" w:hAnsi="Adobe Caslon Pro" w:cs="Calibri"/>
                <w:i/>
                <w:color w:val="000000"/>
                <w:sz w:val="20"/>
                <w:szCs w:val="20"/>
                <w:lang w:eastAsia="es-MX"/>
              </w:rPr>
              <w:t>para Resultados Federal y la utilizada por el estado de Oaxaca a nivel</w:t>
            </w:r>
            <w:r>
              <w:rPr>
                <w:rFonts w:ascii="Adobe Caslon Pro" w:hAnsi="Adobe Caslon Pro" w:cs="Calibri"/>
                <w:i/>
                <w:color w:val="000000"/>
                <w:sz w:val="20"/>
                <w:szCs w:val="20"/>
                <w:lang w:eastAsia="es-MX"/>
              </w:rPr>
              <w:t xml:space="preserve"> </w:t>
            </w:r>
            <w:r w:rsidRPr="00084B81">
              <w:rPr>
                <w:rFonts w:ascii="Adobe Caslon Pro" w:hAnsi="Adobe Caslon Pro" w:cs="Calibri"/>
                <w:i/>
                <w:color w:val="000000"/>
                <w:sz w:val="20"/>
                <w:szCs w:val="20"/>
                <w:lang w:eastAsia="es-MX"/>
              </w:rPr>
              <w:t>de Fin, Propósito, Componentes y Actividades.</w:t>
            </w:r>
          </w:p>
          <w:p w:rsidR="007D438C" w:rsidRPr="00084B81" w:rsidRDefault="007D438C" w:rsidP="00F075EB">
            <w:pPr>
              <w:numPr>
                <w:ilvl w:val="0"/>
                <w:numId w:val="12"/>
              </w:numPr>
              <w:jc w:val="both"/>
              <w:rPr>
                <w:rFonts w:ascii="Adobe Caslon Pro" w:hAnsi="Adobe Caslon Pro" w:cs="Calibri"/>
                <w:i/>
                <w:color w:val="000000"/>
                <w:sz w:val="20"/>
                <w:szCs w:val="20"/>
                <w:lang w:eastAsia="es-MX"/>
              </w:rPr>
            </w:pPr>
            <w:r w:rsidRPr="00084B81">
              <w:rPr>
                <w:rFonts w:ascii="Adobe Caslon Pro" w:hAnsi="Adobe Caslon Pro" w:cs="Calibri"/>
                <w:i/>
                <w:color w:val="000000"/>
                <w:sz w:val="20"/>
                <w:szCs w:val="20"/>
                <w:lang w:eastAsia="es-MX"/>
              </w:rPr>
              <w:t>En la MIR se identifican claramente los Medios de Verificación.</w:t>
            </w:r>
          </w:p>
          <w:p w:rsidR="007D438C" w:rsidRPr="00084B81" w:rsidRDefault="007D438C" w:rsidP="00F075EB">
            <w:pPr>
              <w:numPr>
                <w:ilvl w:val="0"/>
                <w:numId w:val="12"/>
              </w:numPr>
              <w:jc w:val="both"/>
              <w:rPr>
                <w:rFonts w:ascii="Adobe Caslon Pro" w:hAnsi="Adobe Caslon Pro" w:cs="Calibri"/>
                <w:i/>
                <w:color w:val="000000"/>
                <w:sz w:val="20"/>
                <w:szCs w:val="20"/>
                <w:lang w:eastAsia="es-MX"/>
              </w:rPr>
            </w:pPr>
            <w:r w:rsidRPr="00084B81">
              <w:rPr>
                <w:rFonts w:ascii="Adobe Caslon Pro" w:hAnsi="Adobe Caslon Pro" w:cs="Calibri"/>
                <w:i/>
                <w:color w:val="000000"/>
                <w:sz w:val="20"/>
                <w:szCs w:val="20"/>
                <w:lang w:eastAsia="es-MX"/>
              </w:rPr>
              <w:t>La población potencial y la población objetivo se definen claramente, la</w:t>
            </w:r>
            <w:r>
              <w:rPr>
                <w:rFonts w:ascii="Adobe Caslon Pro" w:hAnsi="Adobe Caslon Pro" w:cs="Calibri"/>
                <w:i/>
                <w:color w:val="000000"/>
                <w:sz w:val="20"/>
                <w:szCs w:val="20"/>
                <w:lang w:eastAsia="es-MX"/>
              </w:rPr>
              <w:t xml:space="preserve"> </w:t>
            </w:r>
            <w:r w:rsidRPr="00084B81">
              <w:rPr>
                <w:rFonts w:ascii="Adobe Caslon Pro" w:hAnsi="Adobe Caslon Pro" w:cs="Calibri"/>
                <w:i/>
                <w:color w:val="000000"/>
                <w:sz w:val="20"/>
                <w:szCs w:val="20"/>
                <w:lang w:eastAsia="es-MX"/>
              </w:rPr>
              <w:t>cuales están cuantificadas</w:t>
            </w:r>
          </w:p>
          <w:p w:rsidR="007D438C" w:rsidRDefault="007D438C" w:rsidP="00A56E05">
            <w:pPr>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Pr="0021499B" w:rsidRDefault="007D438C" w:rsidP="00F075EB">
            <w:pPr>
              <w:numPr>
                <w:ilvl w:val="0"/>
                <w:numId w:val="12"/>
              </w:numPr>
              <w:jc w:val="both"/>
              <w:rPr>
                <w:rFonts w:ascii="Adobe Caslon Pro" w:hAnsi="Adobe Caslon Pro" w:cs="Calibri"/>
                <w:i/>
                <w:color w:val="000000"/>
                <w:sz w:val="20"/>
                <w:szCs w:val="20"/>
                <w:lang w:eastAsia="es-MX"/>
              </w:rPr>
            </w:pPr>
            <w:r w:rsidRPr="0021499B">
              <w:rPr>
                <w:rFonts w:ascii="Adobe Caslon Pro" w:hAnsi="Adobe Caslon Pro" w:cs="Calibri"/>
                <w:i/>
                <w:color w:val="000000"/>
                <w:sz w:val="20"/>
                <w:szCs w:val="20"/>
                <w:lang w:eastAsia="es-MX"/>
              </w:rPr>
              <w:t>En el Programa se establecen con claridad los resultados que busca alcanzar</w:t>
            </w:r>
            <w:r>
              <w:rPr>
                <w:rFonts w:ascii="Adobe Caslon Pro" w:hAnsi="Adobe Caslon Pro" w:cs="Calibri"/>
                <w:i/>
                <w:color w:val="000000"/>
                <w:sz w:val="20"/>
                <w:szCs w:val="20"/>
                <w:lang w:eastAsia="es-MX"/>
              </w:rPr>
              <w:t xml:space="preserve"> </w:t>
            </w:r>
            <w:r w:rsidRPr="0021499B">
              <w:rPr>
                <w:rFonts w:ascii="Adobe Caslon Pro" w:hAnsi="Adobe Caslon Pro" w:cs="Calibri"/>
                <w:i/>
                <w:color w:val="000000"/>
                <w:sz w:val="20"/>
                <w:szCs w:val="20"/>
                <w:lang w:eastAsia="es-MX"/>
              </w:rPr>
              <w:t>a través de sus planes institucionales.</w:t>
            </w:r>
          </w:p>
          <w:p w:rsidR="007D438C" w:rsidRPr="0021499B" w:rsidRDefault="007D438C" w:rsidP="00F075EB">
            <w:pPr>
              <w:numPr>
                <w:ilvl w:val="0"/>
                <w:numId w:val="12"/>
              </w:numPr>
              <w:jc w:val="both"/>
              <w:rPr>
                <w:rFonts w:ascii="Adobe Caslon Pro" w:hAnsi="Adobe Caslon Pro" w:cs="Calibri"/>
                <w:i/>
                <w:color w:val="000000"/>
                <w:sz w:val="20"/>
                <w:szCs w:val="20"/>
                <w:lang w:eastAsia="es-MX"/>
              </w:rPr>
            </w:pPr>
            <w:r w:rsidRPr="0021499B">
              <w:rPr>
                <w:rFonts w:ascii="Adobe Caslon Pro" w:hAnsi="Adobe Caslon Pro" w:cs="Calibri"/>
                <w:i/>
                <w:color w:val="000000"/>
                <w:sz w:val="20"/>
                <w:szCs w:val="20"/>
                <w:lang w:eastAsia="es-MX"/>
              </w:rPr>
              <w:t>Se cuentan con los mecanismos adecuados para establecer y definir los</w:t>
            </w:r>
            <w:r>
              <w:rPr>
                <w:rFonts w:ascii="Adobe Caslon Pro" w:hAnsi="Adobe Caslon Pro" w:cs="Calibri"/>
                <w:i/>
                <w:color w:val="000000"/>
                <w:sz w:val="20"/>
                <w:szCs w:val="20"/>
                <w:lang w:eastAsia="es-MX"/>
              </w:rPr>
              <w:t xml:space="preserve"> </w:t>
            </w:r>
            <w:r w:rsidRPr="0021499B">
              <w:rPr>
                <w:rFonts w:ascii="Adobe Caslon Pro" w:hAnsi="Adobe Caslon Pro" w:cs="Calibri"/>
                <w:i/>
                <w:color w:val="000000"/>
                <w:sz w:val="20"/>
                <w:szCs w:val="20"/>
                <w:lang w:eastAsia="es-MX"/>
              </w:rPr>
              <w:t>indicadores de desempeño.</w:t>
            </w:r>
          </w:p>
          <w:p w:rsidR="007D438C" w:rsidRPr="0021499B" w:rsidRDefault="007D438C" w:rsidP="00F075EB">
            <w:pPr>
              <w:numPr>
                <w:ilvl w:val="0"/>
                <w:numId w:val="12"/>
              </w:numPr>
              <w:jc w:val="both"/>
              <w:rPr>
                <w:rFonts w:ascii="Adobe Caslon Pro" w:hAnsi="Adobe Caslon Pro" w:cs="Calibri"/>
                <w:i/>
                <w:color w:val="000000"/>
                <w:sz w:val="20"/>
                <w:szCs w:val="20"/>
                <w:lang w:eastAsia="es-MX"/>
              </w:rPr>
            </w:pPr>
            <w:r w:rsidRPr="0021499B">
              <w:rPr>
                <w:rFonts w:ascii="Adobe Caslon Pro" w:hAnsi="Adobe Caslon Pro" w:cs="Calibri"/>
                <w:i/>
                <w:color w:val="000000"/>
                <w:sz w:val="20"/>
                <w:szCs w:val="20"/>
                <w:lang w:eastAsia="es-MX"/>
              </w:rPr>
              <w:t>Se recolecta regularmente información oportuna y veraz que permite monitorear</w:t>
            </w:r>
            <w:r>
              <w:rPr>
                <w:rFonts w:ascii="Adobe Caslon Pro" w:hAnsi="Adobe Caslon Pro" w:cs="Calibri"/>
                <w:i/>
                <w:color w:val="000000"/>
                <w:sz w:val="20"/>
                <w:szCs w:val="20"/>
                <w:lang w:eastAsia="es-MX"/>
              </w:rPr>
              <w:t xml:space="preserve"> </w:t>
            </w:r>
            <w:r w:rsidRPr="0021499B">
              <w:rPr>
                <w:rFonts w:ascii="Adobe Caslon Pro" w:hAnsi="Adobe Caslon Pro" w:cs="Calibri"/>
                <w:i/>
                <w:color w:val="000000"/>
                <w:sz w:val="20"/>
                <w:szCs w:val="20"/>
                <w:lang w:eastAsia="es-MX"/>
              </w:rPr>
              <w:t>el desempeño del Programa.</w:t>
            </w:r>
          </w:p>
          <w:p w:rsidR="007D438C" w:rsidRPr="0021499B" w:rsidRDefault="007D438C" w:rsidP="00F075EB">
            <w:pPr>
              <w:numPr>
                <w:ilvl w:val="0"/>
                <w:numId w:val="12"/>
              </w:numPr>
              <w:jc w:val="both"/>
              <w:rPr>
                <w:rFonts w:ascii="Adobe Caslon Pro" w:hAnsi="Adobe Caslon Pro" w:cs="Calibri"/>
                <w:i/>
                <w:color w:val="000000"/>
                <w:sz w:val="20"/>
                <w:szCs w:val="20"/>
                <w:lang w:eastAsia="es-MX"/>
              </w:rPr>
            </w:pPr>
            <w:r w:rsidRPr="0021499B">
              <w:rPr>
                <w:rFonts w:ascii="Adobe Caslon Pro" w:hAnsi="Adobe Caslon Pro" w:cs="Calibri"/>
                <w:i/>
                <w:color w:val="000000"/>
                <w:sz w:val="20"/>
                <w:szCs w:val="20"/>
                <w:lang w:eastAsia="es-MX"/>
              </w:rPr>
              <w:t>El Programa cuenta con metas pertinentes y plazos específicos.</w:t>
            </w:r>
          </w:p>
          <w:p w:rsidR="007D438C" w:rsidRDefault="007D438C" w:rsidP="00F075EB">
            <w:pPr>
              <w:numPr>
                <w:ilvl w:val="0"/>
                <w:numId w:val="12"/>
              </w:numPr>
              <w:jc w:val="both"/>
              <w:rPr>
                <w:rFonts w:ascii="Adobe Caslon Pro" w:hAnsi="Adobe Caslon Pro" w:cs="Calibri"/>
                <w:i/>
                <w:color w:val="000000"/>
                <w:sz w:val="20"/>
                <w:szCs w:val="20"/>
                <w:lang w:eastAsia="es-MX"/>
              </w:rPr>
            </w:pPr>
            <w:r w:rsidRPr="0021499B">
              <w:rPr>
                <w:rFonts w:ascii="Adobe Caslon Pro" w:hAnsi="Adobe Caslon Pro" w:cs="Calibri"/>
                <w:i/>
                <w:color w:val="000000"/>
                <w:sz w:val="20"/>
                <w:szCs w:val="20"/>
                <w:lang w:eastAsia="es-MX"/>
              </w:rPr>
              <w:t>Los requerimientos del presupuesto están explícitamente ligados al cumplimiento</w:t>
            </w:r>
            <w:r>
              <w:rPr>
                <w:rFonts w:ascii="Adobe Caslon Pro" w:hAnsi="Adobe Caslon Pro" w:cs="Calibri"/>
                <w:i/>
                <w:color w:val="000000"/>
                <w:sz w:val="20"/>
                <w:szCs w:val="20"/>
                <w:lang w:eastAsia="es-MX"/>
              </w:rPr>
              <w:t xml:space="preserve"> </w:t>
            </w:r>
            <w:r w:rsidRPr="0021499B">
              <w:rPr>
                <w:rFonts w:ascii="Adobe Caslon Pro" w:hAnsi="Adobe Caslon Pro" w:cs="Calibri"/>
                <w:i/>
                <w:color w:val="000000"/>
                <w:sz w:val="20"/>
                <w:szCs w:val="20"/>
                <w:lang w:eastAsia="es-MX"/>
              </w:rPr>
              <w:t>de las metas de desempeño.</w:t>
            </w:r>
          </w:p>
          <w:p w:rsidR="007D438C" w:rsidRPr="0021499B"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7D438C" w:rsidRPr="00ED1DA8" w:rsidRDefault="007D438C" w:rsidP="00F075EB">
            <w:pPr>
              <w:numPr>
                <w:ilvl w:val="0"/>
                <w:numId w:val="18"/>
              </w:numPr>
              <w:jc w:val="both"/>
              <w:rPr>
                <w:rFonts w:ascii="Adobe Caslon Pro" w:hAnsi="Adobe Caslon Pro" w:cs="Calibri"/>
                <w:i/>
                <w:color w:val="000000"/>
                <w:sz w:val="20"/>
                <w:szCs w:val="20"/>
                <w:lang w:eastAsia="es-MX"/>
              </w:rPr>
            </w:pPr>
            <w:r w:rsidRPr="00ED1DA8">
              <w:rPr>
                <w:rFonts w:ascii="Adobe Caslon Pro" w:hAnsi="Adobe Caslon Pro" w:cs="Calibri"/>
                <w:i/>
                <w:color w:val="000000"/>
                <w:sz w:val="20"/>
                <w:szCs w:val="20"/>
                <w:lang w:eastAsia="es-MX"/>
              </w:rPr>
              <w:t>Se ha atendido a la población objetivo del programa.</w:t>
            </w:r>
          </w:p>
          <w:p w:rsidR="007D438C" w:rsidRDefault="007D438C" w:rsidP="00F075EB">
            <w:pPr>
              <w:numPr>
                <w:ilvl w:val="0"/>
                <w:numId w:val="18"/>
              </w:numPr>
              <w:jc w:val="both"/>
              <w:rPr>
                <w:rFonts w:ascii="Adobe Caslon Pro" w:hAnsi="Adobe Caslon Pro" w:cs="Calibri"/>
                <w:i/>
                <w:color w:val="000000"/>
                <w:sz w:val="20"/>
                <w:szCs w:val="20"/>
                <w:lang w:eastAsia="es-MX"/>
              </w:rPr>
            </w:pPr>
            <w:r w:rsidRPr="00ED1DA8">
              <w:rPr>
                <w:rFonts w:ascii="Adobe Caslon Pro" w:hAnsi="Adobe Caslon Pro" w:cs="Calibri"/>
                <w:i/>
                <w:color w:val="000000"/>
                <w:sz w:val="20"/>
                <w:szCs w:val="20"/>
                <w:lang w:eastAsia="es-MX"/>
              </w:rPr>
              <w:t>Se cuenta un mecanismo de actualización del padrón de los beneficiarios.</w:t>
            </w:r>
          </w:p>
          <w:p w:rsidR="007D438C" w:rsidRPr="003F6657"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7D438C" w:rsidRDefault="007D438C" w:rsidP="00A56E05">
            <w:pPr>
              <w:pStyle w:val="Default"/>
              <w:jc w:val="both"/>
            </w:pP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Se cuentan con procedimientos estandarizados y adecuados para la selección de beneficiarios.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Se cumple con los criterios de elegibilidad y requisitos establecidos en la normatividad para la selección de beneficiarios.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Existe evidencia documental de que el Programa cumple con los procesos de ejecución establecidos en la normatividad.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Los procesos de ejecución funcionan de acuerdo a la normatividad.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El Programa cuenta con una estructura organizacional que permite en</w:t>
            </w:r>
            <w:r w:rsidRPr="0096418A">
              <w:rPr>
                <w:rFonts w:ascii="Adobe Caslon Pro" w:hAnsi="Adobe Caslon Pro" w:cs="Calibri"/>
                <w:i/>
                <w:color w:val="000000"/>
                <w:sz w:val="20"/>
                <w:szCs w:val="20"/>
                <w:lang w:eastAsia="es-MX"/>
              </w:rPr>
              <w:softHyphen/>
              <w:t xml:space="preserve">tregar los Componentes y alcanzar el logro del Propósito de cada uno de ellos.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Los mecanismos de transferencias de recursos asociados al Fondo operan eficaz y eficientemente.</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Entre los programas estatales asociados al Fondo y los programas federales existe una colaboración y coordinación efectiva.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Hay integración entre los distintos sistemas de información que conforman la administración financiera.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Existen indicadores de eficacia.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Se cuenta con un sistema de Rendición de Cuentas y Transparencia para los encargados de administrar el Programa.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Se cuentan con los mecanismos de transparencia. </w:t>
            </w:r>
          </w:p>
          <w:p w:rsidR="007D438C" w:rsidRPr="0096418A" w:rsidRDefault="007D438C" w:rsidP="00F075EB">
            <w:pPr>
              <w:numPr>
                <w:ilvl w:val="0"/>
                <w:numId w:val="19"/>
              </w:numPr>
              <w:jc w:val="both"/>
              <w:rPr>
                <w:rFonts w:ascii="Adobe Caslon Pro" w:hAnsi="Adobe Caslon Pro" w:cs="Calibri"/>
                <w:i/>
                <w:color w:val="000000"/>
                <w:sz w:val="20"/>
                <w:szCs w:val="20"/>
                <w:lang w:eastAsia="es-MX"/>
              </w:rPr>
            </w:pPr>
            <w:r w:rsidRPr="0096418A">
              <w:rPr>
                <w:rFonts w:ascii="Adobe Caslon Pro" w:hAnsi="Adobe Caslon Pro" w:cs="Calibri"/>
                <w:i/>
                <w:color w:val="000000"/>
                <w:sz w:val="20"/>
                <w:szCs w:val="20"/>
                <w:lang w:eastAsia="es-MX"/>
              </w:rPr>
              <w:t xml:space="preserve">Se cuentan con mecanismos que difunden interna y externamente las evaluaciones y los resultados del Programa. </w:t>
            </w:r>
          </w:p>
          <w:p w:rsidR="007D438C" w:rsidRDefault="007D438C" w:rsidP="00A56E05">
            <w:pPr>
              <w:pStyle w:val="Default"/>
              <w:rPr>
                <w:color w:val="211D1E"/>
                <w:sz w:val="23"/>
                <w:szCs w:val="23"/>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7D438C" w:rsidRPr="00AC41C6" w:rsidRDefault="007D438C" w:rsidP="00F075EB">
            <w:pPr>
              <w:numPr>
                <w:ilvl w:val="0"/>
                <w:numId w:val="19"/>
              </w:numPr>
              <w:jc w:val="both"/>
              <w:rPr>
                <w:rFonts w:ascii="Adobe Caslon Pro" w:hAnsi="Adobe Caslon Pro" w:cs="Calibri"/>
                <w:i/>
                <w:color w:val="000000"/>
                <w:sz w:val="20"/>
                <w:szCs w:val="20"/>
                <w:lang w:eastAsia="es-MX"/>
              </w:rPr>
            </w:pPr>
            <w:r w:rsidRPr="00AC41C6">
              <w:rPr>
                <w:rFonts w:ascii="Adobe Caslon Pro" w:hAnsi="Adobe Caslon Pro" w:cs="Calibri"/>
                <w:i/>
                <w:color w:val="000000"/>
                <w:sz w:val="20"/>
                <w:szCs w:val="20"/>
                <w:lang w:eastAsia="es-MX"/>
              </w:rPr>
              <w:t>El Programa cuenta con información veraz y oportuna sobre sus indicadores</w:t>
            </w:r>
            <w:r>
              <w:rPr>
                <w:rFonts w:ascii="Adobe Caslon Pro" w:hAnsi="Adobe Caslon Pro" w:cs="Calibri"/>
                <w:i/>
                <w:color w:val="000000"/>
                <w:sz w:val="20"/>
                <w:szCs w:val="20"/>
                <w:lang w:eastAsia="es-MX"/>
              </w:rPr>
              <w:t xml:space="preserve"> </w:t>
            </w:r>
            <w:r w:rsidRPr="00AC41C6">
              <w:rPr>
                <w:rFonts w:ascii="Adobe Caslon Pro" w:hAnsi="Adobe Caslon Pro" w:cs="Calibri"/>
                <w:i/>
                <w:color w:val="000000"/>
                <w:sz w:val="20"/>
                <w:szCs w:val="20"/>
                <w:lang w:eastAsia="es-MX"/>
              </w:rPr>
              <w:t>de Propósito y Fin.</w:t>
            </w:r>
          </w:p>
          <w:p w:rsidR="007D438C" w:rsidRPr="00AC41C6" w:rsidRDefault="007D438C" w:rsidP="00F075EB">
            <w:pPr>
              <w:numPr>
                <w:ilvl w:val="0"/>
                <w:numId w:val="19"/>
              </w:numPr>
              <w:jc w:val="both"/>
              <w:rPr>
                <w:rFonts w:ascii="Adobe Caslon Pro" w:hAnsi="Adobe Caslon Pro" w:cs="Calibri"/>
                <w:color w:val="000000"/>
                <w:sz w:val="20"/>
                <w:szCs w:val="20"/>
                <w:lang w:eastAsia="es-MX"/>
              </w:rPr>
            </w:pPr>
            <w:r w:rsidRPr="00AC41C6">
              <w:rPr>
                <w:rFonts w:ascii="Adobe Caslon Pro" w:hAnsi="Adobe Caslon Pro" w:cs="Calibri"/>
                <w:i/>
                <w:color w:val="000000"/>
                <w:sz w:val="20"/>
                <w:szCs w:val="20"/>
                <w:lang w:eastAsia="es-MX"/>
              </w:rPr>
              <w:t>La información que se proporciona respecto al diseño y la operación de la</w:t>
            </w:r>
            <w:r>
              <w:rPr>
                <w:rFonts w:ascii="Adobe Caslon Pro" w:hAnsi="Adobe Caslon Pro" w:cs="Calibri"/>
                <w:i/>
                <w:color w:val="000000"/>
                <w:sz w:val="20"/>
                <w:szCs w:val="20"/>
                <w:lang w:eastAsia="es-MX"/>
              </w:rPr>
              <w:t xml:space="preserve"> </w:t>
            </w:r>
            <w:r w:rsidRPr="00AC41C6">
              <w:rPr>
                <w:rFonts w:ascii="Adobe Caslon Pro" w:hAnsi="Adobe Caslon Pro" w:cs="Calibri"/>
                <w:i/>
                <w:color w:val="000000"/>
                <w:sz w:val="20"/>
                <w:szCs w:val="20"/>
                <w:lang w:eastAsia="es-MX"/>
              </w:rPr>
              <w:t>MIR sí permite realizar una rigurosa evaluación de impacto.</w:t>
            </w:r>
          </w:p>
          <w:p w:rsidR="007D438C" w:rsidRPr="00AC41C6" w:rsidRDefault="007D438C" w:rsidP="00A56E05">
            <w:pPr>
              <w:ind w:left="720"/>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 xml:space="preserve">EVALUACIÓN DE LA APLICACIÓN DE LOS </w:t>
            </w:r>
            <w:r w:rsidRPr="00F11793">
              <w:rPr>
                <w:rFonts w:ascii="Adobe Caslon Pro" w:hAnsi="Adobe Caslon Pro" w:cs="Calibri"/>
                <w:color w:val="000000"/>
                <w:sz w:val="20"/>
                <w:szCs w:val="20"/>
                <w:lang w:eastAsia="es-MX"/>
              </w:rPr>
              <w:t>RECURSOS</w:t>
            </w:r>
          </w:p>
          <w:p w:rsidR="007D438C" w:rsidRPr="00C840E9" w:rsidRDefault="007D438C" w:rsidP="00F075EB">
            <w:pPr>
              <w:numPr>
                <w:ilvl w:val="0"/>
                <w:numId w:val="20"/>
              </w:numPr>
              <w:jc w:val="both"/>
              <w:rPr>
                <w:rFonts w:ascii="Adobe Caslon Pro" w:hAnsi="Adobe Caslon Pro" w:cs="Calibri"/>
                <w:i/>
                <w:color w:val="000000"/>
                <w:sz w:val="20"/>
                <w:szCs w:val="20"/>
                <w:lang w:eastAsia="es-MX"/>
              </w:rPr>
            </w:pPr>
            <w:r w:rsidRPr="00C840E9">
              <w:rPr>
                <w:rFonts w:ascii="Adobe Caslon Pro" w:hAnsi="Adobe Caslon Pro" w:cs="Calibri"/>
                <w:i/>
                <w:color w:val="000000"/>
                <w:sz w:val="20"/>
                <w:szCs w:val="20"/>
                <w:lang w:eastAsia="es-MX"/>
              </w:rPr>
              <w:t>El recurso ministrado se ha transferido en tiempo y forma a las instancias</w:t>
            </w:r>
            <w:r>
              <w:rPr>
                <w:rFonts w:ascii="Adobe Caslon Pro" w:hAnsi="Adobe Caslon Pro" w:cs="Calibri"/>
                <w:i/>
                <w:color w:val="000000"/>
                <w:sz w:val="20"/>
                <w:szCs w:val="20"/>
                <w:lang w:eastAsia="es-MX"/>
              </w:rPr>
              <w:t xml:space="preserve"> </w:t>
            </w:r>
            <w:r w:rsidRPr="00C840E9">
              <w:rPr>
                <w:rFonts w:ascii="Adobe Caslon Pro" w:hAnsi="Adobe Caslon Pro" w:cs="Calibri"/>
                <w:i/>
                <w:color w:val="000000"/>
                <w:sz w:val="20"/>
                <w:szCs w:val="20"/>
                <w:lang w:eastAsia="es-MX"/>
              </w:rPr>
              <w:t>ejecutoras.</w:t>
            </w:r>
          </w:p>
          <w:p w:rsidR="007D438C" w:rsidRPr="00C840E9" w:rsidRDefault="007D438C" w:rsidP="00F075EB">
            <w:pPr>
              <w:numPr>
                <w:ilvl w:val="0"/>
                <w:numId w:val="20"/>
              </w:numPr>
              <w:jc w:val="both"/>
              <w:rPr>
                <w:rFonts w:ascii="Adobe Caslon Pro" w:hAnsi="Adobe Caslon Pro" w:cs="Calibri"/>
                <w:i/>
                <w:color w:val="000000"/>
                <w:sz w:val="20"/>
                <w:szCs w:val="20"/>
                <w:lang w:eastAsia="es-MX"/>
              </w:rPr>
            </w:pPr>
            <w:r w:rsidRPr="00C840E9">
              <w:rPr>
                <w:rFonts w:ascii="Adobe Caslon Pro" w:hAnsi="Adobe Caslon Pro" w:cs="Calibri"/>
                <w:i/>
                <w:color w:val="000000"/>
                <w:sz w:val="20"/>
                <w:szCs w:val="20"/>
                <w:lang w:eastAsia="es-MX"/>
              </w:rPr>
              <w:t>Se cuenta con una Planeación Estratégica que define las acciones, obras,</w:t>
            </w:r>
            <w:r>
              <w:rPr>
                <w:rFonts w:ascii="Adobe Caslon Pro" w:hAnsi="Adobe Caslon Pro" w:cs="Calibri"/>
                <w:i/>
                <w:color w:val="000000"/>
                <w:sz w:val="20"/>
                <w:szCs w:val="20"/>
                <w:lang w:eastAsia="es-MX"/>
              </w:rPr>
              <w:t xml:space="preserve"> </w:t>
            </w:r>
            <w:r w:rsidRPr="00C840E9">
              <w:rPr>
                <w:rFonts w:ascii="Adobe Caslon Pro" w:hAnsi="Adobe Caslon Pro" w:cs="Calibri"/>
                <w:i/>
                <w:color w:val="000000"/>
                <w:sz w:val="20"/>
                <w:szCs w:val="20"/>
                <w:lang w:eastAsia="es-MX"/>
              </w:rPr>
              <w:t>proyectos, actividades y bienes y servicios a entregar.</w:t>
            </w:r>
          </w:p>
          <w:p w:rsidR="007D438C" w:rsidRPr="00C840E9" w:rsidRDefault="007D438C" w:rsidP="00F075EB">
            <w:pPr>
              <w:numPr>
                <w:ilvl w:val="0"/>
                <w:numId w:val="20"/>
              </w:numPr>
              <w:jc w:val="both"/>
              <w:rPr>
                <w:rFonts w:ascii="Adobe Caslon Pro" w:hAnsi="Adobe Caslon Pro" w:cs="Calibri"/>
                <w:i/>
                <w:color w:val="000000"/>
                <w:sz w:val="20"/>
                <w:szCs w:val="20"/>
                <w:lang w:eastAsia="es-MX"/>
              </w:rPr>
            </w:pPr>
            <w:r w:rsidRPr="00C840E9">
              <w:rPr>
                <w:rFonts w:ascii="Adobe Caslon Pro" w:hAnsi="Adobe Caslon Pro" w:cs="Calibri"/>
                <w:i/>
                <w:color w:val="000000"/>
                <w:sz w:val="20"/>
                <w:szCs w:val="20"/>
                <w:lang w:eastAsia="es-MX"/>
              </w:rPr>
              <w:t>Se cuenta con la información que garantiza que la distribución de obras y</w:t>
            </w:r>
            <w:r>
              <w:rPr>
                <w:rFonts w:ascii="Adobe Caslon Pro" w:hAnsi="Adobe Caslon Pro" w:cs="Calibri"/>
                <w:i/>
                <w:color w:val="000000"/>
                <w:sz w:val="20"/>
                <w:szCs w:val="20"/>
                <w:lang w:eastAsia="es-MX"/>
              </w:rPr>
              <w:t xml:space="preserve"> </w:t>
            </w:r>
            <w:r w:rsidRPr="00C840E9">
              <w:rPr>
                <w:rFonts w:ascii="Adobe Caslon Pro" w:hAnsi="Adobe Caslon Pro" w:cs="Calibri"/>
                <w:i/>
                <w:color w:val="000000"/>
                <w:sz w:val="20"/>
                <w:szCs w:val="20"/>
                <w:lang w:eastAsia="es-MX"/>
              </w:rPr>
              <w:t>proyectos, bienes y servicios es consistente con el Objetivo del Fondo.</w:t>
            </w:r>
          </w:p>
          <w:p w:rsidR="007D438C" w:rsidRPr="00C840E9" w:rsidRDefault="007D438C" w:rsidP="00F075EB">
            <w:pPr>
              <w:numPr>
                <w:ilvl w:val="0"/>
                <w:numId w:val="20"/>
              </w:numPr>
              <w:jc w:val="both"/>
              <w:rPr>
                <w:rFonts w:ascii="Adobe Caslon Pro" w:hAnsi="Adobe Caslon Pro" w:cs="Calibri"/>
                <w:i/>
                <w:color w:val="000000"/>
                <w:sz w:val="20"/>
                <w:szCs w:val="20"/>
                <w:lang w:eastAsia="es-MX"/>
              </w:rPr>
            </w:pPr>
            <w:r w:rsidRPr="00C840E9">
              <w:rPr>
                <w:rFonts w:ascii="Adobe Caslon Pro" w:hAnsi="Adobe Caslon Pro" w:cs="Calibri"/>
                <w:i/>
                <w:color w:val="000000"/>
                <w:sz w:val="20"/>
                <w:szCs w:val="20"/>
                <w:lang w:eastAsia="es-MX"/>
              </w:rPr>
              <w:t>Se muestra el grado de cumplimiento del avance físico de las obras y proyectos</w:t>
            </w:r>
            <w:r>
              <w:rPr>
                <w:rFonts w:ascii="Adobe Caslon Pro" w:hAnsi="Adobe Caslon Pro" w:cs="Calibri"/>
                <w:i/>
                <w:color w:val="000000"/>
                <w:sz w:val="20"/>
                <w:szCs w:val="20"/>
                <w:lang w:eastAsia="es-MX"/>
              </w:rPr>
              <w:t xml:space="preserve"> </w:t>
            </w:r>
            <w:r w:rsidRPr="00C840E9">
              <w:rPr>
                <w:rFonts w:ascii="Adobe Caslon Pro" w:hAnsi="Adobe Caslon Pro" w:cs="Calibri"/>
                <w:i/>
                <w:color w:val="000000"/>
                <w:sz w:val="20"/>
                <w:szCs w:val="20"/>
                <w:lang w:eastAsia="es-MX"/>
              </w:rPr>
              <w:t>del Fondo.</w:t>
            </w:r>
          </w:p>
          <w:p w:rsidR="007D438C" w:rsidRPr="00C840E9" w:rsidRDefault="007D438C" w:rsidP="00F075EB">
            <w:pPr>
              <w:numPr>
                <w:ilvl w:val="0"/>
                <w:numId w:val="20"/>
              </w:numPr>
              <w:jc w:val="both"/>
              <w:rPr>
                <w:rFonts w:ascii="Adobe Caslon Pro" w:hAnsi="Adobe Caslon Pro" w:cs="Calibri"/>
                <w:i/>
                <w:color w:val="000000"/>
                <w:sz w:val="20"/>
                <w:szCs w:val="20"/>
                <w:lang w:eastAsia="es-MX"/>
              </w:rPr>
            </w:pPr>
            <w:r w:rsidRPr="00C840E9">
              <w:rPr>
                <w:rFonts w:ascii="Adobe Caslon Pro" w:hAnsi="Adobe Caslon Pro" w:cs="Calibri"/>
                <w:i/>
                <w:color w:val="000000"/>
                <w:sz w:val="20"/>
                <w:szCs w:val="20"/>
                <w:lang w:eastAsia="es-MX"/>
              </w:rPr>
              <w:t>Se cuenta con pleno conocimiento de la normatividad aplicable para proporcionar</w:t>
            </w:r>
            <w:r>
              <w:rPr>
                <w:rFonts w:ascii="Adobe Caslon Pro" w:hAnsi="Adobe Caslon Pro" w:cs="Calibri"/>
                <w:i/>
                <w:color w:val="000000"/>
                <w:sz w:val="20"/>
                <w:szCs w:val="20"/>
                <w:lang w:eastAsia="es-MX"/>
              </w:rPr>
              <w:t xml:space="preserve"> </w:t>
            </w:r>
            <w:r w:rsidRPr="00C840E9">
              <w:rPr>
                <w:rFonts w:ascii="Adobe Caslon Pro" w:hAnsi="Adobe Caslon Pro" w:cs="Calibri"/>
                <w:i/>
                <w:color w:val="000000"/>
                <w:sz w:val="20"/>
                <w:szCs w:val="20"/>
                <w:lang w:eastAsia="es-MX"/>
              </w:rPr>
              <w:t>información sobre transparencia y rendición de cuentas.</w:t>
            </w:r>
          </w:p>
          <w:p w:rsidR="007D438C" w:rsidRPr="00C840E9" w:rsidRDefault="007D438C" w:rsidP="00F075EB">
            <w:pPr>
              <w:numPr>
                <w:ilvl w:val="0"/>
                <w:numId w:val="20"/>
              </w:numPr>
              <w:jc w:val="both"/>
              <w:rPr>
                <w:rFonts w:ascii="Adobe Caslon Pro" w:hAnsi="Adobe Caslon Pro" w:cs="Calibri"/>
                <w:i/>
                <w:color w:val="000000"/>
                <w:sz w:val="20"/>
                <w:szCs w:val="20"/>
                <w:lang w:eastAsia="es-MX"/>
              </w:rPr>
            </w:pPr>
            <w:r w:rsidRPr="00C840E9">
              <w:rPr>
                <w:rFonts w:ascii="Adobe Caslon Pro" w:hAnsi="Adobe Caslon Pro" w:cs="Calibri"/>
                <w:i/>
                <w:color w:val="000000"/>
                <w:sz w:val="20"/>
                <w:szCs w:val="20"/>
                <w:lang w:eastAsia="es-MX"/>
              </w:rPr>
              <w:t>Se cumple en tiempo y forma con los ordenamientos de normatividad aplicable</w:t>
            </w:r>
            <w:r>
              <w:rPr>
                <w:rFonts w:ascii="Adobe Caslon Pro" w:hAnsi="Adobe Caslon Pro" w:cs="Calibri"/>
                <w:i/>
                <w:color w:val="000000"/>
                <w:sz w:val="20"/>
                <w:szCs w:val="20"/>
                <w:lang w:eastAsia="es-MX"/>
              </w:rPr>
              <w:t xml:space="preserve"> </w:t>
            </w:r>
            <w:r w:rsidRPr="00C840E9">
              <w:rPr>
                <w:rFonts w:ascii="Adobe Caslon Pro" w:hAnsi="Adobe Caslon Pro" w:cs="Calibri"/>
                <w:i/>
                <w:color w:val="000000"/>
                <w:sz w:val="20"/>
                <w:szCs w:val="20"/>
                <w:lang w:eastAsia="es-MX"/>
              </w:rPr>
              <w:t>en materia de información de resultados y financiera.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Pr="007B54F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2.2.2 Oportunidades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2.2.3 Debilidades</w:t>
            </w:r>
            <w:r>
              <w:rPr>
                <w:rFonts w:ascii="Adobe Caslon Pro" w:hAnsi="Adobe Caslon Pro" w:cs="Calibri"/>
                <w:color w:val="000000"/>
                <w:lang w:eastAsia="es-MX"/>
              </w:rPr>
              <w:t>:</w:t>
            </w: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7D438C" w:rsidRPr="004E27AF" w:rsidRDefault="007D438C" w:rsidP="00F075EB">
            <w:pPr>
              <w:numPr>
                <w:ilvl w:val="0"/>
                <w:numId w:val="21"/>
              </w:numPr>
              <w:jc w:val="both"/>
              <w:rPr>
                <w:rFonts w:ascii="Adobe Caslon Pro" w:hAnsi="Adobe Caslon Pro" w:cs="Calibri"/>
                <w:i/>
                <w:color w:val="000000"/>
                <w:sz w:val="20"/>
                <w:szCs w:val="20"/>
                <w:lang w:eastAsia="es-MX"/>
              </w:rPr>
            </w:pPr>
            <w:r w:rsidRPr="004E27AF">
              <w:rPr>
                <w:rFonts w:ascii="Adobe Caslon Pro" w:hAnsi="Adobe Caslon Pro" w:cs="Calibri"/>
                <w:i/>
                <w:color w:val="000000"/>
                <w:sz w:val="20"/>
                <w:szCs w:val="20"/>
                <w:lang w:eastAsia="es-MX"/>
              </w:rPr>
              <w:t>Las Actividades del programa no son las suficientes y necesarias para producir</w:t>
            </w:r>
            <w:r>
              <w:rPr>
                <w:rFonts w:ascii="Adobe Caslon Pro" w:hAnsi="Adobe Caslon Pro" w:cs="Calibri"/>
                <w:i/>
                <w:color w:val="000000"/>
                <w:sz w:val="20"/>
                <w:szCs w:val="20"/>
                <w:lang w:eastAsia="es-MX"/>
              </w:rPr>
              <w:t xml:space="preserve"> </w:t>
            </w:r>
            <w:r w:rsidRPr="004E27AF">
              <w:rPr>
                <w:rFonts w:ascii="Adobe Caslon Pro" w:hAnsi="Adobe Caslon Pro" w:cs="Calibri"/>
                <w:i/>
                <w:color w:val="000000"/>
                <w:sz w:val="20"/>
                <w:szCs w:val="20"/>
                <w:lang w:eastAsia="es-MX"/>
              </w:rPr>
              <w:t>cada uno de los Componentes.</w:t>
            </w:r>
          </w:p>
          <w:p w:rsidR="007D438C" w:rsidRPr="004E27AF" w:rsidRDefault="007D438C" w:rsidP="00F075EB">
            <w:pPr>
              <w:numPr>
                <w:ilvl w:val="0"/>
                <w:numId w:val="21"/>
              </w:numPr>
              <w:jc w:val="both"/>
              <w:rPr>
                <w:rFonts w:ascii="Adobe Caslon Pro" w:hAnsi="Adobe Caslon Pro" w:cs="Calibri"/>
                <w:i/>
                <w:color w:val="000000"/>
                <w:sz w:val="20"/>
                <w:szCs w:val="20"/>
                <w:lang w:eastAsia="es-MX"/>
              </w:rPr>
            </w:pPr>
            <w:r w:rsidRPr="004E27AF">
              <w:rPr>
                <w:rFonts w:ascii="Adobe Caslon Pro" w:hAnsi="Adobe Caslon Pro" w:cs="Calibri"/>
                <w:i/>
                <w:color w:val="000000"/>
                <w:sz w:val="20"/>
                <w:szCs w:val="20"/>
                <w:lang w:eastAsia="es-MX"/>
              </w:rPr>
              <w:lastRenderedPageBreak/>
              <w:t>No son suficientes los Componentes para el logro del Propósito, mientras</w:t>
            </w:r>
            <w:r>
              <w:rPr>
                <w:rFonts w:ascii="Adobe Caslon Pro" w:hAnsi="Adobe Caslon Pro" w:cs="Calibri"/>
                <w:i/>
                <w:color w:val="000000"/>
                <w:sz w:val="20"/>
                <w:szCs w:val="20"/>
                <w:lang w:eastAsia="es-MX"/>
              </w:rPr>
              <w:t xml:space="preserve"> </w:t>
            </w:r>
            <w:r w:rsidRPr="004E27AF">
              <w:rPr>
                <w:rFonts w:ascii="Adobe Caslon Pro" w:hAnsi="Adobe Caslon Pro" w:cs="Calibri"/>
                <w:i/>
                <w:color w:val="000000"/>
                <w:sz w:val="20"/>
                <w:szCs w:val="20"/>
                <w:lang w:eastAsia="es-MX"/>
              </w:rPr>
              <w:t>que el Propósito no contribuye al logro del Fin.</w:t>
            </w:r>
          </w:p>
          <w:p w:rsidR="007D438C" w:rsidRPr="00506F9D" w:rsidRDefault="007D438C" w:rsidP="00F075EB">
            <w:pPr>
              <w:numPr>
                <w:ilvl w:val="0"/>
                <w:numId w:val="21"/>
              </w:numPr>
              <w:jc w:val="both"/>
              <w:rPr>
                <w:rFonts w:ascii="Adobe Caslon Pro" w:hAnsi="Adobe Caslon Pro" w:cs="Calibri"/>
                <w:i/>
                <w:sz w:val="20"/>
                <w:szCs w:val="20"/>
                <w:lang w:eastAsia="es-MX"/>
              </w:rPr>
            </w:pPr>
            <w:r w:rsidRPr="00506F9D">
              <w:rPr>
                <w:rFonts w:ascii="Adobe Caslon Pro" w:hAnsi="Adobe Caslon Pro" w:cs="Calibri"/>
                <w:i/>
                <w:sz w:val="20"/>
                <w:szCs w:val="20"/>
                <w:lang w:eastAsia="es-MX"/>
              </w:rPr>
              <w:t>La Lógica Vertical del programa no es clara por lo tanto no se valida.</w:t>
            </w:r>
          </w:p>
          <w:p w:rsidR="007D438C" w:rsidRDefault="007D438C" w:rsidP="00F075EB">
            <w:pPr>
              <w:numPr>
                <w:ilvl w:val="0"/>
                <w:numId w:val="21"/>
              </w:numPr>
              <w:jc w:val="both"/>
              <w:rPr>
                <w:rFonts w:ascii="Adobe Caslon Pro" w:hAnsi="Adobe Caslon Pro" w:cs="Calibri"/>
                <w:i/>
                <w:color w:val="000000"/>
                <w:sz w:val="20"/>
                <w:szCs w:val="20"/>
                <w:lang w:eastAsia="es-MX"/>
              </w:rPr>
            </w:pPr>
            <w:r w:rsidRPr="004E27AF">
              <w:rPr>
                <w:rFonts w:ascii="Adobe Caslon Pro" w:hAnsi="Adobe Caslon Pro" w:cs="Calibri"/>
                <w:i/>
                <w:color w:val="000000"/>
                <w:sz w:val="20"/>
                <w:szCs w:val="20"/>
                <w:lang w:eastAsia="es-MX"/>
              </w:rPr>
              <w:t>No todos los indicadores se validan porque no son claros, relevantes, económicos,</w:t>
            </w:r>
            <w:r>
              <w:rPr>
                <w:rFonts w:ascii="Adobe Caslon Pro" w:hAnsi="Adobe Caslon Pro" w:cs="Calibri"/>
                <w:i/>
                <w:color w:val="000000"/>
                <w:sz w:val="20"/>
                <w:szCs w:val="20"/>
                <w:lang w:eastAsia="es-MX"/>
              </w:rPr>
              <w:t xml:space="preserve"> </w:t>
            </w:r>
            <w:r w:rsidRPr="000C0117">
              <w:rPr>
                <w:rFonts w:ascii="Adobe Caslon Pro" w:hAnsi="Adobe Caslon Pro" w:cs="Calibri"/>
                <w:i/>
                <w:color w:val="000000"/>
                <w:sz w:val="20"/>
                <w:szCs w:val="20"/>
                <w:lang w:eastAsia="es-MX"/>
              </w:rPr>
              <w:t xml:space="preserve">adecuados y </w:t>
            </w:r>
            <w:proofErr w:type="spellStart"/>
            <w:r w:rsidRPr="000C0117">
              <w:rPr>
                <w:rFonts w:ascii="Adobe Caslon Pro" w:hAnsi="Adobe Caslon Pro" w:cs="Calibri"/>
                <w:i/>
                <w:color w:val="000000"/>
                <w:sz w:val="20"/>
                <w:szCs w:val="20"/>
                <w:lang w:eastAsia="es-MX"/>
              </w:rPr>
              <w:t>monitoreables</w:t>
            </w:r>
            <w:proofErr w:type="spellEnd"/>
            <w:r w:rsidRPr="000C0117">
              <w:rPr>
                <w:rFonts w:ascii="Adobe Caslon Pro" w:hAnsi="Adobe Caslon Pro" w:cs="Calibri"/>
                <w:i/>
                <w:color w:val="000000"/>
                <w:sz w:val="20"/>
                <w:szCs w:val="20"/>
                <w:lang w:eastAsia="es-MX"/>
              </w:rPr>
              <w:t>.</w:t>
            </w:r>
          </w:p>
          <w:p w:rsidR="007D438C" w:rsidRPr="000C0117" w:rsidRDefault="007D438C" w:rsidP="00F075EB">
            <w:pPr>
              <w:numPr>
                <w:ilvl w:val="0"/>
                <w:numId w:val="21"/>
              </w:numPr>
              <w:jc w:val="both"/>
              <w:rPr>
                <w:rFonts w:ascii="Adobe Caslon Pro" w:hAnsi="Adobe Caslon Pro" w:cs="Calibri"/>
                <w:i/>
                <w:color w:val="000000"/>
                <w:sz w:val="20"/>
                <w:szCs w:val="20"/>
                <w:lang w:eastAsia="es-MX"/>
              </w:rPr>
            </w:pPr>
            <w:r w:rsidRPr="000C0117">
              <w:rPr>
                <w:rFonts w:ascii="Adobe Caslon Pro" w:hAnsi="Adobe Caslon Pro" w:cs="Calibri"/>
                <w:i/>
                <w:color w:val="000000"/>
                <w:sz w:val="20"/>
                <w:szCs w:val="20"/>
                <w:lang w:eastAsia="es-MX"/>
              </w:rPr>
              <w:t>Los indicadores del programa no tienen identificada su línea base, como</w:t>
            </w:r>
            <w:r>
              <w:rPr>
                <w:rFonts w:ascii="Adobe Caslon Pro" w:hAnsi="Adobe Caslon Pro" w:cs="Calibri"/>
                <w:i/>
                <w:color w:val="000000"/>
                <w:sz w:val="20"/>
                <w:szCs w:val="20"/>
                <w:lang w:eastAsia="es-MX"/>
              </w:rPr>
              <w:t xml:space="preserve"> </w:t>
            </w:r>
            <w:r w:rsidRPr="000C0117">
              <w:rPr>
                <w:rFonts w:ascii="Adobe Caslon Pro" w:hAnsi="Adobe Caslon Pro" w:cs="Calibri"/>
                <w:i/>
                <w:color w:val="000000"/>
                <w:sz w:val="20"/>
                <w:szCs w:val="20"/>
                <w:lang w:eastAsia="es-MX"/>
              </w:rPr>
              <w:t>referencia de comparación.</w:t>
            </w:r>
          </w:p>
          <w:p w:rsidR="007D438C" w:rsidRDefault="007D438C" w:rsidP="00F075EB">
            <w:pPr>
              <w:numPr>
                <w:ilvl w:val="0"/>
                <w:numId w:val="21"/>
              </w:numPr>
              <w:jc w:val="both"/>
              <w:rPr>
                <w:rFonts w:ascii="Adobe Caslon Pro" w:hAnsi="Adobe Caslon Pro" w:cs="Calibri"/>
                <w:i/>
                <w:color w:val="000000"/>
                <w:sz w:val="20"/>
                <w:szCs w:val="20"/>
                <w:lang w:eastAsia="es-MX"/>
              </w:rPr>
            </w:pPr>
            <w:r w:rsidRPr="000C0117">
              <w:rPr>
                <w:rFonts w:ascii="Adobe Caslon Pro" w:hAnsi="Adobe Caslon Pro" w:cs="Calibri"/>
                <w:i/>
                <w:color w:val="000000"/>
                <w:sz w:val="20"/>
                <w:szCs w:val="20"/>
                <w:lang w:eastAsia="es-MX"/>
              </w:rPr>
              <w:t>La Lógica Horizontal no se valida porque la MIR está incompleta.</w:t>
            </w:r>
          </w:p>
          <w:p w:rsidR="007D438C" w:rsidRPr="000C0117"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Pr="00B2618F" w:rsidRDefault="007D438C" w:rsidP="00F075EB">
            <w:pPr>
              <w:numPr>
                <w:ilvl w:val="0"/>
                <w:numId w:val="21"/>
              </w:numPr>
              <w:jc w:val="both"/>
              <w:rPr>
                <w:rFonts w:ascii="Adobe Caslon Pro" w:hAnsi="Adobe Caslon Pro" w:cs="Calibri"/>
                <w:i/>
                <w:color w:val="000000"/>
                <w:sz w:val="20"/>
                <w:szCs w:val="20"/>
                <w:lang w:eastAsia="es-MX"/>
              </w:rPr>
            </w:pPr>
            <w:r w:rsidRPr="00B2618F">
              <w:rPr>
                <w:rFonts w:ascii="Adobe Caslon Pro" w:hAnsi="Adobe Caslon Pro" w:cs="Calibri"/>
                <w:i/>
                <w:color w:val="000000"/>
                <w:sz w:val="20"/>
                <w:szCs w:val="20"/>
                <w:lang w:eastAsia="es-MX"/>
              </w:rPr>
              <w:t>Los indicadores del desempeño no tienen línea base.</w:t>
            </w:r>
          </w:p>
          <w:p w:rsidR="007D438C" w:rsidRDefault="007D438C" w:rsidP="00A56E05">
            <w:pPr>
              <w:ind w:left="720"/>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7D438C" w:rsidRPr="009A36C1" w:rsidRDefault="007D438C" w:rsidP="00F075EB">
            <w:pPr>
              <w:numPr>
                <w:ilvl w:val="0"/>
                <w:numId w:val="22"/>
              </w:numPr>
              <w:jc w:val="both"/>
              <w:rPr>
                <w:rFonts w:ascii="Adobe Caslon Pro" w:hAnsi="Adobe Caslon Pro" w:cs="Calibri"/>
                <w:i/>
                <w:color w:val="000000"/>
                <w:sz w:val="20"/>
                <w:szCs w:val="20"/>
                <w:lang w:eastAsia="es-MX"/>
              </w:rPr>
            </w:pPr>
            <w:r w:rsidRPr="009A36C1">
              <w:rPr>
                <w:rFonts w:ascii="Adobe Caslon Pro" w:hAnsi="Adobe Caslon Pro" w:cs="Calibri"/>
                <w:i/>
                <w:color w:val="000000"/>
                <w:sz w:val="20"/>
                <w:szCs w:val="20"/>
                <w:lang w:eastAsia="es-MX"/>
              </w:rPr>
              <w:t>No se observa el avance financiero del programa.</w:t>
            </w:r>
          </w:p>
          <w:p w:rsidR="007D438C" w:rsidRPr="009A36C1" w:rsidRDefault="007D438C" w:rsidP="00F075EB">
            <w:pPr>
              <w:numPr>
                <w:ilvl w:val="0"/>
                <w:numId w:val="22"/>
              </w:numPr>
              <w:jc w:val="both"/>
              <w:rPr>
                <w:rFonts w:ascii="Adobe Caslon Pro" w:hAnsi="Adobe Caslon Pro" w:cs="Calibri"/>
                <w:i/>
                <w:color w:val="000000"/>
                <w:sz w:val="20"/>
                <w:szCs w:val="20"/>
                <w:lang w:eastAsia="es-MX"/>
              </w:rPr>
            </w:pPr>
            <w:r w:rsidRPr="009A36C1">
              <w:rPr>
                <w:rFonts w:ascii="Adobe Caslon Pro" w:hAnsi="Adobe Caslon Pro" w:cs="Calibri"/>
                <w:i/>
                <w:color w:val="000000"/>
                <w:sz w:val="20"/>
                <w:szCs w:val="20"/>
                <w:lang w:eastAsia="es-MX"/>
              </w:rPr>
              <w:t>No existe información oportuna y confiable sobre las prácticas de administración</w:t>
            </w:r>
            <w:r>
              <w:rPr>
                <w:rFonts w:ascii="Adobe Caslon Pro" w:hAnsi="Adobe Caslon Pro" w:cs="Calibri"/>
                <w:i/>
                <w:color w:val="000000"/>
                <w:sz w:val="20"/>
                <w:szCs w:val="20"/>
                <w:lang w:eastAsia="es-MX"/>
              </w:rPr>
              <w:t xml:space="preserve"> </w:t>
            </w:r>
            <w:r w:rsidRPr="009A36C1">
              <w:rPr>
                <w:rFonts w:ascii="Adobe Caslon Pro" w:hAnsi="Adobe Caslon Pro" w:cs="Calibri"/>
                <w:i/>
                <w:color w:val="000000"/>
                <w:sz w:val="20"/>
                <w:szCs w:val="20"/>
                <w:lang w:eastAsia="es-MX"/>
              </w:rPr>
              <w:t>financiera del Programa para la toma de decisiones de los responsables.</w:t>
            </w:r>
          </w:p>
          <w:p w:rsidR="007D438C" w:rsidRPr="009A36C1" w:rsidRDefault="007D438C" w:rsidP="00F075EB">
            <w:pPr>
              <w:numPr>
                <w:ilvl w:val="0"/>
                <w:numId w:val="22"/>
              </w:numPr>
              <w:jc w:val="both"/>
              <w:rPr>
                <w:rFonts w:ascii="Adobe Caslon Pro" w:hAnsi="Adobe Caslon Pro" w:cs="Calibri"/>
                <w:i/>
                <w:color w:val="000000"/>
                <w:sz w:val="20"/>
                <w:szCs w:val="20"/>
                <w:lang w:eastAsia="es-MX"/>
              </w:rPr>
            </w:pPr>
            <w:r w:rsidRPr="009A36C1">
              <w:rPr>
                <w:rFonts w:ascii="Adobe Caslon Pro" w:hAnsi="Adobe Caslon Pro" w:cs="Calibri"/>
                <w:i/>
                <w:color w:val="000000"/>
                <w:sz w:val="20"/>
                <w:szCs w:val="20"/>
                <w:lang w:eastAsia="es-MX"/>
              </w:rPr>
              <w:t>El avance de los indicadores a nivel de Componentes no es el adecuado</w:t>
            </w:r>
            <w:r>
              <w:rPr>
                <w:rFonts w:ascii="Adobe Caslon Pro" w:hAnsi="Adobe Caslon Pro" w:cs="Calibri"/>
                <w:i/>
                <w:color w:val="000000"/>
                <w:sz w:val="20"/>
                <w:szCs w:val="20"/>
                <w:lang w:eastAsia="es-MX"/>
              </w:rPr>
              <w:t xml:space="preserve"> </w:t>
            </w:r>
            <w:r w:rsidRPr="009A36C1">
              <w:rPr>
                <w:rFonts w:ascii="Adobe Caslon Pro" w:hAnsi="Adobe Caslon Pro" w:cs="Calibri"/>
                <w:i/>
                <w:color w:val="000000"/>
                <w:sz w:val="20"/>
                <w:szCs w:val="20"/>
                <w:lang w:eastAsia="es-MX"/>
              </w:rPr>
              <w:t>para el logro del propósito del Programa.</w:t>
            </w:r>
          </w:p>
          <w:p w:rsidR="007D438C" w:rsidRPr="009A36C1" w:rsidRDefault="007D438C" w:rsidP="00F075EB">
            <w:pPr>
              <w:numPr>
                <w:ilvl w:val="0"/>
                <w:numId w:val="22"/>
              </w:numPr>
              <w:jc w:val="both"/>
              <w:rPr>
                <w:rFonts w:ascii="Adobe Caslon Pro" w:hAnsi="Adobe Caslon Pro" w:cs="Calibri"/>
                <w:i/>
                <w:color w:val="000000"/>
                <w:sz w:val="20"/>
                <w:szCs w:val="20"/>
                <w:lang w:eastAsia="es-MX"/>
              </w:rPr>
            </w:pPr>
            <w:r w:rsidRPr="009A36C1">
              <w:rPr>
                <w:rFonts w:ascii="Adobe Caslon Pro" w:hAnsi="Adobe Caslon Pro" w:cs="Calibri"/>
                <w:i/>
                <w:color w:val="000000"/>
                <w:sz w:val="20"/>
                <w:szCs w:val="20"/>
                <w:lang w:eastAsia="es-MX"/>
              </w:rPr>
              <w:t>Se identifican Componentes que podrían ser prescindibles de sustituir por</w:t>
            </w:r>
            <w:r>
              <w:rPr>
                <w:rFonts w:ascii="Adobe Caslon Pro" w:hAnsi="Adobe Caslon Pro" w:cs="Calibri"/>
                <w:i/>
                <w:color w:val="000000"/>
                <w:sz w:val="20"/>
                <w:szCs w:val="20"/>
                <w:lang w:eastAsia="es-MX"/>
              </w:rPr>
              <w:t xml:space="preserve"> </w:t>
            </w:r>
            <w:r w:rsidRPr="009A36C1">
              <w:rPr>
                <w:rFonts w:ascii="Adobe Caslon Pro" w:hAnsi="Adobe Caslon Pro" w:cs="Calibri"/>
                <w:i/>
                <w:color w:val="000000"/>
                <w:sz w:val="20"/>
                <w:szCs w:val="20"/>
                <w:lang w:eastAsia="es-MX"/>
              </w:rPr>
              <w:t>otros más eficaces.</w:t>
            </w:r>
          </w:p>
          <w:p w:rsidR="007D438C" w:rsidRPr="009A36C1" w:rsidRDefault="007D438C" w:rsidP="00F075EB">
            <w:pPr>
              <w:numPr>
                <w:ilvl w:val="0"/>
                <w:numId w:val="22"/>
              </w:numPr>
              <w:jc w:val="both"/>
              <w:rPr>
                <w:rFonts w:ascii="Adobe Caslon Pro" w:hAnsi="Adobe Caslon Pro" w:cs="Calibri"/>
                <w:i/>
                <w:color w:val="000000"/>
                <w:sz w:val="20"/>
                <w:szCs w:val="20"/>
                <w:lang w:eastAsia="es-MX"/>
              </w:rPr>
            </w:pPr>
            <w:r w:rsidRPr="009A36C1">
              <w:rPr>
                <w:rFonts w:ascii="Adobe Caslon Pro" w:hAnsi="Adobe Caslon Pro" w:cs="Calibri"/>
                <w:i/>
                <w:color w:val="000000"/>
                <w:sz w:val="20"/>
                <w:szCs w:val="20"/>
                <w:lang w:eastAsia="es-MX"/>
              </w:rPr>
              <w:t>En el Programa no se identifican y cuantifican los costos de operación y los</w:t>
            </w:r>
            <w:r>
              <w:rPr>
                <w:rFonts w:ascii="Adobe Caslon Pro" w:hAnsi="Adobe Caslon Pro" w:cs="Calibri"/>
                <w:i/>
                <w:color w:val="000000"/>
                <w:sz w:val="20"/>
                <w:szCs w:val="20"/>
                <w:lang w:eastAsia="es-MX"/>
              </w:rPr>
              <w:t xml:space="preserve"> </w:t>
            </w:r>
            <w:r w:rsidRPr="009A36C1">
              <w:rPr>
                <w:rFonts w:ascii="Adobe Caslon Pro" w:hAnsi="Adobe Caslon Pro" w:cs="Calibri"/>
                <w:i/>
                <w:color w:val="000000"/>
                <w:sz w:val="20"/>
                <w:szCs w:val="20"/>
                <w:lang w:eastAsia="es-MX"/>
              </w:rPr>
              <w:t>costos unitarios.</w:t>
            </w:r>
          </w:p>
          <w:p w:rsidR="007D438C" w:rsidRPr="00B042B4" w:rsidRDefault="007D438C" w:rsidP="00F075EB">
            <w:pPr>
              <w:numPr>
                <w:ilvl w:val="0"/>
                <w:numId w:val="22"/>
              </w:numPr>
              <w:jc w:val="both"/>
              <w:rPr>
                <w:rFonts w:ascii="Adobe Caslon Pro" w:hAnsi="Adobe Caslon Pro" w:cs="Calibri"/>
                <w:i/>
                <w:color w:val="000000"/>
                <w:sz w:val="20"/>
                <w:szCs w:val="20"/>
                <w:lang w:eastAsia="es-MX"/>
              </w:rPr>
            </w:pPr>
            <w:r w:rsidRPr="009A36C1">
              <w:rPr>
                <w:rFonts w:ascii="Adobe Caslon Pro" w:hAnsi="Adobe Caslon Pro" w:cs="Calibri"/>
                <w:i/>
                <w:color w:val="000000"/>
                <w:sz w:val="20"/>
                <w:szCs w:val="20"/>
                <w:lang w:eastAsia="es-MX"/>
              </w:rPr>
              <w:t>No existen procedimientos para medir costo-efectividad en la ejecución</w:t>
            </w:r>
            <w:r>
              <w:rPr>
                <w:rFonts w:ascii="Adobe Caslon Pro" w:hAnsi="Adobe Caslon Pro" w:cs="Calibri"/>
                <w:i/>
                <w:color w:val="000000"/>
                <w:sz w:val="20"/>
                <w:szCs w:val="20"/>
                <w:lang w:eastAsia="es-MX"/>
              </w:rPr>
              <w:t xml:space="preserve"> </w:t>
            </w:r>
            <w:r w:rsidRPr="00B042B4">
              <w:rPr>
                <w:rFonts w:ascii="Adobe Caslon Pro" w:hAnsi="Adobe Caslon Pro" w:cs="Calibri"/>
                <w:i/>
                <w:color w:val="000000"/>
                <w:sz w:val="20"/>
                <w:szCs w:val="20"/>
                <w:lang w:eastAsia="es-MX"/>
              </w:rPr>
              <w:t>del Programa.</w:t>
            </w:r>
          </w:p>
          <w:p w:rsidR="007D438C" w:rsidRDefault="007D438C" w:rsidP="00A56E05">
            <w:pPr>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PERCEPCIÓN DE LA POBLACIÓN OBJETIVO</w:t>
            </w:r>
          </w:p>
          <w:p w:rsidR="007D438C" w:rsidRPr="00DE2CEC" w:rsidRDefault="007D438C" w:rsidP="00F075EB">
            <w:pPr>
              <w:numPr>
                <w:ilvl w:val="0"/>
                <w:numId w:val="22"/>
              </w:numPr>
              <w:jc w:val="both"/>
              <w:rPr>
                <w:rFonts w:ascii="Adobe Caslon Pro" w:hAnsi="Adobe Caslon Pro" w:cs="Calibri"/>
                <w:i/>
                <w:color w:val="000000"/>
                <w:sz w:val="20"/>
                <w:szCs w:val="20"/>
                <w:lang w:eastAsia="es-MX"/>
              </w:rPr>
            </w:pPr>
            <w:r w:rsidRPr="00DE2CEC">
              <w:rPr>
                <w:rFonts w:ascii="Adobe Caslon Pro" w:hAnsi="Adobe Caslon Pro" w:cs="Calibri"/>
                <w:i/>
                <w:color w:val="000000"/>
                <w:sz w:val="20"/>
                <w:szCs w:val="20"/>
                <w:lang w:eastAsia="es-MX"/>
              </w:rPr>
              <w:t>No existen instrumentos que permitan medir el grado de satisfacción de la</w:t>
            </w:r>
            <w:r>
              <w:rPr>
                <w:rFonts w:ascii="Adobe Caslon Pro" w:hAnsi="Adobe Caslon Pro" w:cs="Calibri"/>
                <w:i/>
                <w:color w:val="000000"/>
                <w:sz w:val="20"/>
                <w:szCs w:val="20"/>
                <w:lang w:eastAsia="es-MX"/>
              </w:rPr>
              <w:t xml:space="preserve"> </w:t>
            </w:r>
            <w:r w:rsidRPr="00DE2CEC">
              <w:rPr>
                <w:rFonts w:ascii="Adobe Caslon Pro" w:hAnsi="Adobe Caslon Pro" w:cs="Calibri"/>
                <w:i/>
                <w:color w:val="000000"/>
                <w:sz w:val="20"/>
                <w:szCs w:val="20"/>
                <w:lang w:eastAsia="es-MX"/>
              </w:rPr>
              <w:t>población.</w:t>
            </w:r>
          </w:p>
          <w:p w:rsidR="007D438C" w:rsidRPr="00C56BF3"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7D438C" w:rsidRPr="00005359" w:rsidRDefault="007D438C" w:rsidP="00F075EB">
            <w:pPr>
              <w:numPr>
                <w:ilvl w:val="0"/>
                <w:numId w:val="13"/>
              </w:numPr>
              <w:jc w:val="both"/>
              <w:rPr>
                <w:rFonts w:ascii="Adobe Caslon Pro" w:hAnsi="Adobe Caslon Pro" w:cs="Calibri"/>
                <w:i/>
                <w:color w:val="000000"/>
                <w:sz w:val="20"/>
                <w:szCs w:val="20"/>
                <w:lang w:eastAsia="es-MX"/>
              </w:rPr>
            </w:pPr>
            <w:r w:rsidRPr="00005359">
              <w:rPr>
                <w:rFonts w:ascii="Adobe Caslon Pro" w:hAnsi="Adobe Caslon Pro" w:cs="Calibri"/>
                <w:i/>
                <w:color w:val="000000"/>
                <w:sz w:val="20"/>
                <w:szCs w:val="20"/>
                <w:lang w:eastAsia="es-MX"/>
              </w:rPr>
              <w:t>No se encontró evidencia sobre alguna evaluación externa del Programa</w:t>
            </w:r>
            <w:r>
              <w:rPr>
                <w:rFonts w:ascii="Adobe Caslon Pro" w:hAnsi="Adobe Caslon Pro" w:cs="Calibri"/>
                <w:i/>
                <w:color w:val="000000"/>
                <w:sz w:val="20"/>
                <w:szCs w:val="20"/>
                <w:lang w:eastAsia="es-MX"/>
              </w:rPr>
              <w:t xml:space="preserve"> </w:t>
            </w:r>
            <w:r w:rsidRPr="00005359">
              <w:rPr>
                <w:rFonts w:ascii="Adobe Caslon Pro" w:hAnsi="Adobe Caslon Pro" w:cs="Calibri"/>
                <w:i/>
                <w:color w:val="000000"/>
                <w:sz w:val="20"/>
                <w:szCs w:val="20"/>
                <w:lang w:eastAsia="es-MX"/>
              </w:rPr>
              <w:t>que permita medir el impacto en la población objetivo.</w:t>
            </w:r>
          </w:p>
          <w:p w:rsidR="007D438C" w:rsidRPr="00005359" w:rsidRDefault="007D438C" w:rsidP="00F075EB">
            <w:pPr>
              <w:numPr>
                <w:ilvl w:val="0"/>
                <w:numId w:val="13"/>
              </w:numPr>
              <w:jc w:val="both"/>
              <w:rPr>
                <w:rFonts w:ascii="Adobe Caslon Pro" w:hAnsi="Adobe Caslon Pro" w:cs="Calibri"/>
                <w:i/>
                <w:color w:val="000000"/>
                <w:sz w:val="20"/>
                <w:szCs w:val="20"/>
                <w:lang w:eastAsia="es-MX"/>
              </w:rPr>
            </w:pPr>
            <w:r w:rsidRPr="00005359">
              <w:rPr>
                <w:rFonts w:ascii="Adobe Caslon Pro" w:hAnsi="Adobe Caslon Pro" w:cs="Calibri"/>
                <w:i/>
                <w:color w:val="000000"/>
                <w:sz w:val="20"/>
                <w:szCs w:val="20"/>
                <w:lang w:eastAsia="es-MX"/>
              </w:rPr>
              <w:t>El Programa no demuestra información sobre el progreso en alcanzado de</w:t>
            </w:r>
            <w:r>
              <w:rPr>
                <w:rFonts w:ascii="Adobe Caslon Pro" w:hAnsi="Adobe Caslon Pro" w:cs="Calibri"/>
                <w:i/>
                <w:color w:val="000000"/>
                <w:sz w:val="20"/>
                <w:szCs w:val="20"/>
                <w:lang w:eastAsia="es-MX"/>
              </w:rPr>
              <w:t xml:space="preserve"> </w:t>
            </w:r>
            <w:r w:rsidRPr="00005359">
              <w:rPr>
                <w:rFonts w:ascii="Adobe Caslon Pro" w:hAnsi="Adobe Caslon Pro" w:cs="Calibri"/>
                <w:i/>
                <w:color w:val="000000"/>
                <w:sz w:val="20"/>
                <w:szCs w:val="20"/>
                <w:lang w:eastAsia="es-MX"/>
              </w:rPr>
              <w:t>su Propósito y Fin.</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2.2.4 Amenazas</w:t>
            </w:r>
            <w:r>
              <w:rPr>
                <w:rFonts w:ascii="Adobe Caslon Pro" w:hAnsi="Adobe Caslon Pro" w:cs="Calibri"/>
                <w:color w:val="000000"/>
                <w:lang w:eastAsia="es-MX"/>
              </w:rPr>
              <w:t>:</w:t>
            </w:r>
          </w:p>
        </w:tc>
      </w:tr>
      <w:tr w:rsidR="007D438C" w:rsidRPr="004F6AC5"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3. Conclusiones y recomendaciones de la evaluación</w:t>
            </w:r>
          </w:p>
        </w:tc>
      </w:tr>
      <w:tr w:rsidR="007D438C" w:rsidRPr="004F6AC5" w:rsidTr="00A56E05">
        <w:trPr>
          <w:trHeight w:val="110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Default="007D438C" w:rsidP="00F075EB">
            <w:pPr>
              <w:numPr>
                <w:ilvl w:val="1"/>
                <w:numId w:val="15"/>
              </w:numPr>
              <w:rPr>
                <w:rFonts w:ascii="Adobe Caslon Pro" w:hAnsi="Adobe Caslon Pro" w:cs="Calibri"/>
                <w:color w:val="000000"/>
                <w:lang w:eastAsia="es-MX"/>
              </w:rPr>
            </w:pPr>
            <w:r w:rsidRPr="00066E84">
              <w:rPr>
                <w:rFonts w:ascii="Adobe Caslon Pro" w:hAnsi="Adobe Caslon Pro" w:cs="Calibri"/>
                <w:color w:val="000000"/>
                <w:lang w:eastAsia="es-MX"/>
              </w:rPr>
              <w:t>Describir brevemente las conclusiones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Default="007D438C" w:rsidP="00F075EB">
            <w:pPr>
              <w:numPr>
                <w:ilvl w:val="0"/>
                <w:numId w:val="24"/>
              </w:numPr>
              <w:jc w:val="both"/>
              <w:rPr>
                <w:rFonts w:ascii="Adobe Caslon Pro" w:hAnsi="Adobe Caslon Pro" w:cs="Calibri"/>
                <w:i/>
                <w:color w:val="000000"/>
                <w:sz w:val="20"/>
                <w:szCs w:val="20"/>
                <w:lang w:eastAsia="es-MX"/>
              </w:rPr>
            </w:pPr>
            <w:r w:rsidRPr="009B4B86">
              <w:rPr>
                <w:rFonts w:ascii="Adobe Caslon Pro" w:hAnsi="Adobe Caslon Pro" w:cs="Calibri"/>
                <w:i/>
                <w:color w:val="000000"/>
                <w:sz w:val="20"/>
                <w:szCs w:val="20"/>
                <w:lang w:eastAsia="es-MX"/>
              </w:rPr>
              <w:t>El Programa Arranque Parejo en la Vida del Fondo para los Servicios de Salud cuenta con una Matriz de Indicadores para Resultados Federal cuenta con un Fin y Propósito que corresponden a la solución del problema, claramente definidos que corresponden a</w:t>
            </w:r>
            <w:r>
              <w:rPr>
                <w:rFonts w:ascii="Adobe Caslon Pro" w:hAnsi="Adobe Caslon Pro" w:cs="Calibri"/>
                <w:i/>
                <w:color w:val="000000"/>
                <w:sz w:val="20"/>
                <w:szCs w:val="20"/>
                <w:lang w:eastAsia="es-MX"/>
              </w:rPr>
              <w:t xml:space="preserve"> </w:t>
            </w:r>
            <w:r w:rsidRPr="009B4B86">
              <w:rPr>
                <w:rFonts w:ascii="Adobe Caslon Pro" w:hAnsi="Adobe Caslon Pro" w:cs="Calibri"/>
                <w:i/>
                <w:color w:val="000000"/>
                <w:sz w:val="20"/>
                <w:szCs w:val="20"/>
                <w:lang w:eastAsia="es-MX"/>
              </w:rPr>
              <w:t>la solución del problema, existiendo una relación lógica con el Plan Nacional de</w:t>
            </w:r>
            <w:r>
              <w:rPr>
                <w:rFonts w:ascii="Adobe Caslon Pro" w:hAnsi="Adobe Caslon Pro" w:cs="Calibri"/>
                <w:i/>
                <w:color w:val="000000"/>
                <w:sz w:val="20"/>
                <w:szCs w:val="20"/>
                <w:lang w:eastAsia="es-MX"/>
              </w:rPr>
              <w:t xml:space="preserve"> </w:t>
            </w:r>
            <w:r w:rsidRPr="009B4B86">
              <w:rPr>
                <w:rFonts w:ascii="Adobe Caslon Pro" w:hAnsi="Adobe Caslon Pro" w:cs="Calibri"/>
                <w:i/>
                <w:color w:val="000000"/>
                <w:sz w:val="20"/>
                <w:szCs w:val="20"/>
                <w:lang w:eastAsia="es-MX"/>
              </w:rPr>
              <w:t>Desarrollo 2013-2018 y el Plan</w:t>
            </w:r>
            <w:r>
              <w:rPr>
                <w:rFonts w:ascii="Adobe Caslon Pro" w:hAnsi="Adobe Caslon Pro" w:cs="Calibri"/>
                <w:i/>
                <w:color w:val="000000"/>
                <w:sz w:val="20"/>
                <w:szCs w:val="20"/>
                <w:lang w:eastAsia="es-MX"/>
              </w:rPr>
              <w:t xml:space="preserve"> Estatal de Desarrollo 2011-2016</w:t>
            </w:r>
          </w:p>
          <w:p w:rsidR="007D438C" w:rsidRDefault="007D438C" w:rsidP="00F075EB">
            <w:pPr>
              <w:numPr>
                <w:ilvl w:val="0"/>
                <w:numId w:val="24"/>
              </w:numPr>
              <w:jc w:val="both"/>
              <w:rPr>
                <w:rFonts w:ascii="Adobe Caslon Pro" w:hAnsi="Adobe Caslon Pro" w:cs="Calibri"/>
                <w:i/>
                <w:color w:val="000000"/>
                <w:sz w:val="20"/>
                <w:szCs w:val="20"/>
                <w:lang w:eastAsia="es-MX"/>
              </w:rPr>
            </w:pPr>
            <w:r w:rsidRPr="009B4B86">
              <w:rPr>
                <w:rFonts w:ascii="Adobe Caslon Pro" w:hAnsi="Adobe Caslon Pro" w:cs="Calibri"/>
                <w:i/>
                <w:color w:val="000000"/>
                <w:sz w:val="20"/>
                <w:szCs w:val="20"/>
                <w:lang w:eastAsia="es-MX"/>
              </w:rPr>
              <w:t>Los indicadores que se presentan son los correspondientes para medir el desempeño de la MIR Federal, los medios de verificación se identifican claramente, y existe</w:t>
            </w:r>
            <w:r>
              <w:rPr>
                <w:rFonts w:ascii="Adobe Caslon Pro" w:hAnsi="Adobe Caslon Pro" w:cs="Calibri"/>
                <w:i/>
                <w:color w:val="000000"/>
                <w:sz w:val="20"/>
                <w:szCs w:val="20"/>
                <w:lang w:eastAsia="es-MX"/>
              </w:rPr>
              <w:t xml:space="preserve"> </w:t>
            </w:r>
            <w:r w:rsidRPr="009B4B86">
              <w:rPr>
                <w:rFonts w:ascii="Adobe Caslon Pro" w:hAnsi="Adobe Caslon Pro" w:cs="Calibri"/>
                <w:i/>
                <w:color w:val="000000"/>
                <w:sz w:val="20"/>
                <w:szCs w:val="20"/>
                <w:lang w:eastAsia="es-MX"/>
              </w:rPr>
              <w:t>congruencia entre la normatividad aplicable de la MIR y su lógica interna, y se</w:t>
            </w:r>
            <w:r>
              <w:rPr>
                <w:rFonts w:ascii="Adobe Caslon Pro" w:hAnsi="Adobe Caslon Pro" w:cs="Calibri"/>
                <w:i/>
                <w:color w:val="000000"/>
                <w:sz w:val="20"/>
                <w:szCs w:val="20"/>
                <w:lang w:eastAsia="es-MX"/>
              </w:rPr>
              <w:t xml:space="preserve"> </w:t>
            </w:r>
            <w:r w:rsidRPr="009B4B86">
              <w:rPr>
                <w:rFonts w:ascii="Adobe Caslon Pro" w:hAnsi="Adobe Caslon Pro" w:cs="Calibri"/>
                <w:i/>
                <w:color w:val="000000"/>
                <w:sz w:val="20"/>
                <w:szCs w:val="20"/>
                <w:lang w:eastAsia="es-MX"/>
              </w:rPr>
              <w:t>identifican los Supuestos.</w:t>
            </w:r>
            <w:r>
              <w:rPr>
                <w:rFonts w:ascii="Adobe Caslon Pro" w:hAnsi="Adobe Caslon Pro" w:cs="Calibri"/>
                <w:i/>
                <w:color w:val="000000"/>
                <w:sz w:val="20"/>
                <w:szCs w:val="20"/>
                <w:lang w:eastAsia="es-MX"/>
              </w:rPr>
              <w:t xml:space="preserve"> </w:t>
            </w:r>
          </w:p>
          <w:p w:rsidR="007D438C" w:rsidRDefault="007D438C" w:rsidP="00F075EB">
            <w:pPr>
              <w:numPr>
                <w:ilvl w:val="0"/>
                <w:numId w:val="24"/>
              </w:numPr>
              <w:jc w:val="both"/>
              <w:rPr>
                <w:rFonts w:ascii="Adobe Caslon Pro" w:hAnsi="Adobe Caslon Pro" w:cs="Calibri"/>
                <w:i/>
                <w:color w:val="000000"/>
                <w:sz w:val="20"/>
                <w:szCs w:val="20"/>
                <w:lang w:eastAsia="es-MX"/>
              </w:rPr>
            </w:pPr>
            <w:r w:rsidRPr="009B4B86">
              <w:rPr>
                <w:rFonts w:ascii="Adobe Caslon Pro" w:hAnsi="Adobe Caslon Pro" w:cs="Calibri"/>
                <w:i/>
                <w:color w:val="000000"/>
                <w:sz w:val="20"/>
                <w:szCs w:val="20"/>
                <w:lang w:eastAsia="es-MX"/>
              </w:rPr>
              <w:t>Es necesario completar los Componentes correspondientes en la MIR federal y</w:t>
            </w:r>
            <w:r>
              <w:rPr>
                <w:rFonts w:ascii="Adobe Caslon Pro" w:hAnsi="Adobe Caslon Pro" w:cs="Calibri"/>
                <w:i/>
                <w:color w:val="000000"/>
                <w:sz w:val="20"/>
                <w:szCs w:val="20"/>
                <w:lang w:eastAsia="es-MX"/>
              </w:rPr>
              <w:t xml:space="preserve"> </w:t>
            </w:r>
            <w:r w:rsidRPr="009B4B86">
              <w:rPr>
                <w:rFonts w:ascii="Adobe Caslon Pro" w:hAnsi="Adobe Caslon Pro" w:cs="Calibri"/>
                <w:i/>
                <w:color w:val="000000"/>
                <w:sz w:val="20"/>
                <w:szCs w:val="20"/>
                <w:lang w:eastAsia="es-MX"/>
              </w:rPr>
              <w:t>redactar el Propósito que corresponda correctamente con el Fin, establecer la línea</w:t>
            </w:r>
            <w:r>
              <w:rPr>
                <w:rFonts w:ascii="Adobe Caslon Pro" w:hAnsi="Adobe Caslon Pro" w:cs="Calibri"/>
                <w:i/>
                <w:color w:val="000000"/>
                <w:sz w:val="20"/>
                <w:szCs w:val="20"/>
                <w:lang w:eastAsia="es-MX"/>
              </w:rPr>
              <w:t xml:space="preserve"> </w:t>
            </w:r>
            <w:r w:rsidRPr="009B4B86">
              <w:rPr>
                <w:rFonts w:ascii="Adobe Caslon Pro" w:hAnsi="Adobe Caslon Pro" w:cs="Calibri"/>
                <w:i/>
                <w:color w:val="000000"/>
                <w:sz w:val="20"/>
                <w:szCs w:val="20"/>
                <w:lang w:eastAsia="es-MX"/>
              </w:rPr>
              <w:t>base</w:t>
            </w:r>
            <w:r>
              <w:rPr>
                <w:rFonts w:ascii="Adobe Caslon Pro" w:hAnsi="Adobe Caslon Pro" w:cs="Calibri"/>
                <w:i/>
                <w:color w:val="000000"/>
                <w:sz w:val="20"/>
                <w:szCs w:val="20"/>
                <w:lang w:eastAsia="es-MX"/>
              </w:rPr>
              <w:t xml:space="preserve"> de cada uno de los indicadores.</w:t>
            </w:r>
          </w:p>
          <w:p w:rsidR="007D438C" w:rsidRDefault="007D438C" w:rsidP="00F075EB">
            <w:pPr>
              <w:numPr>
                <w:ilvl w:val="0"/>
                <w:numId w:val="24"/>
              </w:numPr>
              <w:jc w:val="both"/>
              <w:rPr>
                <w:rFonts w:ascii="Adobe Caslon Pro" w:hAnsi="Adobe Caslon Pro" w:cs="Calibri"/>
                <w:i/>
                <w:color w:val="000000"/>
                <w:sz w:val="20"/>
                <w:szCs w:val="20"/>
                <w:lang w:eastAsia="es-MX"/>
              </w:rPr>
            </w:pPr>
            <w:r w:rsidRPr="009B4B86">
              <w:rPr>
                <w:rFonts w:ascii="Adobe Caslon Pro" w:hAnsi="Adobe Caslon Pro" w:cs="Calibri"/>
                <w:i/>
                <w:color w:val="000000"/>
                <w:sz w:val="20"/>
                <w:szCs w:val="20"/>
                <w:lang w:eastAsia="es-MX"/>
              </w:rPr>
              <w:t>Respecto a la Planeación Estratégica, el Programa establece claramente los resul</w:t>
            </w:r>
            <w:r w:rsidRPr="009B4B86">
              <w:rPr>
                <w:rFonts w:ascii="Adobe Caslon Pro" w:hAnsi="Adobe Caslon Pro" w:cs="Calibri"/>
                <w:i/>
                <w:color w:val="000000"/>
                <w:sz w:val="20"/>
                <w:szCs w:val="20"/>
                <w:lang w:eastAsia="es-MX"/>
              </w:rPr>
              <w:softHyphen/>
              <w:t>tados que busca alcanzar a través de sus planes institucionales, cuenta con los mecanismos necesarios para definir y establecer los indicadores de desempeño</w:t>
            </w:r>
            <w:r>
              <w:rPr>
                <w:rFonts w:ascii="Adobe Caslon Pro" w:hAnsi="Adobe Caslon Pro" w:cs="Calibri"/>
                <w:i/>
                <w:color w:val="000000"/>
                <w:sz w:val="20"/>
                <w:szCs w:val="20"/>
                <w:lang w:eastAsia="es-MX"/>
              </w:rPr>
              <w:t>.</w:t>
            </w:r>
          </w:p>
          <w:p w:rsidR="007D438C" w:rsidRDefault="007D438C" w:rsidP="00F075EB">
            <w:pPr>
              <w:numPr>
                <w:ilvl w:val="0"/>
                <w:numId w:val="24"/>
              </w:numPr>
              <w:jc w:val="both"/>
              <w:rPr>
                <w:rFonts w:ascii="Adobe Caslon Pro" w:hAnsi="Adobe Caslon Pro" w:cs="Calibri"/>
                <w:i/>
                <w:color w:val="000000"/>
                <w:sz w:val="20"/>
                <w:szCs w:val="20"/>
                <w:lang w:eastAsia="es-MX"/>
              </w:rPr>
            </w:pPr>
            <w:r w:rsidRPr="00146DB5">
              <w:rPr>
                <w:rFonts w:ascii="Adobe Caslon Pro" w:hAnsi="Adobe Caslon Pro" w:cs="Calibri"/>
                <w:i/>
                <w:color w:val="000000"/>
                <w:sz w:val="20"/>
                <w:szCs w:val="20"/>
                <w:lang w:eastAsia="es-MX"/>
              </w:rPr>
              <w:t>En lo referente a la Cobertura y Focalización, se observó que la población objetivo</w:t>
            </w:r>
            <w:r>
              <w:rPr>
                <w:rFonts w:ascii="Adobe Caslon Pro" w:hAnsi="Adobe Caslon Pro" w:cs="Calibri"/>
                <w:i/>
                <w:color w:val="000000"/>
                <w:sz w:val="20"/>
                <w:szCs w:val="20"/>
                <w:lang w:eastAsia="es-MX"/>
              </w:rPr>
              <w:t xml:space="preserve"> del Programa fue atendida y</w:t>
            </w:r>
            <w:r w:rsidRPr="00146DB5">
              <w:rPr>
                <w:rFonts w:ascii="Adobe Caslon Pro" w:hAnsi="Adobe Caslon Pro" w:cs="Calibri"/>
                <w:i/>
                <w:color w:val="000000"/>
                <w:sz w:val="20"/>
                <w:szCs w:val="20"/>
                <w:lang w:eastAsia="es-MX"/>
              </w:rPr>
              <w:t xml:space="preserve"> se cuenta con un padrón de beneficiarios.</w:t>
            </w:r>
          </w:p>
          <w:p w:rsidR="007D438C" w:rsidRDefault="007D438C" w:rsidP="00F075EB">
            <w:pPr>
              <w:numPr>
                <w:ilvl w:val="0"/>
                <w:numId w:val="24"/>
              </w:numPr>
              <w:jc w:val="both"/>
              <w:rPr>
                <w:rFonts w:ascii="Adobe Caslon Pro" w:hAnsi="Adobe Caslon Pro" w:cs="Calibri"/>
                <w:i/>
                <w:color w:val="000000"/>
                <w:sz w:val="20"/>
                <w:szCs w:val="20"/>
                <w:lang w:eastAsia="es-MX"/>
              </w:rPr>
            </w:pPr>
            <w:r w:rsidRPr="00A9681B">
              <w:rPr>
                <w:rFonts w:ascii="Adobe Caslon Pro" w:hAnsi="Adobe Caslon Pro" w:cs="Calibri"/>
                <w:i/>
                <w:color w:val="000000"/>
                <w:sz w:val="20"/>
                <w:szCs w:val="20"/>
                <w:lang w:eastAsia="es-MX"/>
              </w:rPr>
              <w:lastRenderedPageBreak/>
              <w:t>De la Operación del Programa, se muestra que cuenta con procedimientos estandarizados y adecuados para la selección de beneficiarios, así como con los criterios de elegi</w:t>
            </w:r>
            <w:r w:rsidRPr="00A9681B">
              <w:rPr>
                <w:rFonts w:ascii="Adobe Caslon Pro" w:hAnsi="Adobe Caslon Pro" w:cs="Calibri"/>
                <w:i/>
                <w:color w:val="000000"/>
                <w:sz w:val="20"/>
                <w:szCs w:val="20"/>
                <w:lang w:eastAsia="es-MX"/>
              </w:rPr>
              <w:softHyphen/>
              <w:t>bilidad establecidos en la normatividad</w:t>
            </w:r>
            <w:r>
              <w:rPr>
                <w:rFonts w:ascii="Adobe Caslon Pro" w:hAnsi="Adobe Caslon Pro" w:cs="Calibri"/>
                <w:i/>
                <w:color w:val="000000"/>
                <w:sz w:val="20"/>
                <w:szCs w:val="20"/>
                <w:lang w:eastAsia="es-MX"/>
              </w:rPr>
              <w:t xml:space="preserve"> para la selección de los mismos; </w:t>
            </w:r>
            <w:r w:rsidRPr="00214761">
              <w:rPr>
                <w:rFonts w:ascii="Adobe Caslon Pro" w:hAnsi="Adobe Caslon Pro" w:cs="Calibri"/>
                <w:i/>
                <w:color w:val="000000"/>
                <w:sz w:val="20"/>
                <w:szCs w:val="20"/>
                <w:lang w:eastAsia="es-MX"/>
              </w:rPr>
              <w:t>también se cuenta con un sistema de Rendición de Cuentas y Transparencia para los encargados de administrar el Programa para cumplir con los mecanismos de transparencia.</w:t>
            </w:r>
          </w:p>
          <w:p w:rsidR="007D438C" w:rsidRPr="00537B17" w:rsidRDefault="007D438C" w:rsidP="00F075EB">
            <w:pPr>
              <w:numPr>
                <w:ilvl w:val="0"/>
                <w:numId w:val="24"/>
              </w:numPr>
              <w:jc w:val="both"/>
              <w:rPr>
                <w:rFonts w:ascii="Adobe Caslon Pro" w:hAnsi="Adobe Caslon Pro" w:cs="Calibri"/>
                <w:i/>
                <w:color w:val="000000"/>
                <w:sz w:val="20"/>
                <w:szCs w:val="20"/>
                <w:lang w:eastAsia="es-MX"/>
              </w:rPr>
            </w:pPr>
            <w:r w:rsidRPr="00537B17">
              <w:rPr>
                <w:rFonts w:ascii="Adobe Caslon Pro" w:hAnsi="Adobe Caslon Pro" w:cs="Calibri"/>
                <w:i/>
                <w:color w:val="000000"/>
                <w:sz w:val="20"/>
                <w:szCs w:val="20"/>
                <w:lang w:eastAsia="es-MX"/>
              </w:rPr>
              <w:t>En relación a la Percepción de la Población Objetivo no se encontró invidencia de algún mecanismo que permitiera medir el grado de satisfacción de la población, lo cual es necesario implementar para poder saber cuál es el impacto que se está generando.</w:t>
            </w:r>
          </w:p>
          <w:p w:rsidR="007D438C" w:rsidRDefault="007D438C" w:rsidP="00F075EB">
            <w:pPr>
              <w:numPr>
                <w:ilvl w:val="0"/>
                <w:numId w:val="24"/>
              </w:numPr>
              <w:jc w:val="both"/>
              <w:rPr>
                <w:rFonts w:ascii="Adobe Caslon Pro" w:hAnsi="Adobe Caslon Pro" w:cs="Calibri"/>
                <w:i/>
                <w:color w:val="000000"/>
                <w:sz w:val="20"/>
                <w:szCs w:val="20"/>
                <w:lang w:eastAsia="es-MX"/>
              </w:rPr>
            </w:pPr>
            <w:r w:rsidRPr="00537B17">
              <w:rPr>
                <w:rFonts w:ascii="Adobe Caslon Pro" w:hAnsi="Adobe Caslon Pro" w:cs="Calibri"/>
                <w:i/>
                <w:color w:val="000000"/>
                <w:sz w:val="20"/>
                <w:szCs w:val="20"/>
                <w:lang w:eastAsia="es-MX"/>
              </w:rPr>
              <w:t>En la sección de los Resultados se observó que se cuenta con información veraz y oportuna sobre sus indicadores de Propósito y Fin; así mismo se proporciona información respecto al diseño y la operación de la MIR.</w:t>
            </w:r>
          </w:p>
          <w:p w:rsidR="007D438C" w:rsidRPr="009B4B86" w:rsidRDefault="007D438C" w:rsidP="00F075EB">
            <w:pPr>
              <w:numPr>
                <w:ilvl w:val="0"/>
                <w:numId w:val="24"/>
              </w:numPr>
              <w:jc w:val="both"/>
              <w:rPr>
                <w:rFonts w:ascii="Adobe Caslon Pro" w:hAnsi="Adobe Caslon Pro" w:cs="Calibri"/>
                <w:i/>
                <w:color w:val="000000"/>
                <w:sz w:val="20"/>
                <w:szCs w:val="20"/>
                <w:lang w:eastAsia="es-MX"/>
              </w:rPr>
            </w:pPr>
            <w:r w:rsidRPr="00A65E90">
              <w:rPr>
                <w:rFonts w:ascii="Adobe Caslon Pro" w:hAnsi="Adobe Caslon Pro" w:cs="Calibri"/>
                <w:i/>
                <w:color w:val="000000"/>
                <w:sz w:val="20"/>
                <w:szCs w:val="20"/>
                <w:lang w:eastAsia="es-MX"/>
              </w:rPr>
              <w:t>De la Evaluación respecto a la aplicación de los recursos se encontró que los recur</w:t>
            </w:r>
            <w:r w:rsidRPr="00A65E90">
              <w:rPr>
                <w:rFonts w:ascii="Adobe Caslon Pro" w:hAnsi="Adobe Caslon Pro" w:cs="Calibri"/>
                <w:i/>
                <w:color w:val="000000"/>
                <w:sz w:val="20"/>
                <w:szCs w:val="20"/>
                <w:lang w:eastAsia="es-MX"/>
              </w:rPr>
              <w:softHyphen/>
              <w:t>sos ministrados se transfirieron en tiempo y forma a las instancias ejecutoras; que se cuenta con una planeación estratégica y con información que garantiza que la distribución de obras y proyectos, bienes y servicios es consistente con el Objeti</w:t>
            </w:r>
            <w:r w:rsidRPr="00A65E90">
              <w:rPr>
                <w:rFonts w:ascii="Adobe Caslon Pro" w:hAnsi="Adobe Caslon Pro" w:cs="Calibri"/>
                <w:i/>
                <w:color w:val="000000"/>
                <w:sz w:val="20"/>
                <w:szCs w:val="20"/>
                <w:lang w:eastAsia="es-MX"/>
              </w:rPr>
              <w:softHyphen/>
              <w:t>vo del Fondo</w:t>
            </w:r>
            <w:r>
              <w:rPr>
                <w:rFonts w:ascii="Adobe Caslon Pro" w:hAnsi="Adobe Caslon Pro" w:cs="Calibri"/>
                <w:i/>
                <w:color w:val="000000"/>
                <w:sz w:val="20"/>
                <w:szCs w:val="20"/>
                <w:lang w:eastAsia="es-MX"/>
              </w:rPr>
              <w:t>.</w:t>
            </w:r>
          </w:p>
        </w:tc>
      </w:tr>
      <w:tr w:rsidR="007D438C" w:rsidRPr="004F6AC5" w:rsidTr="00A56E05">
        <w:trPr>
          <w:trHeight w:val="525"/>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7D438C" w:rsidRPr="00066E84" w:rsidRDefault="007D438C" w:rsidP="00F075EB">
            <w:pPr>
              <w:numPr>
                <w:ilvl w:val="1"/>
                <w:numId w:val="14"/>
              </w:numPr>
              <w:rPr>
                <w:rFonts w:ascii="Adobe Caslon Pro" w:hAnsi="Adobe Caslon Pro" w:cs="Calibri"/>
                <w:color w:val="000000"/>
                <w:lang w:eastAsia="es-MX"/>
              </w:rPr>
            </w:pPr>
            <w:r>
              <w:rPr>
                <w:rFonts w:ascii="Adobe Caslon Pro" w:hAnsi="Adobe Caslon Pro" w:cs="Calibri"/>
                <w:color w:val="000000"/>
                <w:lang w:eastAsia="es-MX"/>
              </w:rPr>
              <w:lastRenderedPageBreak/>
              <w:t>Describir</w:t>
            </w:r>
            <w:r w:rsidRPr="00066E84">
              <w:rPr>
                <w:rFonts w:ascii="Adobe Caslon Pro" w:hAnsi="Adobe Caslon Pro" w:cs="Calibri"/>
                <w:color w:val="000000"/>
                <w:lang w:eastAsia="es-MX"/>
              </w:rPr>
              <w:t xml:space="preserve"> las recomendaciones de acuerdo a su relevancia:</w:t>
            </w:r>
          </w:p>
        </w:tc>
      </w:tr>
      <w:tr w:rsidR="007D438C" w:rsidRPr="004F6AC5"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DISEÑO</w:t>
            </w:r>
          </w:p>
          <w:p w:rsidR="007D438C" w:rsidRPr="00266E47" w:rsidRDefault="007D438C" w:rsidP="00F075EB">
            <w:pPr>
              <w:numPr>
                <w:ilvl w:val="0"/>
                <w:numId w:val="13"/>
              </w:numPr>
              <w:jc w:val="both"/>
              <w:rPr>
                <w:rFonts w:ascii="Adobe Caslon Pro" w:hAnsi="Adobe Caslon Pro" w:cs="Calibri"/>
                <w:i/>
                <w:color w:val="000000"/>
                <w:sz w:val="20"/>
                <w:szCs w:val="20"/>
                <w:lang w:eastAsia="es-MX"/>
              </w:rPr>
            </w:pPr>
            <w:r w:rsidRPr="00266E47">
              <w:rPr>
                <w:rFonts w:ascii="Adobe Caslon Pro" w:hAnsi="Adobe Caslon Pro" w:cs="Calibri"/>
                <w:i/>
                <w:color w:val="000000"/>
                <w:sz w:val="20"/>
                <w:szCs w:val="20"/>
                <w:lang w:eastAsia="es-MX"/>
              </w:rPr>
              <w:t>Definir claramente las Actividades del programa de acuerdo con la Metodología</w:t>
            </w:r>
            <w:r>
              <w:rPr>
                <w:rFonts w:ascii="Adobe Caslon Pro" w:hAnsi="Adobe Caslon Pro" w:cs="Calibri"/>
                <w:i/>
                <w:color w:val="000000"/>
                <w:sz w:val="20"/>
                <w:szCs w:val="20"/>
                <w:lang w:eastAsia="es-MX"/>
              </w:rPr>
              <w:t xml:space="preserve"> </w:t>
            </w:r>
            <w:r w:rsidRPr="00266E47">
              <w:rPr>
                <w:rFonts w:ascii="Adobe Caslon Pro" w:hAnsi="Adobe Caslon Pro" w:cs="Calibri"/>
                <w:i/>
                <w:color w:val="000000"/>
                <w:sz w:val="20"/>
                <w:szCs w:val="20"/>
                <w:lang w:eastAsia="es-MX"/>
              </w:rPr>
              <w:t>del Marco Lógico.</w:t>
            </w:r>
          </w:p>
          <w:p w:rsidR="007D438C" w:rsidRPr="00266E47" w:rsidRDefault="007D438C" w:rsidP="00F075EB">
            <w:pPr>
              <w:numPr>
                <w:ilvl w:val="0"/>
                <w:numId w:val="13"/>
              </w:numPr>
              <w:jc w:val="both"/>
              <w:rPr>
                <w:rFonts w:ascii="Adobe Caslon Pro" w:hAnsi="Adobe Caslon Pro" w:cs="Calibri"/>
                <w:i/>
                <w:color w:val="000000"/>
                <w:sz w:val="20"/>
                <w:szCs w:val="20"/>
                <w:lang w:eastAsia="es-MX"/>
              </w:rPr>
            </w:pPr>
            <w:r w:rsidRPr="00266E47">
              <w:rPr>
                <w:rFonts w:ascii="Adobe Caslon Pro" w:hAnsi="Adobe Caslon Pro" w:cs="Calibri"/>
                <w:i/>
                <w:color w:val="000000"/>
                <w:sz w:val="20"/>
                <w:szCs w:val="20"/>
                <w:lang w:eastAsia="es-MX"/>
              </w:rPr>
              <w:t>Definir los Componentes que faltan en la MIR.</w:t>
            </w:r>
          </w:p>
          <w:p w:rsidR="007D438C" w:rsidRPr="00266E47" w:rsidRDefault="007D438C" w:rsidP="00F075EB">
            <w:pPr>
              <w:numPr>
                <w:ilvl w:val="0"/>
                <w:numId w:val="13"/>
              </w:numPr>
              <w:jc w:val="both"/>
              <w:rPr>
                <w:rFonts w:ascii="Adobe Caslon Pro" w:hAnsi="Adobe Caslon Pro" w:cs="Calibri"/>
                <w:i/>
                <w:color w:val="000000"/>
                <w:sz w:val="20"/>
                <w:szCs w:val="20"/>
                <w:lang w:eastAsia="es-MX"/>
              </w:rPr>
            </w:pPr>
            <w:r w:rsidRPr="00266E47">
              <w:rPr>
                <w:rFonts w:ascii="Adobe Caslon Pro" w:hAnsi="Adobe Caslon Pro" w:cs="Calibri"/>
                <w:i/>
                <w:color w:val="000000"/>
                <w:sz w:val="20"/>
                <w:szCs w:val="20"/>
                <w:lang w:eastAsia="es-MX"/>
              </w:rPr>
              <w:t>Revisar el Propósito y redactarlo correctamente para que contribuya al</w:t>
            </w:r>
            <w:r>
              <w:rPr>
                <w:rFonts w:ascii="Adobe Caslon Pro" w:hAnsi="Adobe Caslon Pro" w:cs="Calibri"/>
                <w:i/>
                <w:color w:val="000000"/>
                <w:sz w:val="20"/>
                <w:szCs w:val="20"/>
                <w:lang w:eastAsia="es-MX"/>
              </w:rPr>
              <w:t xml:space="preserve"> </w:t>
            </w:r>
            <w:r w:rsidRPr="00266E47">
              <w:rPr>
                <w:rFonts w:ascii="Adobe Caslon Pro" w:hAnsi="Adobe Caslon Pro" w:cs="Calibri"/>
                <w:i/>
                <w:color w:val="000000"/>
                <w:sz w:val="20"/>
                <w:szCs w:val="20"/>
                <w:lang w:eastAsia="es-MX"/>
              </w:rPr>
              <w:t>logro del Fin.</w:t>
            </w:r>
          </w:p>
          <w:p w:rsidR="007D438C" w:rsidRPr="00266E47" w:rsidRDefault="007D438C" w:rsidP="00F075EB">
            <w:pPr>
              <w:numPr>
                <w:ilvl w:val="0"/>
                <w:numId w:val="13"/>
              </w:numPr>
              <w:jc w:val="both"/>
              <w:rPr>
                <w:rFonts w:ascii="Adobe Caslon Pro" w:hAnsi="Adobe Caslon Pro" w:cs="Calibri"/>
                <w:i/>
                <w:color w:val="000000"/>
                <w:sz w:val="20"/>
                <w:szCs w:val="20"/>
                <w:lang w:eastAsia="es-MX"/>
              </w:rPr>
            </w:pPr>
            <w:r w:rsidRPr="00266E47">
              <w:rPr>
                <w:rFonts w:ascii="Adobe Caslon Pro" w:hAnsi="Adobe Caslon Pro" w:cs="Calibri"/>
                <w:i/>
                <w:color w:val="000000"/>
                <w:sz w:val="20"/>
                <w:szCs w:val="20"/>
                <w:lang w:eastAsia="es-MX"/>
              </w:rPr>
              <w:t>Corregir los puntos antes mencionados para realizar la lógica interna del</w:t>
            </w:r>
            <w:r>
              <w:rPr>
                <w:rFonts w:ascii="Adobe Caslon Pro" w:hAnsi="Adobe Caslon Pro" w:cs="Calibri"/>
                <w:i/>
                <w:color w:val="000000"/>
                <w:sz w:val="20"/>
                <w:szCs w:val="20"/>
                <w:lang w:eastAsia="es-MX"/>
              </w:rPr>
              <w:t xml:space="preserve"> </w:t>
            </w:r>
            <w:r w:rsidRPr="00266E47">
              <w:rPr>
                <w:rFonts w:ascii="Adobe Caslon Pro" w:hAnsi="Adobe Caslon Pro" w:cs="Calibri"/>
                <w:i/>
                <w:color w:val="000000"/>
                <w:sz w:val="20"/>
                <w:szCs w:val="20"/>
                <w:lang w:eastAsia="es-MX"/>
              </w:rPr>
              <w:t>Programa.</w:t>
            </w:r>
          </w:p>
          <w:p w:rsidR="007D438C" w:rsidRPr="00266E47" w:rsidRDefault="007D438C" w:rsidP="00F075EB">
            <w:pPr>
              <w:numPr>
                <w:ilvl w:val="0"/>
                <w:numId w:val="13"/>
              </w:numPr>
              <w:jc w:val="both"/>
              <w:rPr>
                <w:rFonts w:ascii="Adobe Caslon Pro" w:hAnsi="Adobe Caslon Pro" w:cs="Calibri"/>
                <w:i/>
                <w:color w:val="000000"/>
                <w:sz w:val="20"/>
                <w:szCs w:val="20"/>
                <w:lang w:eastAsia="es-MX"/>
              </w:rPr>
            </w:pPr>
            <w:r w:rsidRPr="00266E47">
              <w:rPr>
                <w:rFonts w:ascii="Adobe Caslon Pro" w:hAnsi="Adobe Caslon Pro" w:cs="Calibri"/>
                <w:i/>
                <w:color w:val="000000"/>
                <w:sz w:val="20"/>
                <w:szCs w:val="20"/>
                <w:lang w:eastAsia="es-MX"/>
              </w:rPr>
              <w:t>Establecer la línea base de los indicadores como se indica en la metodología.</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266E47">
              <w:rPr>
                <w:rFonts w:ascii="Adobe Caslon Pro" w:hAnsi="Adobe Caslon Pro" w:cs="Calibri"/>
                <w:i/>
                <w:color w:val="000000"/>
                <w:sz w:val="20"/>
                <w:szCs w:val="20"/>
                <w:lang w:eastAsia="es-MX"/>
              </w:rPr>
              <w:t>Revisar la redacción de los Supuestos del Programa para validar la lógica</w:t>
            </w:r>
            <w:r>
              <w:rPr>
                <w:rFonts w:ascii="Adobe Caslon Pro" w:hAnsi="Adobe Caslon Pro" w:cs="Calibri"/>
                <w:i/>
                <w:color w:val="000000"/>
                <w:sz w:val="20"/>
                <w:szCs w:val="20"/>
                <w:lang w:eastAsia="es-MX"/>
              </w:rPr>
              <w:t xml:space="preserve"> </w:t>
            </w:r>
            <w:r w:rsidRPr="00266E47">
              <w:rPr>
                <w:rFonts w:ascii="Adobe Caslon Pro" w:hAnsi="Adobe Caslon Pro" w:cs="Calibri"/>
                <w:i/>
                <w:color w:val="000000"/>
                <w:sz w:val="20"/>
                <w:szCs w:val="20"/>
                <w:lang w:eastAsia="es-MX"/>
              </w:rPr>
              <w:t>horizontal.</w:t>
            </w:r>
          </w:p>
          <w:p w:rsidR="007D438C"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Pr="00050A00" w:rsidRDefault="007D438C" w:rsidP="00F075EB">
            <w:pPr>
              <w:numPr>
                <w:ilvl w:val="0"/>
                <w:numId w:val="25"/>
              </w:numPr>
              <w:autoSpaceDE w:val="0"/>
              <w:autoSpaceDN w:val="0"/>
              <w:adjustRightInd w:val="0"/>
              <w:rPr>
                <w:rFonts w:ascii="Adobe Caslon Pro" w:hAnsi="Adobe Caslon Pro" w:cs="Calibri"/>
                <w:i/>
                <w:color w:val="000000"/>
                <w:sz w:val="20"/>
                <w:szCs w:val="20"/>
                <w:lang w:eastAsia="es-MX"/>
              </w:rPr>
            </w:pPr>
            <w:r w:rsidRPr="00050A00">
              <w:rPr>
                <w:rFonts w:ascii="Adobe Caslon Pro" w:hAnsi="Adobe Caslon Pro" w:cs="Calibri"/>
                <w:i/>
                <w:color w:val="000000"/>
                <w:sz w:val="20"/>
                <w:szCs w:val="20"/>
                <w:lang w:eastAsia="es-MX"/>
              </w:rPr>
              <w:t xml:space="preserve">Se recomienda establecer la línea base para cada uno de los indicadores en la MIR federal. </w:t>
            </w:r>
          </w:p>
          <w:p w:rsidR="007D438C"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7D438C" w:rsidRPr="00B92858" w:rsidRDefault="007D438C" w:rsidP="00F075EB">
            <w:pPr>
              <w:numPr>
                <w:ilvl w:val="0"/>
                <w:numId w:val="23"/>
              </w:numPr>
              <w:jc w:val="both"/>
              <w:rPr>
                <w:rFonts w:ascii="Adobe Caslon Pro" w:hAnsi="Adobe Caslon Pro" w:cs="Calibri"/>
                <w:i/>
                <w:color w:val="000000"/>
                <w:sz w:val="20"/>
                <w:szCs w:val="20"/>
                <w:lang w:eastAsia="es-MX"/>
              </w:rPr>
            </w:pPr>
            <w:r w:rsidRPr="00B92858">
              <w:rPr>
                <w:rFonts w:ascii="Adobe Caslon Pro" w:hAnsi="Adobe Caslon Pro" w:cs="Calibri"/>
                <w:i/>
                <w:color w:val="000000"/>
                <w:sz w:val="20"/>
                <w:szCs w:val="20"/>
                <w:lang w:eastAsia="es-MX"/>
              </w:rPr>
              <w:t xml:space="preserve">El Programa no cuenta con algún método para cuantificar y determinar la población potencial y objetivo, pero cuentan con criterios de elegibilidad muy específicos a través de los cuales se determina la población. </w:t>
            </w:r>
          </w:p>
          <w:p w:rsidR="007D438C" w:rsidRPr="00266E47"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7D438C" w:rsidRPr="00C21675" w:rsidRDefault="007D438C" w:rsidP="00F075EB">
            <w:pPr>
              <w:numPr>
                <w:ilvl w:val="0"/>
                <w:numId w:val="23"/>
              </w:numPr>
              <w:jc w:val="both"/>
              <w:rPr>
                <w:rFonts w:ascii="Adobe Caslon Pro" w:hAnsi="Adobe Caslon Pro" w:cs="Calibri"/>
                <w:i/>
                <w:color w:val="000000"/>
                <w:sz w:val="20"/>
                <w:szCs w:val="20"/>
                <w:lang w:eastAsia="es-MX"/>
              </w:rPr>
            </w:pPr>
            <w:r w:rsidRPr="00C21675">
              <w:rPr>
                <w:rFonts w:ascii="Adobe Caslon Pro" w:hAnsi="Adobe Caslon Pro" w:cs="Calibri"/>
                <w:i/>
                <w:color w:val="000000"/>
                <w:sz w:val="20"/>
                <w:szCs w:val="20"/>
                <w:lang w:eastAsia="es-MX"/>
              </w:rPr>
              <w:t>Se recomienda transparentar el avance financiero del Programa así como</w:t>
            </w:r>
            <w:r>
              <w:rPr>
                <w:rFonts w:ascii="Adobe Caslon Pro" w:hAnsi="Adobe Caslon Pro" w:cs="Calibri"/>
                <w:i/>
                <w:color w:val="000000"/>
                <w:sz w:val="20"/>
                <w:szCs w:val="20"/>
                <w:lang w:eastAsia="es-MX"/>
              </w:rPr>
              <w:t xml:space="preserve"> </w:t>
            </w:r>
            <w:r w:rsidRPr="00C21675">
              <w:rPr>
                <w:rFonts w:ascii="Adobe Caslon Pro" w:hAnsi="Adobe Caslon Pro" w:cs="Calibri"/>
                <w:i/>
                <w:color w:val="000000"/>
                <w:sz w:val="20"/>
                <w:szCs w:val="20"/>
                <w:lang w:eastAsia="es-MX"/>
              </w:rPr>
              <w:t>información oportuna y confiable sobre las prácticas de administración</w:t>
            </w:r>
            <w:r>
              <w:rPr>
                <w:rFonts w:ascii="Adobe Caslon Pro" w:hAnsi="Adobe Caslon Pro" w:cs="Calibri"/>
                <w:i/>
                <w:color w:val="000000"/>
                <w:sz w:val="20"/>
                <w:szCs w:val="20"/>
                <w:lang w:eastAsia="es-MX"/>
              </w:rPr>
              <w:t xml:space="preserve"> </w:t>
            </w:r>
            <w:r w:rsidRPr="00C21675">
              <w:rPr>
                <w:rFonts w:ascii="Adobe Caslon Pro" w:hAnsi="Adobe Caslon Pro" w:cs="Calibri"/>
                <w:i/>
                <w:color w:val="000000"/>
                <w:sz w:val="20"/>
                <w:szCs w:val="20"/>
                <w:lang w:eastAsia="es-MX"/>
              </w:rPr>
              <w:t>financiera.</w:t>
            </w:r>
          </w:p>
          <w:p w:rsidR="007D438C" w:rsidRPr="00C21675" w:rsidRDefault="007D438C" w:rsidP="00F075EB">
            <w:pPr>
              <w:numPr>
                <w:ilvl w:val="0"/>
                <w:numId w:val="23"/>
              </w:numPr>
              <w:jc w:val="both"/>
              <w:rPr>
                <w:rFonts w:ascii="Adobe Caslon Pro" w:hAnsi="Adobe Caslon Pro" w:cs="Calibri"/>
                <w:i/>
                <w:color w:val="000000"/>
                <w:sz w:val="20"/>
                <w:szCs w:val="20"/>
                <w:lang w:eastAsia="es-MX"/>
              </w:rPr>
            </w:pPr>
            <w:r w:rsidRPr="00C21675">
              <w:rPr>
                <w:rFonts w:ascii="Adobe Caslon Pro" w:hAnsi="Adobe Caslon Pro" w:cs="Calibri"/>
                <w:i/>
                <w:color w:val="000000"/>
                <w:sz w:val="20"/>
                <w:szCs w:val="20"/>
                <w:lang w:eastAsia="es-MX"/>
              </w:rPr>
              <w:t>Se recomienda revisar los indicadores de los Componentes para que contribuyan</w:t>
            </w:r>
            <w:r>
              <w:rPr>
                <w:rFonts w:ascii="Adobe Caslon Pro" w:hAnsi="Adobe Caslon Pro" w:cs="Calibri"/>
                <w:i/>
                <w:color w:val="000000"/>
                <w:sz w:val="20"/>
                <w:szCs w:val="20"/>
                <w:lang w:eastAsia="es-MX"/>
              </w:rPr>
              <w:t xml:space="preserve"> </w:t>
            </w:r>
            <w:r w:rsidRPr="00C21675">
              <w:rPr>
                <w:rFonts w:ascii="Adobe Caslon Pro" w:hAnsi="Adobe Caslon Pro" w:cs="Calibri"/>
                <w:i/>
                <w:color w:val="000000"/>
                <w:sz w:val="20"/>
                <w:szCs w:val="20"/>
                <w:lang w:eastAsia="es-MX"/>
              </w:rPr>
              <w:t>al logro del Propósito.</w:t>
            </w:r>
          </w:p>
          <w:p w:rsidR="007D438C" w:rsidRPr="00C21675" w:rsidRDefault="007D438C" w:rsidP="00F075EB">
            <w:pPr>
              <w:numPr>
                <w:ilvl w:val="0"/>
                <w:numId w:val="23"/>
              </w:numPr>
              <w:jc w:val="both"/>
              <w:rPr>
                <w:rFonts w:ascii="Adobe Caslon Pro" w:hAnsi="Adobe Caslon Pro" w:cs="Calibri"/>
                <w:i/>
                <w:color w:val="000000"/>
                <w:sz w:val="20"/>
                <w:szCs w:val="20"/>
                <w:lang w:eastAsia="es-MX"/>
              </w:rPr>
            </w:pPr>
            <w:r w:rsidRPr="00C21675">
              <w:rPr>
                <w:rFonts w:ascii="Adobe Caslon Pro" w:hAnsi="Adobe Caslon Pro" w:cs="Calibri"/>
                <w:i/>
                <w:color w:val="000000"/>
                <w:sz w:val="20"/>
                <w:szCs w:val="20"/>
                <w:lang w:eastAsia="es-MX"/>
              </w:rPr>
              <w:t>Se recomienda identificar Componentes que ser más eficaces.</w:t>
            </w:r>
          </w:p>
          <w:p w:rsidR="007D438C" w:rsidRPr="00C21675" w:rsidRDefault="007D438C" w:rsidP="00F075EB">
            <w:pPr>
              <w:numPr>
                <w:ilvl w:val="0"/>
                <w:numId w:val="23"/>
              </w:numPr>
              <w:jc w:val="both"/>
              <w:rPr>
                <w:rFonts w:ascii="Adobe Caslon Pro" w:hAnsi="Adobe Caslon Pro" w:cs="Calibri"/>
                <w:i/>
                <w:color w:val="000000"/>
                <w:sz w:val="20"/>
                <w:szCs w:val="20"/>
                <w:lang w:eastAsia="es-MX"/>
              </w:rPr>
            </w:pPr>
            <w:r w:rsidRPr="00C21675">
              <w:rPr>
                <w:rFonts w:ascii="Adobe Caslon Pro" w:hAnsi="Adobe Caslon Pro" w:cs="Calibri"/>
                <w:i/>
                <w:color w:val="000000"/>
                <w:sz w:val="20"/>
                <w:szCs w:val="20"/>
                <w:lang w:eastAsia="es-MX"/>
              </w:rPr>
              <w:t>Se recomienda identificar y cuantificar los costos de operación y los costos</w:t>
            </w:r>
            <w:r>
              <w:rPr>
                <w:rFonts w:ascii="Adobe Caslon Pro" w:hAnsi="Adobe Caslon Pro" w:cs="Calibri"/>
                <w:i/>
                <w:color w:val="000000"/>
                <w:sz w:val="20"/>
                <w:szCs w:val="20"/>
                <w:lang w:eastAsia="es-MX"/>
              </w:rPr>
              <w:t xml:space="preserve"> </w:t>
            </w:r>
            <w:r w:rsidRPr="00C21675">
              <w:rPr>
                <w:rFonts w:ascii="Adobe Caslon Pro" w:hAnsi="Adobe Caslon Pro" w:cs="Calibri"/>
                <w:i/>
                <w:color w:val="000000"/>
                <w:sz w:val="20"/>
                <w:szCs w:val="20"/>
                <w:lang w:eastAsia="es-MX"/>
              </w:rPr>
              <w:t>unitarios.</w:t>
            </w:r>
          </w:p>
          <w:p w:rsidR="007D438C" w:rsidRDefault="007D438C" w:rsidP="00F075EB">
            <w:pPr>
              <w:numPr>
                <w:ilvl w:val="0"/>
                <w:numId w:val="23"/>
              </w:numPr>
              <w:jc w:val="both"/>
              <w:rPr>
                <w:rFonts w:ascii="Adobe Caslon Pro" w:hAnsi="Adobe Caslon Pro" w:cs="Calibri"/>
                <w:i/>
                <w:color w:val="000000"/>
                <w:sz w:val="20"/>
                <w:szCs w:val="20"/>
                <w:lang w:eastAsia="es-MX"/>
              </w:rPr>
            </w:pPr>
            <w:r w:rsidRPr="00C21675">
              <w:rPr>
                <w:rFonts w:ascii="Adobe Caslon Pro" w:hAnsi="Adobe Caslon Pro" w:cs="Calibri"/>
                <w:i/>
                <w:color w:val="000000"/>
                <w:sz w:val="20"/>
                <w:szCs w:val="20"/>
                <w:lang w:eastAsia="es-MX"/>
              </w:rPr>
              <w:t>Se recomienda establecer algún tipo de procedimiento para medir el costo</w:t>
            </w:r>
            <w:r>
              <w:rPr>
                <w:rFonts w:ascii="Adobe Caslon Pro" w:hAnsi="Adobe Caslon Pro" w:cs="Calibri"/>
                <w:i/>
                <w:color w:val="000000"/>
                <w:sz w:val="20"/>
                <w:szCs w:val="20"/>
                <w:lang w:eastAsia="es-MX"/>
              </w:rPr>
              <w:t xml:space="preserve"> </w:t>
            </w:r>
            <w:r w:rsidRPr="00C21675">
              <w:rPr>
                <w:rFonts w:ascii="Adobe Caslon Pro" w:hAnsi="Adobe Caslon Pro" w:cs="Calibri"/>
                <w:i/>
                <w:color w:val="000000"/>
                <w:sz w:val="20"/>
                <w:szCs w:val="20"/>
                <w:lang w:eastAsia="es-MX"/>
              </w:rPr>
              <w:t>– efectividad del Programa.</w:t>
            </w:r>
          </w:p>
          <w:p w:rsidR="007D438C" w:rsidRPr="00C21675" w:rsidRDefault="007D438C" w:rsidP="00A56E05">
            <w:pPr>
              <w:ind w:left="720"/>
              <w:jc w:val="both"/>
              <w:rPr>
                <w:rFonts w:ascii="Adobe Caslon Pro" w:hAnsi="Adobe Caslon Pro" w:cs="Calibri"/>
                <w:i/>
                <w:color w:val="000000"/>
                <w:sz w:val="20"/>
                <w:szCs w:val="20"/>
                <w:lang w:eastAsia="es-MX"/>
              </w:rPr>
            </w:pPr>
          </w:p>
          <w:p w:rsidR="007D438C" w:rsidRPr="00755905" w:rsidRDefault="007D438C" w:rsidP="00A56E05">
            <w:pPr>
              <w:jc w:val="both"/>
              <w:rPr>
                <w:rFonts w:ascii="Adobe Caslon Pro" w:hAnsi="Adobe Caslon Pro" w:cs="Calibri"/>
                <w:color w:val="000000"/>
                <w:sz w:val="20"/>
                <w:szCs w:val="20"/>
                <w:lang w:eastAsia="es-MX"/>
              </w:rPr>
            </w:pPr>
            <w:r w:rsidRPr="00755905">
              <w:rPr>
                <w:rFonts w:ascii="Adobe Caslon Pro" w:hAnsi="Adobe Caslon Pro" w:cs="Calibri"/>
                <w:color w:val="000000"/>
                <w:sz w:val="20"/>
                <w:szCs w:val="20"/>
                <w:lang w:eastAsia="es-MX"/>
              </w:rPr>
              <w:t>PERCEPCIÓN DE LA POBLACIÓN OBJETIVO</w:t>
            </w:r>
          </w:p>
          <w:p w:rsidR="007D438C" w:rsidRPr="006B2EAA" w:rsidRDefault="007D438C" w:rsidP="00F075EB">
            <w:pPr>
              <w:numPr>
                <w:ilvl w:val="0"/>
                <w:numId w:val="23"/>
              </w:numPr>
              <w:jc w:val="both"/>
              <w:rPr>
                <w:rFonts w:ascii="Adobe Caslon Pro" w:hAnsi="Adobe Caslon Pro" w:cs="Calibri"/>
                <w:i/>
                <w:color w:val="000000"/>
                <w:sz w:val="20"/>
                <w:szCs w:val="20"/>
                <w:lang w:eastAsia="es-MX"/>
              </w:rPr>
            </w:pPr>
            <w:r w:rsidRPr="006B2EAA">
              <w:rPr>
                <w:rFonts w:ascii="Adobe Caslon Pro" w:hAnsi="Adobe Caslon Pro" w:cs="Calibri"/>
                <w:i/>
                <w:color w:val="000000"/>
                <w:sz w:val="20"/>
                <w:szCs w:val="20"/>
                <w:lang w:eastAsia="es-MX"/>
              </w:rPr>
              <w:t>Se recomienda implementar algún mecanismo o metodología para medir</w:t>
            </w:r>
            <w:r>
              <w:rPr>
                <w:rFonts w:ascii="Adobe Caslon Pro" w:hAnsi="Adobe Caslon Pro" w:cs="Calibri"/>
                <w:i/>
                <w:color w:val="000000"/>
                <w:sz w:val="20"/>
                <w:szCs w:val="20"/>
                <w:lang w:eastAsia="es-MX"/>
              </w:rPr>
              <w:t xml:space="preserve"> </w:t>
            </w:r>
            <w:r w:rsidRPr="006B2EAA">
              <w:rPr>
                <w:rFonts w:ascii="Adobe Caslon Pro" w:hAnsi="Adobe Caslon Pro" w:cs="Calibri"/>
                <w:i/>
                <w:color w:val="000000"/>
                <w:sz w:val="20"/>
                <w:szCs w:val="20"/>
                <w:lang w:eastAsia="es-MX"/>
              </w:rPr>
              <w:t>el grado de satisfacción de la población.</w:t>
            </w:r>
          </w:p>
          <w:p w:rsidR="007D438C" w:rsidRPr="00755905"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7D438C" w:rsidRPr="008F0B11" w:rsidRDefault="007D438C" w:rsidP="00F075EB">
            <w:pPr>
              <w:numPr>
                <w:ilvl w:val="0"/>
                <w:numId w:val="23"/>
              </w:numPr>
              <w:jc w:val="both"/>
              <w:rPr>
                <w:rFonts w:ascii="Adobe Caslon Pro" w:hAnsi="Adobe Caslon Pro" w:cs="Calibri"/>
                <w:i/>
                <w:color w:val="000000"/>
                <w:sz w:val="20"/>
                <w:szCs w:val="20"/>
                <w:lang w:eastAsia="es-MX"/>
              </w:rPr>
            </w:pPr>
            <w:r w:rsidRPr="008F0B11">
              <w:rPr>
                <w:rFonts w:ascii="Adobe Caslon Pro" w:hAnsi="Adobe Caslon Pro" w:cs="Calibri"/>
                <w:i/>
                <w:color w:val="000000"/>
                <w:sz w:val="20"/>
                <w:szCs w:val="20"/>
                <w:lang w:eastAsia="es-MX"/>
              </w:rPr>
              <w:t>Se recomienda realizar algún tipo de evaluación externa que permita medir</w:t>
            </w:r>
            <w:r>
              <w:rPr>
                <w:rFonts w:ascii="Adobe Caslon Pro" w:hAnsi="Adobe Caslon Pro" w:cs="Calibri"/>
                <w:i/>
                <w:color w:val="000000"/>
                <w:sz w:val="20"/>
                <w:szCs w:val="20"/>
                <w:lang w:eastAsia="es-MX"/>
              </w:rPr>
              <w:t xml:space="preserve"> </w:t>
            </w:r>
            <w:r w:rsidRPr="008F0B11">
              <w:rPr>
                <w:rFonts w:ascii="Adobe Caslon Pro" w:hAnsi="Adobe Caslon Pro" w:cs="Calibri"/>
                <w:i/>
                <w:color w:val="000000"/>
                <w:sz w:val="20"/>
                <w:szCs w:val="20"/>
                <w:lang w:eastAsia="es-MX"/>
              </w:rPr>
              <w:t>cuál ha sido el impacto en la población objetivo.</w:t>
            </w:r>
          </w:p>
          <w:p w:rsidR="007D438C" w:rsidRPr="00755905" w:rsidRDefault="007D438C" w:rsidP="00CC3D62">
            <w:pPr>
              <w:numPr>
                <w:ilvl w:val="0"/>
                <w:numId w:val="23"/>
              </w:numPr>
              <w:jc w:val="both"/>
              <w:rPr>
                <w:rFonts w:ascii="Adobe Caslon Pro" w:hAnsi="Adobe Caslon Pro" w:cs="Calibri"/>
                <w:i/>
                <w:color w:val="000000"/>
                <w:sz w:val="20"/>
                <w:szCs w:val="20"/>
                <w:lang w:eastAsia="es-MX"/>
              </w:rPr>
            </w:pPr>
            <w:r w:rsidRPr="008F0B11">
              <w:rPr>
                <w:rFonts w:ascii="Adobe Caslon Pro" w:hAnsi="Adobe Caslon Pro" w:cs="Calibri"/>
                <w:i/>
                <w:color w:val="000000"/>
                <w:sz w:val="20"/>
                <w:szCs w:val="20"/>
                <w:lang w:eastAsia="es-MX"/>
              </w:rPr>
              <w:t>Se recomienda demostrar información</w:t>
            </w:r>
            <w:r>
              <w:rPr>
                <w:rFonts w:ascii="Adobe Caslon Pro" w:hAnsi="Adobe Caslon Pro" w:cs="Calibri"/>
                <w:i/>
                <w:color w:val="000000"/>
                <w:sz w:val="20"/>
                <w:szCs w:val="20"/>
                <w:lang w:eastAsia="es-MX"/>
              </w:rPr>
              <w:t xml:space="preserve"> sobre el progreso alcanzado del </w:t>
            </w:r>
            <w:r w:rsidRPr="008F0B11">
              <w:rPr>
                <w:rFonts w:ascii="Adobe Caslon Pro" w:hAnsi="Adobe Caslon Pro" w:cs="Calibri"/>
                <w:i/>
                <w:color w:val="000000"/>
                <w:sz w:val="20"/>
                <w:szCs w:val="20"/>
                <w:lang w:eastAsia="es-MX"/>
              </w:rPr>
              <w:t>Propósito y Fin del Programa.</w:t>
            </w:r>
          </w:p>
        </w:tc>
      </w:tr>
      <w:tr w:rsidR="007D438C" w:rsidRPr="004F6AC5" w:rsidTr="00A56E05">
        <w:trPr>
          <w:trHeight w:val="105"/>
          <w:jc w:val="center"/>
        </w:trPr>
        <w:tc>
          <w:tcPr>
            <w:tcW w:w="579"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37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4.1 Nombre del coordinador de la evaluación</w:t>
            </w:r>
            <w:r>
              <w:rPr>
                <w:rFonts w:ascii="Adobe Caslon Pro" w:hAnsi="Adobe Caslon Pro" w:cs="Calibri"/>
                <w:color w:val="000000"/>
                <w:lang w:eastAsia="es-MX"/>
              </w:rPr>
              <w:t>:</w:t>
            </w:r>
          </w:p>
          <w:p w:rsidR="007D438C" w:rsidRPr="005C31CA"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Dra. Luz Elvia Rascón </w:t>
            </w:r>
            <w:proofErr w:type="spellStart"/>
            <w:r>
              <w:rPr>
                <w:rFonts w:ascii="Adobe Caslon Pro" w:hAnsi="Adobe Caslon Pro" w:cs="Calibri"/>
                <w:i/>
                <w:color w:val="000000"/>
                <w:sz w:val="20"/>
                <w:lang w:eastAsia="es-MX"/>
              </w:rPr>
              <w:t>Manquero</w:t>
            </w:r>
            <w:proofErr w:type="spellEnd"/>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4.2 Cargo</w:t>
            </w:r>
            <w:r>
              <w:rPr>
                <w:rFonts w:ascii="Adobe Caslon Pro" w:hAnsi="Adobe Caslon Pro" w:cs="Calibri"/>
                <w:color w:val="000000"/>
                <w:lang w:eastAsia="es-MX"/>
              </w:rPr>
              <w:t>:</w:t>
            </w:r>
          </w:p>
          <w:p w:rsidR="007D438C" w:rsidRPr="005C31CA"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Directora del Sistema Integral de Información</w:t>
            </w:r>
            <w:r>
              <w:t xml:space="preserve"> </w:t>
            </w:r>
            <w:r w:rsidRPr="00C2589E">
              <w:rPr>
                <w:rFonts w:ascii="Adobe Caslon Pro" w:hAnsi="Adobe Caslon Pro" w:cs="Calibri"/>
                <w:i/>
                <w:color w:val="000000"/>
                <w:sz w:val="20"/>
                <w:lang w:eastAsia="es-MX"/>
              </w:rPr>
              <w:t xml:space="preserve">y Líder del proyecto de </w:t>
            </w:r>
            <w:proofErr w:type="spellStart"/>
            <w:r w:rsidRPr="00C2589E">
              <w:rPr>
                <w:rFonts w:ascii="Adobe Caslon Pro" w:hAnsi="Adobe Caslon Pro" w:cs="Calibri"/>
                <w:i/>
                <w:color w:val="000000"/>
                <w:sz w:val="20"/>
                <w:lang w:eastAsia="es-MX"/>
              </w:rPr>
              <w:t>PbR</w:t>
            </w:r>
            <w:proofErr w:type="spellEnd"/>
            <w:r w:rsidRPr="00C2589E">
              <w:rPr>
                <w:rFonts w:ascii="Adobe Caslon Pro" w:hAnsi="Adobe Caslon Pro" w:cs="Calibri"/>
                <w:i/>
                <w:color w:val="000000"/>
                <w:sz w:val="20"/>
                <w:lang w:eastAsia="es-MX"/>
              </w:rPr>
              <w:t xml:space="preserve"> y Evaluación</w:t>
            </w:r>
            <w:r>
              <w:rPr>
                <w:rFonts w:ascii="Adobe Caslon Pro" w:hAnsi="Adobe Caslon Pro" w:cs="Calibri"/>
                <w:i/>
                <w:color w:val="000000"/>
                <w:sz w:val="20"/>
                <w:lang w:eastAsia="es-MX"/>
              </w:rPr>
              <w:t xml:space="preserve"> </w:t>
            </w:r>
            <w:r w:rsidRPr="00C2589E">
              <w:rPr>
                <w:rFonts w:ascii="Adobe Caslon Pro" w:hAnsi="Adobe Caslon Pro" w:cs="Calibri"/>
                <w:i/>
                <w:color w:val="000000"/>
                <w:sz w:val="20"/>
                <w:lang w:eastAsia="es-MX"/>
              </w:rPr>
              <w:t>del Desempeño.</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4.3 Institución a la que pertenece</w:t>
            </w:r>
            <w:r>
              <w:rPr>
                <w:rFonts w:ascii="Adobe Caslon Pro" w:hAnsi="Adobe Caslon Pro" w:cs="Calibri"/>
                <w:color w:val="000000"/>
                <w:lang w:eastAsia="es-MX"/>
              </w:rPr>
              <w:t>:</w:t>
            </w:r>
            <w:r w:rsidRPr="00066E84">
              <w:rPr>
                <w:rFonts w:ascii="Adobe Caslon Pro" w:hAnsi="Adobe Caslon Pro" w:cs="Calibri"/>
                <w:color w:val="000000"/>
                <w:lang w:eastAsia="es-MX"/>
              </w:rPr>
              <w:t xml:space="preserve">  </w:t>
            </w:r>
          </w:p>
          <w:p w:rsidR="007D438C" w:rsidRPr="00DF7C94" w:rsidRDefault="007D438C" w:rsidP="00A56E05">
            <w:pPr>
              <w:rPr>
                <w:rFonts w:ascii="Adobe Caslon Pro" w:hAnsi="Adobe Caslon Pro" w:cs="Calibri"/>
                <w:i/>
                <w:color w:val="000000"/>
                <w:lang w:eastAsia="es-MX"/>
              </w:rPr>
            </w:pPr>
            <w:r w:rsidRPr="00DF7C94">
              <w:rPr>
                <w:rFonts w:ascii="Adobe Caslon Pro" w:hAnsi="Adobe Caslon Pro" w:cs="Calibri"/>
                <w:i/>
                <w:color w:val="000000"/>
                <w:sz w:val="20"/>
                <w:lang w:eastAsia="es-MX"/>
              </w:rPr>
              <w:t>Instituto para el Desarrollo Técnico de las Haciendas Públicas (INDETEC)</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4.4 Principales colaboradores</w:t>
            </w:r>
            <w:r>
              <w:rPr>
                <w:rFonts w:ascii="Adobe Caslon Pro" w:hAnsi="Adobe Caslon Pro" w:cs="Calibri"/>
                <w:color w:val="000000"/>
                <w:lang w:eastAsia="es-MX"/>
              </w:rPr>
              <w:t>:</w:t>
            </w:r>
          </w:p>
          <w:p w:rsidR="007D438C" w:rsidRPr="00DF7C94" w:rsidRDefault="007D438C" w:rsidP="00A56E05">
            <w:pPr>
              <w:rPr>
                <w:rFonts w:ascii="Adobe Caslon Pro" w:hAnsi="Adobe Caslon Pro" w:cs="Calibri"/>
                <w:i/>
                <w:color w:val="000000"/>
                <w:lang w:eastAsia="es-MX"/>
              </w:rPr>
            </w:pPr>
            <w:r w:rsidRPr="00C2589E">
              <w:rPr>
                <w:rFonts w:ascii="Adobe Caslon Pro" w:hAnsi="Adobe Caslon Pro" w:cs="Calibri"/>
                <w:i/>
                <w:color w:val="000000"/>
                <w:sz w:val="20"/>
                <w:lang w:eastAsia="es-MX"/>
              </w:rPr>
              <w:t>Lic. Mónica Buenrostro Bermúdez</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4.5 Correo electrónico del coordinador de la evaluación</w:t>
            </w:r>
            <w:r>
              <w:rPr>
                <w:rFonts w:ascii="Adobe Caslon Pro" w:hAnsi="Adobe Caslon Pro" w:cs="Calibri"/>
                <w:color w:val="000000"/>
                <w:lang w:eastAsia="es-MX"/>
              </w:rPr>
              <w:t>:</w:t>
            </w:r>
          </w:p>
          <w:p w:rsidR="007D438C" w:rsidRPr="00335A49" w:rsidRDefault="007D438C" w:rsidP="00A56E05">
            <w:pPr>
              <w:rPr>
                <w:rFonts w:ascii="Adobe Caslon Pro" w:hAnsi="Adobe Caslon Pro" w:cs="Calibri"/>
                <w:color w:val="000000"/>
                <w:lang w:eastAsia="es-MX"/>
              </w:rPr>
            </w:pPr>
            <w:r w:rsidRPr="00335A49">
              <w:rPr>
                <w:rFonts w:ascii="Adobe Caslon Pro" w:hAnsi="Adobe Caslon Pro" w:cs="Calibri"/>
                <w:i/>
                <w:color w:val="000000"/>
                <w:sz w:val="20"/>
                <w:u w:val="single"/>
                <w:lang w:eastAsia="es-MX"/>
              </w:rPr>
              <w:t>lrasconm@indetec.gob.mx</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4.6 Teléfono (con clave lada)</w:t>
            </w:r>
            <w:r>
              <w:rPr>
                <w:rFonts w:ascii="Adobe Caslon Pro" w:hAnsi="Adobe Caslon Pro" w:cs="Calibri"/>
                <w:color w:val="000000"/>
                <w:lang w:eastAsia="es-MX"/>
              </w:rPr>
              <w:t>:</w:t>
            </w:r>
          </w:p>
          <w:p w:rsidR="007D438C" w:rsidRPr="00DF7C94"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01 (33) 36695550 Ext. 139</w:t>
            </w:r>
          </w:p>
        </w:tc>
      </w:tr>
      <w:tr w:rsidR="007D438C" w:rsidRPr="004F6AC5" w:rsidTr="00A56E05">
        <w:trPr>
          <w:trHeight w:val="75"/>
          <w:jc w:val="center"/>
        </w:trPr>
        <w:tc>
          <w:tcPr>
            <w:tcW w:w="999"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5.1 Nombre de</w:t>
            </w:r>
            <w:r>
              <w:rPr>
                <w:rFonts w:ascii="Adobe Caslon Pro" w:hAnsi="Adobe Caslon Pro" w:cs="Calibri"/>
                <w:color w:val="000000"/>
                <w:lang w:eastAsia="es-MX"/>
              </w:rPr>
              <w:t>l (los) programa(s) evaluado(s):</w:t>
            </w:r>
          </w:p>
          <w:p w:rsidR="007D438C" w:rsidRPr="009B0D97" w:rsidRDefault="007D438C" w:rsidP="00A56E05">
            <w:p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Programa Arranque Parejo en la Vida (APV)</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5.2 Siglas</w:t>
            </w:r>
          </w:p>
          <w:p w:rsidR="007D438C" w:rsidRPr="0025249F" w:rsidRDefault="007D438C" w:rsidP="00A56E05">
            <w:pPr>
              <w:rPr>
                <w:rFonts w:ascii="Adobe Caslon Pro" w:hAnsi="Adobe Caslon Pro" w:cs="Calibri"/>
                <w:i/>
                <w:color w:val="000000"/>
                <w:lang w:eastAsia="es-MX"/>
              </w:rPr>
            </w:pPr>
            <w:r>
              <w:rPr>
                <w:rFonts w:ascii="Adobe Caslon Pro" w:hAnsi="Adobe Caslon Pro" w:cs="Calibri"/>
                <w:i/>
                <w:color w:val="000000"/>
                <w:lang w:eastAsia="es-MX"/>
              </w:rPr>
              <w:t>APV</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5.3 Ente público coordinador del (los) programa(s)</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B33A80" w:rsidRDefault="007D438C" w:rsidP="00A56E05">
            <w:pPr>
              <w:rPr>
                <w:rFonts w:ascii="Adobe Caslon Pro" w:hAnsi="Adobe Caslon Pro" w:cs="Calibri"/>
                <w:i/>
                <w:color w:val="000000"/>
                <w:sz w:val="20"/>
                <w:szCs w:val="20"/>
                <w:lang w:eastAsia="es-MX"/>
              </w:rPr>
            </w:pPr>
            <w:r>
              <w:rPr>
                <w:rFonts w:ascii="Adobe Caslon Pro" w:hAnsi="Adobe Caslon Pro" w:cs="Calibri"/>
                <w:i/>
                <w:color w:val="000000"/>
                <w:sz w:val="20"/>
                <w:lang w:eastAsia="es-MX"/>
              </w:rPr>
              <w:t xml:space="preserve">Secretaría </w:t>
            </w:r>
            <w:r w:rsidRPr="007E13D5">
              <w:rPr>
                <w:rFonts w:ascii="Adobe Caslon Pro" w:hAnsi="Adobe Caslon Pro" w:cs="Calibri"/>
                <w:i/>
                <w:color w:val="000000"/>
                <w:sz w:val="20"/>
                <w:lang w:eastAsia="es-MX"/>
              </w:rPr>
              <w:t>de Salud del Gobierno del Estado de Oaxaca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5.4 Poder público al que pertenece(n) el(los) programa(s)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Pr>
                <w:rFonts w:ascii="Adobe Caslon Pro" w:hAnsi="Adobe Caslon Pro" w:cs="Calibri"/>
                <w:color w:val="000000"/>
                <w:lang w:eastAsia="es-MX"/>
              </w:rPr>
              <w:t xml:space="preserve">Poder </w:t>
            </w:r>
            <w:proofErr w:type="spellStart"/>
            <w:r>
              <w:rPr>
                <w:rFonts w:ascii="Adobe Caslon Pro" w:hAnsi="Adobe Caslon Pro" w:cs="Calibri"/>
                <w:color w:val="000000"/>
                <w:lang w:eastAsia="es-MX"/>
              </w:rPr>
              <w:t>Ejecutivo_X</w:t>
            </w:r>
            <w:proofErr w:type="spellEnd"/>
            <w:r>
              <w:rPr>
                <w:rFonts w:ascii="Adobe Caslon Pro" w:hAnsi="Adobe Caslon Pro" w:cs="Calibri"/>
                <w:color w:val="000000"/>
                <w:lang w:eastAsia="es-MX"/>
              </w:rPr>
              <w:t>__   Poder Legislativo___   Poder Judicial___  Ente Autónomo___</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5.5 Ámbito gubernamental al que pertenece(n) el(los) programa(s)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Pr>
                <w:rFonts w:ascii="Adobe Caslon Pro" w:hAnsi="Adobe Caslon Pro" w:cs="Calibri"/>
                <w:color w:val="000000"/>
                <w:lang w:eastAsia="es-MX"/>
              </w:rPr>
              <w:t>Federal_</w:t>
            </w:r>
            <w:r>
              <w:rPr>
                <w:rFonts w:ascii="Adobe Caslon Pro" w:hAnsi="Adobe Caslon Pro" w:cs="Calibri"/>
                <w:color w:val="000000"/>
                <w:u w:val="single"/>
                <w:lang w:eastAsia="es-MX"/>
              </w:rPr>
              <w:t>_</w:t>
            </w:r>
            <w:r>
              <w:rPr>
                <w:rFonts w:ascii="Adobe Caslon Pro" w:hAnsi="Adobe Caslon Pro" w:cs="Calibri"/>
                <w:color w:val="000000"/>
                <w:lang w:eastAsia="es-MX"/>
              </w:rPr>
              <w:t xml:space="preserve">_       </w:t>
            </w:r>
            <w:proofErr w:type="spellStart"/>
            <w:r>
              <w:rPr>
                <w:rFonts w:ascii="Adobe Caslon Pro" w:hAnsi="Adobe Caslon Pro" w:cs="Calibri"/>
                <w:color w:val="000000"/>
                <w:lang w:eastAsia="es-MX"/>
              </w:rPr>
              <w:t>Estatal_X</w:t>
            </w:r>
            <w:proofErr w:type="spellEnd"/>
            <w:r>
              <w:rPr>
                <w:rFonts w:ascii="Adobe Caslon Pro" w:hAnsi="Adobe Caslon Pro" w:cs="Calibri"/>
                <w:color w:val="000000"/>
                <w:lang w:eastAsia="es-MX"/>
              </w:rPr>
              <w:t>__     Local___</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A6AC6">
              <w:rPr>
                <w:rFonts w:ascii="Adobe Caslon Pro" w:hAnsi="Adobe Caslon Pro" w:cs="Calibri"/>
                <w:color w:val="000000"/>
                <w:lang w:eastAsia="es-MX"/>
              </w:rPr>
              <w:t>5.6 Nombre de la(s) unidad(es) administrativa(s) y de (los) titular(es) a cargo del (los) programa(s):</w:t>
            </w:r>
          </w:p>
        </w:tc>
      </w:tr>
      <w:tr w:rsidR="007D438C" w:rsidRPr="004F6AC5"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7D438C" w:rsidRPr="00066E84" w:rsidRDefault="007D438C" w:rsidP="00A56E05">
            <w:pPr>
              <w:rPr>
                <w:rFonts w:ascii="Adobe Caslon Pro" w:hAnsi="Adobe Caslon Pro" w:cs="Calibri"/>
                <w:color w:val="000000"/>
                <w:lang w:eastAsia="es-MX"/>
              </w:rPr>
            </w:pPr>
            <w:r w:rsidRPr="007C224C">
              <w:rPr>
                <w:rFonts w:ascii="Adobe Caslon Pro" w:hAnsi="Adobe Caslon Pro" w:cs="Calibri"/>
                <w:color w:val="000000"/>
                <w:lang w:eastAsia="es-MX"/>
              </w:rPr>
              <w:t>5.6.1 Nombre(s) de la(s) unidad(es) administrativa(s) a cargo de (los) programa(s):</w:t>
            </w:r>
          </w:p>
        </w:tc>
      </w:tr>
      <w:tr w:rsidR="007D438C"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7D438C" w:rsidRPr="00385F2B" w:rsidRDefault="007D438C" w:rsidP="00A56E05">
            <w:pPr>
              <w:rPr>
                <w:rFonts w:ascii="Adobe Caslon Pro" w:hAnsi="Adobe Caslon Pro" w:cs="Calibri"/>
                <w:i/>
                <w:color w:val="000000"/>
                <w:sz w:val="20"/>
                <w:szCs w:val="20"/>
                <w:lang w:eastAsia="es-MX"/>
              </w:rPr>
            </w:pPr>
            <w:r>
              <w:rPr>
                <w:rFonts w:ascii="Adobe Caslon Pro" w:hAnsi="Adobe Caslon Pro" w:cs="Calibri"/>
                <w:i/>
                <w:color w:val="000000"/>
                <w:sz w:val="20"/>
                <w:lang w:eastAsia="es-MX"/>
              </w:rPr>
              <w:t xml:space="preserve">Secretaría </w:t>
            </w:r>
            <w:r w:rsidRPr="007E13D5">
              <w:rPr>
                <w:rFonts w:ascii="Adobe Caslon Pro" w:hAnsi="Adobe Caslon Pro" w:cs="Calibri"/>
                <w:i/>
                <w:color w:val="000000"/>
                <w:sz w:val="20"/>
                <w:lang w:eastAsia="es-MX"/>
              </w:rPr>
              <w:t>de Salud del Gobierno del Estado de Oaxaca</w:t>
            </w:r>
          </w:p>
        </w:tc>
      </w:tr>
      <w:tr w:rsidR="007D438C"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D438C" w:rsidRPr="00066E84" w:rsidRDefault="007D438C" w:rsidP="00A56E05">
            <w:pPr>
              <w:rPr>
                <w:rFonts w:ascii="Adobe Caslon Pro" w:hAnsi="Adobe Caslon Pro" w:cs="Calibri"/>
                <w:color w:val="000000"/>
                <w:lang w:eastAsia="es-MX"/>
              </w:rPr>
            </w:pPr>
            <w:r w:rsidRPr="000A6AC6">
              <w:rPr>
                <w:rFonts w:ascii="Adobe Caslon Pro" w:hAnsi="Adobe Caslon Pro" w:cs="Calibri"/>
                <w:color w:val="000000"/>
                <w:lang w:eastAsia="es-MX"/>
              </w:rPr>
              <w:t>5.6.2 Nombre(s) de (los) titular(es) de la(s) unidad(es) administrativa(s) a cargo de (los) programa(s) (nombre completo, correo electrónico y teléfono con clave lada):</w:t>
            </w:r>
          </w:p>
        </w:tc>
      </w:tr>
      <w:tr w:rsidR="007D438C" w:rsidRPr="004F6AC5"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Nombre:</w:t>
            </w:r>
          </w:p>
          <w:p w:rsidR="007D438C" w:rsidRDefault="007D438C" w:rsidP="00A56E05">
            <w:pPr>
              <w:rPr>
                <w:rFonts w:ascii="Adobe Caslon Pro" w:hAnsi="Adobe Caslon Pro" w:cs="Calibri"/>
                <w:i/>
                <w:color w:val="000000"/>
                <w:sz w:val="20"/>
                <w:lang w:eastAsia="es-MX"/>
              </w:rPr>
            </w:pPr>
            <w:r>
              <w:rPr>
                <w:rFonts w:ascii="Adobe Caslon Pro" w:hAnsi="Adobe Caslon Pro" w:cs="Calibri"/>
                <w:i/>
                <w:color w:val="000000"/>
                <w:sz w:val="20"/>
                <w:lang w:eastAsia="es-MX"/>
              </w:rPr>
              <w:t>Dr. Germán d</w:t>
            </w:r>
            <w:r w:rsidRPr="00CE7BC6">
              <w:rPr>
                <w:rFonts w:ascii="Adobe Caslon Pro" w:hAnsi="Adobe Caslon Pro" w:cs="Calibri"/>
                <w:i/>
                <w:color w:val="000000"/>
                <w:sz w:val="20"/>
                <w:lang w:eastAsia="es-MX"/>
              </w:rPr>
              <w:t xml:space="preserve">e Jesús Tenorio Vasconcelos </w:t>
            </w:r>
          </w:p>
          <w:p w:rsidR="007D438C" w:rsidRPr="0025249F" w:rsidRDefault="007D438C" w:rsidP="00A56E05">
            <w:pPr>
              <w:rPr>
                <w:rFonts w:ascii="Adobe Caslon Pro" w:hAnsi="Adobe Caslon Pro" w:cs="Calibri"/>
                <w:i/>
                <w:color w:val="000000"/>
                <w:sz w:val="20"/>
                <w:lang w:eastAsia="es-MX"/>
              </w:rPr>
            </w:pPr>
            <w:r>
              <w:rPr>
                <w:rFonts w:ascii="Adobe Caslon Pro" w:hAnsi="Adobe Caslon Pro" w:cs="Calibri"/>
                <w:i/>
                <w:color w:val="000000"/>
                <w:sz w:val="20"/>
                <w:lang w:eastAsia="es-MX"/>
              </w:rPr>
              <w:t>Tel:</w:t>
            </w:r>
            <w:r w:rsidRPr="0025249F">
              <w:rPr>
                <w:rFonts w:ascii="Adobe Caslon Pro" w:hAnsi="Adobe Caslon Pro" w:cs="Calibri"/>
                <w:i/>
                <w:color w:val="000000"/>
                <w:sz w:val="20"/>
                <w:lang w:eastAsia="es-MX"/>
              </w:rPr>
              <w:t xml:space="preserve"> </w:t>
            </w:r>
            <w:r w:rsidRPr="00CE7BC6">
              <w:rPr>
                <w:rFonts w:ascii="Adobe Caslon Pro" w:hAnsi="Adobe Caslon Pro" w:cs="Calibri"/>
                <w:i/>
                <w:color w:val="000000"/>
                <w:sz w:val="20"/>
                <w:lang w:eastAsia="es-MX"/>
              </w:rPr>
              <w:t>(951) 516-34-64</w:t>
            </w:r>
          </w:p>
          <w:p w:rsidR="007D438C" w:rsidRPr="00066E84" w:rsidRDefault="007D438C" w:rsidP="00A56E05">
            <w:pPr>
              <w:rPr>
                <w:rFonts w:ascii="Adobe Caslon Pro" w:hAnsi="Adobe Caslon Pro" w:cs="Calibri"/>
                <w:color w:val="000000"/>
                <w:lang w:eastAsia="es-MX"/>
              </w:rPr>
            </w:pPr>
            <w:r w:rsidRPr="00CE7BC6">
              <w:rPr>
                <w:rFonts w:ascii="Adobe Caslon Pro" w:hAnsi="Adobe Caslon Pro" w:cs="Calibri"/>
                <w:i/>
                <w:color w:val="000000"/>
                <w:sz w:val="20"/>
                <w:lang w:eastAsia="es-MX"/>
              </w:rPr>
              <w:t>drgermantenorio@salud-oaxaca.gob.mx</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Unidad administrativa:</w:t>
            </w:r>
          </w:p>
          <w:p w:rsidR="007D438C" w:rsidRPr="00066E84" w:rsidRDefault="007D438C" w:rsidP="00A56E05">
            <w:pPr>
              <w:rPr>
                <w:rFonts w:ascii="Adobe Caslon Pro" w:hAnsi="Adobe Caslon Pro" w:cs="Calibri"/>
                <w:color w:val="000000"/>
                <w:lang w:eastAsia="es-MX"/>
              </w:rPr>
            </w:pPr>
            <w:r>
              <w:rPr>
                <w:rFonts w:ascii="Adobe Caslon Pro" w:hAnsi="Adobe Caslon Pro" w:cs="Calibri"/>
                <w:i/>
                <w:color w:val="000000"/>
                <w:sz w:val="20"/>
                <w:lang w:eastAsia="es-MX"/>
              </w:rPr>
              <w:t xml:space="preserve">Secretaría </w:t>
            </w:r>
            <w:r w:rsidRPr="007E13D5">
              <w:rPr>
                <w:rFonts w:ascii="Adobe Caslon Pro" w:hAnsi="Adobe Caslon Pro" w:cs="Calibri"/>
                <w:i/>
                <w:color w:val="000000"/>
                <w:sz w:val="20"/>
                <w:lang w:eastAsia="es-MX"/>
              </w:rPr>
              <w:t>de Salud del Gobierno del Estado de Oaxaca</w:t>
            </w:r>
          </w:p>
        </w:tc>
      </w:tr>
      <w:tr w:rsidR="007D438C" w:rsidRPr="004F6AC5" w:rsidTr="00A56E05">
        <w:trPr>
          <w:trHeight w:val="165"/>
          <w:jc w:val="center"/>
        </w:trPr>
        <w:tc>
          <w:tcPr>
            <w:tcW w:w="999" w:type="dxa"/>
            <w:gridSpan w:val="2"/>
            <w:tcBorders>
              <w:top w:val="nil"/>
              <w:left w:val="nil"/>
              <w:bottom w:val="nil"/>
              <w:right w:val="nil"/>
            </w:tcBorders>
            <w:shd w:val="clear" w:color="auto" w:fill="auto"/>
            <w:hideMark/>
          </w:tcPr>
          <w:p w:rsidR="007D438C" w:rsidRPr="00066E84" w:rsidRDefault="007D438C" w:rsidP="00A56E05">
            <w:pPr>
              <w:jc w:val="right"/>
              <w:rPr>
                <w:rFonts w:ascii="Adobe Caslon Pro" w:hAnsi="Adobe Caslon Pro" w:cs="Calibri"/>
                <w:color w:val="000000"/>
                <w:lang w:eastAsia="es-MX"/>
              </w:rPr>
            </w:pPr>
          </w:p>
        </w:tc>
        <w:tc>
          <w:tcPr>
            <w:tcW w:w="3266" w:type="dxa"/>
            <w:gridSpan w:val="2"/>
            <w:tcBorders>
              <w:top w:val="nil"/>
              <w:left w:val="nil"/>
              <w:bottom w:val="nil"/>
              <w:right w:val="nil"/>
            </w:tcBorders>
            <w:shd w:val="clear" w:color="auto" w:fill="auto"/>
            <w:hideMark/>
          </w:tcPr>
          <w:p w:rsidR="007D438C" w:rsidRPr="00066E84" w:rsidRDefault="007D438C" w:rsidP="00A56E05">
            <w:pPr>
              <w:jc w:val="right"/>
              <w:rPr>
                <w:rFonts w:ascii="Adobe Caslon Pro" w:hAnsi="Adobe Caslon Pro" w:cs="Calibri"/>
                <w:color w:val="000000"/>
                <w:lang w:eastAsia="es-MX"/>
              </w:rPr>
            </w:pPr>
          </w:p>
        </w:tc>
        <w:tc>
          <w:tcPr>
            <w:tcW w:w="160" w:type="dxa"/>
            <w:tcBorders>
              <w:top w:val="nil"/>
              <w:left w:val="nil"/>
              <w:bottom w:val="nil"/>
              <w:right w:val="nil"/>
            </w:tcBorders>
            <w:shd w:val="clear" w:color="auto" w:fill="auto"/>
            <w:hideMark/>
          </w:tcPr>
          <w:p w:rsidR="007D438C" w:rsidRPr="00066E84" w:rsidRDefault="007D438C" w:rsidP="00A56E05">
            <w:pPr>
              <w:rPr>
                <w:rFonts w:ascii="Adobe Caslon Pro" w:hAnsi="Adobe Caslon Pro" w:cs="Calibri"/>
                <w:color w:val="000000"/>
                <w:lang w:eastAsia="es-MX"/>
              </w:rPr>
            </w:pPr>
          </w:p>
        </w:tc>
        <w:tc>
          <w:tcPr>
            <w:tcW w:w="2526" w:type="dxa"/>
            <w:gridSpan w:val="4"/>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c>
          <w:tcPr>
            <w:tcW w:w="1325" w:type="dxa"/>
            <w:gridSpan w:val="3"/>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c>
          <w:tcPr>
            <w:tcW w:w="1160" w:type="dxa"/>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r>
      <w:tr w:rsidR="007D438C"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6.1 Tipo de contratación:</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6561A1">
              <w:rPr>
                <w:rFonts w:ascii="Adobe Caslon Pro" w:hAnsi="Adobe Caslon Pro" w:cs="Calibri"/>
                <w:color w:val="000000"/>
                <w:lang w:eastAsia="es-MX"/>
              </w:rPr>
              <w:lastRenderedPageBreak/>
              <w:t>6.1.1 Adjudicación Directa</w:t>
            </w:r>
            <w:r>
              <w:rPr>
                <w:rFonts w:ascii="Adobe Caslon Pro" w:hAnsi="Adobe Caslon Pro" w:cs="Calibri"/>
                <w:color w:val="000000"/>
                <w:lang w:eastAsia="es-MX"/>
              </w:rPr>
              <w:t xml:space="preserve">__  </w:t>
            </w:r>
            <w:r w:rsidRPr="006561A1">
              <w:rPr>
                <w:rFonts w:ascii="Adobe Caslon Pro" w:hAnsi="Adobe Caslon Pro" w:cs="Calibri"/>
                <w:color w:val="000000"/>
                <w:lang w:eastAsia="es-MX"/>
              </w:rPr>
              <w:t>6.1.2 Invitación a tres</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6.1.3 Licitación Pública Nacional</w:t>
            </w:r>
            <w:r>
              <w:rPr>
                <w:rFonts w:ascii="Adobe Caslon Pro" w:hAnsi="Adobe Caslon Pro" w:cs="Calibri"/>
                <w:color w:val="000000"/>
                <w:lang w:eastAsia="es-MX"/>
              </w:rPr>
              <w:t>___</w:t>
            </w:r>
          </w:p>
          <w:p w:rsidR="007D438C" w:rsidRPr="00066E84" w:rsidRDefault="007D438C" w:rsidP="00A56E05">
            <w:pPr>
              <w:rPr>
                <w:rFonts w:ascii="Adobe Caslon Pro" w:hAnsi="Adobe Caslon Pro" w:cs="Calibri"/>
                <w:color w:val="000000"/>
                <w:lang w:eastAsia="es-MX"/>
              </w:rPr>
            </w:pPr>
            <w:r w:rsidRPr="006561A1">
              <w:rPr>
                <w:rFonts w:ascii="Adobe Caslon Pro" w:hAnsi="Adobe Caslon Pro" w:cs="Calibri"/>
                <w:color w:val="000000"/>
                <w:lang w:eastAsia="es-MX"/>
              </w:rPr>
              <w:t>6.1.4 Licitación Pública Internacional</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6.1.5 Otro: (Señalar)</w:t>
            </w:r>
            <w:r w:rsidRPr="009C27B5">
              <w:rPr>
                <w:rFonts w:ascii="Adobe Caslon Pro" w:hAnsi="Adobe Caslon Pro" w:cs="Calibri"/>
                <w:i/>
                <w:color w:val="000000"/>
                <w:u w:val="single"/>
                <w:lang w:eastAsia="es-MX"/>
              </w:rPr>
              <w:t xml:space="preserve"> </w:t>
            </w:r>
            <w:r w:rsidRPr="009C27B5">
              <w:rPr>
                <w:rFonts w:ascii="Adobe Caslon Pro" w:hAnsi="Adobe Caslon Pro" w:cs="Calibri"/>
                <w:i/>
                <w:color w:val="000000"/>
                <w:sz w:val="20"/>
                <w:szCs w:val="20"/>
                <w:u w:val="single"/>
                <w:lang w:eastAsia="es-MX"/>
              </w:rPr>
              <w:t>Convenio de colaboración institucional.</w:t>
            </w:r>
          </w:p>
        </w:tc>
      </w:tr>
      <w:tr w:rsidR="007D438C" w:rsidRPr="004F6AC5"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6.2</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Unidad administrativa responsable de contratar la evaluación</w:t>
            </w:r>
            <w:r>
              <w:rPr>
                <w:rFonts w:ascii="Adobe Caslon Pro" w:hAnsi="Adobe Caslon Pro" w:cs="Calibri"/>
                <w:color w:val="000000"/>
                <w:lang w:eastAsia="es-MX"/>
              </w:rPr>
              <w:t>:</w:t>
            </w:r>
          </w:p>
          <w:p w:rsidR="007D438C" w:rsidRPr="009053D3" w:rsidRDefault="007D438C" w:rsidP="00A56E05">
            <w:pPr>
              <w:rPr>
                <w:rFonts w:ascii="Adobe Caslon Pro" w:hAnsi="Adobe Caslon Pro" w:cs="Calibri"/>
                <w:i/>
                <w:color w:val="000000"/>
                <w:lang w:eastAsia="es-MX"/>
              </w:rPr>
            </w:pPr>
            <w:r w:rsidRPr="009053D3">
              <w:rPr>
                <w:rFonts w:ascii="Adobe Caslon Pro" w:hAnsi="Adobe Caslon Pro" w:cs="Calibri"/>
                <w:i/>
                <w:color w:val="000000"/>
                <w:sz w:val="20"/>
                <w:lang w:eastAsia="es-MX"/>
              </w:rPr>
              <w:t>Jefatura de la Gubernatura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6.3</w:t>
            </w:r>
            <w:r>
              <w:rPr>
                <w:rFonts w:ascii="Times New Roman" w:hAnsi="Times New Roman"/>
                <w:color w:val="000000"/>
                <w:sz w:val="14"/>
                <w:szCs w:val="14"/>
                <w:lang w:eastAsia="es-MX"/>
              </w:rPr>
              <w:t> </w:t>
            </w:r>
            <w:r w:rsidRPr="00066E84">
              <w:rPr>
                <w:rFonts w:ascii="Adobe Caslon Pro" w:hAnsi="Adobe Caslon Pro" w:cs="Calibri"/>
                <w:color w:val="000000"/>
                <w:lang w:eastAsia="es-MX"/>
              </w:rPr>
              <w:t>Costo total de la evaluación</w:t>
            </w:r>
            <w:r>
              <w:rPr>
                <w:rFonts w:ascii="Adobe Caslon Pro" w:hAnsi="Adobe Caslon Pro" w:cs="Calibri"/>
                <w:color w:val="000000"/>
                <w:lang w:eastAsia="es-MX"/>
              </w:rPr>
              <w:t xml:space="preserve">: </w:t>
            </w:r>
            <w:r w:rsidRPr="00B54BD0">
              <w:rPr>
                <w:rFonts w:ascii="Adobe Caslon Pro" w:hAnsi="Adobe Caslon Pro" w:cs="Calibri"/>
                <w:i/>
                <w:color w:val="000000"/>
                <w:sz w:val="20"/>
                <w:szCs w:val="20"/>
                <w:lang w:eastAsia="es-MX"/>
              </w:rPr>
              <w:t>$1,</w:t>
            </w:r>
            <w:r>
              <w:rPr>
                <w:rFonts w:ascii="Adobe Caslon Pro" w:hAnsi="Adobe Caslon Pro" w:cs="Calibri"/>
                <w:i/>
                <w:color w:val="000000"/>
                <w:sz w:val="20"/>
                <w:szCs w:val="20"/>
                <w:lang w:eastAsia="es-MX"/>
              </w:rPr>
              <w:t xml:space="preserve"> </w:t>
            </w:r>
            <w:r w:rsidRPr="00B54BD0">
              <w:rPr>
                <w:rFonts w:ascii="Adobe Caslon Pro" w:hAnsi="Adobe Caslon Pro" w:cs="Calibri"/>
                <w:i/>
                <w:color w:val="000000"/>
                <w:sz w:val="20"/>
                <w:szCs w:val="20"/>
                <w:lang w:eastAsia="es-MX"/>
              </w:rPr>
              <w:t xml:space="preserve">310,00.00 (Un millón trescientos diez mil pesos 00/100 M.N.) </w:t>
            </w:r>
            <w:r>
              <w:rPr>
                <w:rFonts w:ascii="Adobe Caslon Pro" w:hAnsi="Adobe Caslon Pro" w:cs="Calibri"/>
                <w:i/>
                <w:color w:val="000000"/>
                <w:sz w:val="20"/>
                <w:szCs w:val="20"/>
                <w:lang w:eastAsia="es-MX"/>
              </w:rPr>
              <w:t>Incluye</w:t>
            </w:r>
            <w:r w:rsidRPr="00E7741C">
              <w:rPr>
                <w:rFonts w:ascii="Adobe Caslon Pro" w:hAnsi="Adobe Caslon Pro" w:cs="Calibri"/>
                <w:i/>
                <w:color w:val="000000"/>
                <w:sz w:val="20"/>
                <w:szCs w:val="20"/>
                <w:lang w:eastAsia="es-MX"/>
              </w:rPr>
              <w:t xml:space="preserve"> IVA. El costo </w:t>
            </w:r>
            <w:r>
              <w:rPr>
                <w:rFonts w:ascii="Adobe Caslon Pro" w:hAnsi="Adobe Caslon Pro" w:cs="Calibri"/>
                <w:i/>
                <w:color w:val="000000"/>
                <w:sz w:val="20"/>
                <w:szCs w:val="20"/>
                <w:lang w:eastAsia="es-MX"/>
              </w:rPr>
              <w:t>corresponde a</w:t>
            </w:r>
            <w:r w:rsidRPr="00E7741C">
              <w:rPr>
                <w:rFonts w:ascii="Adobe Caslon Pro" w:hAnsi="Adobe Caslon Pro" w:cs="Calibri"/>
                <w:i/>
                <w:color w:val="000000"/>
                <w:sz w:val="20"/>
                <w:szCs w:val="20"/>
                <w:lang w:eastAsia="es-MX"/>
              </w:rPr>
              <w:t xml:space="preserve"> la evaluación </w:t>
            </w:r>
            <w:r>
              <w:rPr>
                <w:rFonts w:ascii="Adobe Caslon Pro" w:hAnsi="Adobe Caslon Pro" w:cs="Calibri"/>
                <w:i/>
                <w:color w:val="000000"/>
                <w:sz w:val="20"/>
                <w:szCs w:val="20"/>
                <w:lang w:eastAsia="es-MX"/>
              </w:rPr>
              <w:t>de diez programas estatales</w:t>
            </w:r>
            <w:r w:rsidRPr="00B54BD0">
              <w:rPr>
                <w:rFonts w:ascii="Adobe Caslon Pro" w:hAnsi="Adobe Caslon Pro" w:cs="Calibri"/>
                <w:i/>
                <w:color w:val="000000"/>
                <w:sz w:val="20"/>
                <w:szCs w:val="2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6.4</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 xml:space="preserve">Fuente de Financiamiento </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385154" w:rsidRDefault="007D438C" w:rsidP="00A56E05">
            <w:pPr>
              <w:rPr>
                <w:rFonts w:ascii="Adobe Caslon Pro" w:hAnsi="Adobe Caslon Pro" w:cs="Calibri"/>
                <w:i/>
                <w:color w:val="000000"/>
                <w:lang w:eastAsia="es-MX"/>
              </w:rPr>
            </w:pPr>
            <w:r w:rsidRPr="00385154">
              <w:rPr>
                <w:rFonts w:ascii="Adobe Caslon Pro" w:hAnsi="Adobe Caslon Pro" w:cs="Calibri"/>
                <w:i/>
                <w:color w:val="000000"/>
                <w:sz w:val="20"/>
                <w:lang w:eastAsia="es-MX"/>
              </w:rPr>
              <w:t>Recursos Fiscales</w:t>
            </w:r>
          </w:p>
        </w:tc>
      </w:tr>
      <w:tr w:rsidR="007D438C" w:rsidRPr="004F6AC5" w:rsidTr="00A56E05">
        <w:trPr>
          <w:trHeight w:val="162"/>
          <w:jc w:val="center"/>
        </w:trPr>
        <w:tc>
          <w:tcPr>
            <w:tcW w:w="999"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7.1  Difusión en internet de la evaluación:</w:t>
            </w:r>
            <w:r>
              <w:rPr>
                <w:rFonts w:ascii="Adobe Caslon Pro" w:hAnsi="Adobe Caslon Pro" w:cs="Calibri"/>
                <w:color w:val="000000"/>
                <w:lang w:eastAsia="es-MX"/>
              </w:rPr>
              <w:t xml:space="preserve"> </w:t>
            </w:r>
          </w:p>
          <w:p w:rsidR="007D438C" w:rsidRDefault="009B1A50" w:rsidP="00A56E05">
            <w:pPr>
              <w:rPr>
                <w:rFonts w:ascii="Adobe Caslon Pro" w:hAnsi="Adobe Caslon Pro" w:cs="Calibri"/>
                <w:i/>
                <w:color w:val="000000"/>
                <w:sz w:val="20"/>
                <w:szCs w:val="20"/>
                <w:lang w:eastAsia="es-MX"/>
              </w:rPr>
            </w:pPr>
            <w:hyperlink r:id="rId124" w:history="1">
              <w:r w:rsidR="007D438C" w:rsidRPr="00197EB9">
                <w:rPr>
                  <w:rStyle w:val="Hipervnculo"/>
                  <w:rFonts w:ascii="Adobe Caslon Pro" w:hAnsi="Adobe Caslon Pro" w:cs="Calibri"/>
                  <w:i/>
                  <w:sz w:val="20"/>
                  <w:szCs w:val="20"/>
                  <w:lang w:eastAsia="es-MX"/>
                </w:rPr>
                <w:t>http://www.jefaturadelagubernatura-evaluacion.oaxaca.gob.mx/index.php/pae-sidepanel/pae-2014</w:t>
              </w:r>
            </w:hyperlink>
          </w:p>
          <w:p w:rsidR="007D438C" w:rsidRDefault="009B1A50" w:rsidP="00A56E05">
            <w:pPr>
              <w:rPr>
                <w:rStyle w:val="Hipervnculo"/>
                <w:rFonts w:ascii="Adobe Caslon Pro" w:hAnsi="Adobe Caslon Pro" w:cs="Calibri"/>
                <w:i/>
                <w:sz w:val="20"/>
                <w:szCs w:val="20"/>
                <w:lang w:eastAsia="es-MX"/>
              </w:rPr>
            </w:pPr>
            <w:hyperlink r:id="rId125" w:history="1">
              <w:r w:rsidR="007D438C" w:rsidRPr="00F60714">
                <w:rPr>
                  <w:rStyle w:val="Hipervnculo"/>
                  <w:rFonts w:ascii="Adobe Caslon Pro" w:hAnsi="Adobe Caslon Pro" w:cs="Calibri"/>
                  <w:i/>
                  <w:sz w:val="20"/>
                  <w:szCs w:val="20"/>
                  <w:lang w:eastAsia="es-MX"/>
                </w:rPr>
                <w:t>http://www.transparenciapresupuestaria.oaxaca.gob.mx/05_ev1_eprogramas.php</w:t>
              </w:r>
            </w:hyperlink>
          </w:p>
          <w:p w:rsidR="007D438C" w:rsidRPr="004B23C3" w:rsidRDefault="007D438C" w:rsidP="00A56E05">
            <w:pPr>
              <w:rPr>
                <w:rFonts w:ascii="Adobe Caslon Pro" w:hAnsi="Adobe Caslon Pro" w:cs="Calibri"/>
                <w:i/>
                <w:color w:val="000000"/>
                <w:sz w:val="20"/>
                <w:szCs w:val="2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7.2  Difusión en internet del formato:</w:t>
            </w:r>
          </w:p>
          <w:p w:rsidR="007D438C" w:rsidRDefault="009B1A50" w:rsidP="00A56E05">
            <w:pPr>
              <w:rPr>
                <w:rStyle w:val="Hipervnculo"/>
                <w:rFonts w:ascii="Adobe Caslon Pro" w:hAnsi="Adobe Caslon Pro" w:cs="Calibri"/>
                <w:i/>
                <w:sz w:val="20"/>
                <w:szCs w:val="20"/>
                <w:lang w:eastAsia="es-MX"/>
              </w:rPr>
            </w:pPr>
            <w:hyperlink r:id="rId126" w:history="1">
              <w:r w:rsidR="007D438C" w:rsidRPr="00F60714">
                <w:rPr>
                  <w:rStyle w:val="Hipervnculo"/>
                  <w:rFonts w:ascii="Adobe Caslon Pro" w:hAnsi="Adobe Caslon Pro" w:cs="Calibri"/>
                  <w:i/>
                  <w:sz w:val="20"/>
                  <w:szCs w:val="20"/>
                  <w:lang w:eastAsia="es-MX"/>
                </w:rPr>
                <w:t>http://www.jefaturadelagubernatura-evaluacion.oaxaca.gob.mx/index.php/pae-sidepanel/pae-2014</w:t>
              </w:r>
            </w:hyperlink>
          </w:p>
          <w:p w:rsidR="007D438C" w:rsidRPr="00066E84" w:rsidRDefault="007D438C" w:rsidP="00A56E05">
            <w:pPr>
              <w:rPr>
                <w:rFonts w:ascii="Adobe Caslon Pro" w:hAnsi="Adobe Caslon Pro" w:cs="Calibri"/>
                <w:color w:val="000000"/>
                <w:lang w:eastAsia="es-MX"/>
              </w:rPr>
            </w:pPr>
          </w:p>
        </w:tc>
      </w:tr>
    </w:tbl>
    <w:p w:rsidR="007D438C" w:rsidRPr="00066E84" w:rsidRDefault="007D438C" w:rsidP="007D438C">
      <w:pPr>
        <w:rPr>
          <w:rFonts w:ascii="Adobe Caslon Pro" w:hAnsi="Adobe Caslon Pro"/>
          <w:b/>
          <w:sz w:val="20"/>
          <w:szCs w:val="20"/>
          <w:lang w:eastAsia="es-MX"/>
        </w:rPr>
      </w:pPr>
    </w:p>
    <w:p w:rsidR="007D438C" w:rsidRDefault="007D438C" w:rsidP="007D438C">
      <w:pPr>
        <w:autoSpaceDE w:val="0"/>
        <w:autoSpaceDN w:val="0"/>
        <w:adjustRightInd w:val="0"/>
        <w:jc w:val="both"/>
        <w:rPr>
          <w:rFonts w:cs="Calibri"/>
          <w:sz w:val="16"/>
          <w:szCs w:val="16"/>
        </w:rPr>
      </w:pPr>
    </w:p>
    <w:p w:rsidR="007D438C" w:rsidRDefault="007D438C" w:rsidP="000708E7">
      <w:pPr>
        <w:rPr>
          <w:rFonts w:ascii="Arial" w:eastAsia="Calibri" w:hAnsi="Arial" w:cs="Arial"/>
        </w:rPr>
      </w:pPr>
    </w:p>
    <w:p w:rsidR="007D438C" w:rsidRDefault="007D438C" w:rsidP="000708E7">
      <w:pPr>
        <w:rPr>
          <w:rFonts w:ascii="Arial" w:eastAsia="Calibri" w:hAnsi="Arial" w:cs="Arial"/>
        </w:rPr>
      </w:pPr>
    </w:p>
    <w:p w:rsidR="007D438C" w:rsidRDefault="007D438C" w:rsidP="000708E7">
      <w:pPr>
        <w:rPr>
          <w:rFonts w:ascii="Arial" w:eastAsia="Calibri" w:hAnsi="Arial" w:cs="Arial"/>
        </w:rPr>
      </w:pPr>
    </w:p>
    <w:p w:rsidR="007D438C" w:rsidRDefault="007D438C" w:rsidP="000708E7">
      <w:pPr>
        <w:rPr>
          <w:rFonts w:ascii="Arial" w:eastAsia="Calibri" w:hAnsi="Arial" w:cs="Arial"/>
        </w:rPr>
      </w:pPr>
    </w:p>
    <w:p w:rsidR="007D438C" w:rsidRDefault="007D438C" w:rsidP="000708E7">
      <w:pPr>
        <w:rPr>
          <w:rFonts w:ascii="Arial" w:eastAsia="Calibri" w:hAnsi="Arial" w:cs="Arial"/>
        </w:rPr>
      </w:pPr>
    </w:p>
    <w:p w:rsidR="002C55FF" w:rsidRDefault="002C55FF" w:rsidP="00E474D1">
      <w:pPr>
        <w:contextualSpacing/>
        <w:jc w:val="both"/>
        <w:rPr>
          <w:rFonts w:ascii="Arial" w:hAnsi="Arial" w:cs="Arial"/>
          <w:b/>
        </w:rPr>
      </w:pPr>
    </w:p>
    <w:p w:rsidR="002C55FF" w:rsidRDefault="002C55FF" w:rsidP="00E474D1">
      <w:pPr>
        <w:contextualSpacing/>
        <w:jc w:val="both"/>
        <w:rPr>
          <w:rFonts w:ascii="Arial" w:hAnsi="Arial" w:cs="Arial"/>
          <w:b/>
        </w:rPr>
      </w:pPr>
    </w:p>
    <w:p w:rsidR="002C55FF" w:rsidRDefault="002C55FF" w:rsidP="00E474D1">
      <w:pPr>
        <w:contextualSpacing/>
        <w:jc w:val="both"/>
        <w:rPr>
          <w:rFonts w:ascii="Arial" w:hAnsi="Arial" w:cs="Arial"/>
          <w:b/>
        </w:rPr>
      </w:pPr>
    </w:p>
    <w:p w:rsidR="007D438C" w:rsidRDefault="007D438C">
      <w:pPr>
        <w:rPr>
          <w:rFonts w:ascii="Arial" w:hAnsi="Arial" w:cs="Arial"/>
          <w:b/>
        </w:rPr>
      </w:pPr>
      <w:r>
        <w:rPr>
          <w:rFonts w:ascii="Arial" w:hAnsi="Arial" w:cs="Arial"/>
          <w:b/>
        </w:rPr>
        <w:br w:type="page"/>
      </w:r>
    </w:p>
    <w:p w:rsidR="007D438C" w:rsidRPr="007D438C" w:rsidRDefault="007D438C" w:rsidP="007D438C">
      <w:pPr>
        <w:pStyle w:val="Prrafodelista"/>
        <w:ind w:left="0"/>
        <w:jc w:val="both"/>
        <w:rPr>
          <w:rFonts w:ascii="Arial" w:hAnsi="Arial" w:cs="Arial"/>
          <w:b/>
          <w:sz w:val="24"/>
          <w:szCs w:val="24"/>
          <w:lang w:val="es-ES"/>
        </w:rPr>
      </w:pPr>
      <w:r w:rsidRPr="007D438C">
        <w:rPr>
          <w:rFonts w:ascii="Arial" w:hAnsi="Arial" w:cs="Arial"/>
          <w:b/>
          <w:sz w:val="24"/>
          <w:szCs w:val="24"/>
          <w:lang w:val="es-ES"/>
        </w:rPr>
        <w:lastRenderedPageBreak/>
        <w:t>14.</w:t>
      </w:r>
      <w:r w:rsidR="0072684E">
        <w:rPr>
          <w:rFonts w:ascii="Arial" w:hAnsi="Arial" w:cs="Arial"/>
          <w:b/>
          <w:sz w:val="24"/>
          <w:szCs w:val="24"/>
          <w:lang w:val="es-ES"/>
        </w:rPr>
        <w:t>2</w:t>
      </w:r>
      <w:r w:rsidRPr="007D438C">
        <w:rPr>
          <w:rFonts w:ascii="Arial" w:hAnsi="Arial" w:cs="Arial"/>
          <w:b/>
          <w:sz w:val="24"/>
          <w:szCs w:val="24"/>
          <w:lang w:val="es-ES"/>
        </w:rPr>
        <w:t xml:space="preserve">.2.- CAPACITACIÓN Y PROFESIONALIZACIÓN DEL SECTOR LABORAL </w:t>
      </w:r>
    </w:p>
    <w:p w:rsidR="007D438C" w:rsidRDefault="007D438C" w:rsidP="007D438C">
      <w:pPr>
        <w:pStyle w:val="Prrafodelista"/>
        <w:ind w:left="0"/>
        <w:jc w:val="center"/>
        <w:rPr>
          <w:rFonts w:ascii="Adobe Caslon Pro" w:hAnsi="Adobe Caslon Pro" w:cs="Arial"/>
          <w:b/>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7D438C" w:rsidRPr="004F6AC5"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1.1 Nombre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972BEC" w:rsidRDefault="007D438C" w:rsidP="00A56E05">
            <w:pPr>
              <w:rPr>
                <w:rFonts w:ascii="Adobe Caslon Pro" w:hAnsi="Adobe Caslon Pro" w:cs="Calibri"/>
                <w:i/>
                <w:color w:val="000000"/>
                <w:lang w:eastAsia="es-MX"/>
              </w:rPr>
            </w:pPr>
            <w:r w:rsidRPr="00EC23B2">
              <w:rPr>
                <w:rFonts w:ascii="Adobe Caslon Pro" w:hAnsi="Adobe Caslon Pro" w:cs="Calibri"/>
                <w:i/>
                <w:color w:val="000000"/>
                <w:sz w:val="20"/>
                <w:lang w:eastAsia="es-MX"/>
              </w:rPr>
              <w:t xml:space="preserve">Evaluación Estratégica de Consistencia y Resultados del </w:t>
            </w:r>
            <w:r>
              <w:rPr>
                <w:rFonts w:ascii="Adobe Caslon Pro" w:hAnsi="Adobe Caslon Pro" w:cs="Calibri"/>
                <w:i/>
                <w:color w:val="000000"/>
                <w:sz w:val="20"/>
                <w:lang w:eastAsia="es-MX"/>
              </w:rPr>
              <w:t>Programa de Capacitación y Profesionalización del Sector Laboral</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1.2 Fecha de inicio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22/09/2014</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1.3 Fecha de término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13/</w:t>
            </w:r>
            <w:r w:rsidRPr="00AF449B">
              <w:rPr>
                <w:rFonts w:ascii="Adobe Caslon Pro" w:hAnsi="Adobe Caslon Pro" w:cs="Calibri"/>
                <w:i/>
                <w:color w:val="000000"/>
                <w:sz w:val="20"/>
                <w:lang w:eastAsia="es-MX"/>
              </w:rPr>
              <w:t>04/2015</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1.4 Nombre de la persona responsable de darle seguimiento a la evaluación y  nombre de la unidad administrativa a la que pertenece:</w:t>
            </w:r>
          </w:p>
        </w:tc>
      </w:tr>
      <w:tr w:rsidR="007D438C" w:rsidRPr="004F6AC5"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438C"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Nombre:</w:t>
            </w:r>
          </w:p>
          <w:p w:rsidR="007D438C" w:rsidRPr="00D02D2B" w:rsidRDefault="007D438C" w:rsidP="00A56E05">
            <w:pPr>
              <w:rPr>
                <w:rFonts w:ascii="Adobe Caslon Pro" w:hAnsi="Adobe Caslon Pro" w:cs="Calibri"/>
                <w:color w:val="000000"/>
                <w:sz w:val="16"/>
                <w:szCs w:val="16"/>
                <w:lang w:eastAsia="es-MX"/>
              </w:rPr>
            </w:pPr>
          </w:p>
          <w:p w:rsidR="007D438C" w:rsidRPr="002C3B4D" w:rsidRDefault="007D438C" w:rsidP="00A56E05">
            <w:pPr>
              <w:rPr>
                <w:rFonts w:ascii="Adobe Caslon Pro" w:hAnsi="Adobe Caslon Pro" w:cs="Calibri"/>
                <w:i/>
                <w:color w:val="000000"/>
                <w:lang w:eastAsia="es-MX"/>
              </w:rPr>
            </w:pPr>
            <w:r w:rsidRPr="002C3B4D">
              <w:rPr>
                <w:rFonts w:ascii="Adobe Caslon Pro" w:hAnsi="Adobe Caslon Pro" w:cs="Calibri"/>
                <w:i/>
                <w:color w:val="000000"/>
                <w:sz w:val="20"/>
                <w:lang w:eastAsia="es-MX"/>
              </w:rPr>
              <w:t>Mtro. Gonzalo Lapuente Sastre</w:t>
            </w: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7D438C"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Unidad administrativa:</w:t>
            </w:r>
            <w:r>
              <w:rPr>
                <w:rFonts w:ascii="Adobe Caslon Pro" w:hAnsi="Adobe Caslon Pro" w:cs="Calibri"/>
                <w:color w:val="000000"/>
                <w:lang w:eastAsia="es-MX"/>
              </w:rPr>
              <w:t xml:space="preserve"> </w:t>
            </w:r>
          </w:p>
          <w:p w:rsidR="007D438C" w:rsidRPr="00AC127B" w:rsidRDefault="007D438C" w:rsidP="00A56E05">
            <w:pPr>
              <w:rPr>
                <w:rFonts w:ascii="Adobe Caslon Pro" w:hAnsi="Adobe Caslon Pro" w:cs="Calibri"/>
                <w:color w:val="000000"/>
                <w:lang w:eastAsia="es-MX"/>
              </w:rPr>
            </w:pPr>
            <w:r w:rsidRPr="00B17671">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 </w:t>
            </w:r>
            <w:r w:rsidRPr="00B17671">
              <w:rPr>
                <w:rFonts w:ascii="Adobe Caslon Pro" w:hAnsi="Adobe Caslon Pro" w:cs="Calibri"/>
                <w:i/>
                <w:color w:val="000000"/>
                <w:sz w:val="20"/>
                <w:szCs w:val="20"/>
                <w:lang w:eastAsia="es-MX"/>
              </w:rPr>
              <w:t>de la Jefatura de la Gubernatura del Gobierno del estado de Oaxaca.</w:t>
            </w:r>
          </w:p>
        </w:tc>
      </w:tr>
      <w:tr w:rsidR="007D438C" w:rsidRPr="004F6AC5" w:rsidTr="00A56E05">
        <w:trPr>
          <w:trHeight w:val="1131"/>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614B76"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5</w:t>
            </w:r>
            <w:r w:rsidRPr="00066E84">
              <w:rPr>
                <w:rFonts w:ascii="Adobe Caslon Pro" w:hAnsi="Adobe Caslon Pro" w:cs="Calibri"/>
                <w:color w:val="000000"/>
                <w:lang w:eastAsia="es-MX"/>
              </w:rPr>
              <w:t xml:space="preserve"> Objetivo general de la evaluación</w:t>
            </w:r>
            <w:r>
              <w:rPr>
                <w:rFonts w:ascii="Adobe Caslon Pro" w:hAnsi="Adobe Caslon Pro" w:cs="Calibri"/>
                <w:color w:val="000000"/>
                <w:lang w:eastAsia="es-MX"/>
              </w:rPr>
              <w:t>:</w:t>
            </w:r>
          </w:p>
          <w:p w:rsidR="007D438C" w:rsidRPr="00D02D2B" w:rsidRDefault="007D438C" w:rsidP="00A56E05">
            <w:pPr>
              <w:jc w:val="both"/>
              <w:rPr>
                <w:rFonts w:ascii="Adobe Caslon Pro" w:hAnsi="Adobe Caslon Pro" w:cs="Calibri"/>
                <w:i/>
                <w:color w:val="000000"/>
                <w:sz w:val="20"/>
                <w:szCs w:val="20"/>
                <w:lang w:eastAsia="es-MX"/>
              </w:rPr>
            </w:pPr>
            <w:r w:rsidRPr="00113C6E">
              <w:rPr>
                <w:rFonts w:ascii="Adobe Caslon Pro" w:hAnsi="Adobe Caslon Pro" w:cs="Calibri"/>
                <w:i/>
                <w:color w:val="000000"/>
                <w:sz w:val="20"/>
                <w:szCs w:val="20"/>
                <w:lang w:eastAsia="es-MX"/>
              </w:rPr>
              <w:t>Coadyuvar en la Consolidación del Sistema de Evaluación del Desempeño en el Estado de Oaxaca, a través</w:t>
            </w:r>
            <w:r w:rsidRPr="00BE4199">
              <w:rPr>
                <w:rFonts w:ascii="Adobe Caslon Pro" w:hAnsi="Adobe Caslon Pro" w:cs="Calibri"/>
                <w:i/>
                <w:color w:val="000000"/>
                <w:sz w:val="20"/>
                <w:szCs w:val="20"/>
                <w:lang w:eastAsia="es-MX"/>
              </w:rPr>
              <w:t xml:space="preserve"> de identificar y analizar la consistencia y resultados del </w:t>
            </w:r>
            <w:r>
              <w:rPr>
                <w:rFonts w:ascii="Adobe Caslon Pro" w:hAnsi="Adobe Caslon Pro" w:cs="Calibri"/>
                <w:i/>
                <w:color w:val="000000"/>
                <w:sz w:val="20"/>
                <w:lang w:eastAsia="es-MX"/>
              </w:rPr>
              <w:t>Programa de Capacitación y Profesionalización del Sector Laboral</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6</w:t>
            </w:r>
            <w:r w:rsidRPr="00066E84">
              <w:rPr>
                <w:rFonts w:ascii="Adobe Caslon Pro" w:hAnsi="Adobe Caslon Pro" w:cs="Calibri"/>
                <w:color w:val="000000"/>
                <w:lang w:eastAsia="es-MX"/>
              </w:rPr>
              <w:t xml:space="preserve"> Objetivos específicos de la evaluación</w:t>
            </w:r>
            <w:r>
              <w:rPr>
                <w:rFonts w:ascii="Adobe Caslon Pro" w:hAnsi="Adobe Caslon Pro" w:cs="Calibri"/>
                <w:color w:val="000000"/>
                <w:lang w:eastAsia="es-MX"/>
              </w:rPr>
              <w:t>:</w:t>
            </w:r>
          </w:p>
          <w:p w:rsidR="007D438C" w:rsidRDefault="007D438C"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programa en los siguientes aspectos:</w:t>
            </w:r>
          </w:p>
          <w:p w:rsidR="007D438C"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Diseño. Es un proceso analítico global que se enfoca en identificar los objetivos del programa, para luego determinar la consistencia de su diseño y los resultados con tales objetivos. </w:t>
            </w:r>
          </w:p>
          <w:p w:rsidR="007D438C"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Planeación Estratégica. Implica analizar los instrumentos de planeación del Programa, y corroborar si tal planeación tiene una orientación para resultados. </w:t>
            </w:r>
          </w:p>
          <w:p w:rsidR="007D438C"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Cobertura y Focalización. Corresponde cuantificar y determinar la población potencial y la población objetivo que está siendo atendida por el Programa. </w:t>
            </w:r>
          </w:p>
          <w:p w:rsidR="007D438C"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Operación. Analiza las principales actividades y procesos establecidos en la normatividad aplicable; la eficiencia, eficacia y economía operativa del Programa; y el cumplimiento y avance en los indicadores estratégicos y de gestión. </w:t>
            </w:r>
          </w:p>
          <w:p w:rsidR="007D438C" w:rsidRPr="00BC71C7" w:rsidRDefault="007D438C"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Percepción de la Población. Analiza el grado de satisfacción de los beneficiarios de los bienes y servicios que conforman el Programa. </w:t>
            </w:r>
          </w:p>
          <w:p w:rsidR="007D438C" w:rsidRDefault="007D438C" w:rsidP="00F075EB">
            <w:pPr>
              <w:numPr>
                <w:ilvl w:val="0"/>
                <w:numId w:val="16"/>
              </w:numPr>
              <w:jc w:val="both"/>
              <w:rPr>
                <w:rFonts w:ascii="Adobe Caslon Pro" w:hAnsi="Adobe Caslon Pro" w:cs="Calibri"/>
                <w:i/>
                <w:color w:val="000000"/>
                <w:sz w:val="20"/>
                <w:lang w:eastAsia="es-MX"/>
              </w:rPr>
            </w:pPr>
            <w:r w:rsidRPr="00BC71C7">
              <w:rPr>
                <w:rFonts w:ascii="Adobe Caslon Pro" w:hAnsi="Adobe Caslon Pro" w:cs="Calibri"/>
                <w:i/>
                <w:color w:val="000000"/>
                <w:sz w:val="20"/>
                <w:lang w:eastAsia="es-MX"/>
              </w:rPr>
              <w:t xml:space="preserve">Resultados. Analiza los resultados intermedios y de impacto alcanzado por el Programa, de acuerdo a la evidencia documentada, para observar si éste ha logrado mejorar o resolver el problema para el cual fue creado. </w:t>
            </w:r>
          </w:p>
          <w:p w:rsidR="007D438C" w:rsidRPr="00BC71C7" w:rsidRDefault="007D438C" w:rsidP="00F075EB">
            <w:pPr>
              <w:numPr>
                <w:ilvl w:val="0"/>
                <w:numId w:val="16"/>
              </w:numPr>
              <w:jc w:val="both"/>
              <w:rPr>
                <w:rFonts w:ascii="Adobe Caslon Pro" w:hAnsi="Adobe Caslon Pro" w:cs="Calibri"/>
                <w:i/>
                <w:color w:val="000000"/>
                <w:sz w:val="20"/>
                <w:lang w:eastAsia="es-MX"/>
              </w:rPr>
            </w:pPr>
            <w:r w:rsidRPr="00BC71C7">
              <w:rPr>
                <w:rFonts w:ascii="Adobe Caslon Pro" w:hAnsi="Adobe Caslon Pro" w:cs="Calibri"/>
                <w:i/>
                <w:color w:val="000000"/>
                <w:sz w:val="20"/>
                <w:lang w:eastAsia="es-MX"/>
              </w:rPr>
              <w:t>Ejercicio de los recursos. Analiza el grado de cumplimiento en la aplicación de los recursos en tiempo y forma, de acuerdo a los objetivos para los cuales están destinados.</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7</w:t>
            </w:r>
            <w:r w:rsidRPr="00066E84">
              <w:rPr>
                <w:rFonts w:ascii="Adobe Caslon Pro" w:hAnsi="Adobe Caslon Pro" w:cs="Calibri"/>
                <w:color w:val="000000"/>
                <w:lang w:eastAsia="es-MX"/>
              </w:rPr>
              <w:t xml:space="preserve"> Metodología utilizada en la evaluación</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Instrumentos de recolección de información: </w:t>
            </w:r>
          </w:p>
        </w:tc>
      </w:tr>
      <w:tr w:rsidR="007D438C" w:rsidRPr="004F6AC5"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Pr="00BB2252"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 Cuestionarios</w:t>
            </w:r>
            <w:r>
              <w:rPr>
                <w:rFonts w:ascii="Adobe Caslon Pro" w:hAnsi="Adobe Caslon Pro" w:cs="Calibri"/>
                <w:color w:val="000000"/>
                <w:lang w:eastAsia="es-MX"/>
              </w:rPr>
              <w:t xml:space="preserve">__   Entrevistas__   Formatos__   </w:t>
            </w:r>
            <w:proofErr w:type="spellStart"/>
            <w:r>
              <w:rPr>
                <w:rFonts w:ascii="Adobe Caslon Pro" w:hAnsi="Adobe Caslon Pro" w:cs="Calibri"/>
                <w:color w:val="000000"/>
                <w:lang w:eastAsia="es-MX"/>
              </w:rPr>
              <w:t>Otros_X</w:t>
            </w:r>
            <w:proofErr w:type="spellEnd"/>
            <w:r>
              <w:rPr>
                <w:rFonts w:ascii="Adobe Caslon Pro" w:hAnsi="Adobe Caslon Pro" w:cs="Calibri"/>
                <w:color w:val="000000"/>
                <w:lang w:eastAsia="es-MX"/>
              </w:rPr>
              <w:t>_  Especifique:</w:t>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p>
          <w:p w:rsidR="007D438C" w:rsidRPr="00F11793" w:rsidRDefault="007D438C" w:rsidP="00F075EB">
            <w:pPr>
              <w:numPr>
                <w:ilvl w:val="0"/>
                <w:numId w:val="12"/>
              </w:numPr>
              <w:jc w:val="both"/>
              <w:rPr>
                <w:rFonts w:ascii="Adobe Caslon Pro" w:hAnsi="Adobe Caslon Pro" w:cs="Calibri"/>
                <w:i/>
                <w:color w:val="000000"/>
                <w:sz w:val="20"/>
                <w:lang w:eastAsia="es-MX"/>
              </w:rPr>
            </w:pPr>
            <w:r w:rsidRPr="00D073B5">
              <w:rPr>
                <w:rFonts w:ascii="Adobe Caslon Pro" w:hAnsi="Adobe Caslon Pro" w:cs="Calibri"/>
                <w:i/>
                <w:color w:val="000000"/>
                <w:sz w:val="20"/>
                <w:lang w:eastAsia="es-MX"/>
              </w:rPr>
              <w:t xml:space="preserve">Información proporcionada por la dependencia </w:t>
            </w:r>
            <w:r>
              <w:rPr>
                <w:rFonts w:ascii="Adobe Caslon Pro" w:hAnsi="Adobe Caslon Pro" w:cs="Calibri"/>
                <w:i/>
                <w:color w:val="000000"/>
                <w:sz w:val="20"/>
                <w:lang w:eastAsia="es-MX"/>
              </w:rPr>
              <w:t>o entidad responsable del programa.</w:t>
            </w:r>
          </w:p>
        </w:tc>
      </w:tr>
      <w:tr w:rsidR="007D438C" w:rsidRPr="004F6AC5"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Descripción de las técnicas y modelos utilizados: </w:t>
            </w:r>
          </w:p>
          <w:p w:rsidR="007D438C" w:rsidRPr="00963A04" w:rsidRDefault="007D438C" w:rsidP="00A56E05">
            <w:pPr>
              <w:jc w:val="both"/>
              <w:rPr>
                <w:rFonts w:ascii="Adobe Caslon Pro" w:hAnsi="Adobe Caslon Pro" w:cs="Calibri"/>
                <w:i/>
                <w:color w:val="4472C4"/>
                <w:sz w:val="20"/>
                <w:u w:val="single"/>
                <w:lang w:eastAsia="es-MX"/>
              </w:rPr>
            </w:pPr>
            <w:r w:rsidRPr="006F4A63">
              <w:rPr>
                <w:rFonts w:ascii="Adobe Caslon Pro" w:hAnsi="Adobe Caslon Pro" w:cs="Calibri"/>
                <w:i/>
                <w:color w:val="000000"/>
                <w:sz w:val="20"/>
                <w:lang w:eastAsia="es-MX"/>
              </w:rPr>
              <w:t>La metodología de Evaluación fue desarrollada por “LA JEFATURA”, quien funge como la Instancia Técnica de Evaluación, con la finalidad de obtener información confiable para mejorar la gestión, la toma de decisi</w:t>
            </w:r>
            <w:r>
              <w:rPr>
                <w:rFonts w:ascii="Adobe Caslon Pro" w:hAnsi="Adobe Caslon Pro" w:cs="Calibri"/>
                <w:i/>
                <w:color w:val="000000"/>
                <w:sz w:val="20"/>
                <w:lang w:eastAsia="es-MX"/>
              </w:rPr>
              <w:t xml:space="preserve">ones y el proceso presupuestario, los cuales se encuentran en los Términos de Referencia en la siguiente liga: </w:t>
            </w:r>
            <w:hyperlink r:id="rId127" w:history="1">
              <w:r w:rsidRPr="00632619">
                <w:rPr>
                  <w:rStyle w:val="Hipervnculo"/>
                  <w:rFonts w:ascii="Adobe Caslon Pro" w:hAnsi="Adobe Caslon Pro" w:cs="Calibri"/>
                  <w:i/>
                  <w:sz w:val="20"/>
                  <w:lang w:eastAsia="es-MX"/>
                </w:rPr>
                <w:t>http://www.jefaturadelagubernatura-evaluacion.oaxaca.gob.mx/index.php/pae-sidepanel/pae-2014</w:t>
              </w:r>
            </w:hyperlink>
          </w:p>
          <w:p w:rsidR="007D438C" w:rsidRPr="00963A04" w:rsidRDefault="007D438C" w:rsidP="00A56E05">
            <w:pPr>
              <w:jc w:val="both"/>
              <w:rPr>
                <w:rFonts w:ascii="Adobe Caslon Pro" w:hAnsi="Adobe Caslon Pro" w:cs="Calibri"/>
                <w:i/>
                <w:color w:val="4472C4"/>
                <w:sz w:val="20"/>
                <w:u w:val="single"/>
                <w:lang w:eastAsia="es-MX"/>
              </w:rPr>
            </w:pPr>
          </w:p>
          <w:p w:rsidR="007D438C" w:rsidRDefault="007D438C" w:rsidP="00A56E05">
            <w:pPr>
              <w:jc w:val="both"/>
              <w:rPr>
                <w:rFonts w:ascii="Adobe Caslon Pro" w:hAnsi="Adobe Caslon Pro" w:cs="Calibri"/>
                <w:i/>
                <w:sz w:val="20"/>
                <w:lang w:eastAsia="es-MX"/>
              </w:rPr>
            </w:pPr>
            <w:r w:rsidRPr="00A42027">
              <w:rPr>
                <w:rFonts w:ascii="Adobe Caslon Pro" w:hAnsi="Adobe Caslon Pro" w:cs="Calibri"/>
                <w:i/>
                <w:sz w:val="20"/>
                <w:lang w:eastAsia="es-MX"/>
              </w:rPr>
              <w:t>Base de datos de gabinete utilizados para el análisis:</w:t>
            </w:r>
          </w:p>
          <w:p w:rsidR="007D438C" w:rsidRDefault="007D438C" w:rsidP="00F075EB">
            <w:pPr>
              <w:numPr>
                <w:ilvl w:val="0"/>
                <w:numId w:val="17"/>
              </w:numPr>
              <w:jc w:val="both"/>
              <w:rPr>
                <w:rFonts w:ascii="Adobe Caslon Pro" w:hAnsi="Adobe Caslon Pro" w:cs="Calibri"/>
                <w:i/>
                <w:sz w:val="20"/>
                <w:lang w:eastAsia="es-MX"/>
              </w:rPr>
            </w:pPr>
            <w:r w:rsidRPr="00BC71C7">
              <w:rPr>
                <w:rFonts w:ascii="Adobe Caslon Pro" w:hAnsi="Adobe Caslon Pro" w:cs="Calibri"/>
                <w:i/>
                <w:color w:val="000000"/>
                <w:sz w:val="20"/>
                <w:lang w:eastAsia="es-MX"/>
              </w:rPr>
              <w:t>Ficha Técnica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sidRPr="00BC71C7">
              <w:rPr>
                <w:rFonts w:ascii="Adobe Caslon Pro" w:hAnsi="Adobe Caslon Pro" w:cs="Calibri"/>
                <w:i/>
                <w:color w:val="000000"/>
                <w:sz w:val="20"/>
                <w:lang w:eastAsia="es-MX"/>
              </w:rPr>
              <w:t>M</w:t>
            </w:r>
            <w:r>
              <w:rPr>
                <w:rFonts w:ascii="Adobe Caslon Pro" w:hAnsi="Adobe Caslon Pro" w:cs="Calibri"/>
                <w:i/>
                <w:color w:val="000000"/>
                <w:sz w:val="20"/>
                <w:lang w:eastAsia="es-MX"/>
              </w:rPr>
              <w:t xml:space="preserve">atriz de </w:t>
            </w:r>
            <w:r w:rsidRPr="00BC71C7">
              <w:rPr>
                <w:rFonts w:ascii="Adobe Caslon Pro" w:hAnsi="Adobe Caslon Pro" w:cs="Calibri"/>
                <w:i/>
                <w:color w:val="000000"/>
                <w:sz w:val="20"/>
                <w:lang w:eastAsia="es-MX"/>
              </w:rPr>
              <w:t>I</w:t>
            </w:r>
            <w:r>
              <w:rPr>
                <w:rFonts w:ascii="Adobe Caslon Pro" w:hAnsi="Adobe Caslon Pro" w:cs="Calibri"/>
                <w:i/>
                <w:color w:val="000000"/>
                <w:sz w:val="20"/>
                <w:lang w:eastAsia="es-MX"/>
              </w:rPr>
              <w:t xml:space="preserve">ndicadores para </w:t>
            </w:r>
            <w:r w:rsidRPr="00BC71C7">
              <w:rPr>
                <w:rFonts w:ascii="Adobe Caslon Pro" w:hAnsi="Adobe Caslon Pro" w:cs="Calibri"/>
                <w:i/>
                <w:color w:val="000000"/>
                <w:sz w:val="20"/>
                <w:lang w:eastAsia="es-MX"/>
              </w:rPr>
              <w:t>R</w:t>
            </w:r>
            <w:r>
              <w:rPr>
                <w:rFonts w:ascii="Adobe Caslon Pro" w:hAnsi="Adobe Caslon Pro" w:cs="Calibri"/>
                <w:i/>
                <w:color w:val="000000"/>
                <w:sz w:val="20"/>
                <w:lang w:eastAsia="es-MX"/>
              </w:rPr>
              <w:t>esultados</w:t>
            </w:r>
            <w:r w:rsidRPr="00BC71C7">
              <w:rPr>
                <w:rFonts w:ascii="Adobe Caslon Pro" w:hAnsi="Adobe Caslon Pro" w:cs="Calibri"/>
                <w:i/>
                <w:color w:val="000000"/>
                <w:sz w:val="20"/>
                <w:lang w:eastAsia="es-MX"/>
              </w:rPr>
              <w:t xml:space="preserve"> del Programa</w:t>
            </w:r>
            <w:r>
              <w:rPr>
                <w:rFonts w:ascii="Adobe Caslon Pro" w:hAnsi="Adobe Caslon Pro" w:cs="Calibri"/>
                <w:i/>
                <w:color w:val="000000"/>
                <w:sz w:val="20"/>
                <w:lang w:eastAsia="es-MX"/>
              </w:rPr>
              <w:t>.</w:t>
            </w:r>
            <w:r w:rsidRPr="00BC71C7">
              <w:rPr>
                <w:rFonts w:ascii="Adobe Caslon Pro" w:hAnsi="Adobe Caslon Pro" w:cs="Calibri"/>
                <w:i/>
                <w:color w:val="000000"/>
                <w:sz w:val="20"/>
                <w:lang w:eastAsia="es-MX"/>
              </w:rPr>
              <w:t xml:space="preserve"> </w:t>
            </w:r>
          </w:p>
          <w:p w:rsidR="007D438C" w:rsidRDefault="007D438C" w:rsidP="00F075EB">
            <w:pPr>
              <w:numPr>
                <w:ilvl w:val="0"/>
                <w:numId w:val="17"/>
              </w:numPr>
              <w:jc w:val="both"/>
              <w:rPr>
                <w:rFonts w:ascii="Adobe Caslon Pro" w:hAnsi="Adobe Caslon Pro" w:cs="Calibri"/>
                <w:i/>
                <w:sz w:val="20"/>
                <w:lang w:eastAsia="es-MX"/>
              </w:rPr>
            </w:pPr>
            <w:r w:rsidRPr="00BC71C7">
              <w:rPr>
                <w:rFonts w:ascii="Adobe Caslon Pro" w:hAnsi="Adobe Caslon Pro" w:cs="Calibri"/>
                <w:i/>
                <w:color w:val="000000"/>
                <w:sz w:val="20"/>
                <w:lang w:eastAsia="es-MX"/>
              </w:rPr>
              <w:t>Documento técnico que incluya el análisis del problema que está siendo atendido con los recursos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sidRPr="00BC71C7">
              <w:rPr>
                <w:rFonts w:ascii="Adobe Caslon Pro" w:hAnsi="Adobe Caslon Pro" w:cs="Calibri"/>
                <w:i/>
                <w:color w:val="000000"/>
                <w:sz w:val="20"/>
                <w:lang w:eastAsia="es-MX"/>
              </w:rPr>
              <w:t>Objetivos Estratégicos de la Dependencia coordinadora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sidRPr="00BC71C7">
              <w:rPr>
                <w:rFonts w:ascii="Adobe Caslon Pro" w:hAnsi="Adobe Caslon Pro" w:cs="Calibri"/>
                <w:i/>
                <w:color w:val="000000"/>
                <w:sz w:val="20"/>
                <w:lang w:eastAsia="es-MX"/>
              </w:rPr>
              <w:t>Plan Nacional de Desarrollo</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sidRPr="00BC71C7">
              <w:rPr>
                <w:rFonts w:ascii="Adobe Caslon Pro" w:hAnsi="Adobe Caslon Pro" w:cs="Calibri"/>
                <w:i/>
                <w:color w:val="000000"/>
                <w:sz w:val="20"/>
                <w:lang w:eastAsia="es-MX"/>
              </w:rPr>
              <w:t>Plan Estatal de Desarrollo y Plan Secto</w:t>
            </w:r>
            <w:r>
              <w:rPr>
                <w:rFonts w:ascii="Adobe Caslon Pro" w:hAnsi="Adobe Caslon Pro" w:cs="Calibri"/>
                <w:i/>
                <w:color w:val="000000"/>
                <w:sz w:val="20"/>
                <w:lang w:eastAsia="es-MX"/>
              </w:rPr>
              <w:t>rial de Desarrollo.</w:t>
            </w:r>
          </w:p>
          <w:p w:rsidR="007D438C" w:rsidRDefault="007D438C" w:rsidP="00F075EB">
            <w:pPr>
              <w:numPr>
                <w:ilvl w:val="0"/>
                <w:numId w:val="17"/>
              </w:numPr>
              <w:jc w:val="both"/>
              <w:rPr>
                <w:rFonts w:ascii="Adobe Caslon Pro" w:hAnsi="Adobe Caslon Pro" w:cs="Calibri"/>
                <w:i/>
                <w:sz w:val="20"/>
                <w:lang w:eastAsia="es-MX"/>
              </w:rPr>
            </w:pPr>
            <w:r w:rsidRPr="00BC71C7">
              <w:rPr>
                <w:rFonts w:ascii="Adobe Caslon Pro" w:hAnsi="Adobe Caslon Pro" w:cs="Calibri"/>
                <w:i/>
                <w:color w:val="000000"/>
                <w:sz w:val="20"/>
                <w:lang w:eastAsia="es-MX"/>
              </w:rPr>
              <w:t>Diagnóstico situacional del Programa y sus beneficiarios</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Padrón de beneficiarios.</w:t>
            </w:r>
            <w:r w:rsidRPr="00BC71C7">
              <w:rPr>
                <w:rFonts w:ascii="Adobe Caslon Pro" w:hAnsi="Adobe Caslon Pro" w:cs="Calibri"/>
                <w:i/>
                <w:color w:val="000000"/>
                <w:sz w:val="20"/>
                <w:lang w:eastAsia="es-MX"/>
              </w:rPr>
              <w:t xml:space="preserve"> </w:t>
            </w:r>
          </w:p>
          <w:p w:rsidR="007D438C" w:rsidRDefault="007D438C" w:rsidP="00F075EB">
            <w:pPr>
              <w:numPr>
                <w:ilvl w:val="0"/>
                <w:numId w:val="17"/>
              </w:numPr>
              <w:jc w:val="both"/>
              <w:rPr>
                <w:rFonts w:ascii="Adobe Caslon Pro" w:hAnsi="Adobe Caslon Pro" w:cs="Calibri"/>
                <w:i/>
                <w:sz w:val="20"/>
                <w:lang w:eastAsia="es-MX"/>
              </w:rPr>
            </w:pPr>
            <w:r w:rsidRPr="00BC71C7">
              <w:rPr>
                <w:rFonts w:ascii="Adobe Caslon Pro" w:hAnsi="Adobe Caslon Pro" w:cs="Calibri"/>
                <w:i/>
                <w:color w:val="000000"/>
                <w:sz w:val="20"/>
                <w:lang w:eastAsia="es-MX"/>
              </w:rPr>
              <w:t>Características socioeconómicas de los beneficiarios</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Reglas de Operación</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Ficha técnica de Programas federales y estatales con características similares</w:t>
            </w:r>
            <w:r>
              <w:rPr>
                <w:rFonts w:ascii="Adobe Caslon Pro" w:hAnsi="Adobe Caslon Pro" w:cs="Calibri"/>
                <w:i/>
                <w:sz w:val="20"/>
                <w:lang w:eastAsia="es-MX"/>
              </w:rPr>
              <w:t>.</w:t>
            </w:r>
          </w:p>
          <w:p w:rsidR="007D438C" w:rsidRPr="0092502F"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Plan Estratégico de la Dependencia responsable de la MIR del Programa o Plan Sectorial.</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Manual de programación</w:t>
            </w:r>
            <w:r>
              <w:rPr>
                <w:rFonts w:ascii="Adobe Caslon Pro" w:hAnsi="Adobe Caslon Pro" w:cs="Calibri"/>
                <w:i/>
                <w:sz w:val="20"/>
                <w:lang w:eastAsia="es-MX"/>
              </w:rPr>
              <w:t>.</w:t>
            </w:r>
          </w:p>
          <w:p w:rsidR="007D438C" w:rsidRPr="0092502F"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Reporte de Evaluación de</w:t>
            </w:r>
            <w:r>
              <w:rPr>
                <w:rFonts w:ascii="Adobe Caslon Pro" w:hAnsi="Adobe Caslon Pro" w:cs="Calibri"/>
                <w:i/>
                <w:color w:val="000000"/>
                <w:sz w:val="20"/>
                <w:lang w:eastAsia="es-MX"/>
              </w:rPr>
              <w:t>l Programa.</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Planes de mejora asociados a la evaluación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Documento metodológico</w:t>
            </w:r>
            <w:r>
              <w:rPr>
                <w:rFonts w:ascii="Adobe Caslon Pro" w:hAnsi="Adobe Caslon Pro" w:cs="Calibri"/>
                <w:i/>
                <w:sz w:val="20"/>
                <w:lang w:eastAsia="es-MX"/>
              </w:rPr>
              <w:t>.</w:t>
            </w:r>
          </w:p>
          <w:p w:rsidR="007D438C" w:rsidRPr="0092502F"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Población Potencial.</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Población Objetivo</w:t>
            </w:r>
            <w:r>
              <w:rPr>
                <w:rFonts w:ascii="Adobe Caslon Pro" w:hAnsi="Adobe Caslon Pro" w:cs="Calibri"/>
                <w:i/>
                <w:sz w:val="20"/>
                <w:lang w:eastAsia="es-MX"/>
              </w:rPr>
              <w:t>.</w:t>
            </w:r>
          </w:p>
          <w:p w:rsidR="007D438C" w:rsidRPr="0092502F"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Población Atendida.</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Reporte de seguimiento de metas del sistema de evaluación del desempeño</w:t>
            </w:r>
            <w:r>
              <w:rPr>
                <w:rFonts w:ascii="Adobe Caslon Pro" w:hAnsi="Adobe Caslon Pro" w:cs="Calibri"/>
                <w:i/>
                <w:sz w:val="20"/>
                <w:lang w:eastAsia="es-MX"/>
              </w:rPr>
              <w:t>.</w:t>
            </w:r>
          </w:p>
          <w:p w:rsidR="007D438C" w:rsidRPr="0092502F"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Documento Metodológico para la selección de beneficiarios.</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Criterios de elegibilidad aplicados</w:t>
            </w:r>
            <w:r>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Avance físico-financiero</w:t>
            </w:r>
            <w:r w:rsidRPr="0092502F">
              <w:rPr>
                <w:rFonts w:ascii="Adobe Caslon Pro" w:hAnsi="Adobe Caslon Pro" w:cs="Calibri"/>
                <w:i/>
                <w:sz w:val="20"/>
                <w:lang w:eastAsia="es-MX"/>
              </w:rPr>
              <w:t>.</w:t>
            </w:r>
          </w:p>
          <w:p w:rsidR="007D438C" w:rsidRDefault="007D438C"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Cierre de ejercicio.</w:t>
            </w:r>
          </w:p>
          <w:p w:rsidR="007D438C" w:rsidRDefault="007D438C" w:rsidP="00F075EB">
            <w:pPr>
              <w:numPr>
                <w:ilvl w:val="0"/>
                <w:numId w:val="17"/>
              </w:numPr>
              <w:jc w:val="both"/>
              <w:rPr>
                <w:rFonts w:ascii="Adobe Caslon Pro" w:hAnsi="Adobe Caslon Pro" w:cs="Calibri"/>
                <w:i/>
                <w:sz w:val="20"/>
                <w:lang w:eastAsia="es-MX"/>
              </w:rPr>
            </w:pPr>
            <w:r w:rsidRPr="0092502F">
              <w:rPr>
                <w:rFonts w:ascii="Adobe Caslon Pro" w:hAnsi="Adobe Caslon Pro" w:cs="Calibri"/>
                <w:i/>
                <w:color w:val="000000"/>
                <w:sz w:val="20"/>
                <w:lang w:eastAsia="es-MX"/>
              </w:rPr>
              <w:t>Recursos no devengados</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113C6E">
              <w:rPr>
                <w:rFonts w:ascii="Adobe Caslon Pro" w:hAnsi="Adobe Caslon Pro" w:cs="Calibri"/>
                <w:i/>
                <w:color w:val="000000"/>
                <w:sz w:val="20"/>
                <w:lang w:eastAsia="es-MX"/>
              </w:rPr>
              <w:t>Estructura organizacional de la dependencia, que incluya las áreas operativas relacionadas con el Programa.</w:t>
            </w:r>
          </w:p>
          <w:p w:rsidR="007D438C" w:rsidRPr="00113C6E" w:rsidRDefault="007D438C" w:rsidP="00F075EB">
            <w:pPr>
              <w:numPr>
                <w:ilvl w:val="0"/>
                <w:numId w:val="17"/>
              </w:numPr>
              <w:jc w:val="both"/>
              <w:rPr>
                <w:rFonts w:ascii="Adobe Caslon Pro" w:hAnsi="Adobe Caslon Pro" w:cs="Calibri"/>
                <w:i/>
                <w:color w:val="000000"/>
                <w:sz w:val="20"/>
                <w:lang w:eastAsia="es-MX"/>
              </w:rPr>
            </w:pPr>
            <w:r w:rsidRPr="00113C6E">
              <w:rPr>
                <w:rFonts w:ascii="Adobe Caslon Pro" w:hAnsi="Adobe Caslon Pro" w:cs="Calibri"/>
                <w:i/>
                <w:color w:val="000000"/>
                <w:sz w:val="20"/>
                <w:lang w:eastAsia="es-MX"/>
              </w:rPr>
              <w:t>Manual organizacional de la dependencia, que incluya las responsabilidades y funciones asociadas con el Programa.</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técnico que contenga los procesos de la entrega/recepción de componentes</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normativo que contenga el procedimiento a través del cual se proporciona la información sobre estados financieros relacionados con 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descriptivo, normativo funcional acerca de los sistemas de información que conforman la administración financiera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Listado de Indicadores estratégicos y de gestión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Costos de Operación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de Procedimientos para medir costo-efectividad en la ejecución del Programa.</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de resultados de la medición costo-efectividad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Lista</w:t>
            </w:r>
            <w:r>
              <w:rPr>
                <w:rFonts w:ascii="Adobe Caslon Pro" w:hAnsi="Adobe Caslon Pro" w:cs="Calibri"/>
                <w:i/>
                <w:color w:val="000000"/>
                <w:sz w:val="20"/>
                <w:lang w:eastAsia="es-MX"/>
              </w:rPr>
              <w:t>do de indicadores de eficiencia.</w:t>
            </w:r>
          </w:p>
          <w:p w:rsidR="007D438C" w:rsidRDefault="007D438C"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Aprobado.</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Presupuesto Ejercido</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Instrumentos de recuperación de Deuda relacionados con el cumplimiento de objetivos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lastRenderedPageBreak/>
              <w:t>Documento normativo que describa el procedimiento a través del cual se administra y opera 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normativo que describa los sistemas de información que se utilizan en la gestión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normativo que describa los procedimientos de actualización del padr</w:t>
            </w:r>
            <w:r>
              <w:rPr>
                <w:rFonts w:ascii="Adobe Caslon Pro" w:hAnsi="Adobe Caslon Pro" w:cs="Calibri"/>
                <w:i/>
                <w:color w:val="000000"/>
                <w:sz w:val="20"/>
                <w:lang w:eastAsia="es-MX"/>
              </w:rPr>
              <w:t>ón de beneficiarios del Programa.</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normativo del Sistema de Rendición de Cuentas y Transparencia para los funcionarios que administran 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Páginas Web de Transparencia (En donde se transparenten los resultados de la evaluación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Páginas web de la gaceta oficial de difusión (En donde se transparenten los resultados de la evaluación del Programa).</w:t>
            </w:r>
          </w:p>
          <w:p w:rsidR="007D438C" w:rsidRPr="00B3377B"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Documento oficial que indique el monto y la fecha de recepción de recursos destinados a la operación del Programa.</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Calendario de transferencia de recursos para la operación del Programa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Reportes de Cuenta Pública</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Manual de Desempeño</w:t>
            </w:r>
            <w:r>
              <w:rPr>
                <w:rFonts w:ascii="Adobe Caslon Pro" w:hAnsi="Adobe Caslon Pro" w:cs="Calibri"/>
                <w:i/>
                <w:color w:val="000000"/>
                <w:sz w:val="20"/>
                <w:lang w:eastAsia="es-MX"/>
              </w:rPr>
              <w:t>.</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Guía para usuarios del SED Estatal y Federal</w:t>
            </w:r>
            <w:r>
              <w:rPr>
                <w:rFonts w:ascii="Adobe Caslon Pro" w:hAnsi="Adobe Caslon Pro" w:cs="Calibri"/>
                <w:i/>
                <w:color w:val="000000"/>
                <w:sz w:val="20"/>
                <w:lang w:eastAsia="es-MX"/>
              </w:rPr>
              <w:t>.</w:t>
            </w:r>
          </w:p>
          <w:p w:rsidR="007D438C" w:rsidRPr="00B3377B"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 xml:space="preserve">Reporte de seguimiento y </w:t>
            </w:r>
            <w:r>
              <w:rPr>
                <w:rFonts w:ascii="Adobe Caslon Pro" w:hAnsi="Adobe Caslon Pro" w:cs="Calibri"/>
                <w:i/>
                <w:color w:val="000000"/>
                <w:sz w:val="20"/>
                <w:lang w:eastAsia="es-MX"/>
              </w:rPr>
              <w:t>monitoreo de resultados.</w:t>
            </w:r>
          </w:p>
          <w:p w:rsidR="007D438C"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Reporte de seguimiento y monitoreo financiero del Programa</w:t>
            </w:r>
            <w:r>
              <w:rPr>
                <w:rFonts w:ascii="Adobe Caslon Pro" w:hAnsi="Adobe Caslon Pro" w:cs="Calibri"/>
                <w:i/>
                <w:color w:val="000000"/>
                <w:sz w:val="20"/>
                <w:lang w:eastAsia="es-MX"/>
              </w:rPr>
              <w:t>.</w:t>
            </w:r>
          </w:p>
          <w:p w:rsidR="007D438C" w:rsidRPr="00B3377B" w:rsidRDefault="007D438C" w:rsidP="00F075EB">
            <w:pPr>
              <w:numPr>
                <w:ilvl w:val="0"/>
                <w:numId w:val="17"/>
              </w:numPr>
              <w:jc w:val="both"/>
              <w:rPr>
                <w:rFonts w:ascii="Adobe Caslon Pro" w:hAnsi="Adobe Caslon Pro" w:cs="Calibri"/>
                <w:i/>
                <w:color w:val="000000"/>
                <w:sz w:val="20"/>
                <w:lang w:eastAsia="es-MX"/>
              </w:rPr>
            </w:pPr>
            <w:r w:rsidRPr="00B3377B">
              <w:rPr>
                <w:rFonts w:ascii="Adobe Caslon Pro" w:hAnsi="Adobe Caslon Pro" w:cs="Calibri"/>
                <w:i/>
                <w:color w:val="000000"/>
                <w:sz w:val="20"/>
                <w:lang w:eastAsia="es-MX"/>
              </w:rPr>
              <w:t>Ficha técnica de los indicadores de Resultados del Programa</w:t>
            </w:r>
            <w:r>
              <w:rPr>
                <w:rFonts w:ascii="Adobe Caslon Pro" w:hAnsi="Adobe Caslon Pro" w:cs="Calibri"/>
                <w:i/>
                <w:color w:val="000000"/>
                <w:sz w:val="20"/>
                <w:lang w:eastAsia="es-MX"/>
              </w:rPr>
              <w:t>.</w:t>
            </w:r>
          </w:p>
        </w:tc>
      </w:tr>
      <w:tr w:rsidR="007D438C" w:rsidRPr="004F6AC5" w:rsidTr="00A56E05">
        <w:trPr>
          <w:trHeight w:val="60"/>
          <w:jc w:val="center"/>
        </w:trPr>
        <w:tc>
          <w:tcPr>
            <w:tcW w:w="999" w:type="dxa"/>
            <w:gridSpan w:val="2"/>
            <w:tcBorders>
              <w:top w:val="single" w:sz="4" w:space="0" w:color="auto"/>
              <w:bottom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7D438C" w:rsidRPr="00DE6244" w:rsidRDefault="007D438C" w:rsidP="00A56E05">
            <w:pPr>
              <w:rPr>
                <w:rFonts w:ascii="Adobe Caslon Pro" w:hAnsi="Adobe Caslon Pro" w:cs="Calibri"/>
                <w:color w:val="000000"/>
                <w:sz w:val="10"/>
                <w:szCs w:val="10"/>
                <w:lang w:eastAsia="es-MX"/>
              </w:rPr>
            </w:pPr>
          </w:p>
        </w:tc>
      </w:tr>
      <w:tr w:rsidR="007D438C"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2.1 Describir los hallazgos más relevantes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tc>
      </w:tr>
      <w:tr w:rsidR="007D438C" w:rsidRPr="004F6AC5"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 Señalar cuáles son las principales Fortalezas, Oportunidades, Debilidades y Amenazas (FODA), de acuerdo con los</w:t>
            </w:r>
            <w:r>
              <w:rPr>
                <w:rFonts w:ascii="Adobe Caslon Pro" w:hAnsi="Adobe Caslon Pro" w:cs="Calibri"/>
                <w:color w:val="000000"/>
                <w:lang w:eastAsia="es-MX"/>
              </w:rPr>
              <w:t xml:space="preserve"> temas</w:t>
            </w:r>
            <w:r w:rsidRPr="00066E84">
              <w:rPr>
                <w:rFonts w:ascii="Adobe Caslon Pro" w:hAnsi="Adobe Caslon Pro" w:cs="Calibri"/>
                <w:color w:val="000000"/>
                <w:lang w:eastAsia="es-MX"/>
              </w:rPr>
              <w:t xml:space="preserve"> del programa</w:t>
            </w:r>
            <w:r>
              <w:rPr>
                <w:rFonts w:ascii="Adobe Caslon Pro" w:hAnsi="Adobe Caslon Pro" w:cs="Calibri"/>
                <w:color w:val="000000"/>
                <w:lang w:eastAsia="es-MX"/>
              </w:rPr>
              <w:t>, estrategia o instituciones</w:t>
            </w:r>
            <w:r w:rsidRPr="00066E84">
              <w:rPr>
                <w:rFonts w:ascii="Adobe Caslon Pro" w:hAnsi="Adobe Caslon Pro" w:cs="Calibri"/>
                <w:color w:val="000000"/>
                <w:lang w:eastAsia="es-MX"/>
              </w:rPr>
              <w:t>.</w:t>
            </w:r>
          </w:p>
        </w:tc>
      </w:tr>
      <w:tr w:rsidR="007D438C" w:rsidRPr="004F6AC5"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2.2.1 Fortalezas</w:t>
            </w:r>
            <w:r>
              <w:rPr>
                <w:rFonts w:ascii="Adobe Caslon Pro" w:hAnsi="Adobe Caslon Pro" w:cs="Calibri"/>
                <w:color w:val="000000"/>
                <w:lang w:eastAsia="es-MX"/>
              </w:rPr>
              <w:t>:</w:t>
            </w: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7D438C" w:rsidRDefault="007D438C" w:rsidP="00F075EB">
            <w:pPr>
              <w:numPr>
                <w:ilvl w:val="0"/>
                <w:numId w:val="12"/>
              </w:numPr>
              <w:jc w:val="both"/>
              <w:rPr>
                <w:rFonts w:ascii="Adobe Caslon Pro" w:hAnsi="Adobe Caslon Pro" w:cs="Calibri"/>
                <w:i/>
                <w:color w:val="000000"/>
                <w:sz w:val="20"/>
                <w:szCs w:val="20"/>
                <w:lang w:eastAsia="es-MX"/>
              </w:rPr>
            </w:pPr>
            <w:r w:rsidRPr="00A5796F">
              <w:rPr>
                <w:rFonts w:ascii="Adobe Caslon Pro" w:hAnsi="Adobe Caslon Pro" w:cs="Calibri"/>
                <w:i/>
                <w:color w:val="000000"/>
                <w:sz w:val="20"/>
                <w:szCs w:val="20"/>
                <w:lang w:eastAsia="es-MX"/>
              </w:rPr>
              <w:t>El programa abordan soluciones a la problemática del diagnóstico situacional del Programa Sectorial.</w:t>
            </w:r>
          </w:p>
          <w:p w:rsidR="007D438C" w:rsidRDefault="007D438C" w:rsidP="00F075EB">
            <w:pPr>
              <w:numPr>
                <w:ilvl w:val="0"/>
                <w:numId w:val="12"/>
              </w:numPr>
              <w:jc w:val="both"/>
              <w:rPr>
                <w:rFonts w:ascii="Adobe Caslon Pro" w:hAnsi="Adobe Caslon Pro" w:cs="Calibri"/>
                <w:i/>
                <w:color w:val="000000"/>
                <w:sz w:val="20"/>
                <w:szCs w:val="20"/>
                <w:lang w:eastAsia="es-MX"/>
              </w:rPr>
            </w:pPr>
            <w:r w:rsidRPr="00A5796F">
              <w:rPr>
                <w:rFonts w:ascii="Adobe Caslon Pro" w:hAnsi="Adobe Caslon Pro" w:cs="Calibri"/>
                <w:i/>
                <w:color w:val="000000"/>
                <w:sz w:val="20"/>
                <w:szCs w:val="20"/>
                <w:lang w:eastAsia="es-MX"/>
              </w:rPr>
              <w:t>La población que presenta el problema está claramente definida y cuantificada.</w:t>
            </w:r>
          </w:p>
          <w:p w:rsidR="007D438C" w:rsidRPr="00A5796F"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Default="007D438C" w:rsidP="00F075EB">
            <w:pPr>
              <w:numPr>
                <w:ilvl w:val="0"/>
                <w:numId w:val="26"/>
              </w:numPr>
              <w:jc w:val="both"/>
              <w:rPr>
                <w:rFonts w:ascii="Adobe Caslon Pro" w:hAnsi="Adobe Caslon Pro" w:cs="Calibri"/>
                <w:i/>
                <w:color w:val="000000"/>
                <w:sz w:val="20"/>
                <w:szCs w:val="20"/>
                <w:lang w:eastAsia="es-MX"/>
              </w:rPr>
            </w:pPr>
            <w:r w:rsidRPr="00A5796F">
              <w:rPr>
                <w:rFonts w:ascii="Adobe Caslon Pro" w:hAnsi="Adobe Caslon Pro" w:cs="Calibri"/>
                <w:i/>
                <w:color w:val="000000"/>
                <w:sz w:val="20"/>
                <w:szCs w:val="20"/>
                <w:lang w:eastAsia="es-MX"/>
              </w:rPr>
              <w:t>El programa en lo general tiene metas pertinentes para la entrega de bie</w:t>
            </w:r>
            <w:r>
              <w:rPr>
                <w:rFonts w:ascii="Adobe Caslon Pro" w:hAnsi="Adobe Caslon Pro" w:cs="Calibri"/>
                <w:i/>
                <w:color w:val="000000"/>
                <w:sz w:val="20"/>
                <w:szCs w:val="20"/>
                <w:lang w:eastAsia="es-MX"/>
              </w:rPr>
              <w:t>nes y servicios, y beneficiarios.</w:t>
            </w:r>
          </w:p>
          <w:p w:rsidR="007D438C" w:rsidRPr="00A5796F" w:rsidRDefault="007D438C" w:rsidP="00F075EB">
            <w:pPr>
              <w:numPr>
                <w:ilvl w:val="0"/>
                <w:numId w:val="26"/>
              </w:numPr>
              <w:jc w:val="both"/>
              <w:rPr>
                <w:rFonts w:ascii="Adobe Caslon Pro" w:hAnsi="Adobe Caslon Pro" w:cs="Calibri"/>
                <w:i/>
                <w:color w:val="000000"/>
                <w:sz w:val="20"/>
                <w:szCs w:val="20"/>
                <w:lang w:eastAsia="es-MX"/>
              </w:rPr>
            </w:pPr>
            <w:r w:rsidRPr="00A5796F">
              <w:rPr>
                <w:rFonts w:ascii="Adobe Caslon Pro" w:hAnsi="Adobe Caslon Pro" w:cs="Calibri"/>
                <w:i/>
                <w:color w:val="000000"/>
                <w:sz w:val="20"/>
                <w:szCs w:val="20"/>
                <w:lang w:eastAsia="es-MX"/>
              </w:rPr>
              <w:t>Están los requerimientos de presupuesto explícitamente ligados al cumplimiento de las metas de desempeño.</w:t>
            </w:r>
          </w:p>
          <w:p w:rsidR="007D438C" w:rsidRPr="00813420" w:rsidRDefault="007D438C" w:rsidP="00A56E05">
            <w:pPr>
              <w:ind w:left="36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7D438C" w:rsidRDefault="007D438C" w:rsidP="00F075EB">
            <w:pPr>
              <w:numPr>
                <w:ilvl w:val="0"/>
                <w:numId w:val="27"/>
              </w:numPr>
              <w:jc w:val="both"/>
              <w:rPr>
                <w:rFonts w:ascii="Adobe Caslon Pro" w:hAnsi="Adobe Caslon Pro" w:cs="Calibri"/>
                <w:i/>
                <w:color w:val="000000"/>
                <w:sz w:val="20"/>
                <w:szCs w:val="20"/>
                <w:lang w:eastAsia="es-MX"/>
              </w:rPr>
            </w:pPr>
            <w:r w:rsidRPr="00A5796F">
              <w:rPr>
                <w:rFonts w:ascii="Adobe Caslon Pro" w:hAnsi="Adobe Caslon Pro" w:cs="Calibri"/>
                <w:i/>
                <w:color w:val="000000"/>
                <w:sz w:val="20"/>
                <w:szCs w:val="20"/>
                <w:lang w:eastAsia="es-MX"/>
              </w:rPr>
              <w:t>El programa utiliza información confiable para determinar la población potencial</w:t>
            </w:r>
            <w:r>
              <w:rPr>
                <w:rFonts w:ascii="Adobe Caslon Pro" w:hAnsi="Adobe Caslon Pro" w:cs="Calibri"/>
                <w:i/>
                <w:color w:val="000000"/>
                <w:sz w:val="20"/>
                <w:szCs w:val="20"/>
                <w:lang w:eastAsia="es-MX"/>
              </w:rPr>
              <w:t>.</w:t>
            </w:r>
          </w:p>
          <w:p w:rsidR="007D438C" w:rsidRDefault="007D438C" w:rsidP="00F075EB">
            <w:pPr>
              <w:numPr>
                <w:ilvl w:val="0"/>
                <w:numId w:val="27"/>
              </w:numPr>
              <w:jc w:val="both"/>
              <w:rPr>
                <w:rFonts w:ascii="Adobe Caslon Pro" w:hAnsi="Adobe Caslon Pro" w:cs="Calibri"/>
                <w:i/>
                <w:color w:val="000000"/>
                <w:sz w:val="20"/>
                <w:szCs w:val="20"/>
                <w:lang w:eastAsia="es-MX"/>
              </w:rPr>
            </w:pPr>
            <w:r w:rsidRPr="00A5796F">
              <w:rPr>
                <w:rFonts w:ascii="Adobe Caslon Pro" w:hAnsi="Adobe Caslon Pro" w:cs="Calibri"/>
                <w:i/>
                <w:color w:val="000000"/>
                <w:sz w:val="20"/>
                <w:szCs w:val="20"/>
                <w:lang w:eastAsia="es-MX"/>
              </w:rPr>
              <w:t>El programa ha logrado llegar a la población que pretende atender.</w:t>
            </w:r>
          </w:p>
          <w:p w:rsidR="007D438C" w:rsidRPr="00A5796F"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7D438C" w:rsidRDefault="007D438C" w:rsidP="00F075EB">
            <w:pPr>
              <w:numPr>
                <w:ilvl w:val="0"/>
                <w:numId w:val="28"/>
              </w:numPr>
              <w:jc w:val="both"/>
              <w:rPr>
                <w:rFonts w:ascii="Adobe Caslon Pro" w:hAnsi="Adobe Caslon Pro" w:cs="Calibri"/>
                <w:i/>
                <w:color w:val="000000"/>
                <w:sz w:val="20"/>
                <w:szCs w:val="20"/>
                <w:lang w:eastAsia="es-MX"/>
              </w:rPr>
            </w:pPr>
            <w:r w:rsidRPr="00A5796F">
              <w:rPr>
                <w:rFonts w:ascii="Adobe Caslon Pro" w:hAnsi="Adobe Caslon Pro" w:cs="Calibri"/>
                <w:i/>
                <w:color w:val="000000"/>
                <w:sz w:val="20"/>
                <w:szCs w:val="20"/>
                <w:lang w:eastAsia="es-MX"/>
              </w:rPr>
              <w:t>El programa cuenta con una estructura organizacional que les permite entregar y/o producir los Componentes.</w:t>
            </w:r>
          </w:p>
          <w:p w:rsidR="007D438C" w:rsidRDefault="007D438C" w:rsidP="00F075EB">
            <w:pPr>
              <w:numPr>
                <w:ilvl w:val="0"/>
                <w:numId w:val="28"/>
              </w:numPr>
              <w:jc w:val="both"/>
              <w:rPr>
                <w:rFonts w:ascii="Adobe Caslon Pro" w:hAnsi="Adobe Caslon Pro" w:cs="Calibri"/>
                <w:i/>
                <w:color w:val="000000"/>
                <w:sz w:val="20"/>
                <w:szCs w:val="20"/>
                <w:lang w:eastAsia="es-MX"/>
              </w:rPr>
            </w:pPr>
            <w:r w:rsidRPr="00A5796F">
              <w:rPr>
                <w:rFonts w:ascii="Adobe Caslon Pro" w:hAnsi="Adobe Caslon Pro" w:cs="Calibri"/>
                <w:i/>
                <w:color w:val="000000"/>
                <w:sz w:val="20"/>
                <w:szCs w:val="20"/>
                <w:lang w:eastAsia="es-MX"/>
              </w:rPr>
              <w:t>Existen indicadores de eficacia.</w:t>
            </w:r>
          </w:p>
          <w:p w:rsidR="007D438C"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PERCEPCIÓN DE LA POBLACIÓN OBJETIVO</w:t>
            </w:r>
          </w:p>
          <w:p w:rsidR="007D438C" w:rsidRDefault="007D438C" w:rsidP="00F075EB">
            <w:pPr>
              <w:numPr>
                <w:ilvl w:val="0"/>
                <w:numId w:val="28"/>
              </w:numPr>
              <w:jc w:val="both"/>
              <w:rPr>
                <w:rFonts w:ascii="Adobe Caslon Pro" w:hAnsi="Adobe Caslon Pro" w:cs="Calibri"/>
                <w:i/>
                <w:color w:val="000000"/>
                <w:sz w:val="20"/>
                <w:szCs w:val="20"/>
                <w:lang w:eastAsia="es-MX"/>
              </w:rPr>
            </w:pPr>
            <w:r w:rsidRPr="00B16EEB">
              <w:rPr>
                <w:rFonts w:ascii="Adobe Caslon Pro" w:hAnsi="Adobe Caslon Pro" w:cs="Calibri"/>
                <w:i/>
                <w:color w:val="000000"/>
                <w:sz w:val="20"/>
                <w:szCs w:val="20"/>
                <w:lang w:eastAsia="es-MX"/>
              </w:rPr>
              <w:lastRenderedPageBreak/>
              <w:t>El instrumento de medición de satisfacción de Bécate es adecuado y proporciona información objetiva.</w:t>
            </w:r>
          </w:p>
          <w:p w:rsidR="007D438C" w:rsidRPr="00A5796F" w:rsidRDefault="007D438C" w:rsidP="00F075EB">
            <w:pPr>
              <w:numPr>
                <w:ilvl w:val="0"/>
                <w:numId w:val="28"/>
              </w:numPr>
              <w:jc w:val="both"/>
              <w:rPr>
                <w:rFonts w:ascii="Adobe Caslon Pro" w:hAnsi="Adobe Caslon Pro" w:cs="Calibri"/>
                <w:i/>
                <w:color w:val="000000"/>
                <w:sz w:val="20"/>
                <w:szCs w:val="20"/>
                <w:lang w:eastAsia="es-MX"/>
              </w:rPr>
            </w:pPr>
            <w:r w:rsidRPr="00B16EEB">
              <w:rPr>
                <w:rFonts w:ascii="Adobe Caslon Pro" w:hAnsi="Adobe Caslon Pro" w:cs="Calibri"/>
                <w:i/>
                <w:color w:val="000000"/>
                <w:sz w:val="20"/>
                <w:szCs w:val="20"/>
                <w:lang w:eastAsia="es-MX"/>
              </w:rPr>
              <w:t>La satisfacción que presenta la población objetivo atendida por Bécate, es de casi 98%</w:t>
            </w:r>
            <w:r>
              <w:rPr>
                <w:rFonts w:ascii="Adobe Caslon Pro" w:hAnsi="Adobe Caslon Pro" w:cs="Calibri"/>
                <w:i/>
                <w:color w:val="000000"/>
                <w:sz w:val="20"/>
                <w:szCs w:val="20"/>
                <w:lang w:eastAsia="es-MX"/>
              </w:rPr>
              <w:t>.</w:t>
            </w:r>
          </w:p>
          <w:p w:rsidR="007D438C" w:rsidRPr="002324C1"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EJERCICIO</w:t>
            </w:r>
            <w:r w:rsidRPr="00F11793">
              <w:rPr>
                <w:rFonts w:ascii="Adobe Caslon Pro" w:hAnsi="Adobe Caslon Pro" w:cs="Calibri"/>
                <w:color w:val="000000"/>
                <w:sz w:val="20"/>
                <w:szCs w:val="20"/>
                <w:lang w:eastAsia="es-MX"/>
              </w:rPr>
              <w:t xml:space="preserve"> DE LOS RECURSOS</w:t>
            </w:r>
          </w:p>
          <w:p w:rsidR="007D438C" w:rsidRDefault="007D438C" w:rsidP="00F075EB">
            <w:pPr>
              <w:numPr>
                <w:ilvl w:val="0"/>
                <w:numId w:val="29"/>
              </w:numPr>
              <w:jc w:val="both"/>
              <w:rPr>
                <w:rFonts w:ascii="Adobe Caslon Pro" w:hAnsi="Adobe Caslon Pro" w:cs="Calibri"/>
                <w:i/>
                <w:color w:val="000000"/>
                <w:sz w:val="20"/>
                <w:szCs w:val="20"/>
                <w:lang w:eastAsia="es-MX"/>
              </w:rPr>
            </w:pPr>
            <w:r w:rsidRPr="00B16EEB">
              <w:rPr>
                <w:rFonts w:ascii="Adobe Caslon Pro" w:hAnsi="Adobe Caslon Pro" w:cs="Calibri"/>
                <w:i/>
                <w:color w:val="000000"/>
                <w:sz w:val="20"/>
                <w:szCs w:val="20"/>
                <w:lang w:eastAsia="es-MX"/>
              </w:rPr>
              <w:t>Se cuenta con una planeación estratégica bien definida de los bienes y servicios a entregar del Programa.</w:t>
            </w:r>
          </w:p>
          <w:p w:rsidR="007D438C" w:rsidRPr="00B16EEB" w:rsidRDefault="007D438C" w:rsidP="00F075EB">
            <w:pPr>
              <w:numPr>
                <w:ilvl w:val="0"/>
                <w:numId w:val="29"/>
              </w:numPr>
              <w:jc w:val="both"/>
              <w:rPr>
                <w:rFonts w:ascii="Adobe Caslon Pro" w:hAnsi="Adobe Caslon Pro" w:cs="Calibri"/>
                <w:i/>
                <w:color w:val="000000"/>
                <w:sz w:val="20"/>
                <w:szCs w:val="20"/>
                <w:lang w:eastAsia="es-MX"/>
              </w:rPr>
            </w:pPr>
            <w:r w:rsidRPr="00B16EEB">
              <w:rPr>
                <w:rFonts w:ascii="Adobe Caslon Pro" w:hAnsi="Adobe Caslon Pro" w:cs="Calibri"/>
                <w:i/>
                <w:color w:val="000000"/>
                <w:sz w:val="20"/>
                <w:szCs w:val="20"/>
                <w:lang w:eastAsia="es-MX"/>
              </w:rPr>
              <w:t>El grado de cumplimiento de las metas asociadas a la entrega de los componentes y beneficiarios atendidos es aceptable.</w:t>
            </w:r>
          </w:p>
          <w:p w:rsidR="007D438C" w:rsidRPr="000E5651" w:rsidRDefault="007D438C" w:rsidP="00A56E05">
            <w:pPr>
              <w:ind w:left="720"/>
              <w:jc w:val="both"/>
              <w:rPr>
                <w:rFonts w:ascii="Adobe Caslon Pro" w:hAnsi="Adobe Caslon Pro" w:cs="Calibri"/>
                <w:i/>
                <w:color w:val="000000"/>
                <w:sz w:val="20"/>
                <w:szCs w:val="20"/>
                <w:lang w:eastAsia="es-MX"/>
              </w:rPr>
            </w:pPr>
            <w:r w:rsidRPr="000E5651">
              <w:rPr>
                <w:rFonts w:ascii="Adobe Caslon Pro" w:hAnsi="Adobe Caslon Pro" w:cs="Calibri"/>
                <w:i/>
                <w:color w:val="000000"/>
                <w:sz w:val="20"/>
                <w:szCs w:val="20"/>
                <w:lang w:eastAsia="es-MX"/>
              </w:rPr>
              <w:t xml:space="preserve">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Pr="007B54F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2.2.2 Oportunidades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2.2.3 Debilidades</w:t>
            </w:r>
            <w:r>
              <w:rPr>
                <w:rFonts w:ascii="Adobe Caslon Pro" w:hAnsi="Adobe Caslon Pro" w:cs="Calibri"/>
                <w:color w:val="000000"/>
                <w:lang w:eastAsia="es-MX"/>
              </w:rPr>
              <w:t>:</w:t>
            </w: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7D438C" w:rsidRDefault="007D438C" w:rsidP="00F075EB">
            <w:pPr>
              <w:numPr>
                <w:ilvl w:val="0"/>
                <w:numId w:val="30"/>
              </w:numPr>
              <w:jc w:val="both"/>
              <w:rPr>
                <w:rFonts w:ascii="Adobe Caslon Pro" w:hAnsi="Adobe Caslon Pro" w:cs="Calibri"/>
                <w:i/>
                <w:color w:val="000000"/>
                <w:sz w:val="20"/>
                <w:szCs w:val="20"/>
                <w:lang w:eastAsia="es-MX"/>
              </w:rPr>
            </w:pPr>
            <w:r w:rsidRPr="00BA5811">
              <w:rPr>
                <w:rFonts w:ascii="Adobe Caslon Pro" w:hAnsi="Adobe Caslon Pro" w:cs="Calibri"/>
                <w:i/>
                <w:color w:val="000000"/>
                <w:sz w:val="20"/>
                <w:szCs w:val="20"/>
                <w:lang w:eastAsia="es-MX"/>
              </w:rPr>
              <w:t xml:space="preserve">Se presentan dos Matrices de Indicadores y un </w:t>
            </w:r>
            <w:r>
              <w:rPr>
                <w:rFonts w:ascii="Adobe Caslon Pro" w:hAnsi="Adobe Caslon Pro" w:cs="Calibri"/>
                <w:i/>
                <w:color w:val="000000"/>
                <w:sz w:val="20"/>
                <w:szCs w:val="20"/>
                <w:lang w:eastAsia="es-MX"/>
              </w:rPr>
              <w:t xml:space="preserve">servicio adicional sin matriz, </w:t>
            </w:r>
            <w:r w:rsidRPr="00BA5811">
              <w:rPr>
                <w:rFonts w:ascii="Adobe Caslon Pro" w:hAnsi="Adobe Caslon Pro" w:cs="Calibri"/>
                <w:i/>
                <w:color w:val="000000"/>
                <w:sz w:val="20"/>
                <w:szCs w:val="20"/>
                <w:lang w:eastAsia="es-MX"/>
              </w:rPr>
              <w:t>como si fuera un sólo Programa Presupuestario</w:t>
            </w:r>
            <w:r>
              <w:rPr>
                <w:rFonts w:ascii="Adobe Caslon Pro" w:hAnsi="Adobe Caslon Pro" w:cs="Calibri"/>
                <w:i/>
                <w:color w:val="000000"/>
                <w:sz w:val="20"/>
                <w:szCs w:val="20"/>
                <w:lang w:eastAsia="es-MX"/>
              </w:rPr>
              <w:t>.</w:t>
            </w:r>
          </w:p>
          <w:p w:rsidR="007D438C" w:rsidRDefault="007D438C" w:rsidP="00F075EB">
            <w:pPr>
              <w:numPr>
                <w:ilvl w:val="0"/>
                <w:numId w:val="30"/>
              </w:numPr>
              <w:jc w:val="both"/>
              <w:rPr>
                <w:rFonts w:ascii="Adobe Caslon Pro" w:hAnsi="Adobe Caslon Pro" w:cs="Calibri"/>
                <w:i/>
                <w:color w:val="000000"/>
                <w:sz w:val="20"/>
                <w:szCs w:val="20"/>
                <w:lang w:eastAsia="es-MX"/>
              </w:rPr>
            </w:pPr>
            <w:r w:rsidRPr="00BA5811">
              <w:rPr>
                <w:rFonts w:ascii="Adobe Caslon Pro" w:hAnsi="Adobe Caslon Pro" w:cs="Calibri"/>
                <w:i/>
                <w:color w:val="000000"/>
                <w:sz w:val="20"/>
                <w:szCs w:val="20"/>
                <w:lang w:eastAsia="es-MX"/>
              </w:rPr>
              <w:t>Los objetivos en el resumen narrativo no están claramente definidos.</w:t>
            </w:r>
          </w:p>
          <w:p w:rsidR="007D438C" w:rsidRDefault="007D438C" w:rsidP="00F075EB">
            <w:pPr>
              <w:numPr>
                <w:ilvl w:val="0"/>
                <w:numId w:val="30"/>
              </w:numPr>
              <w:jc w:val="both"/>
              <w:rPr>
                <w:rFonts w:ascii="Adobe Caslon Pro" w:hAnsi="Adobe Caslon Pro" w:cs="Calibri"/>
                <w:i/>
                <w:color w:val="000000"/>
                <w:sz w:val="20"/>
                <w:szCs w:val="20"/>
                <w:lang w:eastAsia="es-MX"/>
              </w:rPr>
            </w:pPr>
            <w:r w:rsidRPr="00BA5811">
              <w:rPr>
                <w:rFonts w:ascii="Adobe Caslon Pro" w:hAnsi="Adobe Caslon Pro" w:cs="Calibri"/>
                <w:i/>
                <w:color w:val="000000"/>
                <w:sz w:val="20"/>
                <w:szCs w:val="20"/>
                <w:lang w:eastAsia="es-MX"/>
              </w:rPr>
              <w:t xml:space="preserve">Los indicadores no son claros, relevantes, económicos, adecuados y </w:t>
            </w:r>
            <w:proofErr w:type="spellStart"/>
            <w:r w:rsidRPr="00BA5811">
              <w:rPr>
                <w:rFonts w:ascii="Adobe Caslon Pro" w:hAnsi="Adobe Caslon Pro" w:cs="Calibri"/>
                <w:i/>
                <w:color w:val="000000"/>
                <w:sz w:val="20"/>
                <w:szCs w:val="20"/>
                <w:lang w:eastAsia="es-MX"/>
              </w:rPr>
              <w:t>monitoreables</w:t>
            </w:r>
            <w:proofErr w:type="spellEnd"/>
            <w:r w:rsidRPr="00BA5811">
              <w:rPr>
                <w:rFonts w:ascii="Adobe Caslon Pro" w:hAnsi="Adobe Caslon Pro" w:cs="Calibri"/>
                <w:i/>
                <w:color w:val="000000"/>
                <w:sz w:val="20"/>
                <w:szCs w:val="20"/>
                <w:lang w:eastAsia="es-MX"/>
              </w:rPr>
              <w:t>.</w:t>
            </w:r>
          </w:p>
          <w:p w:rsidR="007D438C" w:rsidRDefault="007D438C" w:rsidP="00F075EB">
            <w:pPr>
              <w:numPr>
                <w:ilvl w:val="0"/>
                <w:numId w:val="30"/>
              </w:numPr>
              <w:jc w:val="both"/>
              <w:rPr>
                <w:rFonts w:ascii="Adobe Caslon Pro" w:hAnsi="Adobe Caslon Pro" w:cs="Calibri"/>
                <w:i/>
                <w:color w:val="000000"/>
                <w:sz w:val="20"/>
                <w:szCs w:val="20"/>
                <w:lang w:eastAsia="es-MX"/>
              </w:rPr>
            </w:pPr>
            <w:r w:rsidRPr="00BA5811">
              <w:rPr>
                <w:rFonts w:ascii="Adobe Caslon Pro" w:hAnsi="Adobe Caslon Pro" w:cs="Calibri"/>
                <w:i/>
                <w:color w:val="000000"/>
                <w:sz w:val="20"/>
                <w:szCs w:val="20"/>
                <w:lang w:eastAsia="es-MX"/>
              </w:rPr>
              <w:t>No se presentan las fuentes de información de los medios de verificación</w:t>
            </w:r>
            <w:r>
              <w:rPr>
                <w:rFonts w:ascii="Adobe Caslon Pro" w:hAnsi="Adobe Caslon Pro" w:cs="Calibri"/>
                <w:i/>
                <w:color w:val="000000"/>
                <w:sz w:val="20"/>
                <w:szCs w:val="20"/>
                <w:lang w:eastAsia="es-MX"/>
              </w:rPr>
              <w:t>.</w:t>
            </w: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Default="007D438C" w:rsidP="00F075EB">
            <w:pPr>
              <w:numPr>
                <w:ilvl w:val="0"/>
                <w:numId w:val="31"/>
              </w:numPr>
              <w:jc w:val="both"/>
              <w:rPr>
                <w:rFonts w:ascii="Adobe Caslon Pro" w:hAnsi="Adobe Caslon Pro" w:cs="Calibri"/>
                <w:i/>
                <w:color w:val="000000"/>
                <w:sz w:val="20"/>
                <w:szCs w:val="20"/>
                <w:lang w:eastAsia="es-MX"/>
              </w:rPr>
            </w:pPr>
            <w:r w:rsidRPr="001E3E5A">
              <w:rPr>
                <w:rFonts w:ascii="Adobe Caslon Pro" w:hAnsi="Adobe Caslon Pro" w:cs="Calibri"/>
                <w:i/>
                <w:color w:val="000000"/>
                <w:sz w:val="20"/>
                <w:szCs w:val="20"/>
                <w:lang w:eastAsia="es-MX"/>
              </w:rPr>
              <w:t>Los indicadores de desempeño del programa no tienen línea base.</w:t>
            </w:r>
          </w:p>
          <w:p w:rsidR="007D438C" w:rsidRDefault="007D438C" w:rsidP="00F075EB">
            <w:pPr>
              <w:numPr>
                <w:ilvl w:val="0"/>
                <w:numId w:val="31"/>
              </w:numPr>
              <w:jc w:val="both"/>
              <w:rPr>
                <w:rFonts w:ascii="Adobe Caslon Pro" w:hAnsi="Adobe Caslon Pro" w:cs="Calibri"/>
                <w:i/>
                <w:color w:val="000000"/>
                <w:sz w:val="20"/>
                <w:szCs w:val="20"/>
                <w:lang w:eastAsia="es-MX"/>
              </w:rPr>
            </w:pPr>
            <w:r w:rsidRPr="001E3E5A">
              <w:rPr>
                <w:rFonts w:ascii="Adobe Caslon Pro" w:hAnsi="Adobe Caslon Pro" w:cs="Calibri"/>
                <w:i/>
                <w:color w:val="000000"/>
                <w:sz w:val="20"/>
                <w:szCs w:val="20"/>
                <w:lang w:eastAsia="es-MX"/>
              </w:rPr>
              <w:t>Los indicadores no tienen metas asociadas y plazos específicos.</w:t>
            </w:r>
          </w:p>
          <w:p w:rsidR="007D438C"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7D438C" w:rsidRDefault="007D438C" w:rsidP="00F075EB">
            <w:pPr>
              <w:numPr>
                <w:ilvl w:val="0"/>
                <w:numId w:val="32"/>
              </w:numPr>
              <w:jc w:val="both"/>
              <w:rPr>
                <w:rFonts w:ascii="Adobe Caslon Pro" w:hAnsi="Adobe Caslon Pro" w:cs="Calibri"/>
                <w:i/>
                <w:color w:val="000000"/>
                <w:sz w:val="20"/>
                <w:szCs w:val="20"/>
                <w:lang w:eastAsia="es-MX"/>
              </w:rPr>
            </w:pPr>
            <w:r w:rsidRPr="001E3E5A">
              <w:rPr>
                <w:rFonts w:ascii="Adobe Caslon Pro" w:hAnsi="Adobe Caslon Pro" w:cs="Calibri"/>
                <w:i/>
                <w:color w:val="000000"/>
                <w:sz w:val="20"/>
                <w:szCs w:val="20"/>
                <w:lang w:eastAsia="es-MX"/>
              </w:rPr>
              <w:t>No todos los beneficiarios del programa se tienen identificados en un padrón único y no se publica la información en su totalidad.</w:t>
            </w:r>
          </w:p>
          <w:p w:rsidR="007D438C" w:rsidRPr="009C538D"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7D438C" w:rsidRDefault="007D438C" w:rsidP="00F075EB">
            <w:pPr>
              <w:numPr>
                <w:ilvl w:val="0"/>
                <w:numId w:val="32"/>
              </w:numPr>
              <w:jc w:val="both"/>
              <w:rPr>
                <w:rFonts w:ascii="Adobe Caslon Pro" w:hAnsi="Adobe Caslon Pro" w:cs="Calibri"/>
                <w:i/>
                <w:color w:val="000000"/>
                <w:sz w:val="20"/>
                <w:szCs w:val="20"/>
                <w:lang w:eastAsia="es-MX"/>
              </w:rPr>
            </w:pPr>
            <w:r w:rsidRPr="001E3E5A">
              <w:rPr>
                <w:rFonts w:ascii="Adobe Caslon Pro" w:hAnsi="Adobe Caslon Pro" w:cs="Calibri"/>
                <w:i/>
                <w:color w:val="000000"/>
                <w:sz w:val="20"/>
                <w:szCs w:val="20"/>
                <w:lang w:eastAsia="es-MX"/>
              </w:rPr>
              <w:t>No se cuenta con procedimientos estandarizados para la selección de beneficiarios.</w:t>
            </w:r>
          </w:p>
          <w:p w:rsidR="007D438C" w:rsidRDefault="007D438C" w:rsidP="00F075EB">
            <w:pPr>
              <w:numPr>
                <w:ilvl w:val="0"/>
                <w:numId w:val="32"/>
              </w:numPr>
              <w:jc w:val="both"/>
              <w:rPr>
                <w:rFonts w:ascii="Adobe Caslon Pro" w:hAnsi="Adobe Caslon Pro" w:cs="Calibri"/>
                <w:i/>
                <w:color w:val="000000"/>
                <w:sz w:val="20"/>
                <w:szCs w:val="20"/>
                <w:lang w:eastAsia="es-MX"/>
              </w:rPr>
            </w:pPr>
            <w:r w:rsidRPr="001E3E5A">
              <w:rPr>
                <w:rFonts w:ascii="Adobe Caslon Pro" w:hAnsi="Adobe Caslon Pro" w:cs="Calibri"/>
                <w:i/>
                <w:color w:val="000000"/>
                <w:sz w:val="20"/>
                <w:szCs w:val="20"/>
                <w:lang w:eastAsia="es-MX"/>
              </w:rPr>
              <w:t>No se observa integración entre los distintos sistemas de información que conforman la administración financiera.</w:t>
            </w:r>
          </w:p>
          <w:p w:rsidR="007D438C" w:rsidRPr="001E3E5A" w:rsidRDefault="007D438C" w:rsidP="00F075EB">
            <w:pPr>
              <w:numPr>
                <w:ilvl w:val="0"/>
                <w:numId w:val="32"/>
              </w:numPr>
              <w:jc w:val="both"/>
              <w:rPr>
                <w:rFonts w:ascii="Adobe Caslon Pro" w:hAnsi="Adobe Caslon Pro" w:cs="Calibri"/>
                <w:i/>
                <w:color w:val="000000"/>
                <w:sz w:val="20"/>
                <w:szCs w:val="20"/>
                <w:lang w:eastAsia="es-MX"/>
              </w:rPr>
            </w:pPr>
            <w:r w:rsidRPr="001E3E5A">
              <w:rPr>
                <w:rFonts w:ascii="Adobe Caslon Pro" w:hAnsi="Adobe Caslon Pro" w:cs="Calibri"/>
                <w:i/>
                <w:color w:val="000000"/>
                <w:sz w:val="20"/>
                <w:szCs w:val="20"/>
                <w:lang w:eastAsia="es-MX"/>
              </w:rPr>
              <w:t>No se han identificado y cuantificado costos de operación y costos unitarios.</w:t>
            </w:r>
          </w:p>
          <w:p w:rsidR="007D438C" w:rsidRPr="00F11793" w:rsidRDefault="007D438C" w:rsidP="00A56E05">
            <w:pPr>
              <w:ind w:left="36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PERCEPCIÓN DE LA POBLACIÓN OBJETIVO</w:t>
            </w:r>
          </w:p>
          <w:p w:rsidR="007D438C" w:rsidRDefault="007D438C" w:rsidP="00F075EB">
            <w:pPr>
              <w:numPr>
                <w:ilvl w:val="0"/>
                <w:numId w:val="33"/>
              </w:numPr>
              <w:jc w:val="both"/>
              <w:rPr>
                <w:rFonts w:ascii="Adobe Caslon Pro" w:hAnsi="Adobe Caslon Pro" w:cs="Calibri"/>
                <w:i/>
                <w:color w:val="000000"/>
                <w:sz w:val="20"/>
                <w:szCs w:val="20"/>
                <w:lang w:eastAsia="es-MX"/>
              </w:rPr>
            </w:pPr>
            <w:r w:rsidRPr="00036A14">
              <w:rPr>
                <w:rFonts w:ascii="Adobe Caslon Pro" w:hAnsi="Adobe Caslon Pro" w:cs="Calibri"/>
                <w:i/>
                <w:color w:val="000000"/>
                <w:sz w:val="20"/>
                <w:szCs w:val="20"/>
                <w:lang w:eastAsia="es-MX"/>
              </w:rPr>
              <w:t>No se observan mecanismos para medir el grado de satisfacción de la totalidad de la población objetivo.</w:t>
            </w:r>
          </w:p>
          <w:p w:rsidR="007D438C" w:rsidRPr="00036A14"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6A7C8E">
              <w:rPr>
                <w:rFonts w:ascii="Adobe Caslon Pro" w:hAnsi="Adobe Caslon Pro" w:cs="Calibri"/>
                <w:i/>
                <w:color w:val="000000"/>
                <w:sz w:val="20"/>
                <w:szCs w:val="20"/>
                <w:lang w:eastAsia="es-MX"/>
              </w:rPr>
              <w:t>El programa no lleva a cabo evaluaciones externas que le permitan medir el impacto en</w:t>
            </w:r>
            <w:r>
              <w:rPr>
                <w:rFonts w:ascii="Adobe Caslon Pro" w:hAnsi="Adobe Caslon Pro" w:cs="Calibri"/>
                <w:i/>
                <w:color w:val="000000"/>
                <w:sz w:val="20"/>
                <w:szCs w:val="20"/>
                <w:lang w:eastAsia="es-MX"/>
              </w:rPr>
              <w:t xml:space="preserve"> </w:t>
            </w:r>
            <w:r w:rsidRPr="006A7C8E">
              <w:rPr>
                <w:rFonts w:ascii="Adobe Caslon Pro" w:hAnsi="Adobe Caslon Pro" w:cs="Calibri"/>
                <w:i/>
                <w:color w:val="000000"/>
                <w:sz w:val="20"/>
                <w:szCs w:val="20"/>
                <w:lang w:eastAsia="es-MX"/>
              </w:rPr>
              <w:t>la población objetivo.</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6A7C8E">
              <w:rPr>
                <w:rFonts w:ascii="Adobe Caslon Pro" w:hAnsi="Adobe Caslon Pro" w:cs="Calibri"/>
                <w:i/>
                <w:color w:val="000000"/>
                <w:sz w:val="20"/>
                <w:szCs w:val="20"/>
                <w:lang w:eastAsia="es-MX"/>
              </w:rPr>
              <w:t>No se presentan reportes del progreso alcanzado de los</w:t>
            </w:r>
            <w:r>
              <w:rPr>
                <w:rFonts w:ascii="Adobe Caslon Pro" w:hAnsi="Adobe Caslon Pro" w:cs="Calibri"/>
                <w:i/>
                <w:color w:val="000000"/>
                <w:sz w:val="20"/>
                <w:szCs w:val="20"/>
                <w:lang w:eastAsia="es-MX"/>
              </w:rPr>
              <w:t xml:space="preserve"> </w:t>
            </w:r>
            <w:r w:rsidRPr="006A7C8E">
              <w:rPr>
                <w:rFonts w:ascii="Adobe Caslon Pro" w:hAnsi="Adobe Caslon Pro" w:cs="Calibri"/>
                <w:i/>
                <w:color w:val="000000"/>
                <w:sz w:val="20"/>
                <w:szCs w:val="20"/>
                <w:lang w:eastAsia="es-MX"/>
              </w:rPr>
              <w:t>objetivos de Propósito y Fin.</w:t>
            </w:r>
          </w:p>
          <w:p w:rsidR="007D438C" w:rsidRDefault="007D438C" w:rsidP="00A56E05">
            <w:pPr>
              <w:jc w:val="both"/>
              <w:rPr>
                <w:rFonts w:ascii="Adobe Caslon Pro" w:hAnsi="Adobe Caslon Pro" w:cs="Calibri"/>
                <w:i/>
                <w:color w:val="000000"/>
                <w:sz w:val="20"/>
                <w:szCs w:val="20"/>
                <w:lang w:eastAsia="es-MX"/>
              </w:rPr>
            </w:pPr>
          </w:p>
          <w:p w:rsidR="007D438C" w:rsidRPr="006A7C8E" w:rsidRDefault="007D438C" w:rsidP="00A56E05">
            <w:pPr>
              <w:jc w:val="both"/>
              <w:rPr>
                <w:rFonts w:ascii="Adobe Caslon Pro" w:hAnsi="Adobe Caslon Pro" w:cs="Calibri"/>
                <w:i/>
                <w:color w:val="000000"/>
                <w:sz w:val="20"/>
                <w:szCs w:val="20"/>
                <w:lang w:eastAsia="es-MX"/>
              </w:rPr>
            </w:pPr>
            <w:r w:rsidRPr="006A7C8E">
              <w:rPr>
                <w:rFonts w:ascii="Adobe Caslon Pro" w:hAnsi="Adobe Caslon Pro" w:cs="Calibri"/>
                <w:color w:val="000000"/>
                <w:sz w:val="20"/>
                <w:szCs w:val="20"/>
                <w:lang w:eastAsia="es-MX"/>
              </w:rPr>
              <w:t>EJERCICIO DE LOS RECURSOS</w:t>
            </w:r>
          </w:p>
          <w:p w:rsidR="007D438C" w:rsidRDefault="007D438C" w:rsidP="00F075EB">
            <w:pPr>
              <w:numPr>
                <w:ilvl w:val="0"/>
                <w:numId w:val="29"/>
              </w:numPr>
              <w:jc w:val="both"/>
              <w:rPr>
                <w:rFonts w:ascii="Adobe Caslon Pro" w:hAnsi="Adobe Caslon Pro" w:cs="Calibri"/>
                <w:i/>
                <w:color w:val="000000"/>
                <w:sz w:val="20"/>
                <w:szCs w:val="20"/>
                <w:lang w:eastAsia="es-MX"/>
              </w:rPr>
            </w:pPr>
            <w:r w:rsidRPr="006A7C8E">
              <w:rPr>
                <w:rFonts w:ascii="Adobe Caslon Pro" w:hAnsi="Adobe Caslon Pro" w:cs="Calibri"/>
                <w:i/>
                <w:color w:val="000000"/>
                <w:sz w:val="20"/>
                <w:szCs w:val="20"/>
                <w:lang w:eastAsia="es-MX"/>
              </w:rPr>
              <w:t>No se observa información pertinente sobre los tiempos en que debieron recibirse los</w:t>
            </w:r>
            <w:r>
              <w:rPr>
                <w:rFonts w:ascii="Adobe Caslon Pro" w:hAnsi="Adobe Caslon Pro" w:cs="Calibri"/>
                <w:i/>
                <w:color w:val="000000"/>
                <w:sz w:val="20"/>
                <w:szCs w:val="20"/>
                <w:lang w:eastAsia="es-MX"/>
              </w:rPr>
              <w:t xml:space="preserve"> </w:t>
            </w:r>
            <w:r w:rsidRPr="006A7C8E">
              <w:rPr>
                <w:rFonts w:ascii="Adobe Caslon Pro" w:hAnsi="Adobe Caslon Pro" w:cs="Calibri"/>
                <w:i/>
                <w:color w:val="000000"/>
                <w:sz w:val="20"/>
                <w:szCs w:val="20"/>
                <w:lang w:eastAsia="es-MX"/>
              </w:rPr>
              <w:t>recursos.</w:t>
            </w:r>
          </w:p>
          <w:p w:rsidR="007D438C" w:rsidRDefault="007D438C" w:rsidP="00F075EB">
            <w:pPr>
              <w:numPr>
                <w:ilvl w:val="0"/>
                <w:numId w:val="29"/>
              </w:numPr>
              <w:jc w:val="both"/>
              <w:rPr>
                <w:rFonts w:ascii="Adobe Caslon Pro" w:hAnsi="Adobe Caslon Pro" w:cs="Calibri"/>
                <w:i/>
                <w:color w:val="000000"/>
                <w:sz w:val="20"/>
                <w:szCs w:val="20"/>
                <w:lang w:eastAsia="es-MX"/>
              </w:rPr>
            </w:pPr>
            <w:r w:rsidRPr="006A7C8E">
              <w:rPr>
                <w:rFonts w:ascii="Adobe Caslon Pro" w:hAnsi="Adobe Caslon Pro" w:cs="Calibri"/>
                <w:i/>
                <w:color w:val="000000"/>
                <w:sz w:val="20"/>
                <w:szCs w:val="20"/>
                <w:lang w:eastAsia="es-MX"/>
              </w:rPr>
              <w:t>La normatividad en materia</w:t>
            </w:r>
            <w:r>
              <w:rPr>
                <w:rFonts w:ascii="Adobe Caslon Pro" w:hAnsi="Adobe Caslon Pro" w:cs="Calibri"/>
                <w:i/>
                <w:color w:val="000000"/>
                <w:sz w:val="20"/>
                <w:szCs w:val="20"/>
                <w:lang w:eastAsia="es-MX"/>
              </w:rPr>
              <w:t xml:space="preserve"> </w:t>
            </w:r>
            <w:r w:rsidRPr="006A7C8E">
              <w:rPr>
                <w:rFonts w:ascii="Adobe Caslon Pro" w:hAnsi="Adobe Caslon Pro" w:cs="Calibri"/>
                <w:i/>
                <w:color w:val="000000"/>
                <w:sz w:val="20"/>
                <w:szCs w:val="20"/>
                <w:lang w:eastAsia="es-MX"/>
              </w:rPr>
              <w:t>de transparencia se cumple</w:t>
            </w:r>
            <w:r>
              <w:rPr>
                <w:rFonts w:ascii="Adobe Caslon Pro" w:hAnsi="Adobe Caslon Pro" w:cs="Calibri"/>
                <w:i/>
                <w:color w:val="000000"/>
                <w:sz w:val="20"/>
                <w:szCs w:val="20"/>
                <w:lang w:eastAsia="es-MX"/>
              </w:rPr>
              <w:t xml:space="preserve"> </w:t>
            </w:r>
            <w:r w:rsidRPr="006A7C8E">
              <w:rPr>
                <w:rFonts w:ascii="Adobe Caslon Pro" w:hAnsi="Adobe Caslon Pro" w:cs="Calibri"/>
                <w:i/>
                <w:color w:val="000000"/>
                <w:sz w:val="20"/>
                <w:szCs w:val="20"/>
                <w:lang w:eastAsia="es-MX"/>
              </w:rPr>
              <w:t>parcialmente.</w:t>
            </w:r>
          </w:p>
          <w:p w:rsidR="007D438C" w:rsidRPr="00414B7F" w:rsidRDefault="007D438C" w:rsidP="00A56E05">
            <w:pPr>
              <w:ind w:left="720"/>
              <w:jc w:val="both"/>
              <w:rPr>
                <w:rFonts w:ascii="Adobe Caslon Pro" w:hAnsi="Adobe Caslon Pro" w:cs="Calibri"/>
                <w:i/>
                <w:color w:val="000000"/>
                <w:sz w:val="20"/>
                <w:szCs w:val="2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2.2.4 Amenazas</w:t>
            </w:r>
            <w:r>
              <w:rPr>
                <w:rFonts w:ascii="Adobe Caslon Pro" w:hAnsi="Adobe Caslon Pro" w:cs="Calibri"/>
                <w:color w:val="000000"/>
                <w:lang w:eastAsia="es-MX"/>
              </w:rPr>
              <w:t>:</w:t>
            </w:r>
          </w:p>
        </w:tc>
      </w:tr>
      <w:tr w:rsidR="007D438C" w:rsidRPr="004F6AC5"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3. Conclusiones y recomendaciones de la evaluación</w:t>
            </w:r>
          </w:p>
        </w:tc>
      </w:tr>
      <w:tr w:rsidR="007D438C" w:rsidRPr="004F6AC5" w:rsidTr="00A56E05">
        <w:trPr>
          <w:trHeight w:val="110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Default="007D438C" w:rsidP="00F075EB">
            <w:pPr>
              <w:numPr>
                <w:ilvl w:val="1"/>
                <w:numId w:val="15"/>
              </w:numPr>
              <w:rPr>
                <w:rFonts w:ascii="Adobe Caslon Pro" w:hAnsi="Adobe Caslon Pro" w:cs="Calibri"/>
                <w:color w:val="000000"/>
                <w:lang w:eastAsia="es-MX"/>
              </w:rPr>
            </w:pPr>
            <w:r w:rsidRPr="00066E84">
              <w:rPr>
                <w:rFonts w:ascii="Adobe Caslon Pro" w:hAnsi="Adobe Caslon Pro" w:cs="Calibri"/>
                <w:color w:val="000000"/>
                <w:lang w:eastAsia="es-MX"/>
              </w:rPr>
              <w:lastRenderedPageBreak/>
              <w:t>Describir brevemente las conclusiones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Default="007D438C" w:rsidP="00F075EB">
            <w:pPr>
              <w:numPr>
                <w:ilvl w:val="0"/>
                <w:numId w:val="3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w:t>
            </w:r>
            <w:r w:rsidRPr="00A86905">
              <w:rPr>
                <w:rFonts w:ascii="Adobe Caslon Pro" w:hAnsi="Adobe Caslon Pro" w:cs="Calibri"/>
                <w:i/>
                <w:color w:val="000000"/>
                <w:sz w:val="20"/>
                <w:lang w:eastAsia="es-MX"/>
              </w:rPr>
              <w:t>a principal conclusión es que, tanto el Subprograma de BÉCATE, como el de Capacitación y Profesionalización, son susceptibles de conformar un Programa Presupuestario Estatal en donde la población objetivo se pudiera agrupar en un mismo rubro como “área de enfoque”</w:t>
            </w:r>
            <w:r>
              <w:rPr>
                <w:rFonts w:ascii="Adobe Caslon Pro" w:hAnsi="Adobe Caslon Pro" w:cs="Calibri"/>
                <w:i/>
                <w:color w:val="000000"/>
                <w:sz w:val="20"/>
                <w:lang w:eastAsia="es-MX"/>
              </w:rPr>
              <w:t>.</w:t>
            </w:r>
          </w:p>
          <w:p w:rsidR="007D438C" w:rsidRDefault="007D438C" w:rsidP="00F075EB">
            <w:pPr>
              <w:numPr>
                <w:ilvl w:val="0"/>
                <w:numId w:val="3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w:t>
            </w:r>
            <w:r w:rsidRPr="00A86905">
              <w:rPr>
                <w:rFonts w:ascii="Adobe Caslon Pro" w:hAnsi="Adobe Caslon Pro" w:cs="Calibri"/>
                <w:i/>
                <w:color w:val="000000"/>
                <w:sz w:val="20"/>
                <w:lang w:eastAsia="es-MX"/>
              </w:rPr>
              <w:t>as Matrices de Indicadores fueron elaboradas en relación a las fuentes de los recursos y no como un Programa Presupuestario cuyo diseño, de acuerdo con la normatividad de la Secretaría de Hacienda Federal, el CONEVAL, y la Ley General de Contabilidad Gubernamental, se debe elaborar una matriz de indicadores por Programa Presupuestario.</w:t>
            </w:r>
          </w:p>
          <w:p w:rsidR="007D438C" w:rsidRDefault="007D438C" w:rsidP="00F075EB">
            <w:pPr>
              <w:numPr>
                <w:ilvl w:val="0"/>
                <w:numId w:val="3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w:t>
            </w:r>
            <w:r w:rsidRPr="00A86905">
              <w:rPr>
                <w:rFonts w:ascii="Adobe Caslon Pro" w:hAnsi="Adobe Caslon Pro" w:cs="Calibri"/>
                <w:i/>
                <w:color w:val="000000"/>
                <w:sz w:val="20"/>
                <w:lang w:eastAsia="es-MX"/>
              </w:rPr>
              <w:t>a falta de metas claramente definidas, así como de fuentes de información y medios de verificación, no permite conocer si los objetivos planteados en el resumen narrativo de cada matriz analizada, fueron alcanzados.</w:t>
            </w:r>
          </w:p>
          <w:p w:rsidR="007D438C" w:rsidRDefault="007D438C" w:rsidP="00F075EB">
            <w:pPr>
              <w:numPr>
                <w:ilvl w:val="0"/>
                <w:numId w:val="3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w:t>
            </w:r>
            <w:r w:rsidRPr="00A86905">
              <w:rPr>
                <w:rFonts w:ascii="Adobe Caslon Pro" w:hAnsi="Adobe Caslon Pro" w:cs="Calibri"/>
                <w:i/>
                <w:color w:val="000000"/>
                <w:sz w:val="20"/>
                <w:lang w:eastAsia="es-MX"/>
              </w:rPr>
              <w:t>a información contempla la totalidad de los recursos ejercidos, no así los costos de operación incurridos para la ejecución del Programa.</w:t>
            </w:r>
          </w:p>
          <w:p w:rsidR="007D438C" w:rsidRPr="00A86905" w:rsidRDefault="007D438C" w:rsidP="00F075EB">
            <w:pPr>
              <w:numPr>
                <w:ilvl w:val="0"/>
                <w:numId w:val="3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S</w:t>
            </w:r>
            <w:r w:rsidRPr="00A86905">
              <w:rPr>
                <w:rFonts w:ascii="Adobe Caslon Pro" w:hAnsi="Adobe Caslon Pro" w:cs="Calibri"/>
                <w:i/>
                <w:color w:val="000000"/>
                <w:sz w:val="20"/>
                <w:lang w:eastAsia="es-MX"/>
              </w:rPr>
              <w:t>e cuenta con un marco legal y normativo, y una planeación estratégica óptima, para que el Programa Presupuestario pueda ser diseñado y monitoreado de manera consistente.</w:t>
            </w:r>
          </w:p>
          <w:p w:rsidR="007D438C" w:rsidRPr="00100831" w:rsidRDefault="007D438C" w:rsidP="00A56E05">
            <w:pPr>
              <w:jc w:val="both"/>
              <w:rPr>
                <w:rFonts w:ascii="Adobe Caslon Pro" w:hAnsi="Adobe Caslon Pro" w:cs="Calibri"/>
                <w:i/>
                <w:color w:val="000000"/>
                <w:sz w:val="20"/>
                <w:szCs w:val="20"/>
                <w:lang w:eastAsia="es-MX"/>
              </w:rPr>
            </w:pPr>
          </w:p>
        </w:tc>
      </w:tr>
      <w:tr w:rsidR="007D438C" w:rsidRPr="004F6AC5" w:rsidTr="00A56E05">
        <w:trPr>
          <w:trHeight w:val="525"/>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7D438C" w:rsidRPr="00066E84" w:rsidRDefault="007D438C" w:rsidP="00F075EB">
            <w:pPr>
              <w:numPr>
                <w:ilvl w:val="1"/>
                <w:numId w:val="14"/>
              </w:numPr>
              <w:rPr>
                <w:rFonts w:ascii="Adobe Caslon Pro" w:hAnsi="Adobe Caslon Pro" w:cs="Calibri"/>
                <w:color w:val="000000"/>
                <w:lang w:eastAsia="es-MX"/>
              </w:rPr>
            </w:pPr>
            <w:r>
              <w:rPr>
                <w:rFonts w:ascii="Adobe Caslon Pro" w:hAnsi="Adobe Caslon Pro" w:cs="Calibri"/>
                <w:color w:val="000000"/>
                <w:lang w:eastAsia="es-MX"/>
              </w:rPr>
              <w:t>Describir</w:t>
            </w:r>
            <w:r w:rsidRPr="00066E84">
              <w:rPr>
                <w:rFonts w:ascii="Adobe Caslon Pro" w:hAnsi="Adobe Caslon Pro" w:cs="Calibri"/>
                <w:color w:val="000000"/>
                <w:lang w:eastAsia="es-MX"/>
              </w:rPr>
              <w:t xml:space="preserve"> las recomendaciones de acuerdo a su relevancia:</w:t>
            </w:r>
          </w:p>
        </w:tc>
      </w:tr>
      <w:tr w:rsidR="007D438C" w:rsidRPr="004F6AC5"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DISEÑO</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0B0E4A">
              <w:rPr>
                <w:rFonts w:ascii="Adobe Caslon Pro" w:hAnsi="Adobe Caslon Pro" w:cs="Calibri"/>
                <w:i/>
                <w:color w:val="000000"/>
                <w:sz w:val="20"/>
                <w:szCs w:val="20"/>
                <w:lang w:eastAsia="es-MX"/>
              </w:rPr>
              <w:t>Diseñar una Matriz de Indicadores para resultados conforme a la metodología de Marco Lógico, independientemente de la fuente de recursos, que integre BÉCATE, y Capacitación y Profesionalización; y otra Matriz para los Talleres de producción.</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0B0E4A">
              <w:rPr>
                <w:rFonts w:ascii="Adobe Caslon Pro" w:hAnsi="Adobe Caslon Pro" w:cs="Calibri"/>
                <w:i/>
                <w:color w:val="000000"/>
                <w:sz w:val="20"/>
                <w:szCs w:val="20"/>
                <w:lang w:eastAsia="es-MX"/>
              </w:rPr>
              <w:t>Atender a las reglas de redacción y sintaxis de CONEVAL y SHCP; y determinar las actividades, componentes y resultados necesarios y suficientes para la solución de la problemática a atender.</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0B0E4A">
              <w:rPr>
                <w:rFonts w:ascii="Adobe Caslon Pro" w:hAnsi="Adobe Caslon Pro" w:cs="Calibri"/>
                <w:i/>
                <w:color w:val="000000"/>
                <w:sz w:val="20"/>
                <w:szCs w:val="20"/>
                <w:lang w:eastAsia="es-MX"/>
              </w:rPr>
              <w:t>Atender a las recomendaciones de la SHCP en la elaboración de indicadores de desempeño</w:t>
            </w:r>
            <w:r>
              <w:rPr>
                <w:rFonts w:ascii="Adobe Caslon Pro" w:hAnsi="Adobe Caslon Pro" w:cs="Calibri"/>
                <w:i/>
                <w:color w:val="000000"/>
                <w:sz w:val="20"/>
                <w:szCs w:val="20"/>
                <w:lang w:eastAsia="es-MX"/>
              </w:rPr>
              <w:t>.</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0B0E4A">
              <w:rPr>
                <w:rFonts w:ascii="Adobe Caslon Pro" w:hAnsi="Adobe Caslon Pro" w:cs="Calibri"/>
                <w:i/>
                <w:color w:val="000000"/>
                <w:sz w:val="20"/>
                <w:szCs w:val="20"/>
                <w:lang w:eastAsia="es-MX"/>
              </w:rPr>
              <w:t>Indicar las fuentes de información que revelen la ubicación de los datos necesarios para calcular los indicadores; e incorporar los Medios en donde sea posible verificar el cumplimiento de las metas asociadas a los indicadores.</w:t>
            </w:r>
          </w:p>
          <w:p w:rsidR="007D438C" w:rsidRPr="000B0E4A"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Default="007D438C" w:rsidP="00F075EB">
            <w:pPr>
              <w:numPr>
                <w:ilvl w:val="0"/>
                <w:numId w:val="34"/>
              </w:numPr>
              <w:jc w:val="both"/>
              <w:rPr>
                <w:rFonts w:ascii="Adobe Caslon Pro" w:hAnsi="Adobe Caslon Pro" w:cs="Calibri"/>
                <w:i/>
                <w:color w:val="000000"/>
                <w:sz w:val="20"/>
                <w:szCs w:val="20"/>
                <w:lang w:eastAsia="es-MX"/>
              </w:rPr>
            </w:pPr>
            <w:r w:rsidRPr="00914634">
              <w:rPr>
                <w:rFonts w:ascii="Adobe Caslon Pro" w:hAnsi="Adobe Caslon Pro" w:cs="Calibri"/>
                <w:i/>
                <w:color w:val="000000"/>
                <w:sz w:val="20"/>
                <w:szCs w:val="20"/>
                <w:lang w:eastAsia="es-MX"/>
              </w:rPr>
              <w:t>Se incluya la Línea Base debido a que funge como punto de partida para evaluar y darle seguimiento a los indicadores</w:t>
            </w:r>
            <w:r>
              <w:rPr>
                <w:rFonts w:ascii="Adobe Caslon Pro" w:hAnsi="Adobe Caslon Pro" w:cs="Calibri"/>
                <w:i/>
                <w:color w:val="000000"/>
                <w:sz w:val="20"/>
                <w:szCs w:val="20"/>
                <w:lang w:eastAsia="es-MX"/>
              </w:rPr>
              <w:t>.</w:t>
            </w:r>
          </w:p>
          <w:p w:rsidR="007D438C" w:rsidRDefault="007D438C" w:rsidP="00F075EB">
            <w:pPr>
              <w:numPr>
                <w:ilvl w:val="0"/>
                <w:numId w:val="34"/>
              </w:numPr>
              <w:jc w:val="both"/>
              <w:rPr>
                <w:rFonts w:ascii="Adobe Caslon Pro" w:hAnsi="Adobe Caslon Pro" w:cs="Calibri"/>
                <w:i/>
                <w:color w:val="000000"/>
                <w:sz w:val="20"/>
                <w:szCs w:val="20"/>
                <w:lang w:eastAsia="es-MX"/>
              </w:rPr>
            </w:pPr>
            <w:r w:rsidRPr="00914634">
              <w:rPr>
                <w:rFonts w:ascii="Adobe Caslon Pro" w:hAnsi="Adobe Caslon Pro" w:cs="Calibri"/>
                <w:i/>
                <w:color w:val="000000"/>
                <w:sz w:val="20"/>
                <w:szCs w:val="20"/>
                <w:lang w:eastAsia="es-MX"/>
              </w:rPr>
              <w:t>Establecer metas por indicador, en la misma unidad de medida de éste, así como la frecuencia de medición (aplicación del indicador) de acuerdo al nivel del objetivo en la Matriz, que se esté evaluando</w:t>
            </w:r>
            <w:r>
              <w:rPr>
                <w:rFonts w:ascii="Adobe Caslon Pro" w:hAnsi="Adobe Caslon Pro" w:cs="Calibri"/>
                <w:i/>
                <w:color w:val="000000"/>
                <w:sz w:val="20"/>
                <w:szCs w:val="20"/>
                <w:lang w:eastAsia="es-MX"/>
              </w:rPr>
              <w:t>.</w:t>
            </w:r>
          </w:p>
          <w:p w:rsidR="007D438C" w:rsidRPr="00914634"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7D438C" w:rsidRDefault="007D438C" w:rsidP="00F075EB">
            <w:pPr>
              <w:numPr>
                <w:ilvl w:val="0"/>
                <w:numId w:val="35"/>
              </w:numPr>
              <w:jc w:val="both"/>
              <w:rPr>
                <w:rFonts w:ascii="Adobe Caslon Pro" w:hAnsi="Adobe Caslon Pro" w:cs="Calibri"/>
                <w:i/>
                <w:color w:val="000000"/>
                <w:sz w:val="20"/>
                <w:szCs w:val="20"/>
                <w:lang w:eastAsia="es-MX"/>
              </w:rPr>
            </w:pPr>
            <w:r w:rsidRPr="00914634">
              <w:rPr>
                <w:rFonts w:ascii="Adobe Caslon Pro" w:hAnsi="Adobe Caslon Pro" w:cs="Calibri"/>
                <w:i/>
                <w:color w:val="000000"/>
                <w:sz w:val="20"/>
                <w:szCs w:val="20"/>
                <w:lang w:eastAsia="es-MX"/>
              </w:rPr>
              <w:t>Los beneficiarios del programa deben integrarse en un solo padrón independientemente del subprograma o servicio que se esté entregando, y la información al respecto debe ser de fácil acceso y pública.</w:t>
            </w:r>
          </w:p>
          <w:p w:rsidR="007D438C" w:rsidRPr="00914634"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7D438C" w:rsidRDefault="007D438C" w:rsidP="00F075EB">
            <w:pPr>
              <w:numPr>
                <w:ilvl w:val="0"/>
                <w:numId w:val="35"/>
              </w:numPr>
              <w:jc w:val="both"/>
              <w:rPr>
                <w:rFonts w:ascii="Adobe Caslon Pro" w:hAnsi="Adobe Caslon Pro" w:cs="Calibri"/>
                <w:i/>
                <w:color w:val="000000"/>
                <w:sz w:val="20"/>
                <w:szCs w:val="20"/>
                <w:lang w:eastAsia="es-MX"/>
              </w:rPr>
            </w:pPr>
            <w:r w:rsidRPr="00914634">
              <w:rPr>
                <w:rFonts w:ascii="Adobe Caslon Pro" w:hAnsi="Adobe Caslon Pro" w:cs="Calibri"/>
                <w:i/>
                <w:color w:val="000000"/>
                <w:sz w:val="20"/>
                <w:szCs w:val="20"/>
                <w:lang w:eastAsia="es-MX"/>
              </w:rPr>
              <w:t>Es necesario establecer reglas de operación para establecer mecanismos estandarizados y adecuados en la ejecución del Programa en su conjunto.</w:t>
            </w:r>
          </w:p>
          <w:p w:rsidR="007D438C" w:rsidRDefault="007D438C" w:rsidP="00F075EB">
            <w:pPr>
              <w:numPr>
                <w:ilvl w:val="0"/>
                <w:numId w:val="35"/>
              </w:numPr>
              <w:jc w:val="both"/>
              <w:rPr>
                <w:rFonts w:ascii="Adobe Caslon Pro" w:hAnsi="Adobe Caslon Pro" w:cs="Calibri"/>
                <w:i/>
                <w:color w:val="000000"/>
                <w:sz w:val="20"/>
                <w:szCs w:val="20"/>
                <w:lang w:eastAsia="es-MX"/>
              </w:rPr>
            </w:pPr>
            <w:r w:rsidRPr="00914634">
              <w:rPr>
                <w:rFonts w:ascii="Adobe Caslon Pro" w:hAnsi="Adobe Caslon Pro" w:cs="Calibri"/>
                <w:i/>
                <w:color w:val="000000"/>
                <w:sz w:val="20"/>
                <w:szCs w:val="20"/>
                <w:lang w:eastAsia="es-MX"/>
              </w:rPr>
              <w:t>Integrar la información del Programa en su conjunto sin separarlo por componentes, y en éstos es donde es posible identificar las fuentes de financiamiento</w:t>
            </w:r>
            <w:r>
              <w:rPr>
                <w:rFonts w:ascii="Adobe Caslon Pro" w:hAnsi="Adobe Caslon Pro" w:cs="Calibri"/>
                <w:i/>
                <w:color w:val="000000"/>
                <w:sz w:val="20"/>
                <w:szCs w:val="20"/>
                <w:lang w:eastAsia="es-MX"/>
              </w:rPr>
              <w:t>.</w:t>
            </w:r>
          </w:p>
          <w:p w:rsidR="007D438C" w:rsidRDefault="007D438C" w:rsidP="00F075EB">
            <w:pPr>
              <w:numPr>
                <w:ilvl w:val="0"/>
                <w:numId w:val="35"/>
              </w:numPr>
              <w:jc w:val="both"/>
              <w:rPr>
                <w:rFonts w:ascii="Adobe Caslon Pro" w:hAnsi="Adobe Caslon Pro" w:cs="Calibri"/>
                <w:i/>
                <w:color w:val="000000"/>
                <w:sz w:val="20"/>
                <w:szCs w:val="20"/>
                <w:lang w:eastAsia="es-MX"/>
              </w:rPr>
            </w:pPr>
            <w:r w:rsidRPr="00914634">
              <w:rPr>
                <w:rFonts w:ascii="Adobe Caslon Pro" w:hAnsi="Adobe Caslon Pro" w:cs="Calibri"/>
                <w:i/>
                <w:color w:val="000000"/>
                <w:sz w:val="20"/>
                <w:szCs w:val="20"/>
                <w:lang w:eastAsia="es-MX"/>
              </w:rPr>
              <w:t>Especificar y determinar los costos operativos a los que incurre el Programa.</w:t>
            </w:r>
          </w:p>
          <w:p w:rsidR="007D438C" w:rsidRPr="00914634"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w:t>
            </w:r>
            <w:r>
              <w:rPr>
                <w:rFonts w:ascii="Adobe Caslon Pro" w:hAnsi="Adobe Caslon Pro" w:cs="Calibri"/>
                <w:color w:val="000000"/>
                <w:sz w:val="20"/>
                <w:szCs w:val="20"/>
                <w:lang w:eastAsia="es-MX"/>
              </w:rPr>
              <w:t>EPCIÓN DE LA POBLACIÓN OBJETIVO</w:t>
            </w:r>
          </w:p>
          <w:p w:rsidR="007D438C" w:rsidRDefault="007D438C" w:rsidP="00F075EB">
            <w:pPr>
              <w:numPr>
                <w:ilvl w:val="0"/>
                <w:numId w:val="36"/>
              </w:numPr>
              <w:jc w:val="both"/>
              <w:rPr>
                <w:rFonts w:ascii="Adobe Caslon Pro" w:hAnsi="Adobe Caslon Pro" w:cs="Calibri"/>
                <w:color w:val="000000"/>
                <w:sz w:val="20"/>
                <w:szCs w:val="20"/>
                <w:lang w:eastAsia="es-MX"/>
              </w:rPr>
            </w:pPr>
            <w:r w:rsidRPr="00914634">
              <w:rPr>
                <w:rFonts w:ascii="Adobe Caslon Pro" w:hAnsi="Adobe Caslon Pro" w:cs="Calibri"/>
                <w:i/>
                <w:color w:val="000000"/>
                <w:sz w:val="20"/>
                <w:szCs w:val="20"/>
                <w:lang w:eastAsia="es-MX"/>
              </w:rPr>
              <w:t>Aplicar encuestas de calidad para medir el grado de satisfacción de la población objetivo, a través de muestreos confiables</w:t>
            </w:r>
            <w:r w:rsidRPr="00914634">
              <w:rPr>
                <w:rFonts w:ascii="Adobe Caslon Pro" w:hAnsi="Adobe Caslon Pro" w:cs="Calibri"/>
                <w:color w:val="000000"/>
                <w:sz w:val="20"/>
                <w:szCs w:val="20"/>
                <w:lang w:eastAsia="es-MX"/>
              </w:rPr>
              <w:t>.</w:t>
            </w:r>
          </w:p>
          <w:p w:rsidR="007D438C" w:rsidRDefault="007D438C" w:rsidP="00A56E05">
            <w:pPr>
              <w:ind w:left="720"/>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7D438C" w:rsidRDefault="007D438C" w:rsidP="00F075EB">
            <w:pPr>
              <w:numPr>
                <w:ilvl w:val="0"/>
                <w:numId w:val="36"/>
              </w:numPr>
              <w:jc w:val="both"/>
              <w:rPr>
                <w:rFonts w:ascii="Adobe Caslon Pro" w:hAnsi="Adobe Caslon Pro" w:cs="Calibri"/>
                <w:i/>
                <w:color w:val="000000"/>
                <w:sz w:val="20"/>
                <w:szCs w:val="20"/>
                <w:lang w:eastAsia="es-MX"/>
              </w:rPr>
            </w:pPr>
            <w:r w:rsidRPr="003511D6">
              <w:rPr>
                <w:rFonts w:ascii="Adobe Caslon Pro" w:hAnsi="Adobe Caslon Pro" w:cs="Calibri"/>
                <w:i/>
                <w:color w:val="000000"/>
                <w:sz w:val="20"/>
                <w:szCs w:val="20"/>
                <w:lang w:eastAsia="es-MX"/>
              </w:rPr>
              <w:t>Programar al menos una evaluación específica del desempeño del Programa, y solicitar que ésta se realice por medios externos</w:t>
            </w:r>
            <w:r>
              <w:rPr>
                <w:rFonts w:ascii="Adobe Caslon Pro" w:hAnsi="Adobe Caslon Pro" w:cs="Calibri"/>
                <w:i/>
                <w:color w:val="000000"/>
                <w:sz w:val="20"/>
                <w:szCs w:val="20"/>
                <w:lang w:eastAsia="es-MX"/>
              </w:rPr>
              <w:t xml:space="preserve"> </w:t>
            </w:r>
            <w:r w:rsidRPr="003511D6">
              <w:rPr>
                <w:rFonts w:ascii="Adobe Caslon Pro" w:hAnsi="Adobe Caslon Pro" w:cs="Calibri"/>
                <w:i/>
                <w:color w:val="000000"/>
                <w:sz w:val="20"/>
                <w:szCs w:val="20"/>
                <w:lang w:eastAsia="es-MX"/>
              </w:rPr>
              <w:t>para que le den validez.</w:t>
            </w:r>
          </w:p>
          <w:p w:rsidR="007D438C" w:rsidRPr="003511D6" w:rsidRDefault="007D438C" w:rsidP="00F075EB">
            <w:pPr>
              <w:numPr>
                <w:ilvl w:val="0"/>
                <w:numId w:val="36"/>
              </w:numPr>
              <w:jc w:val="both"/>
              <w:rPr>
                <w:rFonts w:ascii="Adobe Caslon Pro" w:hAnsi="Adobe Caslon Pro" w:cs="Calibri"/>
                <w:i/>
                <w:color w:val="000000"/>
                <w:sz w:val="20"/>
                <w:szCs w:val="20"/>
                <w:lang w:eastAsia="es-MX"/>
              </w:rPr>
            </w:pPr>
            <w:r w:rsidRPr="003511D6">
              <w:rPr>
                <w:rFonts w:ascii="Adobe Caslon Pro" w:hAnsi="Adobe Caslon Pro" w:cs="Calibri"/>
                <w:i/>
                <w:color w:val="000000"/>
                <w:sz w:val="20"/>
                <w:szCs w:val="20"/>
                <w:lang w:eastAsia="es-MX"/>
              </w:rPr>
              <w:t>Informar los resultados obtenidos de los indicadores e incluir metas asociadas a los mismos como parámetro de comparación.</w:t>
            </w:r>
          </w:p>
          <w:p w:rsidR="007D438C" w:rsidRDefault="007D438C" w:rsidP="00A56E05">
            <w:pPr>
              <w:jc w:val="both"/>
              <w:rPr>
                <w:rFonts w:ascii="Adobe Caslon Pro" w:hAnsi="Adobe Caslon Pro" w:cs="Calibri"/>
                <w:color w:val="000000"/>
                <w:sz w:val="20"/>
                <w:szCs w:val="20"/>
                <w:lang w:eastAsia="es-MX"/>
              </w:rPr>
            </w:pPr>
          </w:p>
          <w:p w:rsidR="007D438C" w:rsidRPr="006A7C8E" w:rsidRDefault="007D438C" w:rsidP="00A56E05">
            <w:pPr>
              <w:jc w:val="both"/>
              <w:rPr>
                <w:rFonts w:ascii="Adobe Caslon Pro" w:hAnsi="Adobe Caslon Pro" w:cs="Calibri"/>
                <w:i/>
                <w:color w:val="000000"/>
                <w:sz w:val="20"/>
                <w:szCs w:val="20"/>
                <w:lang w:eastAsia="es-MX"/>
              </w:rPr>
            </w:pPr>
            <w:r w:rsidRPr="006A7C8E">
              <w:rPr>
                <w:rFonts w:ascii="Adobe Caslon Pro" w:hAnsi="Adobe Caslon Pro" w:cs="Calibri"/>
                <w:color w:val="000000"/>
                <w:sz w:val="20"/>
                <w:szCs w:val="20"/>
                <w:lang w:eastAsia="es-MX"/>
              </w:rPr>
              <w:t>EJERCICIO DE LOS RECURSOS</w:t>
            </w:r>
          </w:p>
          <w:p w:rsidR="007D438C" w:rsidRDefault="007D438C" w:rsidP="00F075EB">
            <w:pPr>
              <w:numPr>
                <w:ilvl w:val="0"/>
                <w:numId w:val="29"/>
              </w:numPr>
              <w:jc w:val="both"/>
              <w:rPr>
                <w:rFonts w:ascii="Adobe Caslon Pro" w:hAnsi="Adobe Caslon Pro" w:cs="Calibri"/>
                <w:i/>
                <w:color w:val="000000"/>
                <w:sz w:val="20"/>
                <w:szCs w:val="20"/>
                <w:lang w:eastAsia="es-MX"/>
              </w:rPr>
            </w:pPr>
            <w:r w:rsidRPr="00165DA8">
              <w:rPr>
                <w:rFonts w:ascii="Adobe Caslon Pro" w:hAnsi="Adobe Caslon Pro" w:cs="Calibri"/>
                <w:i/>
                <w:color w:val="000000"/>
                <w:sz w:val="20"/>
                <w:szCs w:val="20"/>
                <w:lang w:eastAsia="es-MX"/>
              </w:rPr>
              <w:t>Informar la calendarización de la recepción de los recursos de las diferentes fuentes de</w:t>
            </w:r>
            <w:r>
              <w:rPr>
                <w:rFonts w:ascii="Adobe Caslon Pro" w:hAnsi="Adobe Caslon Pro" w:cs="Calibri"/>
                <w:i/>
                <w:color w:val="000000"/>
                <w:sz w:val="20"/>
                <w:szCs w:val="20"/>
                <w:lang w:eastAsia="es-MX"/>
              </w:rPr>
              <w:t xml:space="preserve"> </w:t>
            </w:r>
            <w:r w:rsidRPr="00165DA8">
              <w:rPr>
                <w:rFonts w:ascii="Adobe Caslon Pro" w:hAnsi="Adobe Caslon Pro" w:cs="Calibri"/>
                <w:i/>
                <w:color w:val="000000"/>
                <w:sz w:val="20"/>
                <w:szCs w:val="20"/>
                <w:lang w:eastAsia="es-MX"/>
              </w:rPr>
              <w:t>financiamiento.</w:t>
            </w:r>
          </w:p>
          <w:p w:rsidR="007D438C" w:rsidRPr="00D66F5A" w:rsidRDefault="007D438C" w:rsidP="00F075EB">
            <w:pPr>
              <w:numPr>
                <w:ilvl w:val="0"/>
                <w:numId w:val="29"/>
              </w:numPr>
              <w:jc w:val="both"/>
              <w:rPr>
                <w:rFonts w:ascii="Adobe Caslon Pro" w:hAnsi="Adobe Caslon Pro" w:cs="Calibri"/>
                <w:i/>
                <w:color w:val="000000"/>
                <w:sz w:val="20"/>
                <w:szCs w:val="20"/>
                <w:lang w:eastAsia="es-MX"/>
              </w:rPr>
            </w:pPr>
            <w:r w:rsidRPr="00165DA8">
              <w:rPr>
                <w:rFonts w:ascii="Adobe Caslon Pro" w:hAnsi="Adobe Caslon Pro" w:cs="Calibri"/>
                <w:i/>
                <w:color w:val="000000"/>
                <w:sz w:val="20"/>
                <w:szCs w:val="20"/>
                <w:lang w:eastAsia="es-MX"/>
              </w:rPr>
              <w:t>Hacer pública en portales oficiales la información de los avances periódicos en las metas físicas y financieras del</w:t>
            </w:r>
            <w:r>
              <w:rPr>
                <w:rFonts w:ascii="Adobe Caslon Pro" w:hAnsi="Adobe Caslon Pro" w:cs="Calibri"/>
                <w:i/>
                <w:color w:val="000000"/>
                <w:sz w:val="20"/>
                <w:szCs w:val="20"/>
                <w:lang w:eastAsia="es-MX"/>
              </w:rPr>
              <w:t xml:space="preserve"> </w:t>
            </w:r>
            <w:r w:rsidRPr="00165DA8">
              <w:rPr>
                <w:rFonts w:ascii="Adobe Caslon Pro" w:hAnsi="Adobe Caslon Pro" w:cs="Calibri"/>
                <w:i/>
                <w:color w:val="000000"/>
                <w:sz w:val="20"/>
                <w:szCs w:val="20"/>
                <w:lang w:eastAsia="es-MX"/>
              </w:rPr>
              <w:t>Programa, así como el Padrón</w:t>
            </w:r>
            <w:r>
              <w:rPr>
                <w:rFonts w:ascii="Adobe Caslon Pro" w:hAnsi="Adobe Caslon Pro" w:cs="Calibri"/>
                <w:i/>
                <w:color w:val="000000"/>
                <w:sz w:val="20"/>
                <w:szCs w:val="20"/>
                <w:lang w:eastAsia="es-MX"/>
              </w:rPr>
              <w:t xml:space="preserve"> </w:t>
            </w:r>
            <w:r w:rsidRPr="00165DA8">
              <w:rPr>
                <w:rFonts w:ascii="Adobe Caslon Pro" w:hAnsi="Adobe Caslon Pro" w:cs="Calibri"/>
                <w:i/>
                <w:color w:val="000000"/>
                <w:sz w:val="20"/>
                <w:szCs w:val="20"/>
                <w:lang w:eastAsia="es-MX"/>
              </w:rPr>
              <w:t>de beneficiarios.</w:t>
            </w:r>
          </w:p>
        </w:tc>
      </w:tr>
      <w:tr w:rsidR="007D438C" w:rsidRPr="004F6AC5" w:rsidTr="00A56E05">
        <w:trPr>
          <w:trHeight w:val="105"/>
          <w:jc w:val="center"/>
        </w:trPr>
        <w:tc>
          <w:tcPr>
            <w:tcW w:w="579"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37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4.1 Nombre del coordinador de la evaluación</w:t>
            </w:r>
            <w:r>
              <w:rPr>
                <w:rFonts w:ascii="Adobe Caslon Pro" w:hAnsi="Adobe Caslon Pro" w:cs="Calibri"/>
                <w:color w:val="000000"/>
                <w:lang w:eastAsia="es-MX"/>
              </w:rPr>
              <w:t>:</w:t>
            </w:r>
          </w:p>
          <w:p w:rsidR="007D438C" w:rsidRPr="005C31CA"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Dra. Luz Elvia Rascón </w:t>
            </w:r>
            <w:proofErr w:type="spellStart"/>
            <w:r>
              <w:rPr>
                <w:rFonts w:ascii="Adobe Caslon Pro" w:hAnsi="Adobe Caslon Pro" w:cs="Calibri"/>
                <w:i/>
                <w:color w:val="000000"/>
                <w:sz w:val="20"/>
                <w:lang w:eastAsia="es-MX"/>
              </w:rPr>
              <w:t>Manquero</w:t>
            </w:r>
            <w:proofErr w:type="spellEnd"/>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4.2 Cargo</w:t>
            </w:r>
            <w:r>
              <w:rPr>
                <w:rFonts w:ascii="Adobe Caslon Pro" w:hAnsi="Adobe Caslon Pro" w:cs="Calibri"/>
                <w:color w:val="000000"/>
                <w:lang w:eastAsia="es-MX"/>
              </w:rPr>
              <w:t>:</w:t>
            </w:r>
          </w:p>
          <w:p w:rsidR="007D438C" w:rsidRPr="005C31CA"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Directora del Sistema Integral de Información</w:t>
            </w:r>
            <w:r>
              <w:t xml:space="preserve"> </w:t>
            </w:r>
            <w:r w:rsidRPr="00352B15">
              <w:rPr>
                <w:rFonts w:ascii="Adobe Caslon Pro" w:hAnsi="Adobe Caslon Pro" w:cs="Calibri"/>
                <w:i/>
                <w:color w:val="000000"/>
                <w:sz w:val="20"/>
                <w:lang w:eastAsia="es-MX"/>
              </w:rPr>
              <w:t xml:space="preserve">y Líder del proyecto de </w:t>
            </w:r>
            <w:proofErr w:type="spellStart"/>
            <w:r w:rsidRPr="00352B15">
              <w:rPr>
                <w:rFonts w:ascii="Adobe Caslon Pro" w:hAnsi="Adobe Caslon Pro" w:cs="Calibri"/>
                <w:i/>
                <w:color w:val="000000"/>
                <w:sz w:val="20"/>
                <w:lang w:eastAsia="es-MX"/>
              </w:rPr>
              <w:t>PbR</w:t>
            </w:r>
            <w:proofErr w:type="spellEnd"/>
            <w:r w:rsidRPr="00352B15">
              <w:rPr>
                <w:rFonts w:ascii="Adobe Caslon Pro" w:hAnsi="Adobe Caslon Pro" w:cs="Calibri"/>
                <w:i/>
                <w:color w:val="000000"/>
                <w:sz w:val="20"/>
                <w:lang w:eastAsia="es-MX"/>
              </w:rPr>
              <w:t xml:space="preserve"> y Evaluación del</w:t>
            </w:r>
            <w:r>
              <w:rPr>
                <w:rFonts w:ascii="Adobe Caslon Pro" w:hAnsi="Adobe Caslon Pro" w:cs="Calibri"/>
                <w:i/>
                <w:color w:val="000000"/>
                <w:sz w:val="20"/>
                <w:lang w:eastAsia="es-MX"/>
              </w:rPr>
              <w:t xml:space="preserve"> </w:t>
            </w:r>
            <w:r w:rsidRPr="00352B15">
              <w:rPr>
                <w:rFonts w:ascii="Adobe Caslon Pro" w:hAnsi="Adobe Caslon Pro" w:cs="Calibri"/>
                <w:i/>
                <w:color w:val="000000"/>
                <w:sz w:val="20"/>
                <w:lang w:eastAsia="es-MX"/>
              </w:rPr>
              <w:t>Desempeño.</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4.3 Institución a la que pertenece</w:t>
            </w:r>
            <w:r>
              <w:rPr>
                <w:rFonts w:ascii="Adobe Caslon Pro" w:hAnsi="Adobe Caslon Pro" w:cs="Calibri"/>
                <w:color w:val="000000"/>
                <w:lang w:eastAsia="es-MX"/>
              </w:rPr>
              <w:t>:</w:t>
            </w:r>
            <w:r w:rsidRPr="00066E84">
              <w:rPr>
                <w:rFonts w:ascii="Adobe Caslon Pro" w:hAnsi="Adobe Caslon Pro" w:cs="Calibri"/>
                <w:color w:val="000000"/>
                <w:lang w:eastAsia="es-MX"/>
              </w:rPr>
              <w:t xml:space="preserve">  </w:t>
            </w:r>
          </w:p>
          <w:p w:rsidR="007D438C" w:rsidRPr="00DF7C94" w:rsidRDefault="007D438C" w:rsidP="00A56E05">
            <w:pPr>
              <w:rPr>
                <w:rFonts w:ascii="Adobe Caslon Pro" w:hAnsi="Adobe Caslon Pro" w:cs="Calibri"/>
                <w:i/>
                <w:color w:val="000000"/>
                <w:lang w:eastAsia="es-MX"/>
              </w:rPr>
            </w:pPr>
            <w:r w:rsidRPr="00DF7C94">
              <w:rPr>
                <w:rFonts w:ascii="Adobe Caslon Pro" w:hAnsi="Adobe Caslon Pro" w:cs="Calibri"/>
                <w:i/>
                <w:color w:val="000000"/>
                <w:sz w:val="20"/>
                <w:lang w:eastAsia="es-MX"/>
              </w:rPr>
              <w:t>Instituto para el Desarrollo Técnico de las Haciendas Públicas (INDETEC)</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4.4 Principales colaboradores</w:t>
            </w:r>
            <w:r>
              <w:rPr>
                <w:rFonts w:ascii="Adobe Caslon Pro" w:hAnsi="Adobe Caslon Pro" w:cs="Calibri"/>
                <w:color w:val="000000"/>
                <w:lang w:eastAsia="es-MX"/>
              </w:rPr>
              <w:t>:</w:t>
            </w:r>
          </w:p>
          <w:p w:rsidR="007D438C" w:rsidRPr="00DF7C94"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L.C. Angélica Méndez Magaña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4.5 Correo electrónico del coordinador de la evaluación</w:t>
            </w:r>
            <w:r>
              <w:rPr>
                <w:rFonts w:ascii="Adobe Caslon Pro" w:hAnsi="Adobe Caslon Pro" w:cs="Calibri"/>
                <w:color w:val="000000"/>
                <w:lang w:eastAsia="es-MX"/>
              </w:rPr>
              <w:t>:</w:t>
            </w:r>
          </w:p>
          <w:p w:rsidR="007D438C" w:rsidRPr="00335A49" w:rsidRDefault="007D438C" w:rsidP="00A56E05">
            <w:pPr>
              <w:rPr>
                <w:rFonts w:ascii="Adobe Caslon Pro" w:hAnsi="Adobe Caslon Pro" w:cs="Calibri"/>
                <w:color w:val="000000"/>
                <w:lang w:eastAsia="es-MX"/>
              </w:rPr>
            </w:pPr>
            <w:r w:rsidRPr="00335A49">
              <w:rPr>
                <w:rFonts w:ascii="Adobe Caslon Pro" w:hAnsi="Adobe Caslon Pro" w:cs="Calibri"/>
                <w:i/>
                <w:color w:val="000000"/>
                <w:sz w:val="20"/>
                <w:u w:val="single"/>
                <w:lang w:eastAsia="es-MX"/>
              </w:rPr>
              <w:t>lrasconm@indetec.gob.mx</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4.6 Teléfono (con clave lada)</w:t>
            </w:r>
            <w:r>
              <w:rPr>
                <w:rFonts w:ascii="Adobe Caslon Pro" w:hAnsi="Adobe Caslon Pro" w:cs="Calibri"/>
                <w:color w:val="000000"/>
                <w:lang w:eastAsia="es-MX"/>
              </w:rPr>
              <w:t>:</w:t>
            </w:r>
          </w:p>
          <w:p w:rsidR="007D438C" w:rsidRPr="00DF7C94"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01 (33) 36695550 al 59 E</w:t>
            </w:r>
            <w:r w:rsidRPr="007D5771">
              <w:rPr>
                <w:rFonts w:ascii="Adobe Caslon Pro" w:hAnsi="Adobe Caslon Pro" w:cs="Calibri"/>
                <w:i/>
                <w:color w:val="000000"/>
                <w:sz w:val="20"/>
                <w:lang w:eastAsia="es-MX"/>
              </w:rPr>
              <w:t>xt. 139 y 155</w:t>
            </w:r>
          </w:p>
        </w:tc>
      </w:tr>
      <w:tr w:rsidR="007D438C" w:rsidRPr="004F6AC5" w:rsidTr="00A56E05">
        <w:trPr>
          <w:trHeight w:val="75"/>
          <w:jc w:val="center"/>
        </w:trPr>
        <w:tc>
          <w:tcPr>
            <w:tcW w:w="999"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5.1 Nombre de</w:t>
            </w:r>
            <w:r>
              <w:rPr>
                <w:rFonts w:ascii="Adobe Caslon Pro" w:hAnsi="Adobe Caslon Pro" w:cs="Calibri"/>
                <w:color w:val="000000"/>
                <w:lang w:eastAsia="es-MX"/>
              </w:rPr>
              <w:t>l (los) programa(s) evaluado(s):</w:t>
            </w:r>
          </w:p>
          <w:p w:rsidR="007D438C" w:rsidRPr="009B0D97" w:rsidRDefault="007D438C" w:rsidP="00A56E05">
            <w:p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Programa de Capacitación y Profesionalización del Sector Laboral</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5.2 Siglas</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5.3 Ente público coordinador del (los) programa(s)</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B33A80" w:rsidRDefault="007D438C" w:rsidP="00A56E05">
            <w:pPr>
              <w:rPr>
                <w:rFonts w:ascii="Adobe Caslon Pro" w:hAnsi="Adobe Caslon Pro" w:cs="Calibri"/>
                <w:i/>
                <w:color w:val="000000"/>
                <w:sz w:val="20"/>
                <w:szCs w:val="20"/>
                <w:lang w:eastAsia="es-MX"/>
              </w:rPr>
            </w:pPr>
            <w:r>
              <w:rPr>
                <w:rFonts w:ascii="Adobe Caslon Pro" w:hAnsi="Adobe Caslon Pro" w:cs="Calibri"/>
                <w:i/>
                <w:color w:val="000000"/>
                <w:sz w:val="20"/>
                <w:lang w:eastAsia="es-MX"/>
              </w:rPr>
              <w:t>Secretaría del Trabajo (SETRAO)</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5.4 Poder público al que pertenece(n) el(los) programa(s)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Pr>
                <w:rFonts w:ascii="Adobe Caslon Pro" w:hAnsi="Adobe Caslon Pro" w:cs="Calibri"/>
                <w:color w:val="000000"/>
                <w:lang w:eastAsia="es-MX"/>
              </w:rPr>
              <w:t xml:space="preserve">Poder </w:t>
            </w:r>
            <w:proofErr w:type="spellStart"/>
            <w:r>
              <w:rPr>
                <w:rFonts w:ascii="Adobe Caslon Pro" w:hAnsi="Adobe Caslon Pro" w:cs="Calibri"/>
                <w:color w:val="000000"/>
                <w:lang w:eastAsia="es-MX"/>
              </w:rPr>
              <w:t>Ejecutivo_X</w:t>
            </w:r>
            <w:proofErr w:type="spellEnd"/>
            <w:r>
              <w:rPr>
                <w:rFonts w:ascii="Adobe Caslon Pro" w:hAnsi="Adobe Caslon Pro" w:cs="Calibri"/>
                <w:color w:val="000000"/>
                <w:lang w:eastAsia="es-MX"/>
              </w:rPr>
              <w:t>__   Poder Legislativo___   Poder Judicial___  Ente Autónomo___</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5.5 Ámbito gubernamental al que pertenece(n) el(los) programa(s)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Pr>
                <w:rFonts w:ascii="Adobe Caslon Pro" w:hAnsi="Adobe Caslon Pro" w:cs="Calibri"/>
                <w:color w:val="000000"/>
                <w:lang w:eastAsia="es-MX"/>
              </w:rPr>
              <w:t>Federal_</w:t>
            </w:r>
            <w:r>
              <w:rPr>
                <w:rFonts w:ascii="Adobe Caslon Pro" w:hAnsi="Adobe Caslon Pro" w:cs="Calibri"/>
                <w:color w:val="000000"/>
                <w:u w:val="single"/>
                <w:lang w:eastAsia="es-MX"/>
              </w:rPr>
              <w:t>_</w:t>
            </w:r>
            <w:r>
              <w:rPr>
                <w:rFonts w:ascii="Adobe Caslon Pro" w:hAnsi="Adobe Caslon Pro" w:cs="Calibri"/>
                <w:color w:val="000000"/>
                <w:lang w:eastAsia="es-MX"/>
              </w:rPr>
              <w:t xml:space="preserve">_       </w:t>
            </w:r>
            <w:proofErr w:type="spellStart"/>
            <w:r>
              <w:rPr>
                <w:rFonts w:ascii="Adobe Caslon Pro" w:hAnsi="Adobe Caslon Pro" w:cs="Calibri"/>
                <w:color w:val="000000"/>
                <w:lang w:eastAsia="es-MX"/>
              </w:rPr>
              <w:t>Estatal_X</w:t>
            </w:r>
            <w:proofErr w:type="spellEnd"/>
            <w:r>
              <w:rPr>
                <w:rFonts w:ascii="Adobe Caslon Pro" w:hAnsi="Adobe Caslon Pro" w:cs="Calibri"/>
                <w:color w:val="000000"/>
                <w:lang w:eastAsia="es-MX"/>
              </w:rPr>
              <w:t>__     Local___</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A6AC6">
              <w:rPr>
                <w:rFonts w:ascii="Adobe Caslon Pro" w:hAnsi="Adobe Caslon Pro" w:cs="Calibri"/>
                <w:color w:val="000000"/>
                <w:lang w:eastAsia="es-MX"/>
              </w:rPr>
              <w:t>5.6 Nombre de la(s) unidad(es) administrativa(s) y de (los) titular(es) a cargo del (los) programa(s):</w:t>
            </w:r>
          </w:p>
        </w:tc>
      </w:tr>
      <w:tr w:rsidR="007D438C" w:rsidRPr="004F6AC5"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7D438C" w:rsidRPr="00066E84" w:rsidRDefault="007D438C" w:rsidP="00A56E05">
            <w:pPr>
              <w:rPr>
                <w:rFonts w:ascii="Adobe Caslon Pro" w:hAnsi="Adobe Caslon Pro" w:cs="Calibri"/>
                <w:color w:val="000000"/>
                <w:lang w:eastAsia="es-MX"/>
              </w:rPr>
            </w:pPr>
            <w:r w:rsidRPr="007C224C">
              <w:rPr>
                <w:rFonts w:ascii="Adobe Caslon Pro" w:hAnsi="Adobe Caslon Pro" w:cs="Calibri"/>
                <w:color w:val="000000"/>
                <w:lang w:eastAsia="es-MX"/>
              </w:rPr>
              <w:t>5.6.1 Nombre(s) de la(s) unidad(es) administrativa(s) a cargo de (los) programa(s):</w:t>
            </w:r>
          </w:p>
        </w:tc>
      </w:tr>
      <w:tr w:rsidR="007D438C"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7D438C" w:rsidRPr="00385F2B" w:rsidRDefault="007D438C" w:rsidP="00A56E05">
            <w:pPr>
              <w:rPr>
                <w:rFonts w:ascii="Adobe Caslon Pro" w:hAnsi="Adobe Caslon Pro" w:cs="Calibri"/>
                <w:i/>
                <w:color w:val="000000"/>
                <w:sz w:val="20"/>
                <w:szCs w:val="20"/>
                <w:lang w:eastAsia="es-MX"/>
              </w:rPr>
            </w:pPr>
            <w:r>
              <w:rPr>
                <w:rFonts w:ascii="Adobe Caslon Pro" w:hAnsi="Adobe Caslon Pro" w:cs="Calibri"/>
                <w:i/>
                <w:color w:val="000000"/>
                <w:sz w:val="20"/>
                <w:lang w:eastAsia="es-MX"/>
              </w:rPr>
              <w:t>Secretaría del Trabajo (SETRAO)</w:t>
            </w:r>
          </w:p>
        </w:tc>
      </w:tr>
      <w:tr w:rsidR="007D438C"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D438C" w:rsidRPr="00066E84" w:rsidRDefault="007D438C" w:rsidP="00A56E05">
            <w:pPr>
              <w:rPr>
                <w:rFonts w:ascii="Adobe Caslon Pro" w:hAnsi="Adobe Caslon Pro" w:cs="Calibri"/>
                <w:color w:val="000000"/>
                <w:lang w:eastAsia="es-MX"/>
              </w:rPr>
            </w:pPr>
            <w:r w:rsidRPr="000A6AC6">
              <w:rPr>
                <w:rFonts w:ascii="Adobe Caslon Pro" w:hAnsi="Adobe Caslon Pro" w:cs="Calibri"/>
                <w:color w:val="000000"/>
                <w:lang w:eastAsia="es-MX"/>
              </w:rPr>
              <w:lastRenderedPageBreak/>
              <w:t>5.6.2 Nombre(s) de (los) titular(es) de la(s) unidad(es) administrativa(s) a cargo de (los) programa(s) (nombre completo, correo electrónico y teléfono con clave lada):</w:t>
            </w:r>
          </w:p>
        </w:tc>
      </w:tr>
      <w:tr w:rsidR="007D438C" w:rsidRPr="004F6AC5"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Nombre:</w:t>
            </w:r>
          </w:p>
          <w:p w:rsidR="007D438C" w:rsidRDefault="007D438C" w:rsidP="00A56E05">
            <w:pPr>
              <w:rPr>
                <w:rFonts w:ascii="Adobe Caslon Pro" w:hAnsi="Adobe Caslon Pro" w:cs="Calibri"/>
                <w:i/>
                <w:color w:val="000000"/>
                <w:sz w:val="20"/>
                <w:szCs w:val="20"/>
                <w:lang w:eastAsia="es-MX"/>
              </w:rPr>
            </w:pPr>
            <w:r w:rsidRPr="00DD12C4">
              <w:rPr>
                <w:rFonts w:ascii="Adobe Caslon Pro" w:hAnsi="Adobe Caslon Pro" w:cs="Calibri"/>
                <w:i/>
                <w:color w:val="000000"/>
                <w:sz w:val="20"/>
                <w:szCs w:val="20"/>
                <w:lang w:eastAsia="es-MX"/>
              </w:rPr>
              <w:t xml:space="preserve">Lic. </w:t>
            </w:r>
            <w:r>
              <w:rPr>
                <w:rFonts w:ascii="Adobe Caslon Pro" w:hAnsi="Adobe Caslon Pro" w:cs="Calibri"/>
                <w:i/>
                <w:color w:val="000000"/>
                <w:sz w:val="20"/>
                <w:szCs w:val="20"/>
                <w:lang w:eastAsia="es-MX"/>
              </w:rPr>
              <w:t>Daniel Juárez López</w:t>
            </w:r>
            <w:r w:rsidRPr="00DD12C4">
              <w:rPr>
                <w:rFonts w:ascii="Adobe Caslon Pro" w:hAnsi="Adobe Caslon Pro" w:cs="Calibri"/>
                <w:i/>
                <w:color w:val="000000"/>
                <w:sz w:val="20"/>
                <w:szCs w:val="20"/>
                <w:lang w:eastAsia="es-MX"/>
              </w:rPr>
              <w:t xml:space="preserve"> </w:t>
            </w:r>
          </w:p>
          <w:p w:rsidR="007D438C" w:rsidRDefault="007D438C" w:rsidP="00A56E05">
            <w:pPr>
              <w:rPr>
                <w:rFonts w:ascii="Adobe Caslon Pro" w:hAnsi="Adobe Caslon Pro" w:cs="Calibri"/>
                <w:i/>
                <w:color w:val="000000"/>
                <w:sz w:val="20"/>
                <w:szCs w:val="20"/>
                <w:lang w:eastAsia="es-MX"/>
              </w:rPr>
            </w:pPr>
            <w:r w:rsidRPr="00642484">
              <w:rPr>
                <w:rFonts w:ascii="Adobe Caslon Pro" w:hAnsi="Adobe Caslon Pro" w:cs="Calibri"/>
                <w:i/>
                <w:color w:val="000000"/>
                <w:sz w:val="20"/>
                <w:szCs w:val="20"/>
                <w:lang w:eastAsia="es-MX"/>
              </w:rPr>
              <w:t xml:space="preserve">Tel. </w:t>
            </w:r>
            <w:r>
              <w:rPr>
                <w:rFonts w:ascii="Adobe Caslon Pro" w:hAnsi="Adobe Caslon Pro" w:cs="Calibri"/>
                <w:i/>
                <w:color w:val="000000"/>
                <w:sz w:val="20"/>
                <w:szCs w:val="20"/>
                <w:lang w:eastAsia="es-MX"/>
              </w:rPr>
              <w:t>01 (951) 5018120 Ext. 202</w:t>
            </w:r>
          </w:p>
          <w:p w:rsidR="007D438C" w:rsidRDefault="007D438C"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danieljuarez@oaxaca.gob.mx</w:t>
            </w:r>
          </w:p>
          <w:p w:rsidR="007D438C" w:rsidRPr="00954D59" w:rsidRDefault="007D438C" w:rsidP="00A56E05">
            <w:pPr>
              <w:rPr>
                <w:rFonts w:ascii="Adobe Caslon Pro" w:hAnsi="Adobe Caslon Pro" w:cs="Calibri"/>
                <w:i/>
                <w:color w:val="000000"/>
                <w:sz w:val="20"/>
                <w:szCs w:val="20"/>
                <w:lang w:eastAsia="es-MX"/>
              </w:rPr>
            </w:pP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Unidad administrativa:</w:t>
            </w:r>
          </w:p>
          <w:p w:rsidR="007D438C" w:rsidRPr="00066E84" w:rsidRDefault="007D438C" w:rsidP="00A56E05">
            <w:pPr>
              <w:rPr>
                <w:rFonts w:ascii="Adobe Caslon Pro" w:hAnsi="Adobe Caslon Pro" w:cs="Calibri"/>
                <w:color w:val="000000"/>
                <w:lang w:eastAsia="es-MX"/>
              </w:rPr>
            </w:pPr>
            <w:r>
              <w:rPr>
                <w:rFonts w:ascii="Adobe Caslon Pro" w:hAnsi="Adobe Caslon Pro" w:cs="Calibri"/>
                <w:i/>
                <w:color w:val="000000"/>
                <w:sz w:val="20"/>
                <w:szCs w:val="20"/>
                <w:lang w:eastAsia="es-MX"/>
              </w:rPr>
              <w:t>Secretaría del Trabajo (SETRAO)</w:t>
            </w:r>
          </w:p>
        </w:tc>
      </w:tr>
      <w:tr w:rsidR="007D438C" w:rsidRPr="004F6AC5" w:rsidTr="00A56E05">
        <w:trPr>
          <w:trHeight w:val="165"/>
          <w:jc w:val="center"/>
        </w:trPr>
        <w:tc>
          <w:tcPr>
            <w:tcW w:w="999" w:type="dxa"/>
            <w:gridSpan w:val="2"/>
            <w:tcBorders>
              <w:top w:val="nil"/>
              <w:left w:val="nil"/>
              <w:bottom w:val="nil"/>
              <w:right w:val="nil"/>
            </w:tcBorders>
            <w:shd w:val="clear" w:color="auto" w:fill="auto"/>
            <w:hideMark/>
          </w:tcPr>
          <w:p w:rsidR="007D438C" w:rsidRPr="00066E84" w:rsidRDefault="007D438C" w:rsidP="00A56E05">
            <w:pPr>
              <w:jc w:val="right"/>
              <w:rPr>
                <w:rFonts w:ascii="Adobe Caslon Pro" w:hAnsi="Adobe Caslon Pro" w:cs="Calibri"/>
                <w:color w:val="000000"/>
                <w:lang w:eastAsia="es-MX"/>
              </w:rPr>
            </w:pPr>
          </w:p>
        </w:tc>
        <w:tc>
          <w:tcPr>
            <w:tcW w:w="3266" w:type="dxa"/>
            <w:gridSpan w:val="2"/>
            <w:tcBorders>
              <w:top w:val="nil"/>
              <w:left w:val="nil"/>
              <w:bottom w:val="nil"/>
              <w:right w:val="nil"/>
            </w:tcBorders>
            <w:shd w:val="clear" w:color="auto" w:fill="auto"/>
            <w:hideMark/>
          </w:tcPr>
          <w:p w:rsidR="007D438C" w:rsidRPr="00066E84" w:rsidRDefault="007D438C" w:rsidP="00A56E05">
            <w:pPr>
              <w:jc w:val="right"/>
              <w:rPr>
                <w:rFonts w:ascii="Adobe Caslon Pro" w:hAnsi="Adobe Caslon Pro" w:cs="Calibri"/>
                <w:color w:val="000000"/>
                <w:lang w:eastAsia="es-MX"/>
              </w:rPr>
            </w:pPr>
          </w:p>
        </w:tc>
        <w:tc>
          <w:tcPr>
            <w:tcW w:w="160" w:type="dxa"/>
            <w:tcBorders>
              <w:top w:val="nil"/>
              <w:left w:val="nil"/>
              <w:bottom w:val="nil"/>
              <w:right w:val="nil"/>
            </w:tcBorders>
            <w:shd w:val="clear" w:color="auto" w:fill="auto"/>
            <w:hideMark/>
          </w:tcPr>
          <w:p w:rsidR="007D438C" w:rsidRPr="00066E84" w:rsidRDefault="007D438C" w:rsidP="00A56E05">
            <w:pPr>
              <w:rPr>
                <w:rFonts w:ascii="Adobe Caslon Pro" w:hAnsi="Adobe Caslon Pro" w:cs="Calibri"/>
                <w:color w:val="000000"/>
                <w:lang w:eastAsia="es-MX"/>
              </w:rPr>
            </w:pPr>
          </w:p>
        </w:tc>
        <w:tc>
          <w:tcPr>
            <w:tcW w:w="2526" w:type="dxa"/>
            <w:gridSpan w:val="4"/>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c>
          <w:tcPr>
            <w:tcW w:w="1325" w:type="dxa"/>
            <w:gridSpan w:val="3"/>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c>
          <w:tcPr>
            <w:tcW w:w="1160" w:type="dxa"/>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r>
      <w:tr w:rsidR="007D438C"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6.1 Tipo de contratación:</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6561A1">
              <w:rPr>
                <w:rFonts w:ascii="Adobe Caslon Pro" w:hAnsi="Adobe Caslon Pro" w:cs="Calibri"/>
                <w:color w:val="000000"/>
                <w:lang w:eastAsia="es-MX"/>
              </w:rPr>
              <w:t>6.1.1 Adjudicación Directa</w:t>
            </w:r>
            <w:r>
              <w:rPr>
                <w:rFonts w:ascii="Adobe Caslon Pro" w:hAnsi="Adobe Caslon Pro" w:cs="Calibri"/>
                <w:color w:val="000000"/>
                <w:lang w:eastAsia="es-MX"/>
              </w:rPr>
              <w:t xml:space="preserve">__  </w:t>
            </w:r>
            <w:r w:rsidRPr="006561A1">
              <w:rPr>
                <w:rFonts w:ascii="Adobe Caslon Pro" w:hAnsi="Adobe Caslon Pro" w:cs="Calibri"/>
                <w:color w:val="000000"/>
                <w:lang w:eastAsia="es-MX"/>
              </w:rPr>
              <w:t>6.1.2 Invitación a tres</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6.1.3 Licitación Pública Nacional</w:t>
            </w:r>
            <w:r>
              <w:rPr>
                <w:rFonts w:ascii="Adobe Caslon Pro" w:hAnsi="Adobe Caslon Pro" w:cs="Calibri"/>
                <w:color w:val="000000"/>
                <w:lang w:eastAsia="es-MX"/>
              </w:rPr>
              <w:t>___</w:t>
            </w:r>
          </w:p>
          <w:p w:rsidR="007D438C" w:rsidRPr="00066E84" w:rsidRDefault="007D438C" w:rsidP="00A56E05">
            <w:pPr>
              <w:rPr>
                <w:rFonts w:ascii="Adobe Caslon Pro" w:hAnsi="Adobe Caslon Pro" w:cs="Calibri"/>
                <w:color w:val="000000"/>
                <w:lang w:eastAsia="es-MX"/>
              </w:rPr>
            </w:pPr>
            <w:r w:rsidRPr="006561A1">
              <w:rPr>
                <w:rFonts w:ascii="Adobe Caslon Pro" w:hAnsi="Adobe Caslon Pro" w:cs="Calibri"/>
                <w:color w:val="000000"/>
                <w:lang w:eastAsia="es-MX"/>
              </w:rPr>
              <w:t>6.1.4 Licitación Pública Internacional</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6.1.5 Otro: (Señalar)</w:t>
            </w:r>
            <w:r w:rsidRPr="009C27B5">
              <w:rPr>
                <w:rFonts w:ascii="Adobe Caslon Pro" w:hAnsi="Adobe Caslon Pro" w:cs="Calibri"/>
                <w:i/>
                <w:color w:val="000000"/>
                <w:u w:val="single"/>
                <w:lang w:eastAsia="es-MX"/>
              </w:rPr>
              <w:t xml:space="preserve"> </w:t>
            </w:r>
            <w:r w:rsidRPr="009C27B5">
              <w:rPr>
                <w:rFonts w:ascii="Adobe Caslon Pro" w:hAnsi="Adobe Caslon Pro" w:cs="Calibri"/>
                <w:i/>
                <w:color w:val="000000"/>
                <w:sz w:val="20"/>
                <w:szCs w:val="20"/>
                <w:u w:val="single"/>
                <w:lang w:eastAsia="es-MX"/>
              </w:rPr>
              <w:t>Convenio de colaboración institucional.</w:t>
            </w:r>
          </w:p>
        </w:tc>
      </w:tr>
      <w:tr w:rsidR="007D438C" w:rsidRPr="004F6AC5"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6.2</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Unidad administrativa responsable de contratar la evaluación</w:t>
            </w:r>
            <w:r>
              <w:rPr>
                <w:rFonts w:ascii="Adobe Caslon Pro" w:hAnsi="Adobe Caslon Pro" w:cs="Calibri"/>
                <w:color w:val="000000"/>
                <w:lang w:eastAsia="es-MX"/>
              </w:rPr>
              <w:t>:</w:t>
            </w:r>
          </w:p>
          <w:p w:rsidR="007D438C" w:rsidRPr="009053D3" w:rsidRDefault="007D438C" w:rsidP="00A56E05">
            <w:pPr>
              <w:rPr>
                <w:rFonts w:ascii="Adobe Caslon Pro" w:hAnsi="Adobe Caslon Pro" w:cs="Calibri"/>
                <w:i/>
                <w:color w:val="000000"/>
                <w:lang w:eastAsia="es-MX"/>
              </w:rPr>
            </w:pPr>
            <w:r w:rsidRPr="009053D3">
              <w:rPr>
                <w:rFonts w:ascii="Adobe Caslon Pro" w:hAnsi="Adobe Caslon Pro" w:cs="Calibri"/>
                <w:i/>
                <w:color w:val="000000"/>
                <w:sz w:val="20"/>
                <w:lang w:eastAsia="es-MX"/>
              </w:rPr>
              <w:t>Jefatura de la Gubernatura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6.3</w:t>
            </w:r>
            <w:r>
              <w:rPr>
                <w:rFonts w:ascii="Times New Roman" w:hAnsi="Times New Roman"/>
                <w:color w:val="000000"/>
                <w:sz w:val="14"/>
                <w:szCs w:val="14"/>
                <w:lang w:eastAsia="es-MX"/>
              </w:rPr>
              <w:t> </w:t>
            </w:r>
            <w:r w:rsidRPr="00066E84">
              <w:rPr>
                <w:rFonts w:ascii="Adobe Caslon Pro" w:hAnsi="Adobe Caslon Pro" w:cs="Calibri"/>
                <w:color w:val="000000"/>
                <w:lang w:eastAsia="es-MX"/>
              </w:rPr>
              <w:t>Costo total de la evaluación</w:t>
            </w:r>
            <w:r>
              <w:rPr>
                <w:rFonts w:ascii="Adobe Caslon Pro" w:hAnsi="Adobe Caslon Pro" w:cs="Calibri"/>
                <w:color w:val="000000"/>
                <w:lang w:eastAsia="es-MX"/>
              </w:rPr>
              <w:t xml:space="preserve">: </w:t>
            </w:r>
            <w:r w:rsidRPr="00B54BD0">
              <w:rPr>
                <w:rFonts w:ascii="Adobe Caslon Pro" w:hAnsi="Adobe Caslon Pro" w:cs="Calibri"/>
                <w:i/>
                <w:color w:val="000000"/>
                <w:sz w:val="20"/>
                <w:szCs w:val="20"/>
                <w:lang w:eastAsia="es-MX"/>
              </w:rPr>
              <w:t>$1,</w:t>
            </w:r>
            <w:r>
              <w:rPr>
                <w:rFonts w:ascii="Adobe Caslon Pro" w:hAnsi="Adobe Caslon Pro" w:cs="Calibri"/>
                <w:i/>
                <w:color w:val="000000"/>
                <w:sz w:val="20"/>
                <w:szCs w:val="20"/>
                <w:lang w:eastAsia="es-MX"/>
              </w:rPr>
              <w:t xml:space="preserve"> </w:t>
            </w:r>
            <w:r w:rsidRPr="00B54BD0">
              <w:rPr>
                <w:rFonts w:ascii="Adobe Caslon Pro" w:hAnsi="Adobe Caslon Pro" w:cs="Calibri"/>
                <w:i/>
                <w:color w:val="000000"/>
                <w:sz w:val="20"/>
                <w:szCs w:val="20"/>
                <w:lang w:eastAsia="es-MX"/>
              </w:rPr>
              <w:t xml:space="preserve">310,00.00 (Un millón trescientos diez mil pesos 00/100 M.N.) </w:t>
            </w:r>
            <w:r>
              <w:rPr>
                <w:rFonts w:ascii="Adobe Caslon Pro" w:hAnsi="Adobe Caslon Pro" w:cs="Calibri"/>
                <w:i/>
                <w:color w:val="000000"/>
                <w:sz w:val="20"/>
                <w:szCs w:val="20"/>
                <w:lang w:eastAsia="es-MX"/>
              </w:rPr>
              <w:t>Incluye</w:t>
            </w:r>
            <w:r w:rsidRPr="00E7741C">
              <w:rPr>
                <w:rFonts w:ascii="Adobe Caslon Pro" w:hAnsi="Adobe Caslon Pro" w:cs="Calibri"/>
                <w:i/>
                <w:color w:val="000000"/>
                <w:sz w:val="20"/>
                <w:szCs w:val="20"/>
                <w:lang w:eastAsia="es-MX"/>
              </w:rPr>
              <w:t xml:space="preserve"> IVA. El costo </w:t>
            </w:r>
            <w:r>
              <w:rPr>
                <w:rFonts w:ascii="Adobe Caslon Pro" w:hAnsi="Adobe Caslon Pro" w:cs="Calibri"/>
                <w:i/>
                <w:color w:val="000000"/>
                <w:sz w:val="20"/>
                <w:szCs w:val="20"/>
                <w:lang w:eastAsia="es-MX"/>
              </w:rPr>
              <w:t>corresponde a</w:t>
            </w:r>
            <w:r w:rsidRPr="00E7741C">
              <w:rPr>
                <w:rFonts w:ascii="Adobe Caslon Pro" w:hAnsi="Adobe Caslon Pro" w:cs="Calibri"/>
                <w:i/>
                <w:color w:val="000000"/>
                <w:sz w:val="20"/>
                <w:szCs w:val="20"/>
                <w:lang w:eastAsia="es-MX"/>
              </w:rPr>
              <w:t xml:space="preserve"> la evaluación </w:t>
            </w:r>
            <w:r>
              <w:rPr>
                <w:rFonts w:ascii="Adobe Caslon Pro" w:hAnsi="Adobe Caslon Pro" w:cs="Calibri"/>
                <w:i/>
                <w:color w:val="000000"/>
                <w:sz w:val="20"/>
                <w:szCs w:val="20"/>
                <w:lang w:eastAsia="es-MX"/>
              </w:rPr>
              <w:t>de diez programas estatales</w:t>
            </w:r>
            <w:r w:rsidRPr="00B54BD0">
              <w:rPr>
                <w:rFonts w:ascii="Adobe Caslon Pro" w:hAnsi="Adobe Caslon Pro" w:cs="Calibri"/>
                <w:i/>
                <w:color w:val="000000"/>
                <w:sz w:val="20"/>
                <w:szCs w:val="2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6.4</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 xml:space="preserve">Fuente de Financiamiento </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385154" w:rsidRDefault="007D438C" w:rsidP="00A56E05">
            <w:pPr>
              <w:rPr>
                <w:rFonts w:ascii="Adobe Caslon Pro" w:hAnsi="Adobe Caslon Pro" w:cs="Calibri"/>
                <w:i/>
                <w:color w:val="000000"/>
                <w:lang w:eastAsia="es-MX"/>
              </w:rPr>
            </w:pPr>
            <w:r w:rsidRPr="00385154">
              <w:rPr>
                <w:rFonts w:ascii="Adobe Caslon Pro" w:hAnsi="Adobe Caslon Pro" w:cs="Calibri"/>
                <w:i/>
                <w:color w:val="000000"/>
                <w:sz w:val="20"/>
                <w:lang w:eastAsia="es-MX"/>
              </w:rPr>
              <w:t>Recursos Fiscales</w:t>
            </w:r>
          </w:p>
        </w:tc>
      </w:tr>
      <w:tr w:rsidR="007D438C" w:rsidRPr="004F6AC5" w:rsidTr="00A56E05">
        <w:trPr>
          <w:trHeight w:val="162"/>
          <w:jc w:val="center"/>
        </w:trPr>
        <w:tc>
          <w:tcPr>
            <w:tcW w:w="999"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7.1  Difusión en internet de la evaluación:</w:t>
            </w:r>
            <w:r>
              <w:rPr>
                <w:rFonts w:ascii="Adobe Caslon Pro" w:hAnsi="Adobe Caslon Pro" w:cs="Calibri"/>
                <w:color w:val="000000"/>
                <w:lang w:eastAsia="es-MX"/>
              </w:rPr>
              <w:t xml:space="preserve"> </w:t>
            </w:r>
          </w:p>
          <w:p w:rsidR="007D438C" w:rsidRDefault="009B1A50" w:rsidP="00A56E05">
            <w:pPr>
              <w:rPr>
                <w:rFonts w:ascii="Adobe Caslon Pro" w:hAnsi="Adobe Caslon Pro" w:cs="Calibri"/>
                <w:i/>
                <w:color w:val="000000"/>
                <w:sz w:val="20"/>
                <w:szCs w:val="20"/>
                <w:lang w:eastAsia="es-MX"/>
              </w:rPr>
            </w:pPr>
            <w:hyperlink r:id="rId128" w:history="1">
              <w:r w:rsidR="007D438C" w:rsidRPr="00197EB9">
                <w:rPr>
                  <w:rStyle w:val="Hipervnculo"/>
                  <w:rFonts w:ascii="Adobe Caslon Pro" w:hAnsi="Adobe Caslon Pro" w:cs="Calibri"/>
                  <w:i/>
                  <w:sz w:val="20"/>
                  <w:szCs w:val="20"/>
                  <w:lang w:eastAsia="es-MX"/>
                </w:rPr>
                <w:t>http://www.jefaturadelagubernatura-evaluacion.oaxaca.gob.mx/index.php/pae-sidepanel/pae-2014</w:t>
              </w:r>
            </w:hyperlink>
          </w:p>
          <w:p w:rsidR="007D438C" w:rsidRPr="004B23C3" w:rsidRDefault="007D438C" w:rsidP="00A56E05">
            <w:pPr>
              <w:rPr>
                <w:rFonts w:ascii="Adobe Caslon Pro" w:hAnsi="Adobe Caslon Pro" w:cs="Calibri"/>
                <w:i/>
                <w:color w:val="000000"/>
                <w:sz w:val="20"/>
                <w:szCs w:val="20"/>
                <w:lang w:eastAsia="es-MX"/>
              </w:rPr>
            </w:pPr>
            <w:r w:rsidRPr="00BF1EBD">
              <w:rPr>
                <w:rStyle w:val="Hipervnculo"/>
                <w:rFonts w:ascii="Adobe Caslon Pro" w:hAnsi="Adobe Caslon Pro" w:cs="Calibri"/>
                <w:i/>
                <w:sz w:val="20"/>
                <w:szCs w:val="20"/>
                <w:lang w:eastAsia="es-MX"/>
              </w:rPr>
              <w:t>http://www.transparenciapresupuestaria.oaxaca.gob.mx/05_ev1_eprogramas.php</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7.2  Difusión en internet del formato:</w:t>
            </w:r>
          </w:p>
          <w:p w:rsidR="007D438C" w:rsidRPr="00066E84" w:rsidRDefault="007D438C" w:rsidP="00A56E05">
            <w:pPr>
              <w:rPr>
                <w:rFonts w:ascii="Adobe Caslon Pro" w:hAnsi="Adobe Caslon Pro" w:cs="Calibri"/>
                <w:color w:val="000000"/>
                <w:lang w:eastAsia="es-MX"/>
              </w:rPr>
            </w:pPr>
            <w:r w:rsidRPr="006865F0">
              <w:rPr>
                <w:rStyle w:val="Hipervnculo"/>
                <w:rFonts w:ascii="Adobe Caslon Pro" w:hAnsi="Adobe Caslon Pro" w:cs="Calibri"/>
                <w:i/>
                <w:sz w:val="20"/>
                <w:szCs w:val="20"/>
                <w:lang w:eastAsia="es-MX"/>
              </w:rPr>
              <w:t>http://www.jefaturadelagubernatura-evaluacion.oaxaca.gob.mx/index.php/pae-sidepanel/pae-2014</w:t>
            </w:r>
          </w:p>
        </w:tc>
      </w:tr>
    </w:tbl>
    <w:p w:rsidR="007D438C" w:rsidRDefault="007D438C" w:rsidP="007D438C">
      <w:pPr>
        <w:autoSpaceDE w:val="0"/>
        <w:autoSpaceDN w:val="0"/>
        <w:adjustRightInd w:val="0"/>
        <w:jc w:val="both"/>
        <w:rPr>
          <w:rFonts w:cs="Calibri"/>
          <w:sz w:val="16"/>
          <w:szCs w:val="16"/>
        </w:rPr>
      </w:pPr>
    </w:p>
    <w:p w:rsidR="007D438C" w:rsidRDefault="007D438C">
      <w:pPr>
        <w:rPr>
          <w:rFonts w:ascii="Arial" w:hAnsi="Arial" w:cs="Arial"/>
          <w:b/>
        </w:rPr>
      </w:pPr>
      <w:r>
        <w:rPr>
          <w:rFonts w:ascii="Arial" w:hAnsi="Arial" w:cs="Arial"/>
          <w:b/>
        </w:rPr>
        <w:br w:type="page"/>
      </w:r>
    </w:p>
    <w:p w:rsidR="007D438C" w:rsidRDefault="007D438C" w:rsidP="007D438C">
      <w:pPr>
        <w:rPr>
          <w:rFonts w:ascii="Adobe Caslon Pro" w:hAnsi="Adobe Caslon Pro" w:cs="Arial"/>
          <w:b/>
          <w:sz w:val="20"/>
          <w:szCs w:val="20"/>
        </w:rPr>
      </w:pPr>
      <w:r w:rsidRPr="007D438C">
        <w:rPr>
          <w:rFonts w:ascii="Arial" w:hAnsi="Arial" w:cs="Arial"/>
          <w:b/>
        </w:rPr>
        <w:lastRenderedPageBreak/>
        <w:t>14.</w:t>
      </w:r>
      <w:r w:rsidR="0072684E">
        <w:rPr>
          <w:rFonts w:ascii="Arial" w:hAnsi="Arial" w:cs="Arial"/>
          <w:b/>
        </w:rPr>
        <w:t>2</w:t>
      </w:r>
      <w:r w:rsidRPr="007D438C">
        <w:rPr>
          <w:rFonts w:ascii="Arial" w:hAnsi="Arial" w:cs="Arial"/>
          <w:b/>
        </w:rPr>
        <w:t>.3.- COCINA COMEDOR NUTRICIONAL COMUNITARIA</w:t>
      </w:r>
      <w:r w:rsidRPr="00066E84">
        <w:rPr>
          <w:rFonts w:ascii="Adobe Caslon Pro" w:hAnsi="Adobe Caslon Pro" w:cs="Arial"/>
          <w:b/>
          <w:sz w:val="20"/>
          <w:szCs w:val="20"/>
        </w:rPr>
        <w:t xml:space="preserve"> </w:t>
      </w:r>
    </w:p>
    <w:p w:rsidR="007D438C" w:rsidRDefault="007D438C" w:rsidP="007D438C">
      <w:pPr>
        <w:pStyle w:val="Prrafodelista"/>
        <w:ind w:left="0"/>
        <w:jc w:val="center"/>
        <w:rPr>
          <w:rFonts w:ascii="Adobe Caslon Pro" w:hAnsi="Adobe Caslon Pro" w:cs="Arial"/>
          <w:b/>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7D438C" w:rsidRPr="004F6AC5"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1.1 Nombre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972BEC" w:rsidRDefault="007D438C" w:rsidP="00A56E05">
            <w:pPr>
              <w:jc w:val="both"/>
              <w:rPr>
                <w:rFonts w:ascii="Adobe Caslon Pro" w:hAnsi="Adobe Caslon Pro" w:cs="Calibri"/>
                <w:i/>
                <w:color w:val="000000"/>
                <w:lang w:eastAsia="es-MX"/>
              </w:rPr>
            </w:pPr>
            <w:r w:rsidRPr="00EC23B2">
              <w:rPr>
                <w:rFonts w:ascii="Adobe Caslon Pro" w:hAnsi="Adobe Caslon Pro" w:cs="Calibri"/>
                <w:i/>
                <w:color w:val="000000"/>
                <w:sz w:val="20"/>
                <w:lang w:eastAsia="es-MX"/>
              </w:rPr>
              <w:t xml:space="preserve">Evaluación Estratégica de Consistencia y Resultados del </w:t>
            </w:r>
            <w:r>
              <w:rPr>
                <w:rFonts w:ascii="Adobe Caslon Pro" w:hAnsi="Adobe Caslon Pro" w:cs="Calibri"/>
                <w:i/>
                <w:color w:val="000000"/>
                <w:sz w:val="20"/>
                <w:lang w:eastAsia="es-MX"/>
              </w:rPr>
              <w:t>Programa Estatal “Cocina Comedor Nutricional Comunitaria”.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1.2 Fecha de inicio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22/09/2014</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1.3 Fecha de término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13</w:t>
            </w:r>
            <w:r w:rsidRPr="00AF449B">
              <w:rPr>
                <w:rFonts w:ascii="Adobe Caslon Pro" w:hAnsi="Adobe Caslon Pro" w:cs="Calibri"/>
                <w:i/>
                <w:color w:val="000000"/>
                <w:sz w:val="20"/>
                <w:lang w:eastAsia="es-MX"/>
              </w:rPr>
              <w:t>/04/2015</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1.4 Nombre de la persona responsable de darle seguimiento a la evaluación y  nombre de la unidad administrativa a la que pertenece:</w:t>
            </w:r>
          </w:p>
        </w:tc>
      </w:tr>
      <w:tr w:rsidR="007D438C" w:rsidRPr="004F6AC5"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438C"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Nombre:</w:t>
            </w:r>
          </w:p>
          <w:p w:rsidR="007D438C" w:rsidRPr="002C3B4D" w:rsidRDefault="007D438C" w:rsidP="00A56E05">
            <w:pPr>
              <w:rPr>
                <w:rFonts w:ascii="Adobe Caslon Pro" w:hAnsi="Adobe Caslon Pro" w:cs="Calibri"/>
                <w:i/>
                <w:color w:val="000000"/>
                <w:lang w:eastAsia="es-MX"/>
              </w:rPr>
            </w:pPr>
            <w:r w:rsidRPr="002C3B4D">
              <w:rPr>
                <w:rFonts w:ascii="Adobe Caslon Pro" w:hAnsi="Adobe Caslon Pro" w:cs="Calibri"/>
                <w:i/>
                <w:color w:val="000000"/>
                <w:sz w:val="20"/>
                <w:lang w:eastAsia="es-MX"/>
              </w:rPr>
              <w:t>Mtro. Gonzalo Lapuente Sastre</w:t>
            </w: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7D438C" w:rsidRDefault="007D438C" w:rsidP="00A56E05">
            <w:pPr>
              <w:rPr>
                <w:rFonts w:ascii="Adobe Caslon Pro" w:hAnsi="Adobe Caslon Pro" w:cs="Calibri"/>
                <w:color w:val="000000"/>
                <w:lang w:eastAsia="es-MX"/>
              </w:rPr>
            </w:pPr>
            <w:r w:rsidRPr="00AC127B">
              <w:rPr>
                <w:rFonts w:ascii="Adobe Caslon Pro" w:hAnsi="Adobe Caslon Pro" w:cs="Calibri"/>
                <w:color w:val="000000"/>
                <w:lang w:eastAsia="es-MX"/>
              </w:rPr>
              <w:t>Unidad administrativa:</w:t>
            </w:r>
            <w:r>
              <w:rPr>
                <w:rFonts w:ascii="Adobe Caslon Pro" w:hAnsi="Adobe Caslon Pro" w:cs="Calibri"/>
                <w:color w:val="000000"/>
                <w:lang w:eastAsia="es-MX"/>
              </w:rPr>
              <w:t xml:space="preserve"> </w:t>
            </w:r>
          </w:p>
          <w:p w:rsidR="007D438C" w:rsidRPr="00AC127B" w:rsidRDefault="007D438C" w:rsidP="00A56E05">
            <w:pPr>
              <w:rPr>
                <w:rFonts w:ascii="Adobe Caslon Pro" w:hAnsi="Adobe Caslon Pro" w:cs="Calibri"/>
                <w:color w:val="000000"/>
                <w:lang w:eastAsia="es-MX"/>
              </w:rPr>
            </w:pPr>
            <w:r w:rsidRPr="00B17671">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 </w:t>
            </w:r>
            <w:r w:rsidRPr="00B17671">
              <w:rPr>
                <w:rFonts w:ascii="Adobe Caslon Pro" w:hAnsi="Adobe Caslon Pro" w:cs="Calibri"/>
                <w:i/>
                <w:color w:val="000000"/>
                <w:sz w:val="20"/>
                <w:szCs w:val="20"/>
                <w:lang w:eastAsia="es-MX"/>
              </w:rPr>
              <w:t>de la Jefatura de l</w:t>
            </w:r>
            <w:r>
              <w:rPr>
                <w:rFonts w:ascii="Adobe Caslon Pro" w:hAnsi="Adobe Caslon Pro" w:cs="Calibri"/>
                <w:i/>
                <w:color w:val="000000"/>
                <w:sz w:val="20"/>
                <w:szCs w:val="20"/>
                <w:lang w:eastAsia="es-MX"/>
              </w:rPr>
              <w:t>a Gubernatura del Gobierno del E</w:t>
            </w:r>
            <w:r w:rsidRPr="00B17671">
              <w:rPr>
                <w:rFonts w:ascii="Adobe Caslon Pro" w:hAnsi="Adobe Caslon Pro" w:cs="Calibri"/>
                <w:i/>
                <w:color w:val="000000"/>
                <w:sz w:val="20"/>
                <w:szCs w:val="20"/>
                <w:lang w:eastAsia="es-MX"/>
              </w:rPr>
              <w:t>stado de Oaxaca.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614B76"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5</w:t>
            </w:r>
            <w:r w:rsidRPr="00066E84">
              <w:rPr>
                <w:rFonts w:ascii="Adobe Caslon Pro" w:hAnsi="Adobe Caslon Pro" w:cs="Calibri"/>
                <w:color w:val="000000"/>
                <w:lang w:eastAsia="es-MX"/>
              </w:rPr>
              <w:t xml:space="preserve"> Objetivo general de la evaluación</w:t>
            </w:r>
            <w:r>
              <w:rPr>
                <w:rFonts w:ascii="Adobe Caslon Pro" w:hAnsi="Adobe Caslon Pro" w:cs="Calibri"/>
                <w:color w:val="000000"/>
                <w:lang w:eastAsia="es-MX"/>
              </w:rPr>
              <w:t>:</w:t>
            </w:r>
          </w:p>
          <w:p w:rsidR="007D438C" w:rsidRDefault="007D438C" w:rsidP="00A56E05">
            <w:pPr>
              <w:jc w:val="both"/>
              <w:rPr>
                <w:rFonts w:ascii="Adobe Caslon Pro" w:hAnsi="Adobe Caslon Pro" w:cs="Calibri"/>
                <w:i/>
                <w:color w:val="000000"/>
                <w:sz w:val="20"/>
                <w:szCs w:val="20"/>
                <w:lang w:eastAsia="es-MX"/>
              </w:rPr>
            </w:pPr>
            <w:r w:rsidRPr="00113C6E">
              <w:rPr>
                <w:rFonts w:ascii="Adobe Caslon Pro" w:hAnsi="Adobe Caslon Pro" w:cs="Calibri"/>
                <w:i/>
                <w:color w:val="000000"/>
                <w:sz w:val="20"/>
                <w:szCs w:val="20"/>
                <w:lang w:eastAsia="es-MX"/>
              </w:rPr>
              <w:t>Coadyuvar en la Consolidación del Sistema de Evaluación del Desempeño en el Estado de Oaxaca, a través</w:t>
            </w:r>
            <w:r w:rsidRPr="00BE4199">
              <w:rPr>
                <w:rFonts w:ascii="Adobe Caslon Pro" w:hAnsi="Adobe Caslon Pro" w:cs="Calibri"/>
                <w:i/>
                <w:color w:val="000000"/>
                <w:sz w:val="20"/>
                <w:szCs w:val="20"/>
                <w:lang w:eastAsia="es-MX"/>
              </w:rPr>
              <w:t xml:space="preserve"> de identificar y analizar la consistencia y resultados del </w:t>
            </w:r>
            <w:r w:rsidRPr="00993F3D">
              <w:rPr>
                <w:rFonts w:ascii="Adobe Caslon Pro" w:hAnsi="Adobe Caslon Pro" w:cs="Calibri"/>
                <w:i/>
                <w:color w:val="000000"/>
                <w:sz w:val="20"/>
                <w:szCs w:val="20"/>
                <w:lang w:eastAsia="es-MX"/>
              </w:rPr>
              <w:t xml:space="preserve">Programa </w:t>
            </w:r>
            <w:r w:rsidRPr="00993F3D">
              <w:rPr>
                <w:rFonts w:ascii="Adobe Caslon Pro" w:hAnsi="Adobe Caslon Pro" w:cs="Calibri"/>
                <w:i/>
                <w:color w:val="000000"/>
                <w:sz w:val="20"/>
                <w:lang w:eastAsia="es-MX"/>
              </w:rPr>
              <w:t>Estatal “Cocina Comedor Nutricional Comunitaria”</w:t>
            </w:r>
            <w:r w:rsidRPr="00993F3D">
              <w:rPr>
                <w:rFonts w:ascii="Adobe Caslon Pro" w:hAnsi="Adobe Caslon Pro" w:cs="Calibri"/>
                <w:i/>
                <w:color w:val="000000"/>
                <w:sz w:val="20"/>
                <w:szCs w:val="20"/>
                <w:lang w:eastAsia="es-MX"/>
              </w:rPr>
              <w:t>, en cuanto al Diseño de la Matriz de Ind</w:t>
            </w:r>
            <w:r w:rsidRPr="00BE4199">
              <w:rPr>
                <w:rFonts w:ascii="Adobe Caslon Pro" w:hAnsi="Adobe Caslon Pro" w:cs="Calibri"/>
                <w:i/>
                <w:color w:val="000000"/>
                <w:sz w:val="20"/>
                <w:szCs w:val="20"/>
                <w:lang w:eastAsia="es-MX"/>
              </w:rPr>
              <w:t>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p w:rsidR="007D438C" w:rsidRPr="00D02D2B" w:rsidRDefault="007D438C" w:rsidP="00A56E05">
            <w:pPr>
              <w:jc w:val="both"/>
              <w:rPr>
                <w:rFonts w:ascii="Adobe Caslon Pro" w:hAnsi="Adobe Caslon Pro" w:cs="Calibri"/>
                <w:i/>
                <w:color w:val="000000"/>
                <w:sz w:val="20"/>
                <w:szCs w:val="2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6</w:t>
            </w:r>
            <w:r w:rsidRPr="00066E84">
              <w:rPr>
                <w:rFonts w:ascii="Adobe Caslon Pro" w:hAnsi="Adobe Caslon Pro" w:cs="Calibri"/>
                <w:color w:val="000000"/>
                <w:lang w:eastAsia="es-MX"/>
              </w:rPr>
              <w:t xml:space="preserve"> Objetivos específicos de la evaluación</w:t>
            </w:r>
            <w:r>
              <w:rPr>
                <w:rFonts w:ascii="Adobe Caslon Pro" w:hAnsi="Adobe Caslon Pro" w:cs="Calibri"/>
                <w:color w:val="000000"/>
                <w:lang w:eastAsia="es-MX"/>
              </w:rPr>
              <w:t>:</w:t>
            </w:r>
          </w:p>
          <w:p w:rsidR="007D438C" w:rsidRDefault="007D438C"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programa en los siguientes aspectos:</w:t>
            </w:r>
          </w:p>
          <w:p w:rsidR="007D438C" w:rsidRDefault="007D438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Diseño. Es un proceso analítico global que se enfoca en identificar los objetivos del Programa para luego determinar la consistencia de su diseño y los resultados con tales objetivos. </w:t>
            </w:r>
          </w:p>
          <w:p w:rsidR="007D438C" w:rsidRPr="00D1413C" w:rsidRDefault="007D438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Planeación Estratégica. Implica analizar los instrumentos de planeación del Programa, y corroborar si tal planeación tiene una orientación para resultados. </w:t>
            </w:r>
          </w:p>
          <w:p w:rsidR="007D438C" w:rsidRPr="00D1413C" w:rsidRDefault="007D438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Cobertura y Focalización. Corresponde cuantificar y determinar la población potencial y la población objetivo que está siendo atendida por el Programa. </w:t>
            </w:r>
          </w:p>
          <w:p w:rsidR="007D438C" w:rsidRPr="00D1413C" w:rsidRDefault="007D438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Operación. Analiza las principales actividades y procesos establecidos en la normatividad aplicable; la eficiencia, eficacia y economía operativa del Programa; y el cumplimiento y avance en los indicadores estratégicos y de gestión. </w:t>
            </w:r>
          </w:p>
          <w:p w:rsidR="007D438C" w:rsidRPr="00D1413C" w:rsidRDefault="007D438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Percepción de la Población. Analiza el grado de satisfacción de los beneficiarios de los bienes y servicios que conforman el Programa. </w:t>
            </w:r>
          </w:p>
          <w:p w:rsidR="007D438C" w:rsidRPr="00D1413C" w:rsidRDefault="007D438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Resultados. Analiza los resultados intermedios y de impacto alcanzados por el Programa de acuerdo a la evidencia documentada de que el Programa ha logrado mejorar o resolver el problema para el cual fue creado. </w:t>
            </w:r>
          </w:p>
          <w:p w:rsidR="007D438C" w:rsidRPr="00D1413C" w:rsidRDefault="007D438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Ejercicio de los recursos. Analiza el grado de cumplimiento en la aplicación de los recursos en tiempo y forma de acuerdo a los objetivos para los cuales están destinados. </w:t>
            </w:r>
            <w:r w:rsidRPr="0063004D">
              <w:rPr>
                <w:rFonts w:ascii="Adobe Caslon Pro" w:hAnsi="Adobe Caslon Pro" w:cs="Calibri"/>
                <w:i/>
                <w:color w:val="000000"/>
                <w:sz w:val="20"/>
                <w:szCs w:val="20"/>
                <w:lang w:eastAsia="es-MX"/>
              </w:rPr>
              <w:t>Planeación Estratégica y su orientación para resultados. Analiza los instrumentos de planeación y se corrobora si ésta tiene una orientación para resultados.</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7</w:t>
            </w:r>
            <w:r w:rsidRPr="00066E84">
              <w:rPr>
                <w:rFonts w:ascii="Adobe Caslon Pro" w:hAnsi="Adobe Caslon Pro" w:cs="Calibri"/>
                <w:color w:val="000000"/>
                <w:lang w:eastAsia="es-MX"/>
              </w:rPr>
              <w:t xml:space="preserve"> Metodología utilizada en la evaluación</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Instrumentos de recolección de información: </w:t>
            </w:r>
          </w:p>
        </w:tc>
      </w:tr>
      <w:tr w:rsidR="007D438C" w:rsidRPr="004F6AC5"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Pr="00BB2252"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Cuestionarios</w:t>
            </w:r>
            <w:r>
              <w:rPr>
                <w:rFonts w:ascii="Adobe Caslon Pro" w:hAnsi="Adobe Caslon Pro" w:cs="Calibri"/>
                <w:color w:val="000000"/>
                <w:lang w:eastAsia="es-MX"/>
              </w:rPr>
              <w:t xml:space="preserve">__   Entrevistas__   Formatos__   </w:t>
            </w:r>
            <w:proofErr w:type="spellStart"/>
            <w:r>
              <w:rPr>
                <w:rFonts w:ascii="Adobe Caslon Pro" w:hAnsi="Adobe Caslon Pro" w:cs="Calibri"/>
                <w:color w:val="000000"/>
                <w:lang w:eastAsia="es-MX"/>
              </w:rPr>
              <w:t>Otros_X</w:t>
            </w:r>
            <w:proofErr w:type="spellEnd"/>
            <w:r>
              <w:rPr>
                <w:rFonts w:ascii="Adobe Caslon Pro" w:hAnsi="Adobe Caslon Pro" w:cs="Calibri"/>
                <w:color w:val="000000"/>
                <w:lang w:eastAsia="es-MX"/>
              </w:rPr>
              <w:t>_  Especifique:</w:t>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p>
          <w:p w:rsidR="007D438C" w:rsidRPr="00F11793" w:rsidRDefault="007D438C" w:rsidP="00F075EB">
            <w:pPr>
              <w:numPr>
                <w:ilvl w:val="0"/>
                <w:numId w:val="12"/>
              </w:numPr>
              <w:jc w:val="both"/>
              <w:rPr>
                <w:rFonts w:ascii="Adobe Caslon Pro" w:hAnsi="Adobe Caslon Pro" w:cs="Calibri"/>
                <w:i/>
                <w:color w:val="000000"/>
                <w:sz w:val="20"/>
                <w:lang w:eastAsia="es-MX"/>
              </w:rPr>
            </w:pPr>
            <w:r w:rsidRPr="00D073B5">
              <w:rPr>
                <w:rFonts w:ascii="Adobe Caslon Pro" w:hAnsi="Adobe Caslon Pro" w:cs="Calibri"/>
                <w:i/>
                <w:color w:val="000000"/>
                <w:sz w:val="20"/>
                <w:lang w:eastAsia="es-MX"/>
              </w:rPr>
              <w:t xml:space="preserve">Información proporcionada por la dependencia </w:t>
            </w:r>
            <w:r>
              <w:rPr>
                <w:rFonts w:ascii="Adobe Caslon Pro" w:hAnsi="Adobe Caslon Pro" w:cs="Calibri"/>
                <w:i/>
                <w:color w:val="000000"/>
                <w:sz w:val="20"/>
                <w:lang w:eastAsia="es-MX"/>
              </w:rPr>
              <w:t>o entidad responsable del programa.</w:t>
            </w:r>
          </w:p>
        </w:tc>
      </w:tr>
      <w:tr w:rsidR="007D438C" w:rsidRPr="004F6AC5"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Descripción de las técnicas y modelos utilizados: </w:t>
            </w:r>
          </w:p>
          <w:p w:rsidR="007D438C" w:rsidRPr="00963A04" w:rsidRDefault="007D438C" w:rsidP="00A56E05">
            <w:pPr>
              <w:jc w:val="both"/>
              <w:rPr>
                <w:rFonts w:ascii="Adobe Caslon Pro" w:hAnsi="Adobe Caslon Pro" w:cs="Calibri"/>
                <w:i/>
                <w:color w:val="4472C4"/>
                <w:sz w:val="20"/>
                <w:u w:val="single"/>
                <w:lang w:eastAsia="es-MX"/>
              </w:rPr>
            </w:pPr>
            <w:r w:rsidRPr="006F4A63">
              <w:rPr>
                <w:rFonts w:ascii="Adobe Caslon Pro" w:hAnsi="Adobe Caslon Pro" w:cs="Calibri"/>
                <w:i/>
                <w:color w:val="000000"/>
                <w:sz w:val="20"/>
                <w:lang w:eastAsia="es-MX"/>
              </w:rPr>
              <w:t>La metodología de Evaluación fue desarrollada por “LA JEFATURA”, quien funge como la Instancia Técnica de Evaluación, con la finalidad de obtener información confiable para mejorar la gestión, la toma de decisi</w:t>
            </w:r>
            <w:r>
              <w:rPr>
                <w:rFonts w:ascii="Adobe Caslon Pro" w:hAnsi="Adobe Caslon Pro" w:cs="Calibri"/>
                <w:i/>
                <w:color w:val="000000"/>
                <w:sz w:val="20"/>
                <w:lang w:eastAsia="es-MX"/>
              </w:rPr>
              <w:t xml:space="preserve">ones y el proceso presupuestario, los cuales se encuentran en los Términos de Referencia en la siguiente liga: </w:t>
            </w:r>
            <w:hyperlink r:id="rId129" w:history="1">
              <w:r w:rsidRPr="00632619">
                <w:rPr>
                  <w:rStyle w:val="Hipervnculo"/>
                  <w:rFonts w:ascii="Adobe Caslon Pro" w:hAnsi="Adobe Caslon Pro" w:cs="Calibri"/>
                  <w:i/>
                  <w:sz w:val="20"/>
                  <w:lang w:eastAsia="es-MX"/>
                </w:rPr>
                <w:t>http://www.jefaturadelagubernatura-evaluacion.oaxaca.gob.mx/index.php/pae-sidepanel/pae-2014</w:t>
              </w:r>
            </w:hyperlink>
          </w:p>
          <w:p w:rsidR="007D438C" w:rsidRPr="00963A04" w:rsidRDefault="007D438C" w:rsidP="00A56E05">
            <w:pPr>
              <w:jc w:val="both"/>
              <w:rPr>
                <w:rFonts w:ascii="Adobe Caslon Pro" w:hAnsi="Adobe Caslon Pro" w:cs="Calibri"/>
                <w:i/>
                <w:color w:val="4472C4"/>
                <w:sz w:val="20"/>
                <w:u w:val="single"/>
                <w:lang w:eastAsia="es-MX"/>
              </w:rPr>
            </w:pPr>
          </w:p>
          <w:p w:rsidR="007D438C" w:rsidRDefault="007D438C" w:rsidP="00A56E05">
            <w:pPr>
              <w:jc w:val="both"/>
              <w:rPr>
                <w:rFonts w:ascii="Adobe Caslon Pro" w:hAnsi="Adobe Caslon Pro" w:cs="Calibri"/>
                <w:i/>
                <w:sz w:val="20"/>
                <w:lang w:eastAsia="es-MX"/>
              </w:rPr>
            </w:pPr>
            <w:r w:rsidRPr="00A42027">
              <w:rPr>
                <w:rFonts w:ascii="Adobe Caslon Pro" w:hAnsi="Adobe Caslon Pro" w:cs="Calibri"/>
                <w:i/>
                <w:sz w:val="20"/>
                <w:lang w:eastAsia="es-MX"/>
              </w:rPr>
              <w:t>Base de datos de gabinete utilizados para el análisis:</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del Programa.</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Matriz de Indicadores para Resultados del Programa. </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Documento técnico que incluya el análisis del problema que está siendo atendido con los recursos del Programa.</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Objetivos Estratégicos de la Dependencia coordinadora del Programa.</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Plan Nacional de Desarrollo.</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Plan Estatal de Desarrollo y Plan Sectorial de Desarrollo.</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Diagnóstico situacional del Programa y sus beneficiarios.</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Padrón de beneficiarios. </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Características socioeconómicas de los beneficiarios.</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Reglas de Operación.</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 Programas federales y estatales con características similares</w:t>
            </w:r>
            <w:r>
              <w:rPr>
                <w:rFonts w:ascii="Adobe Caslon Pro" w:hAnsi="Adobe Caslon Pro" w:cs="Calibri"/>
                <w:i/>
                <w:sz w:val="20"/>
                <w:lang w:eastAsia="es-MX"/>
              </w:rPr>
              <w:t>.</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Plan Estratégico de la Dependencia responsable de la MIR del Programa o Plan Sectorial.</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Manual de programación</w:t>
            </w:r>
            <w:r>
              <w:rPr>
                <w:rFonts w:ascii="Adobe Caslon Pro" w:hAnsi="Adobe Caslon Pro" w:cs="Calibri"/>
                <w:i/>
                <w:sz w:val="20"/>
                <w:lang w:eastAsia="es-MX"/>
              </w:rPr>
              <w:t>.</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Reporte de Evaluación del Programa.</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Planes de mejora asociados a la evaluación del Programa.</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w:t>
            </w:r>
            <w:r>
              <w:rPr>
                <w:rFonts w:ascii="Adobe Caslon Pro" w:hAnsi="Adobe Caslon Pro" w:cs="Calibri"/>
                <w:i/>
                <w:sz w:val="20"/>
                <w:lang w:eastAsia="es-MX"/>
              </w:rPr>
              <w:t>.</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Población Potencial.</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Población Objetivo</w:t>
            </w:r>
            <w:r>
              <w:rPr>
                <w:rFonts w:ascii="Adobe Caslon Pro" w:hAnsi="Adobe Caslon Pro" w:cs="Calibri"/>
                <w:i/>
                <w:sz w:val="20"/>
                <w:lang w:eastAsia="es-MX"/>
              </w:rPr>
              <w:t>.</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Población Atendida.</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Reporte de seguimiento de metas del sistema de evaluación del desempeño</w:t>
            </w:r>
            <w:r>
              <w:rPr>
                <w:rFonts w:ascii="Adobe Caslon Pro" w:hAnsi="Adobe Caslon Pro" w:cs="Calibri"/>
                <w:i/>
                <w:sz w:val="20"/>
                <w:lang w:eastAsia="es-MX"/>
              </w:rPr>
              <w:t>.</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 para la selección de beneficiarios.</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Criterios de elegibilidad aplicados</w:t>
            </w:r>
            <w:r>
              <w:rPr>
                <w:rFonts w:ascii="Adobe Caslon Pro" w:hAnsi="Adobe Caslon Pro" w:cs="Calibri"/>
                <w:i/>
                <w:sz w:val="20"/>
                <w:lang w:eastAsia="es-MX"/>
              </w:rPr>
              <w:t>.</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Avance físico-financiero</w:t>
            </w:r>
            <w:r>
              <w:rPr>
                <w:rFonts w:ascii="Adobe Caslon Pro" w:hAnsi="Adobe Caslon Pro" w:cs="Calibri"/>
                <w:i/>
                <w:sz w:val="20"/>
                <w:lang w:eastAsia="es-MX"/>
              </w:rPr>
              <w:t>.</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Cierre de ejercicio.</w:t>
            </w:r>
          </w:p>
          <w:p w:rsidR="007D438C"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Recursos no devengados.</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Estructura organizacional de la dependencia, que incluya las áreas operativas relacionadas con 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organizacional de la dependencia, que incluya las responsabilidades y funciones asociadas con 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técnico que contenga los procesos de la entrega/recepción de componentes.</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contenga el procedimiento a través del cual se proporciona la información sobre estados financieros relacionados con 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descriptivo, normativo funcional acerca de los sistemas de información que conforman la administración financiera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estratégicos y de gestión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Costos de Operación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Procedimientos para medir costo-efectividad en la ejecución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resultados de la medición costo-efectividad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de eficiencia.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lastRenderedPageBreak/>
              <w:t>Presupuesto Aprobado.</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Ejercido.</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Instrumentos de recuperación de Deuda relacionados con el cumplimiento de objetivos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el procedimiento a través del cual se administra y opera 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sistemas de información que se utilizan en la gestión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procedimientos de actualización del padrón de beneficiarios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del Sistema de Rendición de Cuentas y Transparencia para los funcionarios que administran 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Transparencia (En donde se transparenten los resultados de la evaluación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la gaceta oficial de difusión (En donde se transparenten los resultados de la evaluación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oficial que indique el monto y la fecha de recepción de recursos destinados a la operación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Calendario de transferencia de recursos para la operación del Programa.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Reportes de Cuenta Pública.</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de Desempeño.</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Guía para usuarios del SED Estatal y Federal.</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de resultados.</w:t>
            </w:r>
          </w:p>
          <w:p w:rsidR="007D438C" w:rsidRDefault="007D438C"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financiero del Programa.</w:t>
            </w:r>
          </w:p>
          <w:p w:rsidR="007D438C" w:rsidRPr="00E777DE" w:rsidRDefault="007D438C"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 los indicadores de Resultados del Programa.</w:t>
            </w:r>
          </w:p>
        </w:tc>
      </w:tr>
      <w:tr w:rsidR="007D438C" w:rsidRPr="004F6AC5" w:rsidTr="00A56E05">
        <w:trPr>
          <w:trHeight w:val="60"/>
          <w:jc w:val="center"/>
        </w:trPr>
        <w:tc>
          <w:tcPr>
            <w:tcW w:w="999" w:type="dxa"/>
            <w:gridSpan w:val="2"/>
            <w:tcBorders>
              <w:top w:val="single" w:sz="4" w:space="0" w:color="auto"/>
              <w:bottom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7D438C" w:rsidRPr="00DE6244" w:rsidRDefault="007D438C" w:rsidP="00A56E05">
            <w:pPr>
              <w:rPr>
                <w:rFonts w:ascii="Adobe Caslon Pro" w:hAnsi="Adobe Caslon Pro" w:cs="Calibri"/>
                <w:color w:val="000000"/>
                <w:sz w:val="10"/>
                <w:szCs w:val="10"/>
                <w:lang w:eastAsia="es-MX"/>
              </w:rPr>
            </w:pPr>
          </w:p>
        </w:tc>
      </w:tr>
      <w:tr w:rsidR="007D438C"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2.1 Describir los hallazgos más relevantes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tc>
      </w:tr>
      <w:tr w:rsidR="007D438C" w:rsidRPr="004F6AC5"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 Señalar cuáles son las principales Fortalezas, Oportunidades, Debilidades y Amenazas (FODA), de acuerdo con los</w:t>
            </w:r>
            <w:r>
              <w:rPr>
                <w:rFonts w:ascii="Adobe Caslon Pro" w:hAnsi="Adobe Caslon Pro" w:cs="Calibri"/>
                <w:color w:val="000000"/>
                <w:lang w:eastAsia="es-MX"/>
              </w:rPr>
              <w:t xml:space="preserve"> temas</w:t>
            </w:r>
            <w:r w:rsidRPr="00066E84">
              <w:rPr>
                <w:rFonts w:ascii="Adobe Caslon Pro" w:hAnsi="Adobe Caslon Pro" w:cs="Calibri"/>
                <w:color w:val="000000"/>
                <w:lang w:eastAsia="es-MX"/>
              </w:rPr>
              <w:t xml:space="preserve"> del programa</w:t>
            </w:r>
            <w:r>
              <w:rPr>
                <w:rFonts w:ascii="Adobe Caslon Pro" w:hAnsi="Adobe Caslon Pro" w:cs="Calibri"/>
                <w:color w:val="000000"/>
                <w:lang w:eastAsia="es-MX"/>
              </w:rPr>
              <w:t>, estrategia o instituciones</w:t>
            </w:r>
            <w:r w:rsidRPr="00066E84">
              <w:rPr>
                <w:rFonts w:ascii="Adobe Caslon Pro" w:hAnsi="Adobe Caslon Pro" w:cs="Calibri"/>
                <w:color w:val="000000"/>
                <w:lang w:eastAsia="es-MX"/>
              </w:rPr>
              <w:t>.</w:t>
            </w:r>
          </w:p>
        </w:tc>
      </w:tr>
      <w:tr w:rsidR="007D438C" w:rsidRPr="004F6AC5"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2.2.1 Fortalezas</w:t>
            </w:r>
            <w:r>
              <w:rPr>
                <w:rFonts w:ascii="Adobe Caslon Pro" w:hAnsi="Adobe Caslon Pro" w:cs="Calibri"/>
                <w:color w:val="000000"/>
                <w:lang w:eastAsia="es-MX"/>
              </w:rPr>
              <w:t>:</w:t>
            </w: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7D438C" w:rsidRDefault="007D438C" w:rsidP="00F075EB">
            <w:pPr>
              <w:numPr>
                <w:ilvl w:val="0"/>
                <w:numId w:val="12"/>
              </w:numPr>
              <w:jc w:val="both"/>
              <w:rPr>
                <w:rFonts w:ascii="Adobe Caslon Pro" w:hAnsi="Adobe Caslon Pro" w:cs="Calibri"/>
                <w:color w:val="000000"/>
                <w:sz w:val="20"/>
                <w:szCs w:val="20"/>
                <w:lang w:eastAsia="es-MX"/>
              </w:rPr>
            </w:pPr>
            <w:r w:rsidRPr="00820925">
              <w:rPr>
                <w:rFonts w:ascii="Adobe Caslon Pro" w:hAnsi="Adobe Caslon Pro" w:cs="Calibri"/>
                <w:i/>
                <w:color w:val="000000"/>
                <w:sz w:val="20"/>
                <w:szCs w:val="20"/>
                <w:lang w:eastAsia="es-MX"/>
              </w:rPr>
              <w:t>El Fin y el Propósito del Programa están claramente definidos puesto que son acordes con el objetivo general del Programa.</w:t>
            </w:r>
          </w:p>
          <w:p w:rsidR="007D438C" w:rsidRDefault="007D438C" w:rsidP="00F075EB">
            <w:pPr>
              <w:numPr>
                <w:ilvl w:val="0"/>
                <w:numId w:val="12"/>
              </w:numPr>
              <w:jc w:val="both"/>
              <w:rPr>
                <w:rFonts w:ascii="Adobe Caslon Pro" w:hAnsi="Adobe Caslon Pro" w:cs="Calibri"/>
                <w:color w:val="000000"/>
                <w:sz w:val="20"/>
                <w:szCs w:val="20"/>
                <w:lang w:eastAsia="es-MX"/>
              </w:rPr>
            </w:pPr>
            <w:r w:rsidRPr="00820925">
              <w:rPr>
                <w:rFonts w:ascii="Adobe Caslon Pro" w:hAnsi="Adobe Caslon Pro" w:cs="Calibri"/>
                <w:i/>
                <w:color w:val="000000"/>
                <w:sz w:val="20"/>
                <w:szCs w:val="20"/>
                <w:lang w:eastAsia="es-MX"/>
              </w:rPr>
              <w:t>El Fin y el Propósito del Programa, buscan contribuir con el mejoramiento de la nutrición de la población en condición de pobreza a través de un mayor acceso a la alimentación, correspondiendo de esta manera a la solución del problema del Programa.</w:t>
            </w:r>
          </w:p>
          <w:p w:rsidR="007D438C" w:rsidRDefault="007D438C" w:rsidP="00F075EB">
            <w:pPr>
              <w:numPr>
                <w:ilvl w:val="0"/>
                <w:numId w:val="12"/>
              </w:numPr>
              <w:jc w:val="both"/>
              <w:rPr>
                <w:rFonts w:ascii="Adobe Caslon Pro" w:hAnsi="Adobe Caslon Pro" w:cs="Calibri"/>
                <w:color w:val="000000"/>
                <w:sz w:val="20"/>
                <w:szCs w:val="20"/>
                <w:lang w:eastAsia="es-MX"/>
              </w:rPr>
            </w:pPr>
            <w:r w:rsidRPr="00820925">
              <w:rPr>
                <w:rFonts w:ascii="Adobe Caslon Pro" w:hAnsi="Adobe Caslon Pro" w:cs="Calibri"/>
                <w:i/>
                <w:color w:val="000000"/>
                <w:sz w:val="20"/>
                <w:szCs w:val="20"/>
                <w:lang w:eastAsia="es-MX"/>
              </w:rPr>
              <w:t>El Programa guarda una relación lógica con los objetivos tanto del Plan Nacional de Desarrollo como del Plan Estatal de Desarrollo.</w:t>
            </w:r>
          </w:p>
          <w:p w:rsidR="007D438C" w:rsidRDefault="007D438C" w:rsidP="00F075EB">
            <w:pPr>
              <w:numPr>
                <w:ilvl w:val="0"/>
                <w:numId w:val="12"/>
              </w:numPr>
              <w:jc w:val="both"/>
              <w:rPr>
                <w:rFonts w:ascii="Adobe Caslon Pro" w:hAnsi="Adobe Caslon Pro" w:cs="Calibri"/>
                <w:color w:val="000000"/>
                <w:sz w:val="20"/>
                <w:szCs w:val="20"/>
                <w:lang w:eastAsia="es-MX"/>
              </w:rPr>
            </w:pPr>
            <w:r w:rsidRPr="00820925">
              <w:rPr>
                <w:rFonts w:ascii="Adobe Caslon Pro" w:hAnsi="Adobe Caslon Pro" w:cs="Calibri"/>
                <w:i/>
                <w:color w:val="000000"/>
                <w:sz w:val="20"/>
                <w:szCs w:val="20"/>
                <w:lang w:eastAsia="es-MX"/>
              </w:rPr>
              <w:t xml:space="preserve">Todos los indicadores cumplen con los criterios de validez al ser claros, relevantes, económicos, adecuados y </w:t>
            </w:r>
            <w:proofErr w:type="spellStart"/>
            <w:r w:rsidRPr="00820925">
              <w:rPr>
                <w:rFonts w:ascii="Adobe Caslon Pro" w:hAnsi="Adobe Caslon Pro" w:cs="Calibri"/>
                <w:i/>
                <w:color w:val="000000"/>
                <w:sz w:val="20"/>
                <w:szCs w:val="20"/>
                <w:lang w:eastAsia="es-MX"/>
              </w:rPr>
              <w:t>monitoreables</w:t>
            </w:r>
            <w:proofErr w:type="spellEnd"/>
            <w:r w:rsidRPr="00820925">
              <w:rPr>
                <w:rFonts w:ascii="Adobe Caslon Pro" w:hAnsi="Adobe Caslon Pro" w:cs="Calibri"/>
                <w:i/>
                <w:color w:val="000000"/>
                <w:sz w:val="20"/>
                <w:szCs w:val="20"/>
                <w:lang w:eastAsia="es-MX"/>
              </w:rPr>
              <w:t>.</w:t>
            </w:r>
          </w:p>
          <w:p w:rsidR="007D438C" w:rsidRPr="00820925" w:rsidRDefault="007D438C" w:rsidP="00F075EB">
            <w:pPr>
              <w:numPr>
                <w:ilvl w:val="0"/>
                <w:numId w:val="12"/>
              </w:numPr>
              <w:jc w:val="both"/>
              <w:rPr>
                <w:rFonts w:ascii="Adobe Caslon Pro" w:hAnsi="Adobe Caslon Pro" w:cs="Calibri"/>
                <w:color w:val="000000"/>
                <w:sz w:val="20"/>
                <w:szCs w:val="20"/>
                <w:lang w:eastAsia="es-MX"/>
              </w:rPr>
            </w:pPr>
            <w:r w:rsidRPr="00820925">
              <w:rPr>
                <w:rFonts w:ascii="Adobe Caslon Pro" w:hAnsi="Adobe Caslon Pro" w:cs="Calibri"/>
                <w:i/>
                <w:color w:val="000000"/>
                <w:sz w:val="20"/>
                <w:szCs w:val="20"/>
                <w:lang w:eastAsia="es-MX"/>
              </w:rPr>
              <w:t>Tanto la lógica vertical del Programa como la lógica horizontal, se validan en su totalidad.</w:t>
            </w:r>
          </w:p>
          <w:p w:rsidR="007D438C" w:rsidRPr="00820925" w:rsidRDefault="007D438C" w:rsidP="00A56E05">
            <w:pPr>
              <w:ind w:left="360"/>
              <w:jc w:val="both"/>
              <w:rPr>
                <w:rFonts w:ascii="Adobe Caslon Pro" w:hAnsi="Adobe Caslon Pro" w:cs="Calibri"/>
                <w:color w:val="000000"/>
                <w:sz w:val="20"/>
                <w:szCs w:val="20"/>
                <w:lang w:eastAsia="es-MX"/>
              </w:rPr>
            </w:pPr>
          </w:p>
          <w:p w:rsidR="007D438C" w:rsidRPr="00F11793"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Default="007D438C" w:rsidP="00F075EB">
            <w:pPr>
              <w:numPr>
                <w:ilvl w:val="0"/>
                <w:numId w:val="40"/>
              </w:numPr>
              <w:jc w:val="both"/>
              <w:rPr>
                <w:rFonts w:ascii="Adobe Caslon Pro" w:hAnsi="Adobe Caslon Pro" w:cs="Calibri"/>
                <w:i/>
                <w:color w:val="000000"/>
                <w:sz w:val="20"/>
                <w:szCs w:val="20"/>
                <w:lang w:eastAsia="es-MX"/>
              </w:rPr>
            </w:pPr>
            <w:r w:rsidRPr="00813420">
              <w:rPr>
                <w:rFonts w:ascii="Adobe Caslon Pro" w:hAnsi="Adobe Caslon Pro" w:cs="Calibri"/>
                <w:i/>
                <w:color w:val="000000"/>
                <w:sz w:val="20"/>
                <w:szCs w:val="20"/>
                <w:lang w:eastAsia="es-MX"/>
              </w:rPr>
              <w:t>Los objetivos estratégicos del DIF Oaxaca, que es el órgano encargado de coordinar todo lo relacionado con el Programa, se orientan en los resultados que busca alcanzar el Programa.</w:t>
            </w:r>
          </w:p>
          <w:p w:rsidR="007D438C" w:rsidRDefault="007D438C" w:rsidP="00F075EB">
            <w:pPr>
              <w:numPr>
                <w:ilvl w:val="0"/>
                <w:numId w:val="40"/>
              </w:numPr>
              <w:jc w:val="both"/>
              <w:rPr>
                <w:rFonts w:ascii="Adobe Caslon Pro" w:hAnsi="Adobe Caslon Pro" w:cs="Calibri"/>
                <w:i/>
                <w:color w:val="000000"/>
                <w:sz w:val="20"/>
                <w:szCs w:val="20"/>
                <w:lang w:eastAsia="es-MX"/>
              </w:rPr>
            </w:pPr>
            <w:r w:rsidRPr="00813420">
              <w:rPr>
                <w:rFonts w:ascii="Adobe Caslon Pro" w:hAnsi="Adobe Caslon Pro" w:cs="Calibri"/>
                <w:i/>
                <w:color w:val="000000"/>
                <w:sz w:val="20"/>
                <w:szCs w:val="20"/>
                <w:lang w:eastAsia="es-MX"/>
              </w:rPr>
              <w:t xml:space="preserve">El Programa tiene un mecanismo adecuado para establecer sus indicadores y metas, puesto que se alinea </w:t>
            </w:r>
            <w:r w:rsidRPr="00813420">
              <w:rPr>
                <w:rFonts w:ascii="Adobe Caslon Pro" w:hAnsi="Adobe Caslon Pro" w:cs="Calibri"/>
                <w:i/>
                <w:color w:val="000000"/>
                <w:sz w:val="20"/>
                <w:szCs w:val="20"/>
                <w:lang w:eastAsia="es-MX"/>
              </w:rPr>
              <w:lastRenderedPageBreak/>
              <w:t xml:space="preserve">con los objetivos de política pública. </w:t>
            </w:r>
          </w:p>
          <w:p w:rsidR="007D438C" w:rsidRDefault="007D438C" w:rsidP="00F075EB">
            <w:pPr>
              <w:numPr>
                <w:ilvl w:val="0"/>
                <w:numId w:val="40"/>
              </w:numPr>
              <w:jc w:val="both"/>
              <w:rPr>
                <w:rFonts w:ascii="Adobe Caslon Pro" w:hAnsi="Adobe Caslon Pro" w:cs="Calibri"/>
                <w:i/>
                <w:color w:val="000000"/>
                <w:sz w:val="20"/>
                <w:szCs w:val="20"/>
                <w:lang w:eastAsia="es-MX"/>
              </w:rPr>
            </w:pPr>
            <w:r w:rsidRPr="00813420">
              <w:rPr>
                <w:rFonts w:ascii="Adobe Caslon Pro" w:hAnsi="Adobe Caslon Pro" w:cs="Calibri"/>
                <w:i/>
                <w:color w:val="000000"/>
                <w:sz w:val="20"/>
                <w:szCs w:val="20"/>
                <w:lang w:eastAsia="es-MX"/>
              </w:rPr>
              <w:t>Cada uno de los ámbitos de desempeño del Programa –Fin, Propósito, Componentes, Actividades- cuenta la frecuencia de medición para medir cada uno de los indicadores.</w:t>
            </w:r>
          </w:p>
          <w:p w:rsidR="007D438C" w:rsidRDefault="007D438C" w:rsidP="00F075EB">
            <w:pPr>
              <w:numPr>
                <w:ilvl w:val="0"/>
                <w:numId w:val="40"/>
              </w:numPr>
              <w:jc w:val="both"/>
              <w:rPr>
                <w:rFonts w:ascii="Adobe Caslon Pro" w:hAnsi="Adobe Caslon Pro" w:cs="Calibri"/>
                <w:i/>
                <w:color w:val="000000"/>
                <w:sz w:val="20"/>
                <w:szCs w:val="20"/>
                <w:lang w:eastAsia="es-MX"/>
              </w:rPr>
            </w:pPr>
            <w:r w:rsidRPr="00813420">
              <w:rPr>
                <w:rFonts w:ascii="Adobe Caslon Pro" w:hAnsi="Adobe Caslon Pro" w:cs="Calibri"/>
                <w:i/>
                <w:color w:val="000000"/>
                <w:sz w:val="20"/>
                <w:szCs w:val="20"/>
                <w:lang w:eastAsia="es-MX"/>
              </w:rPr>
              <w:t>El presupuesto que se destina al Programa se encuentra explícitamente ligado al cumplimiento de las metas del desempeño del mismo.</w:t>
            </w:r>
          </w:p>
          <w:p w:rsidR="007D438C" w:rsidRPr="00813420" w:rsidRDefault="007D438C" w:rsidP="00A56E05">
            <w:pPr>
              <w:ind w:left="36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7D438C" w:rsidRDefault="007D438C" w:rsidP="00F075EB">
            <w:pPr>
              <w:numPr>
                <w:ilvl w:val="0"/>
                <w:numId w:val="41"/>
              </w:numPr>
              <w:jc w:val="both"/>
              <w:rPr>
                <w:rFonts w:ascii="Adobe Caslon Pro" w:hAnsi="Adobe Caslon Pro" w:cs="Calibri"/>
                <w:color w:val="000000"/>
                <w:sz w:val="20"/>
                <w:szCs w:val="20"/>
                <w:lang w:eastAsia="es-MX"/>
              </w:rPr>
            </w:pPr>
            <w:r w:rsidRPr="00CA7818">
              <w:rPr>
                <w:rFonts w:ascii="Adobe Caslon Pro" w:hAnsi="Adobe Caslon Pro" w:cs="Calibri"/>
                <w:i/>
                <w:color w:val="000000"/>
                <w:sz w:val="20"/>
                <w:szCs w:val="20"/>
                <w:lang w:eastAsia="es-MX"/>
              </w:rPr>
              <w:t>El Programa cuenta con un método para cuantificar y determinar la población potencial y objetivo.</w:t>
            </w:r>
          </w:p>
          <w:p w:rsidR="007D438C" w:rsidRPr="00CA7818" w:rsidRDefault="007D438C" w:rsidP="00F075EB">
            <w:pPr>
              <w:numPr>
                <w:ilvl w:val="0"/>
                <w:numId w:val="41"/>
              </w:numPr>
              <w:jc w:val="both"/>
              <w:rPr>
                <w:rFonts w:ascii="Adobe Caslon Pro" w:hAnsi="Adobe Caslon Pro" w:cs="Calibri"/>
                <w:color w:val="000000"/>
                <w:sz w:val="20"/>
                <w:szCs w:val="20"/>
                <w:lang w:eastAsia="es-MX"/>
              </w:rPr>
            </w:pPr>
            <w:r w:rsidRPr="00CA7818">
              <w:rPr>
                <w:rFonts w:ascii="Adobe Caslon Pro" w:hAnsi="Adobe Caslon Pro" w:cs="Calibri"/>
                <w:i/>
                <w:color w:val="000000"/>
                <w:sz w:val="20"/>
                <w:szCs w:val="20"/>
                <w:lang w:eastAsia="es-MX"/>
              </w:rPr>
              <w:t>El Programa tiene bien definida la población que se desea atender y hacia ella se enfocan los objetivos.</w:t>
            </w:r>
          </w:p>
          <w:p w:rsidR="007D438C"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7D438C" w:rsidRDefault="007D438C" w:rsidP="00F075EB">
            <w:pPr>
              <w:numPr>
                <w:ilvl w:val="0"/>
                <w:numId w:val="42"/>
              </w:numPr>
              <w:jc w:val="both"/>
              <w:rPr>
                <w:rFonts w:ascii="Adobe Caslon Pro" w:hAnsi="Adobe Caslon Pro" w:cs="Calibri"/>
                <w:i/>
                <w:color w:val="000000"/>
                <w:sz w:val="20"/>
                <w:szCs w:val="20"/>
                <w:lang w:eastAsia="es-MX"/>
              </w:rPr>
            </w:pPr>
            <w:r w:rsidRPr="00F11D7A">
              <w:rPr>
                <w:rFonts w:ascii="Adobe Caslon Pro" w:hAnsi="Adobe Caslon Pro" w:cs="Calibri"/>
                <w:i/>
                <w:color w:val="000000"/>
                <w:sz w:val="20"/>
                <w:szCs w:val="20"/>
                <w:lang w:eastAsia="es-MX"/>
              </w:rPr>
              <w:t>Existen procedimientos estandarizados y adecuados para la selección de beneficiarios.</w:t>
            </w:r>
          </w:p>
          <w:p w:rsidR="007D438C" w:rsidRDefault="007D438C" w:rsidP="00F075EB">
            <w:pPr>
              <w:numPr>
                <w:ilvl w:val="0"/>
                <w:numId w:val="42"/>
              </w:numPr>
              <w:jc w:val="both"/>
              <w:rPr>
                <w:rFonts w:ascii="Adobe Caslon Pro" w:hAnsi="Adobe Caslon Pro" w:cs="Calibri"/>
                <w:i/>
                <w:color w:val="000000"/>
                <w:sz w:val="20"/>
                <w:szCs w:val="20"/>
                <w:lang w:eastAsia="es-MX"/>
              </w:rPr>
            </w:pPr>
            <w:r w:rsidRPr="00F11D7A">
              <w:rPr>
                <w:rFonts w:ascii="Adobe Caslon Pro" w:hAnsi="Adobe Caslon Pro" w:cs="Calibri"/>
                <w:i/>
                <w:color w:val="000000"/>
                <w:sz w:val="20"/>
                <w:szCs w:val="20"/>
                <w:lang w:eastAsia="es-MX"/>
              </w:rPr>
              <w:t>La selección de beneficiarios cumple con los criterios de elegibilidad y requisitos establecidos en la normatividad.</w:t>
            </w:r>
          </w:p>
          <w:p w:rsidR="007D438C" w:rsidRDefault="007D438C" w:rsidP="00F075EB">
            <w:pPr>
              <w:numPr>
                <w:ilvl w:val="0"/>
                <w:numId w:val="42"/>
              </w:numPr>
              <w:jc w:val="both"/>
              <w:rPr>
                <w:rFonts w:ascii="Adobe Caslon Pro" w:hAnsi="Adobe Caslon Pro" w:cs="Calibri"/>
                <w:i/>
                <w:color w:val="000000"/>
                <w:sz w:val="20"/>
                <w:szCs w:val="20"/>
                <w:lang w:eastAsia="es-MX"/>
              </w:rPr>
            </w:pPr>
            <w:r w:rsidRPr="00F11D7A">
              <w:rPr>
                <w:rFonts w:ascii="Adobe Caslon Pro" w:hAnsi="Adobe Caslon Pro" w:cs="Calibri"/>
                <w:i/>
                <w:color w:val="000000"/>
                <w:sz w:val="20"/>
                <w:szCs w:val="20"/>
                <w:lang w:eastAsia="es-MX"/>
              </w:rPr>
              <w:t>Existe evidencia documental de que el Programa cumple con los procesos de ejecución establecidos en la normatividad.</w:t>
            </w:r>
          </w:p>
          <w:p w:rsidR="007D438C" w:rsidRDefault="007D438C" w:rsidP="00F075EB">
            <w:pPr>
              <w:numPr>
                <w:ilvl w:val="0"/>
                <w:numId w:val="42"/>
              </w:numPr>
              <w:jc w:val="both"/>
              <w:rPr>
                <w:rFonts w:ascii="Adobe Caslon Pro" w:hAnsi="Adobe Caslon Pro" w:cs="Calibri"/>
                <w:i/>
                <w:color w:val="000000"/>
                <w:sz w:val="20"/>
                <w:szCs w:val="20"/>
                <w:lang w:eastAsia="es-MX"/>
              </w:rPr>
            </w:pPr>
            <w:r w:rsidRPr="00F11D7A">
              <w:rPr>
                <w:rFonts w:ascii="Adobe Caslon Pro" w:hAnsi="Adobe Caslon Pro" w:cs="Calibri"/>
                <w:i/>
                <w:color w:val="000000"/>
                <w:sz w:val="20"/>
                <w:szCs w:val="20"/>
                <w:lang w:eastAsia="es-MX"/>
              </w:rPr>
              <w:t>El Programa cuenta con una estructura organizacional que le permita entregar y/o producir los Componentes y alcanzar el logro del Propósito.</w:t>
            </w:r>
          </w:p>
          <w:p w:rsidR="007D438C" w:rsidRPr="00F11D7A" w:rsidRDefault="007D438C" w:rsidP="00F075EB">
            <w:pPr>
              <w:numPr>
                <w:ilvl w:val="0"/>
                <w:numId w:val="42"/>
              </w:numPr>
              <w:jc w:val="both"/>
              <w:rPr>
                <w:rFonts w:ascii="Adobe Caslon Pro" w:hAnsi="Adobe Caslon Pro" w:cs="Calibri"/>
                <w:i/>
                <w:color w:val="000000"/>
                <w:sz w:val="20"/>
                <w:szCs w:val="20"/>
                <w:lang w:eastAsia="es-MX"/>
              </w:rPr>
            </w:pPr>
            <w:r w:rsidRPr="00F11D7A">
              <w:rPr>
                <w:rFonts w:ascii="Adobe Caslon Pro" w:hAnsi="Adobe Caslon Pro" w:cs="Calibri"/>
                <w:i/>
                <w:color w:val="000000"/>
                <w:sz w:val="20"/>
                <w:szCs w:val="20"/>
                <w:lang w:eastAsia="es-MX"/>
              </w:rPr>
              <w:t>Los mecanismos de transferencias hacia la dependencia responsable del Programa opera eficaz y eficientemente.</w:t>
            </w:r>
          </w:p>
          <w:p w:rsidR="007D438C" w:rsidRPr="002324C1"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RESULTADOS</w:t>
            </w:r>
          </w:p>
          <w:p w:rsidR="007D438C" w:rsidRPr="00BC02F0" w:rsidRDefault="007D438C" w:rsidP="00F075EB">
            <w:pPr>
              <w:numPr>
                <w:ilvl w:val="0"/>
                <w:numId w:val="42"/>
              </w:numPr>
              <w:jc w:val="both"/>
              <w:rPr>
                <w:rFonts w:ascii="Adobe Caslon Pro" w:hAnsi="Adobe Caslon Pro" w:cs="Calibri"/>
                <w:i/>
                <w:color w:val="000000"/>
                <w:sz w:val="20"/>
                <w:szCs w:val="20"/>
                <w:lang w:eastAsia="es-MX"/>
              </w:rPr>
            </w:pPr>
            <w:r w:rsidRPr="00BC02F0">
              <w:rPr>
                <w:rFonts w:ascii="Adobe Caslon Pro" w:hAnsi="Adobe Caslon Pro" w:cs="Calibri"/>
                <w:i/>
                <w:color w:val="000000"/>
                <w:sz w:val="20"/>
                <w:szCs w:val="20"/>
                <w:lang w:eastAsia="es-MX"/>
              </w:rPr>
              <w:t>A través de la frecuencia de medición (periodicidad con la cual es calculado un indicador) incluida en la matriz de indicadores, se recolecta la información de los indicadores en todos los niveles.</w:t>
            </w:r>
          </w:p>
          <w:p w:rsidR="007D438C" w:rsidRPr="00BC02F0" w:rsidRDefault="007D438C" w:rsidP="00F075EB">
            <w:pPr>
              <w:numPr>
                <w:ilvl w:val="0"/>
                <w:numId w:val="42"/>
              </w:numPr>
              <w:jc w:val="both"/>
              <w:rPr>
                <w:rFonts w:ascii="Adobe Caslon Pro" w:hAnsi="Adobe Caslon Pro" w:cs="Calibri"/>
                <w:i/>
                <w:color w:val="000000"/>
                <w:sz w:val="20"/>
                <w:szCs w:val="20"/>
                <w:lang w:eastAsia="es-MX"/>
              </w:rPr>
            </w:pPr>
            <w:r w:rsidRPr="00BC02F0">
              <w:rPr>
                <w:rFonts w:ascii="Adobe Caslon Pro" w:hAnsi="Adobe Caslon Pro" w:cs="Calibri"/>
                <w:i/>
                <w:color w:val="000000"/>
                <w:sz w:val="20"/>
                <w:szCs w:val="20"/>
                <w:lang w:eastAsia="es-MX"/>
              </w:rPr>
              <w:t>El diseño y la operación del Programa permiten realizar una evaluación de impacto.</w:t>
            </w:r>
          </w:p>
          <w:p w:rsidR="007D438C" w:rsidRPr="00BC02F0" w:rsidRDefault="007D438C" w:rsidP="00F075EB">
            <w:pPr>
              <w:numPr>
                <w:ilvl w:val="0"/>
                <w:numId w:val="42"/>
              </w:numPr>
              <w:jc w:val="both"/>
              <w:rPr>
                <w:rFonts w:ascii="Adobe Caslon Pro" w:hAnsi="Adobe Caslon Pro" w:cs="Calibri"/>
                <w:i/>
                <w:color w:val="000000"/>
                <w:sz w:val="20"/>
                <w:szCs w:val="20"/>
                <w:lang w:eastAsia="es-MX"/>
              </w:rPr>
            </w:pPr>
            <w:r w:rsidRPr="00BC02F0">
              <w:rPr>
                <w:rFonts w:ascii="Adobe Caslon Pro" w:hAnsi="Adobe Caslon Pro" w:cs="Calibri"/>
                <w:i/>
                <w:color w:val="000000"/>
                <w:sz w:val="20"/>
                <w:szCs w:val="20"/>
                <w:lang w:eastAsia="es-MX"/>
              </w:rPr>
              <w:t>Con la información obtenida de los distintos instrumentos evaluados, se puede afirmar que el Programa demuestra un adecuado progreso en el alcance del Propósito y Fin.</w:t>
            </w:r>
          </w:p>
          <w:p w:rsidR="007D438C"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EVALUACIÓN DE LA APLICACIÓN DE LOS RECURSOS</w:t>
            </w:r>
          </w:p>
          <w:p w:rsidR="007D438C" w:rsidRPr="00BC02F0" w:rsidRDefault="007D438C" w:rsidP="00F075EB">
            <w:pPr>
              <w:numPr>
                <w:ilvl w:val="0"/>
                <w:numId w:val="42"/>
              </w:numPr>
              <w:jc w:val="both"/>
              <w:rPr>
                <w:rFonts w:ascii="Adobe Caslon Pro" w:hAnsi="Adobe Caslon Pro" w:cs="Calibri"/>
                <w:i/>
                <w:color w:val="000000"/>
                <w:sz w:val="20"/>
                <w:szCs w:val="20"/>
                <w:lang w:eastAsia="es-MX"/>
              </w:rPr>
            </w:pPr>
            <w:r w:rsidRPr="00BC02F0">
              <w:rPr>
                <w:rFonts w:ascii="Adobe Caslon Pro" w:hAnsi="Adobe Caslon Pro" w:cs="Calibri"/>
                <w:i/>
                <w:color w:val="000000"/>
                <w:sz w:val="20"/>
                <w:szCs w:val="20"/>
                <w:lang w:eastAsia="es-MX"/>
              </w:rPr>
              <w:t>El Programa cuenta con una planeación estratégica que define las acciones, obras, proyectos, actividades, y bienes y servicios a entregar</w:t>
            </w:r>
          </w:p>
          <w:p w:rsidR="007D438C" w:rsidRPr="00BC02F0" w:rsidRDefault="007D438C" w:rsidP="00F075EB">
            <w:pPr>
              <w:numPr>
                <w:ilvl w:val="0"/>
                <w:numId w:val="42"/>
              </w:numPr>
              <w:jc w:val="both"/>
              <w:rPr>
                <w:rFonts w:ascii="Adobe Caslon Pro" w:hAnsi="Adobe Caslon Pro" w:cs="Calibri"/>
                <w:i/>
                <w:color w:val="000000"/>
                <w:sz w:val="20"/>
                <w:szCs w:val="20"/>
                <w:lang w:eastAsia="es-MX"/>
              </w:rPr>
            </w:pPr>
            <w:r w:rsidRPr="00BC02F0">
              <w:rPr>
                <w:rFonts w:ascii="Adobe Caslon Pro" w:hAnsi="Adobe Caslon Pro" w:cs="Calibri"/>
                <w:i/>
                <w:color w:val="000000"/>
                <w:sz w:val="20"/>
                <w:szCs w:val="20"/>
                <w:lang w:eastAsia="es-MX"/>
              </w:rPr>
              <w:t>A través de la Cuenta Pública se garantiza la distribución de los desayunos y comidas que se realizó.</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Pr="007B54F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2.2.2 Oportunidades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2.2.3 Debilidades</w:t>
            </w:r>
            <w:r>
              <w:rPr>
                <w:rFonts w:ascii="Adobe Caslon Pro" w:hAnsi="Adobe Caslon Pro" w:cs="Calibri"/>
                <w:color w:val="000000"/>
                <w:lang w:eastAsia="es-MX"/>
              </w:rPr>
              <w:t>:</w:t>
            </w: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7D438C" w:rsidRDefault="007D438C" w:rsidP="00F075EB">
            <w:pPr>
              <w:pStyle w:val="Default"/>
              <w:numPr>
                <w:ilvl w:val="0"/>
                <w:numId w:val="44"/>
              </w:numPr>
              <w:rPr>
                <w:rFonts w:ascii="Adobe Caslon Pro" w:hAnsi="Adobe Caslon Pro" w:cs="Calibri"/>
                <w:i/>
                <w:sz w:val="20"/>
                <w:szCs w:val="20"/>
              </w:rPr>
            </w:pPr>
            <w:r w:rsidRPr="00FB17B2">
              <w:rPr>
                <w:rFonts w:ascii="Adobe Caslon Pro" w:hAnsi="Adobe Caslon Pro" w:cs="Calibri"/>
                <w:i/>
                <w:sz w:val="20"/>
                <w:szCs w:val="20"/>
              </w:rPr>
              <w:t>El Componente 2 que entrega un servicio de capacitación, algunos de los te</w:t>
            </w:r>
            <w:r w:rsidRPr="00FB17B2">
              <w:rPr>
                <w:rFonts w:ascii="Adobe Caslon Pro" w:hAnsi="Adobe Caslon Pro" w:cs="Calibri"/>
                <w:i/>
                <w:sz w:val="20"/>
                <w:szCs w:val="20"/>
              </w:rPr>
              <w:softHyphen/>
              <w:t xml:space="preserve">mas podrían no estar relacionados de forma tan directa con el propósito del Programa. </w:t>
            </w:r>
          </w:p>
          <w:p w:rsidR="007D438C" w:rsidRPr="00FB17B2" w:rsidRDefault="007D438C" w:rsidP="00F075EB">
            <w:pPr>
              <w:pStyle w:val="Default"/>
              <w:numPr>
                <w:ilvl w:val="0"/>
                <w:numId w:val="44"/>
              </w:numPr>
              <w:rPr>
                <w:rFonts w:ascii="Adobe Caslon Pro" w:hAnsi="Adobe Caslon Pro" w:cs="Calibri"/>
                <w:i/>
                <w:sz w:val="20"/>
                <w:szCs w:val="20"/>
              </w:rPr>
            </w:pPr>
            <w:r w:rsidRPr="00FB17B2">
              <w:rPr>
                <w:rFonts w:ascii="Adobe Caslon Pro" w:hAnsi="Adobe Caslon Pro" w:cs="Calibri"/>
                <w:i/>
                <w:sz w:val="20"/>
                <w:szCs w:val="20"/>
              </w:rPr>
              <w:t>El recurso presupuestario solicitado en tiempo y forma se considera como Su</w:t>
            </w:r>
            <w:r w:rsidRPr="00FB17B2">
              <w:rPr>
                <w:rFonts w:ascii="Adobe Caslon Pro" w:hAnsi="Adobe Caslon Pro" w:cs="Calibri"/>
                <w:i/>
                <w:sz w:val="20"/>
                <w:szCs w:val="20"/>
              </w:rPr>
              <w:softHyphen/>
              <w:t xml:space="preserve">puesto en algunas de las actividades. </w:t>
            </w:r>
          </w:p>
          <w:p w:rsidR="007D438C" w:rsidRPr="008D573A" w:rsidRDefault="007D438C" w:rsidP="00A56E05">
            <w:pPr>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Pr="00613747" w:rsidRDefault="007D438C" w:rsidP="00F075EB">
            <w:pPr>
              <w:numPr>
                <w:ilvl w:val="0"/>
                <w:numId w:val="13"/>
              </w:numPr>
              <w:jc w:val="both"/>
              <w:rPr>
                <w:rFonts w:ascii="Adobe Caslon Pro" w:hAnsi="Adobe Caslon Pro" w:cs="Calibri"/>
                <w:i/>
                <w:color w:val="000000"/>
                <w:sz w:val="20"/>
                <w:szCs w:val="20"/>
                <w:lang w:eastAsia="es-MX"/>
              </w:rPr>
            </w:pPr>
            <w:r w:rsidRPr="00613747">
              <w:rPr>
                <w:rFonts w:ascii="Adobe Caslon Pro" w:hAnsi="Adobe Caslon Pro" w:cs="Calibri"/>
                <w:i/>
                <w:color w:val="000000"/>
                <w:sz w:val="20"/>
                <w:szCs w:val="20"/>
                <w:lang w:eastAsia="es-MX"/>
              </w:rPr>
              <w:t>En la información del Programa no se establecen las metas y plazos específicos para los indicadores de desempeño.</w:t>
            </w:r>
          </w:p>
          <w:p w:rsidR="007D438C" w:rsidRPr="009C538D"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COBERTURA Y FOCALIZACIÓN</w:t>
            </w:r>
          </w:p>
          <w:p w:rsidR="007D438C" w:rsidRPr="00F11793" w:rsidRDefault="007D438C" w:rsidP="00F075EB">
            <w:pPr>
              <w:numPr>
                <w:ilvl w:val="0"/>
                <w:numId w:val="13"/>
              </w:numPr>
              <w:jc w:val="both"/>
              <w:rPr>
                <w:rFonts w:ascii="Adobe Caslon Pro" w:hAnsi="Adobe Caslon Pro" w:cs="Calibri"/>
                <w:color w:val="000000"/>
                <w:sz w:val="20"/>
                <w:szCs w:val="20"/>
                <w:lang w:eastAsia="es-MX"/>
              </w:rPr>
            </w:pPr>
            <w:r w:rsidRPr="00F11D7A">
              <w:rPr>
                <w:rFonts w:ascii="Adobe Caslon Pro" w:hAnsi="Adobe Caslon Pro" w:cs="Calibri"/>
                <w:i/>
                <w:color w:val="000000"/>
                <w:sz w:val="20"/>
                <w:szCs w:val="20"/>
                <w:lang w:eastAsia="es-MX"/>
              </w:rPr>
              <w:t>No se presentó información específica sobre un mecanismo de actualización y depuración del padrón de beneficiarios.</w:t>
            </w:r>
          </w:p>
          <w:p w:rsidR="007D438C" w:rsidRDefault="007D438C" w:rsidP="00A56E05">
            <w:pPr>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lastRenderedPageBreak/>
              <w:t>OPERACIÓN</w:t>
            </w:r>
          </w:p>
          <w:p w:rsidR="007D438C" w:rsidRPr="00F11793" w:rsidRDefault="007D438C" w:rsidP="00F075EB">
            <w:pPr>
              <w:numPr>
                <w:ilvl w:val="0"/>
                <w:numId w:val="13"/>
              </w:numPr>
              <w:jc w:val="both"/>
              <w:rPr>
                <w:rFonts w:ascii="Adobe Caslon Pro" w:hAnsi="Adobe Caslon Pro" w:cs="Calibri"/>
                <w:color w:val="000000"/>
                <w:sz w:val="20"/>
                <w:szCs w:val="20"/>
                <w:lang w:eastAsia="es-MX"/>
              </w:rPr>
            </w:pPr>
            <w:r w:rsidRPr="00A202D6">
              <w:rPr>
                <w:rFonts w:ascii="Adobe Caslon Pro" w:hAnsi="Adobe Caslon Pro" w:cs="Calibri"/>
                <w:i/>
                <w:color w:val="000000"/>
                <w:sz w:val="20"/>
                <w:szCs w:val="20"/>
                <w:lang w:eastAsia="es-MX"/>
              </w:rPr>
              <w:t>No se tiene evidencia de que el Programa cuente con procedimientos para medir costo-efectividad en la ejecución del mismo.</w:t>
            </w:r>
          </w:p>
          <w:p w:rsidR="007D438C" w:rsidRPr="00F11793"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PERCEPCIÓN DE LA POBLACIÓN OBJETIVO</w:t>
            </w:r>
          </w:p>
          <w:p w:rsidR="007D438C" w:rsidRPr="00BF5B05" w:rsidRDefault="007D438C" w:rsidP="00F075EB">
            <w:pPr>
              <w:numPr>
                <w:ilvl w:val="0"/>
                <w:numId w:val="13"/>
              </w:numPr>
              <w:jc w:val="both"/>
              <w:rPr>
                <w:rFonts w:ascii="Adobe Caslon Pro" w:hAnsi="Adobe Caslon Pro" w:cs="Calibri"/>
                <w:i/>
                <w:color w:val="000000"/>
                <w:sz w:val="20"/>
                <w:szCs w:val="20"/>
                <w:lang w:eastAsia="es-MX"/>
              </w:rPr>
            </w:pPr>
            <w:r w:rsidRPr="00BF5B05">
              <w:rPr>
                <w:rFonts w:ascii="Adobe Caslon Pro" w:hAnsi="Adobe Caslon Pro" w:cs="Calibri"/>
                <w:i/>
                <w:color w:val="000000"/>
                <w:sz w:val="20"/>
                <w:szCs w:val="20"/>
                <w:lang w:eastAsia="es-MX"/>
              </w:rPr>
              <w:t>No se presentó evidencia documental de la existencia de algún instrumento que permita medir el grado de satisfacción de la población objetivo.</w:t>
            </w:r>
          </w:p>
          <w:p w:rsidR="007D438C" w:rsidRPr="00F11793" w:rsidRDefault="007D438C" w:rsidP="00A56E05">
            <w:pPr>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EVALUACIÓN DE LA APLICACIÓN DE LOS RE</w:t>
            </w:r>
            <w:r>
              <w:rPr>
                <w:rFonts w:ascii="Adobe Caslon Pro" w:hAnsi="Adobe Caslon Pro" w:cs="Calibri"/>
                <w:color w:val="000000"/>
                <w:sz w:val="20"/>
                <w:szCs w:val="20"/>
                <w:lang w:eastAsia="es-MX"/>
              </w:rPr>
              <w:t>CURSOS</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8F57D2">
              <w:rPr>
                <w:rFonts w:ascii="Adobe Caslon Pro" w:hAnsi="Adobe Caslon Pro" w:cs="Calibri"/>
                <w:i/>
                <w:color w:val="000000"/>
                <w:sz w:val="20"/>
                <w:szCs w:val="20"/>
                <w:lang w:eastAsia="es-MX"/>
              </w:rPr>
              <w:t>No se presenta información que permita cotejar con el calendario si las fechas y montos fueron respetadas</w:t>
            </w:r>
            <w:r>
              <w:rPr>
                <w:rFonts w:ascii="Adobe Caslon Pro" w:hAnsi="Adobe Caslon Pro" w:cs="Calibri"/>
                <w:i/>
                <w:color w:val="000000"/>
                <w:sz w:val="20"/>
                <w:szCs w:val="20"/>
                <w:lang w:eastAsia="es-MX"/>
              </w:rPr>
              <w:t>.</w:t>
            </w:r>
          </w:p>
          <w:p w:rsidR="007D438C" w:rsidRPr="00BD117A" w:rsidRDefault="007D438C" w:rsidP="00A56E05">
            <w:pPr>
              <w:ind w:left="720"/>
              <w:jc w:val="both"/>
              <w:rPr>
                <w:rFonts w:ascii="Adobe Caslon Pro" w:hAnsi="Adobe Caslon Pro" w:cs="Calibri"/>
                <w:i/>
                <w:color w:val="000000"/>
                <w:sz w:val="20"/>
                <w:szCs w:val="2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2.2.4 Amenazas</w:t>
            </w:r>
            <w:r>
              <w:rPr>
                <w:rFonts w:ascii="Adobe Caslon Pro" w:hAnsi="Adobe Caslon Pro" w:cs="Calibri"/>
                <w:color w:val="000000"/>
                <w:lang w:eastAsia="es-MX"/>
              </w:rPr>
              <w:t>:</w:t>
            </w:r>
          </w:p>
        </w:tc>
      </w:tr>
      <w:tr w:rsidR="007D438C" w:rsidRPr="004F6AC5"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3. Conclusiones y recomendaciones de la evaluación</w:t>
            </w:r>
          </w:p>
        </w:tc>
      </w:tr>
      <w:tr w:rsidR="007D438C" w:rsidRPr="004F6AC5" w:rsidTr="00A56E05">
        <w:trPr>
          <w:trHeight w:val="110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D438C" w:rsidRDefault="007D438C" w:rsidP="00F075EB">
            <w:pPr>
              <w:numPr>
                <w:ilvl w:val="1"/>
                <w:numId w:val="15"/>
              </w:numPr>
              <w:rPr>
                <w:rFonts w:ascii="Adobe Caslon Pro" w:hAnsi="Adobe Caslon Pro" w:cs="Calibri"/>
                <w:color w:val="000000"/>
                <w:lang w:eastAsia="es-MX"/>
              </w:rPr>
            </w:pPr>
            <w:r w:rsidRPr="00066E84">
              <w:rPr>
                <w:rFonts w:ascii="Adobe Caslon Pro" w:hAnsi="Adobe Caslon Pro" w:cs="Calibri"/>
                <w:color w:val="000000"/>
                <w:lang w:eastAsia="es-MX"/>
              </w:rPr>
              <w:t>Describir brevemente las conclusiones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2D44A0" w:rsidRDefault="007D438C" w:rsidP="00F075EB">
            <w:pPr>
              <w:numPr>
                <w:ilvl w:val="0"/>
                <w:numId w:val="43"/>
              </w:numPr>
              <w:jc w:val="both"/>
              <w:rPr>
                <w:rFonts w:ascii="Adobe Caslon Pro" w:hAnsi="Adobe Caslon Pro" w:cs="Calibri"/>
                <w:i/>
                <w:color w:val="000000"/>
                <w:sz w:val="20"/>
                <w:szCs w:val="20"/>
                <w:lang w:eastAsia="es-MX"/>
              </w:rPr>
            </w:pPr>
            <w:r w:rsidRPr="002D44A0">
              <w:rPr>
                <w:rFonts w:ascii="Adobe Caslon Pro" w:hAnsi="Adobe Caslon Pro" w:cs="Calibri"/>
                <w:i/>
                <w:color w:val="000000"/>
                <w:sz w:val="20"/>
                <w:szCs w:val="20"/>
                <w:lang w:eastAsia="es-MX"/>
              </w:rPr>
              <w:t>El Programa de Cocina Comedor Nutricional Comunitaria, cuenta con una Ma</w:t>
            </w:r>
            <w:r>
              <w:rPr>
                <w:rFonts w:ascii="Adobe Caslon Pro" w:hAnsi="Adobe Caslon Pro" w:cs="Calibri"/>
                <w:i/>
                <w:color w:val="000000"/>
                <w:sz w:val="20"/>
                <w:szCs w:val="20"/>
                <w:lang w:eastAsia="es-MX"/>
              </w:rPr>
              <w:t xml:space="preserve">triz de Marco Lógico en donde </w:t>
            </w:r>
            <w:r w:rsidRPr="002D44A0">
              <w:rPr>
                <w:rFonts w:ascii="Adobe Caslon Pro" w:hAnsi="Adobe Caslon Pro" w:cs="Calibri"/>
                <w:i/>
                <w:color w:val="000000"/>
                <w:sz w:val="20"/>
                <w:szCs w:val="20"/>
                <w:lang w:eastAsia="es-MX"/>
              </w:rPr>
              <w:t>el Fin y el Propósito del Programa están claramente definidos puesto que son acordes con el objetivo general del Programa, los componentes son los necesarios y suficientes para el logro del Propósito y se establecen los indicadores que miden el desempeño del mismo en todos los niveles (Fin, Propósito, Componentes y Actividades).</w:t>
            </w:r>
          </w:p>
          <w:p w:rsidR="007D438C" w:rsidRPr="00AB4071" w:rsidRDefault="007D438C" w:rsidP="00F075EB">
            <w:pPr>
              <w:numPr>
                <w:ilvl w:val="0"/>
                <w:numId w:val="43"/>
              </w:numPr>
              <w:jc w:val="both"/>
              <w:rPr>
                <w:rFonts w:ascii="Adobe Caslon Pro" w:hAnsi="Adobe Caslon Pro" w:cs="Calibri"/>
                <w:i/>
                <w:color w:val="000000"/>
                <w:sz w:val="20"/>
                <w:szCs w:val="20"/>
                <w:lang w:eastAsia="es-MX"/>
              </w:rPr>
            </w:pPr>
            <w:r w:rsidRPr="00AB4071">
              <w:rPr>
                <w:rFonts w:ascii="Adobe Caslon Pro" w:hAnsi="Adobe Caslon Pro" w:cs="Calibri"/>
                <w:i/>
                <w:color w:val="000000"/>
                <w:sz w:val="20"/>
                <w:szCs w:val="20"/>
                <w:lang w:eastAsia="es-MX"/>
              </w:rPr>
              <w:t xml:space="preserve">Todos los indicadores cumplen con los criterios de validez al ser claros, relevantes, económicos, adecuados y </w:t>
            </w:r>
            <w:proofErr w:type="spellStart"/>
            <w:r w:rsidRPr="00AB4071">
              <w:rPr>
                <w:rFonts w:ascii="Adobe Caslon Pro" w:hAnsi="Adobe Caslon Pro" w:cs="Calibri"/>
                <w:i/>
                <w:color w:val="000000"/>
                <w:sz w:val="20"/>
                <w:szCs w:val="20"/>
                <w:lang w:eastAsia="es-MX"/>
              </w:rPr>
              <w:t>monitoreables</w:t>
            </w:r>
            <w:proofErr w:type="spellEnd"/>
            <w:r w:rsidRPr="00AB4071">
              <w:rPr>
                <w:rFonts w:ascii="Adobe Caslon Pro" w:hAnsi="Adobe Caslon Pro" w:cs="Calibri"/>
                <w:i/>
                <w:color w:val="000000"/>
                <w:sz w:val="20"/>
                <w:szCs w:val="20"/>
                <w:lang w:eastAsia="es-MX"/>
              </w:rPr>
              <w:t>, esto permite medir el avance en el logro de los objetivos y proporciona información para monitorear y evaluar los resultados del Programa.</w:t>
            </w:r>
          </w:p>
          <w:p w:rsidR="007D438C" w:rsidRPr="002D44A0" w:rsidRDefault="007D438C" w:rsidP="00F075EB">
            <w:pPr>
              <w:numPr>
                <w:ilvl w:val="0"/>
                <w:numId w:val="43"/>
              </w:numPr>
              <w:jc w:val="both"/>
              <w:rPr>
                <w:rFonts w:ascii="Adobe Caslon Pro" w:hAnsi="Adobe Caslon Pro" w:cs="Calibri"/>
                <w:i/>
                <w:color w:val="000000"/>
                <w:sz w:val="20"/>
                <w:szCs w:val="20"/>
                <w:lang w:eastAsia="es-MX"/>
              </w:rPr>
            </w:pPr>
            <w:r w:rsidRPr="002D44A0">
              <w:rPr>
                <w:rFonts w:ascii="Adobe Caslon Pro" w:hAnsi="Adobe Caslon Pro" w:cs="Calibri"/>
                <w:i/>
                <w:color w:val="000000"/>
                <w:sz w:val="20"/>
                <w:szCs w:val="20"/>
                <w:lang w:eastAsia="es-MX"/>
              </w:rPr>
              <w:t>La Matriz de Indicadores del Programa cuenta con los medios de verificación, los cuales corresponden a las fuentes de información que se utilizan para calcular los indicadores</w:t>
            </w:r>
            <w:r>
              <w:rPr>
                <w:rFonts w:ascii="Adobe Caslon Pro" w:hAnsi="Adobe Caslon Pro" w:cs="Calibri"/>
                <w:i/>
                <w:color w:val="000000"/>
                <w:sz w:val="20"/>
                <w:szCs w:val="20"/>
                <w:lang w:eastAsia="es-MX"/>
              </w:rPr>
              <w:t xml:space="preserve"> y los</w:t>
            </w:r>
            <w:r w:rsidRPr="002D44A0">
              <w:rPr>
                <w:rFonts w:ascii="Adobe Caslon Pro" w:hAnsi="Adobe Caslon Pro" w:cs="Calibri"/>
                <w:i/>
                <w:color w:val="000000"/>
                <w:sz w:val="20"/>
                <w:szCs w:val="20"/>
                <w:lang w:eastAsia="es-MX"/>
              </w:rPr>
              <w:t xml:space="preserve"> supuestos se consideran válidos ya que identifican los riesgos que comprometen el logro de los objetivos del Programa.</w:t>
            </w:r>
          </w:p>
          <w:p w:rsidR="007D438C" w:rsidRDefault="007D438C" w:rsidP="00F075EB">
            <w:pPr>
              <w:numPr>
                <w:ilvl w:val="0"/>
                <w:numId w:val="43"/>
              </w:numPr>
              <w:jc w:val="both"/>
              <w:rPr>
                <w:rFonts w:ascii="Adobe Caslon Pro" w:hAnsi="Adobe Caslon Pro" w:cs="Calibri"/>
                <w:i/>
                <w:color w:val="000000"/>
                <w:sz w:val="20"/>
                <w:szCs w:val="20"/>
                <w:lang w:eastAsia="es-MX"/>
              </w:rPr>
            </w:pPr>
            <w:r w:rsidRPr="001E0852">
              <w:rPr>
                <w:rFonts w:ascii="Adobe Caslon Pro" w:hAnsi="Adobe Caslon Pro" w:cs="Calibri"/>
                <w:i/>
                <w:color w:val="000000"/>
                <w:sz w:val="20"/>
                <w:szCs w:val="20"/>
                <w:lang w:eastAsia="es-MX"/>
              </w:rPr>
              <w:t>La población potencial como la población obje</w:t>
            </w:r>
            <w:r>
              <w:rPr>
                <w:rFonts w:ascii="Adobe Caslon Pro" w:hAnsi="Adobe Caslon Pro" w:cs="Calibri"/>
                <w:i/>
                <w:color w:val="000000"/>
                <w:sz w:val="20"/>
                <w:szCs w:val="20"/>
                <w:lang w:eastAsia="es-MX"/>
              </w:rPr>
              <w:t>tivo están claramente definidas.</w:t>
            </w:r>
          </w:p>
          <w:p w:rsidR="007D438C" w:rsidRDefault="007D438C" w:rsidP="00F075EB">
            <w:pPr>
              <w:numPr>
                <w:ilvl w:val="0"/>
                <w:numId w:val="43"/>
              </w:numPr>
              <w:jc w:val="both"/>
              <w:rPr>
                <w:rFonts w:ascii="Adobe Caslon Pro" w:hAnsi="Adobe Caslon Pro" w:cs="Calibri"/>
                <w:i/>
                <w:color w:val="000000"/>
                <w:sz w:val="20"/>
                <w:szCs w:val="20"/>
                <w:lang w:eastAsia="es-MX"/>
              </w:rPr>
            </w:pPr>
            <w:r w:rsidRPr="001E0852">
              <w:rPr>
                <w:rFonts w:ascii="Adobe Caslon Pro" w:hAnsi="Adobe Caslon Pro" w:cs="Calibri"/>
                <w:i/>
                <w:color w:val="000000"/>
                <w:sz w:val="20"/>
                <w:szCs w:val="20"/>
                <w:lang w:eastAsia="es-MX"/>
              </w:rPr>
              <w:t>Los indicadores y metas del Programa están establecidos a partir de los objetivos de Política Pública, específicamente de política social, plasmados en el Plan Nacional de Desarrollo y en el Plan Estatal de Desarrollo del Estado de Oaxaca. A partir de dichos objetivos es que se establecen las metas e indicadores para medir el avance de los objetivos del Programa.</w:t>
            </w:r>
          </w:p>
          <w:p w:rsidR="007D438C" w:rsidRDefault="007D438C" w:rsidP="00F075EB">
            <w:pPr>
              <w:numPr>
                <w:ilvl w:val="0"/>
                <w:numId w:val="43"/>
              </w:numPr>
              <w:jc w:val="both"/>
              <w:rPr>
                <w:rFonts w:ascii="Adobe Caslon Pro" w:hAnsi="Adobe Caslon Pro" w:cs="Calibri"/>
                <w:i/>
                <w:sz w:val="20"/>
                <w:szCs w:val="20"/>
                <w:lang w:eastAsia="es-MX"/>
              </w:rPr>
            </w:pPr>
            <w:r w:rsidRPr="00CB61B3">
              <w:rPr>
                <w:rFonts w:ascii="Adobe Caslon Pro" w:hAnsi="Adobe Caslon Pro" w:cs="Calibri"/>
                <w:i/>
                <w:sz w:val="20"/>
                <w:szCs w:val="20"/>
                <w:lang w:eastAsia="es-MX"/>
              </w:rPr>
              <w:t>En cuanto a la Cobertura y Focalización, para cuantificar y determinar la población potencial y objetivo del Programa se consideran las estadísticas del Ins</w:t>
            </w:r>
            <w:r>
              <w:rPr>
                <w:rFonts w:ascii="Adobe Caslon Pro" w:hAnsi="Adobe Caslon Pro" w:cs="Calibri"/>
                <w:i/>
                <w:sz w:val="20"/>
                <w:szCs w:val="20"/>
                <w:lang w:eastAsia="es-MX"/>
              </w:rPr>
              <w:t xml:space="preserve">tituto Nacional de Estadística y </w:t>
            </w:r>
            <w:r w:rsidRPr="00CB61B3">
              <w:rPr>
                <w:rFonts w:ascii="Adobe Caslon Pro" w:hAnsi="Adobe Caslon Pro" w:cs="Calibri"/>
                <w:i/>
                <w:sz w:val="20"/>
                <w:szCs w:val="20"/>
                <w:lang w:eastAsia="es-MX"/>
              </w:rPr>
              <w:t>Geografía</w:t>
            </w:r>
            <w:r>
              <w:rPr>
                <w:rFonts w:ascii="Adobe Caslon Pro" w:hAnsi="Adobe Caslon Pro" w:cs="Calibri"/>
                <w:i/>
                <w:sz w:val="20"/>
                <w:szCs w:val="20"/>
                <w:lang w:eastAsia="es-MX"/>
              </w:rPr>
              <w:t xml:space="preserve"> </w:t>
            </w:r>
            <w:r w:rsidRPr="00CB61B3">
              <w:rPr>
                <w:rFonts w:ascii="Adobe Caslon Pro" w:hAnsi="Adobe Caslon Pro" w:cs="Calibri"/>
                <w:i/>
                <w:sz w:val="20"/>
                <w:szCs w:val="20"/>
                <w:lang w:eastAsia="es-MX"/>
              </w:rPr>
              <w:t>(INEGI) del Censo 2010, la población de los municipios de Alta y Muy Alta Marginación, y el porcentaje de carencia por acceso a la alimentación según el</w:t>
            </w:r>
            <w:r>
              <w:rPr>
                <w:rFonts w:ascii="Adobe Caslon Pro" w:hAnsi="Adobe Caslon Pro" w:cs="Calibri"/>
                <w:i/>
                <w:sz w:val="20"/>
                <w:szCs w:val="20"/>
                <w:lang w:eastAsia="es-MX"/>
              </w:rPr>
              <w:t xml:space="preserve"> CONEVAL.</w:t>
            </w:r>
          </w:p>
          <w:p w:rsidR="007D438C" w:rsidRDefault="007D438C" w:rsidP="00F075EB">
            <w:pPr>
              <w:numPr>
                <w:ilvl w:val="0"/>
                <w:numId w:val="43"/>
              </w:numPr>
              <w:jc w:val="both"/>
              <w:rPr>
                <w:rFonts w:ascii="Adobe Caslon Pro" w:hAnsi="Adobe Caslon Pro" w:cs="Calibri"/>
                <w:i/>
                <w:sz w:val="20"/>
                <w:szCs w:val="20"/>
                <w:lang w:eastAsia="es-MX"/>
              </w:rPr>
            </w:pPr>
            <w:r w:rsidRPr="002D44A0">
              <w:rPr>
                <w:rFonts w:ascii="Adobe Caslon Pro" w:hAnsi="Adobe Caslon Pro" w:cs="Calibri"/>
                <w:i/>
                <w:sz w:val="20"/>
                <w:szCs w:val="20"/>
                <w:lang w:eastAsia="es-MX"/>
              </w:rPr>
              <w:t>En la parte operativa del Programa cuenta con procedimientos estandarizados y adecuados para la selección de beneficiarios, establecidos en la</w:t>
            </w:r>
            <w:r>
              <w:rPr>
                <w:rFonts w:ascii="Adobe Caslon Pro" w:hAnsi="Adobe Caslon Pro" w:cs="Calibri"/>
                <w:i/>
                <w:sz w:val="20"/>
                <w:szCs w:val="20"/>
                <w:lang w:eastAsia="es-MX"/>
              </w:rPr>
              <w:t>s Reglas de Operación del mismo.</w:t>
            </w:r>
          </w:p>
          <w:p w:rsidR="007D438C" w:rsidRPr="002D44A0" w:rsidRDefault="007D438C" w:rsidP="00F075EB">
            <w:pPr>
              <w:numPr>
                <w:ilvl w:val="0"/>
                <w:numId w:val="43"/>
              </w:numPr>
              <w:jc w:val="both"/>
              <w:rPr>
                <w:rFonts w:ascii="Adobe Caslon Pro" w:hAnsi="Adobe Caslon Pro" w:cs="Calibri"/>
                <w:i/>
                <w:sz w:val="20"/>
                <w:szCs w:val="20"/>
                <w:lang w:eastAsia="es-MX"/>
              </w:rPr>
            </w:pPr>
            <w:r w:rsidRPr="002D44A0">
              <w:rPr>
                <w:rFonts w:ascii="Adobe Caslon Pro" w:hAnsi="Adobe Caslon Pro" w:cs="Calibri"/>
                <w:i/>
                <w:sz w:val="20"/>
                <w:szCs w:val="20"/>
                <w:lang w:eastAsia="es-MX"/>
              </w:rPr>
              <w:t>Los padrones de población atendida cuentan con información como: ejercicio fiscal al que corresponde el padrón de beneficiarios (año), el número o folio que le corresponde a la Cocina beneficiaria, los nombres de los beneficiados que, a su vez, están categorizados por edad, género, y alguna otra especificación que se establece en las Reglas de Operación, como las mujeres embarazadas o en periodo de lactancia.</w:t>
            </w:r>
          </w:p>
          <w:p w:rsidR="007D438C" w:rsidRPr="002D44A0" w:rsidRDefault="007D438C" w:rsidP="00F075EB">
            <w:pPr>
              <w:numPr>
                <w:ilvl w:val="0"/>
                <w:numId w:val="43"/>
              </w:numPr>
              <w:jc w:val="both"/>
              <w:rPr>
                <w:rFonts w:ascii="Adobe Caslon Pro" w:hAnsi="Adobe Caslon Pro" w:cs="Calibri"/>
                <w:i/>
                <w:sz w:val="20"/>
                <w:szCs w:val="20"/>
                <w:lang w:eastAsia="es-MX"/>
              </w:rPr>
            </w:pPr>
            <w:r w:rsidRPr="002D44A0">
              <w:rPr>
                <w:rFonts w:ascii="Adobe Caslon Pro" w:hAnsi="Adobe Caslon Pro" w:cs="Calibri"/>
                <w:i/>
                <w:sz w:val="20"/>
                <w:szCs w:val="20"/>
                <w:lang w:eastAsia="es-MX"/>
              </w:rPr>
              <w:t>El Programa cumple con los procesos de ejecución establecidos en la normatividad a través de los informes de avances físico-financiero</w:t>
            </w:r>
            <w:r>
              <w:rPr>
                <w:rFonts w:ascii="Adobe Caslon Pro" w:hAnsi="Adobe Caslon Pro" w:cs="Calibri"/>
                <w:i/>
                <w:sz w:val="20"/>
                <w:szCs w:val="20"/>
                <w:lang w:eastAsia="es-MX"/>
              </w:rPr>
              <w:t>s</w:t>
            </w:r>
            <w:r w:rsidRPr="002D44A0">
              <w:rPr>
                <w:rFonts w:ascii="Adobe Caslon Pro" w:hAnsi="Adobe Caslon Pro" w:cs="Calibri"/>
                <w:i/>
                <w:sz w:val="20"/>
                <w:szCs w:val="20"/>
                <w:lang w:eastAsia="es-MX"/>
              </w:rPr>
              <w:t>, actas de entrega-recepción, cierre de ejercicio, recursos no devengados.</w:t>
            </w:r>
          </w:p>
          <w:p w:rsidR="007D438C" w:rsidRPr="002D44A0" w:rsidRDefault="007D438C" w:rsidP="00F075EB">
            <w:pPr>
              <w:numPr>
                <w:ilvl w:val="0"/>
                <w:numId w:val="43"/>
              </w:numPr>
              <w:jc w:val="both"/>
              <w:rPr>
                <w:rFonts w:ascii="Adobe Caslon Pro" w:hAnsi="Adobe Caslon Pro" w:cs="Calibri"/>
                <w:i/>
                <w:sz w:val="20"/>
                <w:szCs w:val="20"/>
                <w:lang w:eastAsia="es-MX"/>
              </w:rPr>
            </w:pPr>
            <w:r w:rsidRPr="002D44A0">
              <w:rPr>
                <w:rFonts w:ascii="Adobe Caslon Pro" w:hAnsi="Adobe Caslon Pro" w:cs="Calibri"/>
                <w:i/>
                <w:sz w:val="20"/>
                <w:szCs w:val="20"/>
                <w:lang w:eastAsia="es-MX"/>
              </w:rPr>
              <w:t>El Programa cuenta también con una estructura organizacional que le permita entregar y/o producir los Componentes para alcanzar el logro del Propósito.</w:t>
            </w:r>
          </w:p>
          <w:p w:rsidR="007D438C" w:rsidRPr="002D44A0" w:rsidRDefault="007D438C" w:rsidP="00F075EB">
            <w:pPr>
              <w:numPr>
                <w:ilvl w:val="0"/>
                <w:numId w:val="43"/>
              </w:numPr>
              <w:jc w:val="both"/>
              <w:rPr>
                <w:rFonts w:ascii="Adobe Caslon Pro" w:hAnsi="Adobe Caslon Pro" w:cs="Calibri"/>
                <w:i/>
                <w:color w:val="000000"/>
                <w:sz w:val="20"/>
                <w:szCs w:val="20"/>
                <w:lang w:eastAsia="es-MX"/>
              </w:rPr>
            </w:pPr>
            <w:r w:rsidRPr="002D44A0">
              <w:rPr>
                <w:rFonts w:ascii="Adobe Caslon Pro" w:hAnsi="Adobe Caslon Pro" w:cs="Calibri"/>
                <w:i/>
                <w:sz w:val="20"/>
                <w:szCs w:val="20"/>
                <w:lang w:eastAsia="es-MX"/>
              </w:rPr>
              <w:t xml:space="preserve">En lo que a resultados del Programa se refiere, éste ha demostrado un adecuado progreso al alcanzar su </w:t>
            </w:r>
            <w:r w:rsidRPr="002D44A0">
              <w:rPr>
                <w:rFonts w:ascii="Adobe Caslon Pro" w:hAnsi="Adobe Caslon Pro" w:cs="Calibri"/>
                <w:i/>
                <w:sz w:val="20"/>
                <w:szCs w:val="20"/>
                <w:lang w:eastAsia="es-MX"/>
              </w:rPr>
              <w:lastRenderedPageBreak/>
              <w:t>Fin y Propósito</w:t>
            </w:r>
            <w:r>
              <w:rPr>
                <w:rFonts w:ascii="Adobe Caslon Pro" w:hAnsi="Adobe Caslon Pro" w:cs="Calibri"/>
                <w:i/>
                <w:sz w:val="20"/>
                <w:szCs w:val="20"/>
                <w:lang w:eastAsia="es-MX"/>
              </w:rPr>
              <w:t>.</w:t>
            </w:r>
          </w:p>
        </w:tc>
      </w:tr>
      <w:tr w:rsidR="007D438C" w:rsidRPr="004F6AC5" w:rsidTr="00A56E05">
        <w:trPr>
          <w:trHeight w:val="525"/>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7D438C" w:rsidRPr="00066E84" w:rsidRDefault="007D438C" w:rsidP="00F075EB">
            <w:pPr>
              <w:numPr>
                <w:ilvl w:val="1"/>
                <w:numId w:val="14"/>
              </w:numPr>
              <w:rPr>
                <w:rFonts w:ascii="Adobe Caslon Pro" w:hAnsi="Adobe Caslon Pro" w:cs="Calibri"/>
                <w:color w:val="000000"/>
                <w:lang w:eastAsia="es-MX"/>
              </w:rPr>
            </w:pPr>
            <w:r>
              <w:rPr>
                <w:rFonts w:ascii="Adobe Caslon Pro" w:hAnsi="Adobe Caslon Pro" w:cs="Calibri"/>
                <w:color w:val="000000"/>
                <w:lang w:eastAsia="es-MX"/>
              </w:rPr>
              <w:lastRenderedPageBreak/>
              <w:t>Describir</w:t>
            </w:r>
            <w:r w:rsidRPr="00066E84">
              <w:rPr>
                <w:rFonts w:ascii="Adobe Caslon Pro" w:hAnsi="Adobe Caslon Pro" w:cs="Calibri"/>
                <w:color w:val="000000"/>
                <w:lang w:eastAsia="es-MX"/>
              </w:rPr>
              <w:t xml:space="preserve"> las recomendaciones de acuerdo a su relevancia:</w:t>
            </w:r>
          </w:p>
        </w:tc>
      </w:tr>
      <w:tr w:rsidR="007D438C" w:rsidRPr="004F6AC5"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DISEÑO</w:t>
            </w:r>
          </w:p>
          <w:p w:rsidR="007D438C" w:rsidRDefault="007D438C" w:rsidP="00F075EB">
            <w:pPr>
              <w:numPr>
                <w:ilvl w:val="0"/>
                <w:numId w:val="13"/>
              </w:numPr>
              <w:jc w:val="both"/>
              <w:rPr>
                <w:rFonts w:ascii="Adobe Caslon Pro" w:hAnsi="Adobe Caslon Pro" w:cs="Calibri"/>
                <w:color w:val="000000"/>
                <w:sz w:val="20"/>
                <w:szCs w:val="20"/>
                <w:lang w:eastAsia="es-MX"/>
              </w:rPr>
            </w:pPr>
            <w:r w:rsidRPr="008A1D10">
              <w:rPr>
                <w:rFonts w:ascii="Adobe Caslon Pro" w:hAnsi="Adobe Caslon Pro" w:cs="Calibri"/>
                <w:i/>
                <w:color w:val="000000"/>
                <w:sz w:val="20"/>
                <w:szCs w:val="20"/>
                <w:lang w:eastAsia="es-MX"/>
              </w:rPr>
              <w:t>Se recomienda hacer un análisis del impacto real que tienen los temas de capacitación del Componente 2 para determinar si es necesario reorientarlo.</w:t>
            </w:r>
          </w:p>
          <w:p w:rsidR="007D438C" w:rsidRPr="00197C70" w:rsidRDefault="007D438C" w:rsidP="00F075EB">
            <w:pPr>
              <w:numPr>
                <w:ilvl w:val="0"/>
                <w:numId w:val="13"/>
              </w:numPr>
              <w:jc w:val="both"/>
              <w:rPr>
                <w:rFonts w:ascii="Adobe Caslon Pro" w:hAnsi="Adobe Caslon Pro" w:cs="Calibri"/>
                <w:color w:val="000000"/>
                <w:sz w:val="20"/>
                <w:szCs w:val="20"/>
                <w:lang w:eastAsia="es-MX"/>
              </w:rPr>
            </w:pPr>
            <w:r w:rsidRPr="008A1D10">
              <w:rPr>
                <w:rFonts w:ascii="Adobe Caslon Pro" w:hAnsi="Adobe Caslon Pro" w:cs="Calibri"/>
                <w:i/>
                <w:color w:val="000000"/>
                <w:sz w:val="20"/>
                <w:szCs w:val="20"/>
                <w:lang w:eastAsia="es-MX"/>
              </w:rPr>
              <w:t>Reorientar el Supuesto que considera el recurso en tiempo y forma como un riesgo, atendiendo así las recomendaciones de la Metodología de Marco Lógico.</w:t>
            </w:r>
          </w:p>
          <w:p w:rsidR="007D438C" w:rsidRPr="00197C70" w:rsidRDefault="007D438C" w:rsidP="00A56E05">
            <w:pPr>
              <w:ind w:left="360"/>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7D438C" w:rsidRPr="00197C70" w:rsidRDefault="007D438C" w:rsidP="00F075EB">
            <w:pPr>
              <w:numPr>
                <w:ilvl w:val="0"/>
                <w:numId w:val="45"/>
              </w:numPr>
              <w:autoSpaceDE w:val="0"/>
              <w:autoSpaceDN w:val="0"/>
              <w:adjustRightInd w:val="0"/>
              <w:rPr>
                <w:rFonts w:ascii="Adobe Caslon Pro" w:hAnsi="Adobe Caslon Pro" w:cs="Calibri"/>
                <w:i/>
                <w:color w:val="000000"/>
                <w:sz w:val="20"/>
                <w:szCs w:val="20"/>
                <w:lang w:eastAsia="es-MX"/>
              </w:rPr>
            </w:pPr>
            <w:r w:rsidRPr="00197C70">
              <w:rPr>
                <w:rFonts w:ascii="Adobe Caslon Pro" w:hAnsi="Adobe Caslon Pro" w:cs="Calibri"/>
                <w:i/>
                <w:color w:val="000000"/>
                <w:sz w:val="20"/>
                <w:szCs w:val="20"/>
                <w:lang w:eastAsia="es-MX"/>
              </w:rPr>
              <w:t>Establecer las metas y plazos específicos para los indicadores de desempeño.</w:t>
            </w:r>
          </w:p>
          <w:p w:rsidR="007D438C" w:rsidRDefault="007D438C" w:rsidP="00A56E05">
            <w:pPr>
              <w:jc w:val="both"/>
              <w:rPr>
                <w:rFonts w:ascii="Adobe Caslon Pro" w:hAnsi="Adobe Caslon Pro" w:cs="Calibr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7D438C" w:rsidRPr="00AE7DA1" w:rsidRDefault="007D438C" w:rsidP="00F075EB">
            <w:pPr>
              <w:numPr>
                <w:ilvl w:val="0"/>
                <w:numId w:val="13"/>
              </w:numPr>
              <w:jc w:val="both"/>
              <w:rPr>
                <w:rFonts w:ascii="Adobe Caslon Pro" w:hAnsi="Adobe Caslon Pro" w:cs="Calibri"/>
                <w:color w:val="000000"/>
                <w:sz w:val="20"/>
                <w:szCs w:val="20"/>
                <w:lang w:eastAsia="es-MX"/>
              </w:rPr>
            </w:pPr>
            <w:r w:rsidRPr="00AE7DA1">
              <w:rPr>
                <w:rFonts w:ascii="Adobe Caslon Pro" w:hAnsi="Adobe Caslon Pro" w:cs="Calibri"/>
                <w:i/>
                <w:color w:val="000000"/>
                <w:sz w:val="20"/>
                <w:szCs w:val="20"/>
                <w:lang w:eastAsia="es-MX"/>
              </w:rPr>
              <w:t>En caso de contar con un mecanismo de actualización o depuración de beneficiarios, mostrarlo en la página web del DIF Oaxaca.</w:t>
            </w:r>
          </w:p>
          <w:p w:rsidR="007D438C" w:rsidRDefault="007D438C" w:rsidP="00A56E05">
            <w:pPr>
              <w:jc w:val="both"/>
              <w:rPr>
                <w:rFonts w:ascii="Adobe Caslon Pro" w:hAnsi="Adobe Caslon Pro" w:cs="Calibri"/>
                <w:color w:val="000000"/>
                <w:sz w:val="20"/>
                <w:szCs w:val="20"/>
                <w:lang w:eastAsia="es-MX"/>
              </w:rPr>
            </w:pPr>
          </w:p>
          <w:p w:rsidR="007D438C" w:rsidRPr="00F11793"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7D438C" w:rsidRPr="00AE7DA1" w:rsidRDefault="007D438C" w:rsidP="00F075EB">
            <w:pPr>
              <w:numPr>
                <w:ilvl w:val="0"/>
                <w:numId w:val="13"/>
              </w:numPr>
              <w:jc w:val="both"/>
              <w:rPr>
                <w:rFonts w:ascii="Adobe Caslon Pro" w:hAnsi="Adobe Caslon Pro" w:cs="Calibri"/>
                <w:i/>
                <w:color w:val="000000"/>
                <w:sz w:val="20"/>
                <w:szCs w:val="20"/>
                <w:lang w:eastAsia="es-MX"/>
              </w:rPr>
            </w:pPr>
            <w:r w:rsidRPr="00AE7DA1">
              <w:rPr>
                <w:rFonts w:ascii="Adobe Caslon Pro" w:hAnsi="Adobe Caslon Pro" w:cs="Calibri"/>
                <w:i/>
                <w:color w:val="000000"/>
                <w:sz w:val="20"/>
                <w:szCs w:val="20"/>
                <w:lang w:eastAsia="es-MX"/>
              </w:rPr>
              <w:t>Diseñar un procedimiento para medir el costo-efectividad en la ejecución del Programa.</w:t>
            </w:r>
          </w:p>
          <w:p w:rsidR="007D438C" w:rsidRPr="00A5758C" w:rsidRDefault="007D438C" w:rsidP="00A56E05">
            <w:pPr>
              <w:ind w:left="720"/>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w:t>
            </w:r>
            <w:r>
              <w:rPr>
                <w:rFonts w:ascii="Adobe Caslon Pro" w:hAnsi="Adobe Caslon Pro" w:cs="Calibri"/>
                <w:color w:val="000000"/>
                <w:sz w:val="20"/>
                <w:szCs w:val="20"/>
                <w:lang w:eastAsia="es-MX"/>
              </w:rPr>
              <w:t>EPCIÓN DE LA POBLACIÓN OBJETIVO</w:t>
            </w:r>
          </w:p>
          <w:p w:rsidR="007D438C" w:rsidRPr="00197C70" w:rsidRDefault="007D438C" w:rsidP="00F075EB">
            <w:pPr>
              <w:numPr>
                <w:ilvl w:val="0"/>
                <w:numId w:val="13"/>
              </w:numPr>
              <w:jc w:val="both"/>
              <w:rPr>
                <w:rFonts w:ascii="Adobe Caslon Pro" w:hAnsi="Adobe Caslon Pro" w:cs="Calibri"/>
                <w:color w:val="000000"/>
                <w:sz w:val="20"/>
                <w:szCs w:val="20"/>
                <w:lang w:eastAsia="es-MX"/>
              </w:rPr>
            </w:pPr>
            <w:r w:rsidRPr="00AE7DA1">
              <w:rPr>
                <w:rFonts w:ascii="Adobe Caslon Pro" w:hAnsi="Adobe Caslon Pro" w:cs="Calibri"/>
                <w:i/>
                <w:color w:val="000000"/>
                <w:sz w:val="20"/>
                <w:szCs w:val="20"/>
                <w:lang w:eastAsia="es-MX"/>
              </w:rPr>
              <w:t>Diseñar un instrumento que permita medir el grado de satisfacción de la población objetivo.</w:t>
            </w:r>
          </w:p>
          <w:p w:rsidR="007D438C" w:rsidRDefault="007D438C" w:rsidP="00A56E05">
            <w:pPr>
              <w:jc w:val="both"/>
              <w:rPr>
                <w:rFonts w:ascii="Adobe Caslon Pro" w:hAnsi="Adobe Caslon Pro" w:cs="Calibri"/>
                <w:i/>
                <w:color w:val="000000"/>
                <w:sz w:val="20"/>
                <w:szCs w:val="20"/>
                <w:lang w:eastAsia="es-MX"/>
              </w:rPr>
            </w:pPr>
          </w:p>
          <w:p w:rsidR="007D438C" w:rsidRDefault="007D438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EVALUACIÓN DE LA APLICACIÓN DE LOS RE</w:t>
            </w:r>
            <w:r>
              <w:rPr>
                <w:rFonts w:ascii="Adobe Caslon Pro" w:hAnsi="Adobe Caslon Pro" w:cs="Calibri"/>
                <w:color w:val="000000"/>
                <w:sz w:val="20"/>
                <w:szCs w:val="20"/>
                <w:lang w:eastAsia="es-MX"/>
              </w:rPr>
              <w:t>CURSOS</w:t>
            </w:r>
          </w:p>
          <w:p w:rsidR="007D438C" w:rsidRDefault="007D438C" w:rsidP="00F075EB">
            <w:pPr>
              <w:numPr>
                <w:ilvl w:val="0"/>
                <w:numId w:val="13"/>
              </w:numPr>
              <w:jc w:val="both"/>
              <w:rPr>
                <w:rFonts w:ascii="Adobe Caslon Pro" w:hAnsi="Adobe Caslon Pro" w:cs="Calibri"/>
                <w:i/>
                <w:color w:val="000000"/>
                <w:sz w:val="20"/>
                <w:szCs w:val="20"/>
                <w:lang w:eastAsia="es-MX"/>
              </w:rPr>
            </w:pPr>
            <w:r w:rsidRPr="00197C70">
              <w:rPr>
                <w:rFonts w:ascii="Adobe Caslon Pro" w:hAnsi="Adobe Caslon Pro" w:cs="Calibri"/>
                <w:i/>
                <w:color w:val="000000"/>
                <w:sz w:val="20"/>
                <w:szCs w:val="20"/>
                <w:lang w:eastAsia="es-MX"/>
              </w:rPr>
              <w:t>No se presenta información que permita cotejar con el calendario si las fechas</w:t>
            </w:r>
            <w:r>
              <w:rPr>
                <w:rFonts w:ascii="Adobe Caslon Pro" w:hAnsi="Adobe Caslon Pro" w:cs="Calibri"/>
                <w:i/>
                <w:color w:val="000000"/>
                <w:sz w:val="20"/>
                <w:szCs w:val="20"/>
                <w:lang w:eastAsia="es-MX"/>
              </w:rPr>
              <w:t xml:space="preserve"> </w:t>
            </w:r>
            <w:r w:rsidRPr="00197C70">
              <w:rPr>
                <w:rFonts w:ascii="Adobe Caslon Pro" w:hAnsi="Adobe Caslon Pro" w:cs="Calibri"/>
                <w:i/>
                <w:color w:val="000000"/>
                <w:sz w:val="20"/>
                <w:szCs w:val="20"/>
                <w:lang w:eastAsia="es-MX"/>
              </w:rPr>
              <w:t>y montos fueron respetadas, por lo que se presume que el recurso ministrado</w:t>
            </w:r>
            <w:r>
              <w:rPr>
                <w:rFonts w:ascii="Adobe Caslon Pro" w:hAnsi="Adobe Caslon Pro" w:cs="Calibri"/>
                <w:i/>
                <w:color w:val="000000"/>
                <w:sz w:val="20"/>
                <w:szCs w:val="20"/>
                <w:lang w:eastAsia="es-MX"/>
              </w:rPr>
              <w:t xml:space="preserve"> </w:t>
            </w:r>
            <w:r w:rsidRPr="00197C70">
              <w:rPr>
                <w:rFonts w:ascii="Adobe Caslon Pro" w:hAnsi="Adobe Caslon Pro" w:cs="Calibri"/>
                <w:i/>
                <w:color w:val="000000"/>
                <w:sz w:val="20"/>
                <w:szCs w:val="20"/>
                <w:lang w:eastAsia="es-MX"/>
              </w:rPr>
              <w:t>se transfirió en tiempo y forma.</w:t>
            </w:r>
          </w:p>
          <w:p w:rsidR="007D438C" w:rsidRPr="00197C70" w:rsidRDefault="007D438C" w:rsidP="00A56E05">
            <w:pPr>
              <w:ind w:left="720"/>
              <w:jc w:val="both"/>
              <w:rPr>
                <w:rFonts w:ascii="Adobe Caslon Pro" w:hAnsi="Adobe Caslon Pro" w:cs="Calibri"/>
                <w:i/>
                <w:color w:val="000000"/>
                <w:sz w:val="20"/>
                <w:szCs w:val="20"/>
                <w:lang w:eastAsia="es-MX"/>
              </w:rPr>
            </w:pPr>
          </w:p>
        </w:tc>
      </w:tr>
      <w:tr w:rsidR="007D438C" w:rsidRPr="004F6AC5" w:rsidTr="00A56E05">
        <w:trPr>
          <w:trHeight w:val="105"/>
          <w:jc w:val="center"/>
        </w:trPr>
        <w:tc>
          <w:tcPr>
            <w:tcW w:w="579"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37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4.1 Nombre del coordinador de la evaluación</w:t>
            </w:r>
            <w:r>
              <w:rPr>
                <w:rFonts w:ascii="Adobe Caslon Pro" w:hAnsi="Adobe Caslon Pro" w:cs="Calibri"/>
                <w:color w:val="000000"/>
                <w:lang w:eastAsia="es-MX"/>
              </w:rPr>
              <w:t>:</w:t>
            </w:r>
          </w:p>
          <w:p w:rsidR="007D438C" w:rsidRPr="005C31CA"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Dra. Luz Elvia Rascón </w:t>
            </w:r>
            <w:proofErr w:type="spellStart"/>
            <w:r>
              <w:rPr>
                <w:rFonts w:ascii="Adobe Caslon Pro" w:hAnsi="Adobe Caslon Pro" w:cs="Calibri"/>
                <w:i/>
                <w:color w:val="000000"/>
                <w:sz w:val="20"/>
                <w:lang w:eastAsia="es-MX"/>
              </w:rPr>
              <w:t>Manquero</w:t>
            </w:r>
            <w:proofErr w:type="spellEnd"/>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4.2 Cargo</w:t>
            </w:r>
            <w:r>
              <w:rPr>
                <w:rFonts w:ascii="Adobe Caslon Pro" w:hAnsi="Adobe Caslon Pro" w:cs="Calibri"/>
                <w:color w:val="000000"/>
                <w:lang w:eastAsia="es-MX"/>
              </w:rPr>
              <w:t>:</w:t>
            </w:r>
          </w:p>
          <w:p w:rsidR="007D438C" w:rsidRPr="005C31CA"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Directora del Sistema Integral de Información</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4.3 Institución a la que pertenece</w:t>
            </w:r>
            <w:r>
              <w:rPr>
                <w:rFonts w:ascii="Adobe Caslon Pro" w:hAnsi="Adobe Caslon Pro" w:cs="Calibri"/>
                <w:color w:val="000000"/>
                <w:lang w:eastAsia="es-MX"/>
              </w:rPr>
              <w:t>:</w:t>
            </w:r>
            <w:r w:rsidRPr="00066E84">
              <w:rPr>
                <w:rFonts w:ascii="Adobe Caslon Pro" w:hAnsi="Adobe Caslon Pro" w:cs="Calibri"/>
                <w:color w:val="000000"/>
                <w:lang w:eastAsia="es-MX"/>
              </w:rPr>
              <w:t xml:space="preserve">  </w:t>
            </w:r>
          </w:p>
          <w:p w:rsidR="007D438C" w:rsidRPr="00DF7C94" w:rsidRDefault="007D438C" w:rsidP="00A56E05">
            <w:pPr>
              <w:rPr>
                <w:rFonts w:ascii="Adobe Caslon Pro" w:hAnsi="Adobe Caslon Pro" w:cs="Calibri"/>
                <w:i/>
                <w:color w:val="000000"/>
                <w:lang w:eastAsia="es-MX"/>
              </w:rPr>
            </w:pPr>
            <w:r w:rsidRPr="00DF7C94">
              <w:rPr>
                <w:rFonts w:ascii="Adobe Caslon Pro" w:hAnsi="Adobe Caslon Pro" w:cs="Calibri"/>
                <w:i/>
                <w:color w:val="000000"/>
                <w:sz w:val="20"/>
                <w:lang w:eastAsia="es-MX"/>
              </w:rPr>
              <w:t>Instituto para el Desarrollo Técnico de las Haciendas Públicas (INDETEC)</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4.4 Principales colaboradores</w:t>
            </w:r>
            <w:r>
              <w:rPr>
                <w:rFonts w:ascii="Adobe Caslon Pro" w:hAnsi="Adobe Caslon Pro" w:cs="Calibri"/>
                <w:color w:val="000000"/>
                <w:lang w:eastAsia="es-MX"/>
              </w:rPr>
              <w:t>:</w:t>
            </w:r>
          </w:p>
          <w:p w:rsidR="007D438C" w:rsidRPr="00DF7C94"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Lic. Dolores Buenrostro Bermúdez</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4.5 Correo electrónico del coordinador de la evaluación</w:t>
            </w:r>
            <w:r>
              <w:rPr>
                <w:rFonts w:ascii="Adobe Caslon Pro" w:hAnsi="Adobe Caslon Pro" w:cs="Calibri"/>
                <w:color w:val="000000"/>
                <w:lang w:eastAsia="es-MX"/>
              </w:rPr>
              <w:t>:</w:t>
            </w:r>
          </w:p>
          <w:p w:rsidR="007D438C" w:rsidRPr="00335A49" w:rsidRDefault="007D438C" w:rsidP="00A56E05">
            <w:pPr>
              <w:rPr>
                <w:rFonts w:ascii="Adobe Caslon Pro" w:hAnsi="Adobe Caslon Pro" w:cs="Calibri"/>
                <w:color w:val="000000"/>
                <w:lang w:eastAsia="es-MX"/>
              </w:rPr>
            </w:pPr>
            <w:r w:rsidRPr="00335A49">
              <w:rPr>
                <w:rFonts w:ascii="Adobe Caslon Pro" w:hAnsi="Adobe Caslon Pro" w:cs="Calibri"/>
                <w:i/>
                <w:color w:val="000000"/>
                <w:sz w:val="20"/>
                <w:u w:val="single"/>
                <w:lang w:eastAsia="es-MX"/>
              </w:rPr>
              <w:t>lrasconm@indetec.gob.mx</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4.6 Teléfono (con clave lada)</w:t>
            </w:r>
            <w:r>
              <w:rPr>
                <w:rFonts w:ascii="Adobe Caslon Pro" w:hAnsi="Adobe Caslon Pro" w:cs="Calibri"/>
                <w:color w:val="000000"/>
                <w:lang w:eastAsia="es-MX"/>
              </w:rPr>
              <w:t>:</w:t>
            </w:r>
          </w:p>
          <w:p w:rsidR="007D438C" w:rsidRPr="00DF7C94" w:rsidRDefault="007D438C"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01 (33) 36695550 </w:t>
            </w:r>
          </w:p>
        </w:tc>
      </w:tr>
      <w:tr w:rsidR="007D438C" w:rsidRPr="004F6AC5" w:rsidTr="00A56E05">
        <w:trPr>
          <w:trHeight w:val="75"/>
          <w:jc w:val="center"/>
        </w:trPr>
        <w:tc>
          <w:tcPr>
            <w:tcW w:w="999"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5.1 Nombre de</w:t>
            </w:r>
            <w:r>
              <w:rPr>
                <w:rFonts w:ascii="Adobe Caslon Pro" w:hAnsi="Adobe Caslon Pro" w:cs="Calibri"/>
                <w:color w:val="000000"/>
                <w:lang w:eastAsia="es-MX"/>
              </w:rPr>
              <w:t>l (los) programa(s) evaluado(s):</w:t>
            </w:r>
          </w:p>
          <w:p w:rsidR="007D438C" w:rsidRPr="009B0D97" w:rsidRDefault="007D438C" w:rsidP="00A56E05">
            <w:pPr>
              <w:jc w:val="both"/>
              <w:rPr>
                <w:rFonts w:ascii="Adobe Caslon Pro" w:hAnsi="Adobe Caslon Pro" w:cs="Calibri"/>
                <w:i/>
                <w:color w:val="000000"/>
                <w:sz w:val="20"/>
                <w:lang w:eastAsia="es-MX"/>
              </w:rPr>
            </w:pPr>
            <w:r w:rsidRPr="00DD12C4">
              <w:rPr>
                <w:rFonts w:ascii="Adobe Caslon Pro" w:hAnsi="Adobe Caslon Pro" w:cs="Calibri"/>
                <w:i/>
                <w:color w:val="000000"/>
                <w:sz w:val="20"/>
                <w:lang w:eastAsia="es-MX"/>
              </w:rPr>
              <w:t>Programa de Participación Comunitaria para el Desarrollo Humano con Asistencia Alimentaria “Cocina Comedor Nutricional Comunitaria”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5.2 Siglas</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5.3 Ente público coordinador del (los) programa(s)</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B33A80" w:rsidRDefault="007D438C" w:rsidP="00A56E05">
            <w:pPr>
              <w:rPr>
                <w:rFonts w:ascii="Adobe Caslon Pro" w:hAnsi="Adobe Caslon Pro" w:cs="Calibri"/>
                <w:i/>
                <w:color w:val="000000"/>
                <w:sz w:val="20"/>
                <w:szCs w:val="20"/>
                <w:lang w:eastAsia="es-MX"/>
              </w:rPr>
            </w:pPr>
            <w:r w:rsidRPr="00DD12C4">
              <w:rPr>
                <w:rFonts w:ascii="Adobe Caslon Pro" w:hAnsi="Adobe Caslon Pro" w:cs="Calibri"/>
                <w:i/>
                <w:color w:val="000000"/>
                <w:sz w:val="20"/>
                <w:lang w:eastAsia="es-MX"/>
              </w:rPr>
              <w:t>Sistema para el Desarrollo Integral de la Familia (DIF)</w:t>
            </w:r>
            <w:r>
              <w:rPr>
                <w:rFonts w:ascii="Adobe Caslon Pro" w:hAnsi="Adobe Caslon Pro" w:cs="Calibri"/>
                <w:i/>
                <w:color w:val="000000"/>
                <w:sz w:val="2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5.4 Poder público al que pertenece(n) el(los) programa(s)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Pr>
                <w:rFonts w:ascii="Adobe Caslon Pro" w:hAnsi="Adobe Caslon Pro" w:cs="Calibri"/>
                <w:color w:val="000000"/>
                <w:lang w:eastAsia="es-MX"/>
              </w:rPr>
              <w:t xml:space="preserve">Poder </w:t>
            </w:r>
            <w:proofErr w:type="spellStart"/>
            <w:r>
              <w:rPr>
                <w:rFonts w:ascii="Adobe Caslon Pro" w:hAnsi="Adobe Caslon Pro" w:cs="Calibri"/>
                <w:color w:val="000000"/>
                <w:lang w:eastAsia="es-MX"/>
              </w:rPr>
              <w:t>Ejecutivo_X</w:t>
            </w:r>
            <w:proofErr w:type="spellEnd"/>
            <w:r>
              <w:rPr>
                <w:rFonts w:ascii="Adobe Caslon Pro" w:hAnsi="Adobe Caslon Pro" w:cs="Calibri"/>
                <w:color w:val="000000"/>
                <w:lang w:eastAsia="es-MX"/>
              </w:rPr>
              <w:t>__   Poder Legislativo___   Poder Judicial___  Ente Autónomo___</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5.5 Ámbito gubernamental al que pertenece(n) el(los) programa(s)</w:t>
            </w:r>
            <w:r>
              <w:rPr>
                <w:rFonts w:ascii="Adobe Caslon Pro" w:hAnsi="Adobe Caslon Pro" w:cs="Calibri"/>
                <w:color w:val="00000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Pr>
                <w:rFonts w:ascii="Adobe Caslon Pro" w:hAnsi="Adobe Caslon Pro" w:cs="Calibri"/>
                <w:color w:val="000000"/>
                <w:lang w:eastAsia="es-MX"/>
              </w:rPr>
              <w:t>Federal_</w:t>
            </w:r>
            <w:r>
              <w:rPr>
                <w:rFonts w:ascii="Adobe Caslon Pro" w:hAnsi="Adobe Caslon Pro" w:cs="Calibri"/>
                <w:color w:val="000000"/>
                <w:u w:val="single"/>
                <w:lang w:eastAsia="es-MX"/>
              </w:rPr>
              <w:t>_</w:t>
            </w:r>
            <w:r>
              <w:rPr>
                <w:rFonts w:ascii="Adobe Caslon Pro" w:hAnsi="Adobe Caslon Pro" w:cs="Calibri"/>
                <w:color w:val="000000"/>
                <w:lang w:eastAsia="es-MX"/>
              </w:rPr>
              <w:t xml:space="preserve">_       </w:t>
            </w:r>
            <w:proofErr w:type="spellStart"/>
            <w:r>
              <w:rPr>
                <w:rFonts w:ascii="Adobe Caslon Pro" w:hAnsi="Adobe Caslon Pro" w:cs="Calibri"/>
                <w:color w:val="000000"/>
                <w:lang w:eastAsia="es-MX"/>
              </w:rPr>
              <w:t>Estatal__X</w:t>
            </w:r>
            <w:proofErr w:type="spellEnd"/>
            <w:r>
              <w:rPr>
                <w:rFonts w:ascii="Adobe Caslon Pro" w:hAnsi="Adobe Caslon Pro" w:cs="Calibri"/>
                <w:color w:val="000000"/>
                <w:lang w:eastAsia="es-MX"/>
              </w:rPr>
              <w:t>_     Local___</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A6AC6">
              <w:rPr>
                <w:rFonts w:ascii="Adobe Caslon Pro" w:hAnsi="Adobe Caslon Pro" w:cs="Calibri"/>
                <w:color w:val="000000"/>
                <w:lang w:eastAsia="es-MX"/>
              </w:rPr>
              <w:t>5.6 Nombre de la(s) unidad(es) administrativa(s) y de (los) titular(es) a cargo del (los) programa(s):</w:t>
            </w:r>
          </w:p>
        </w:tc>
      </w:tr>
      <w:tr w:rsidR="007D438C" w:rsidRPr="004F6AC5"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7D438C" w:rsidRPr="00066E84" w:rsidRDefault="007D438C" w:rsidP="00A56E05">
            <w:pPr>
              <w:rPr>
                <w:rFonts w:ascii="Adobe Caslon Pro" w:hAnsi="Adobe Caslon Pro" w:cs="Calibri"/>
                <w:color w:val="000000"/>
                <w:lang w:eastAsia="es-MX"/>
              </w:rPr>
            </w:pPr>
            <w:r w:rsidRPr="007C224C">
              <w:rPr>
                <w:rFonts w:ascii="Adobe Caslon Pro" w:hAnsi="Adobe Caslon Pro" w:cs="Calibri"/>
                <w:color w:val="000000"/>
                <w:lang w:eastAsia="es-MX"/>
              </w:rPr>
              <w:t>5.6.1 Nombre(s) de la(s) unidad(es) administrativa(s) a cargo de (los) programa(s):</w:t>
            </w:r>
          </w:p>
        </w:tc>
      </w:tr>
      <w:tr w:rsidR="007D438C"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7D438C" w:rsidRPr="00385F2B" w:rsidRDefault="007D438C" w:rsidP="00A56E05">
            <w:pPr>
              <w:rPr>
                <w:rFonts w:ascii="Adobe Caslon Pro" w:hAnsi="Adobe Caslon Pro" w:cs="Calibri"/>
                <w:i/>
                <w:color w:val="000000"/>
                <w:sz w:val="20"/>
                <w:szCs w:val="20"/>
                <w:lang w:eastAsia="es-MX"/>
              </w:rPr>
            </w:pPr>
            <w:r w:rsidRPr="00DD12C4">
              <w:rPr>
                <w:rFonts w:ascii="Adobe Caslon Pro" w:hAnsi="Adobe Caslon Pro" w:cs="Calibri"/>
                <w:i/>
                <w:color w:val="000000"/>
                <w:sz w:val="20"/>
                <w:lang w:eastAsia="es-MX"/>
              </w:rPr>
              <w:t>Sistema para el Desarrollo Integral de la Familia (DIF)</w:t>
            </w:r>
            <w:r>
              <w:rPr>
                <w:rFonts w:ascii="Adobe Caslon Pro" w:hAnsi="Adobe Caslon Pro" w:cs="Calibri"/>
                <w:i/>
                <w:color w:val="000000"/>
                <w:sz w:val="20"/>
                <w:lang w:eastAsia="es-MX"/>
              </w:rPr>
              <w:t>.</w:t>
            </w:r>
          </w:p>
        </w:tc>
      </w:tr>
      <w:tr w:rsidR="007D438C"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D438C" w:rsidRPr="00066E84" w:rsidRDefault="007D438C" w:rsidP="00A56E05">
            <w:pPr>
              <w:rPr>
                <w:rFonts w:ascii="Adobe Caslon Pro" w:hAnsi="Adobe Caslon Pro" w:cs="Calibri"/>
                <w:color w:val="000000"/>
                <w:lang w:eastAsia="es-MX"/>
              </w:rPr>
            </w:pPr>
            <w:r w:rsidRPr="000A6AC6">
              <w:rPr>
                <w:rFonts w:ascii="Adobe Caslon Pro" w:hAnsi="Adobe Caslon Pro" w:cs="Calibri"/>
                <w:color w:val="000000"/>
                <w:lang w:eastAsia="es-MX"/>
              </w:rPr>
              <w:t>5.6.2 Nombre(s) de (los) titular(es) de la(s) unidad(es) administrativa(s) a cargo de (los) programa(s) (nombre completo, correo electrónico y teléfono con clave lada):</w:t>
            </w:r>
          </w:p>
        </w:tc>
      </w:tr>
      <w:tr w:rsidR="007D438C" w:rsidRPr="004F6AC5"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Nombre:</w:t>
            </w:r>
          </w:p>
          <w:p w:rsidR="007D438C" w:rsidRDefault="007D438C" w:rsidP="00A56E05">
            <w:pPr>
              <w:rPr>
                <w:rFonts w:ascii="Adobe Caslon Pro" w:hAnsi="Adobe Caslon Pro" w:cs="Calibri"/>
                <w:i/>
                <w:color w:val="000000"/>
                <w:sz w:val="20"/>
                <w:szCs w:val="20"/>
                <w:lang w:eastAsia="es-MX"/>
              </w:rPr>
            </w:pPr>
            <w:r w:rsidRPr="00DD12C4">
              <w:rPr>
                <w:rFonts w:ascii="Adobe Caslon Pro" w:hAnsi="Adobe Caslon Pro" w:cs="Calibri"/>
                <w:i/>
                <w:color w:val="000000"/>
                <w:sz w:val="20"/>
                <w:szCs w:val="20"/>
                <w:lang w:eastAsia="es-MX"/>
              </w:rPr>
              <w:t xml:space="preserve">Lic. María </w:t>
            </w:r>
            <w:r>
              <w:rPr>
                <w:rFonts w:ascii="Adobe Caslon Pro" w:hAnsi="Adobe Caslon Pro" w:cs="Calibri"/>
                <w:i/>
                <w:color w:val="000000"/>
                <w:sz w:val="20"/>
                <w:szCs w:val="20"/>
                <w:lang w:eastAsia="es-MX"/>
              </w:rPr>
              <w:t>d</w:t>
            </w:r>
            <w:r w:rsidRPr="00DD12C4">
              <w:rPr>
                <w:rFonts w:ascii="Adobe Caslon Pro" w:hAnsi="Adobe Caslon Pro" w:cs="Calibri"/>
                <w:i/>
                <w:color w:val="000000"/>
                <w:sz w:val="20"/>
                <w:szCs w:val="20"/>
                <w:lang w:eastAsia="es-MX"/>
              </w:rPr>
              <w:t xml:space="preserve">e Fátima García León </w:t>
            </w:r>
          </w:p>
          <w:p w:rsidR="007D438C" w:rsidRPr="00066E84" w:rsidRDefault="007D438C" w:rsidP="00A56E05">
            <w:pPr>
              <w:rPr>
                <w:rFonts w:ascii="Adobe Caslon Pro" w:hAnsi="Adobe Caslon Pro" w:cs="Calibri"/>
                <w:color w:val="000000"/>
                <w:lang w:eastAsia="es-MX"/>
              </w:rPr>
            </w:pPr>
            <w:r w:rsidRPr="00642484">
              <w:rPr>
                <w:rFonts w:ascii="Adobe Caslon Pro" w:hAnsi="Adobe Caslon Pro" w:cs="Calibri"/>
                <w:i/>
                <w:color w:val="000000"/>
                <w:sz w:val="20"/>
                <w:szCs w:val="20"/>
                <w:lang w:eastAsia="es-MX"/>
              </w:rPr>
              <w:t xml:space="preserve">Tel. </w:t>
            </w:r>
            <w:r>
              <w:rPr>
                <w:rFonts w:ascii="Adobe Caslon Pro" w:hAnsi="Adobe Caslon Pro" w:cs="Calibri"/>
                <w:i/>
                <w:color w:val="000000"/>
                <w:sz w:val="20"/>
                <w:szCs w:val="20"/>
                <w:lang w:eastAsia="es-MX"/>
              </w:rPr>
              <w:t>01 (951) 501-50-50 Ext. 1051</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Unidad administrativa:</w:t>
            </w:r>
          </w:p>
          <w:p w:rsidR="007D438C" w:rsidRPr="00066E84" w:rsidRDefault="007D438C" w:rsidP="00A56E05">
            <w:pPr>
              <w:rPr>
                <w:rFonts w:ascii="Adobe Caslon Pro" w:hAnsi="Adobe Caslon Pro" w:cs="Calibri"/>
                <w:color w:val="000000"/>
                <w:lang w:eastAsia="es-MX"/>
              </w:rPr>
            </w:pPr>
            <w:r>
              <w:rPr>
                <w:rFonts w:ascii="Adobe Caslon Pro" w:hAnsi="Adobe Caslon Pro" w:cs="Calibri"/>
                <w:i/>
                <w:color w:val="000000"/>
                <w:sz w:val="20"/>
                <w:szCs w:val="20"/>
                <w:lang w:eastAsia="es-MX"/>
              </w:rPr>
              <w:t>Sistema para el Desarrollo Integral de l</w:t>
            </w:r>
            <w:r w:rsidRPr="00DD12C4">
              <w:rPr>
                <w:rFonts w:ascii="Adobe Caslon Pro" w:hAnsi="Adobe Caslon Pro" w:cs="Calibri"/>
                <w:i/>
                <w:color w:val="000000"/>
                <w:sz w:val="20"/>
                <w:szCs w:val="20"/>
                <w:lang w:eastAsia="es-MX"/>
              </w:rPr>
              <w:t>a Familia</w:t>
            </w:r>
          </w:p>
        </w:tc>
      </w:tr>
      <w:tr w:rsidR="007D438C" w:rsidRPr="004F6AC5" w:rsidTr="00A56E05">
        <w:trPr>
          <w:trHeight w:val="165"/>
          <w:jc w:val="center"/>
        </w:trPr>
        <w:tc>
          <w:tcPr>
            <w:tcW w:w="999" w:type="dxa"/>
            <w:gridSpan w:val="2"/>
            <w:tcBorders>
              <w:top w:val="nil"/>
              <w:left w:val="nil"/>
              <w:bottom w:val="nil"/>
              <w:right w:val="nil"/>
            </w:tcBorders>
            <w:shd w:val="clear" w:color="auto" w:fill="auto"/>
            <w:hideMark/>
          </w:tcPr>
          <w:p w:rsidR="007D438C" w:rsidRPr="00066E84" w:rsidRDefault="007D438C" w:rsidP="00A56E05">
            <w:pPr>
              <w:jc w:val="right"/>
              <w:rPr>
                <w:rFonts w:ascii="Adobe Caslon Pro" w:hAnsi="Adobe Caslon Pro" w:cs="Calibri"/>
                <w:color w:val="000000"/>
                <w:lang w:eastAsia="es-MX"/>
              </w:rPr>
            </w:pPr>
          </w:p>
        </w:tc>
        <w:tc>
          <w:tcPr>
            <w:tcW w:w="3266" w:type="dxa"/>
            <w:gridSpan w:val="2"/>
            <w:tcBorders>
              <w:top w:val="nil"/>
              <w:left w:val="nil"/>
              <w:bottom w:val="nil"/>
              <w:right w:val="nil"/>
            </w:tcBorders>
            <w:shd w:val="clear" w:color="auto" w:fill="auto"/>
            <w:hideMark/>
          </w:tcPr>
          <w:p w:rsidR="007D438C" w:rsidRPr="00066E84" w:rsidRDefault="007D438C" w:rsidP="00A56E05">
            <w:pPr>
              <w:jc w:val="right"/>
              <w:rPr>
                <w:rFonts w:ascii="Adobe Caslon Pro" w:hAnsi="Adobe Caslon Pro" w:cs="Calibri"/>
                <w:color w:val="000000"/>
                <w:lang w:eastAsia="es-MX"/>
              </w:rPr>
            </w:pPr>
          </w:p>
        </w:tc>
        <w:tc>
          <w:tcPr>
            <w:tcW w:w="160" w:type="dxa"/>
            <w:tcBorders>
              <w:top w:val="nil"/>
              <w:left w:val="nil"/>
              <w:bottom w:val="nil"/>
              <w:right w:val="nil"/>
            </w:tcBorders>
            <w:shd w:val="clear" w:color="auto" w:fill="auto"/>
            <w:hideMark/>
          </w:tcPr>
          <w:p w:rsidR="007D438C" w:rsidRPr="00066E84" w:rsidRDefault="007D438C" w:rsidP="00A56E05">
            <w:pPr>
              <w:rPr>
                <w:rFonts w:ascii="Adobe Caslon Pro" w:hAnsi="Adobe Caslon Pro" w:cs="Calibri"/>
                <w:color w:val="000000"/>
                <w:lang w:eastAsia="es-MX"/>
              </w:rPr>
            </w:pPr>
          </w:p>
        </w:tc>
        <w:tc>
          <w:tcPr>
            <w:tcW w:w="2526" w:type="dxa"/>
            <w:gridSpan w:val="4"/>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c>
          <w:tcPr>
            <w:tcW w:w="1325" w:type="dxa"/>
            <w:gridSpan w:val="3"/>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c>
          <w:tcPr>
            <w:tcW w:w="1160" w:type="dxa"/>
            <w:tcBorders>
              <w:top w:val="nil"/>
              <w:left w:val="nil"/>
              <w:bottom w:val="nil"/>
              <w:right w:val="nil"/>
            </w:tcBorders>
            <w:shd w:val="clear" w:color="auto" w:fill="auto"/>
            <w:hideMark/>
          </w:tcPr>
          <w:p w:rsidR="007D438C" w:rsidRPr="00066E84" w:rsidRDefault="007D438C" w:rsidP="00A56E05">
            <w:pPr>
              <w:jc w:val="center"/>
              <w:rPr>
                <w:rFonts w:ascii="Adobe Caslon Pro" w:hAnsi="Adobe Caslon Pro" w:cs="Calibri"/>
                <w:color w:val="000000"/>
                <w:lang w:eastAsia="es-MX"/>
              </w:rPr>
            </w:pPr>
          </w:p>
        </w:tc>
      </w:tr>
      <w:tr w:rsidR="007D438C"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6.1 Tipo de contratación:</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6561A1">
              <w:rPr>
                <w:rFonts w:ascii="Adobe Caslon Pro" w:hAnsi="Adobe Caslon Pro" w:cs="Calibri"/>
                <w:color w:val="000000"/>
                <w:lang w:eastAsia="es-MX"/>
              </w:rPr>
              <w:t>6.1.1 Adjudicación Directa</w:t>
            </w:r>
            <w:r>
              <w:rPr>
                <w:rFonts w:ascii="Adobe Caslon Pro" w:hAnsi="Adobe Caslon Pro" w:cs="Calibri"/>
                <w:color w:val="000000"/>
                <w:lang w:eastAsia="es-MX"/>
              </w:rPr>
              <w:t xml:space="preserve">__  </w:t>
            </w:r>
            <w:r w:rsidRPr="006561A1">
              <w:rPr>
                <w:rFonts w:ascii="Adobe Caslon Pro" w:hAnsi="Adobe Caslon Pro" w:cs="Calibri"/>
                <w:color w:val="000000"/>
                <w:lang w:eastAsia="es-MX"/>
              </w:rPr>
              <w:t>6.1.2 Invitación a tres</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6.1.3 Licitación Pública Nacional</w:t>
            </w:r>
            <w:r>
              <w:rPr>
                <w:rFonts w:ascii="Adobe Caslon Pro" w:hAnsi="Adobe Caslon Pro" w:cs="Calibri"/>
                <w:color w:val="000000"/>
                <w:lang w:eastAsia="es-MX"/>
              </w:rPr>
              <w:t>___</w:t>
            </w:r>
          </w:p>
          <w:p w:rsidR="007D438C" w:rsidRPr="00066E84" w:rsidRDefault="007D438C" w:rsidP="00A56E05">
            <w:pPr>
              <w:rPr>
                <w:rFonts w:ascii="Adobe Caslon Pro" w:hAnsi="Adobe Caslon Pro" w:cs="Calibri"/>
                <w:color w:val="000000"/>
                <w:lang w:eastAsia="es-MX"/>
              </w:rPr>
            </w:pPr>
            <w:r w:rsidRPr="006561A1">
              <w:rPr>
                <w:rFonts w:ascii="Adobe Caslon Pro" w:hAnsi="Adobe Caslon Pro" w:cs="Calibri"/>
                <w:color w:val="000000"/>
                <w:lang w:eastAsia="es-MX"/>
              </w:rPr>
              <w:t>6.1.4 Licitación Pública Internacional</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6.1.5 Otro: (Señalar)</w:t>
            </w:r>
            <w:r w:rsidRPr="009C27B5">
              <w:rPr>
                <w:rFonts w:ascii="Adobe Caslon Pro" w:hAnsi="Adobe Caslon Pro" w:cs="Calibri"/>
                <w:i/>
                <w:color w:val="000000"/>
                <w:u w:val="single"/>
                <w:lang w:eastAsia="es-MX"/>
              </w:rPr>
              <w:t xml:space="preserve"> </w:t>
            </w:r>
            <w:r w:rsidRPr="009C27B5">
              <w:rPr>
                <w:rFonts w:ascii="Adobe Caslon Pro" w:hAnsi="Adobe Caslon Pro" w:cs="Calibri"/>
                <w:i/>
                <w:color w:val="000000"/>
                <w:sz w:val="20"/>
                <w:szCs w:val="20"/>
                <w:u w:val="single"/>
                <w:lang w:eastAsia="es-MX"/>
              </w:rPr>
              <w:t>Convenio de colaboración institucional.</w:t>
            </w:r>
          </w:p>
        </w:tc>
      </w:tr>
      <w:tr w:rsidR="007D438C" w:rsidRPr="004F6AC5"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6.2</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Unidad administrativa responsable de contratar la evaluación</w:t>
            </w:r>
            <w:r>
              <w:rPr>
                <w:rFonts w:ascii="Adobe Caslon Pro" w:hAnsi="Adobe Caslon Pro" w:cs="Calibri"/>
                <w:color w:val="000000"/>
                <w:lang w:eastAsia="es-MX"/>
              </w:rPr>
              <w:t>:</w:t>
            </w:r>
          </w:p>
          <w:p w:rsidR="007D438C" w:rsidRPr="009053D3" w:rsidRDefault="007D438C" w:rsidP="00A56E05">
            <w:pPr>
              <w:rPr>
                <w:rFonts w:ascii="Adobe Caslon Pro" w:hAnsi="Adobe Caslon Pro" w:cs="Calibri"/>
                <w:i/>
                <w:color w:val="000000"/>
                <w:lang w:eastAsia="es-MX"/>
              </w:rPr>
            </w:pPr>
            <w:r w:rsidRPr="009053D3">
              <w:rPr>
                <w:rFonts w:ascii="Adobe Caslon Pro" w:hAnsi="Adobe Caslon Pro" w:cs="Calibri"/>
                <w:i/>
                <w:color w:val="000000"/>
                <w:sz w:val="20"/>
                <w:lang w:eastAsia="es-MX"/>
              </w:rPr>
              <w:t>Jefatura de la Gubernatura</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6.3</w:t>
            </w:r>
            <w:r>
              <w:rPr>
                <w:rFonts w:ascii="Times New Roman" w:hAnsi="Times New Roman"/>
                <w:color w:val="000000"/>
                <w:sz w:val="14"/>
                <w:szCs w:val="14"/>
                <w:lang w:eastAsia="es-MX"/>
              </w:rPr>
              <w:t> </w:t>
            </w:r>
            <w:r w:rsidRPr="00066E84">
              <w:rPr>
                <w:rFonts w:ascii="Adobe Caslon Pro" w:hAnsi="Adobe Caslon Pro" w:cs="Calibri"/>
                <w:color w:val="000000"/>
                <w:lang w:eastAsia="es-MX"/>
              </w:rPr>
              <w:t>Costo total de la evaluación</w:t>
            </w:r>
            <w:r>
              <w:rPr>
                <w:rFonts w:ascii="Adobe Caslon Pro" w:hAnsi="Adobe Caslon Pro" w:cs="Calibri"/>
                <w:color w:val="000000"/>
                <w:lang w:eastAsia="es-MX"/>
              </w:rPr>
              <w:t xml:space="preserve">: </w:t>
            </w:r>
            <w:r w:rsidRPr="00B54BD0">
              <w:rPr>
                <w:rFonts w:ascii="Adobe Caslon Pro" w:hAnsi="Adobe Caslon Pro" w:cs="Calibri"/>
                <w:i/>
                <w:color w:val="000000"/>
                <w:sz w:val="20"/>
                <w:szCs w:val="20"/>
                <w:lang w:eastAsia="es-MX"/>
              </w:rPr>
              <w:t>$1,</w:t>
            </w:r>
            <w:r>
              <w:rPr>
                <w:rFonts w:ascii="Adobe Caslon Pro" w:hAnsi="Adobe Caslon Pro" w:cs="Calibri"/>
                <w:i/>
                <w:color w:val="000000"/>
                <w:sz w:val="20"/>
                <w:szCs w:val="20"/>
                <w:lang w:eastAsia="es-MX"/>
              </w:rPr>
              <w:t xml:space="preserve"> </w:t>
            </w:r>
            <w:r w:rsidRPr="00B54BD0">
              <w:rPr>
                <w:rFonts w:ascii="Adobe Caslon Pro" w:hAnsi="Adobe Caslon Pro" w:cs="Calibri"/>
                <w:i/>
                <w:color w:val="000000"/>
                <w:sz w:val="20"/>
                <w:szCs w:val="20"/>
                <w:lang w:eastAsia="es-MX"/>
              </w:rPr>
              <w:t xml:space="preserve">310,00.00 (Un millón trescientos diez mil pesos 00/100 M.N.) </w:t>
            </w:r>
            <w:r>
              <w:rPr>
                <w:rFonts w:ascii="Adobe Caslon Pro" w:hAnsi="Adobe Caslon Pro" w:cs="Calibri"/>
                <w:i/>
                <w:color w:val="000000"/>
                <w:sz w:val="20"/>
                <w:szCs w:val="20"/>
                <w:lang w:eastAsia="es-MX"/>
              </w:rPr>
              <w:t>Incluye</w:t>
            </w:r>
            <w:r w:rsidRPr="00E7741C">
              <w:rPr>
                <w:rFonts w:ascii="Adobe Caslon Pro" w:hAnsi="Adobe Caslon Pro" w:cs="Calibri"/>
                <w:i/>
                <w:color w:val="000000"/>
                <w:sz w:val="20"/>
                <w:szCs w:val="20"/>
                <w:lang w:eastAsia="es-MX"/>
              </w:rPr>
              <w:t xml:space="preserve"> IVA. El costo </w:t>
            </w:r>
            <w:r>
              <w:rPr>
                <w:rFonts w:ascii="Adobe Caslon Pro" w:hAnsi="Adobe Caslon Pro" w:cs="Calibri"/>
                <w:i/>
                <w:color w:val="000000"/>
                <w:sz w:val="20"/>
                <w:szCs w:val="20"/>
                <w:lang w:eastAsia="es-MX"/>
              </w:rPr>
              <w:t>corresponde a</w:t>
            </w:r>
            <w:r w:rsidRPr="00E7741C">
              <w:rPr>
                <w:rFonts w:ascii="Adobe Caslon Pro" w:hAnsi="Adobe Caslon Pro" w:cs="Calibri"/>
                <w:i/>
                <w:color w:val="000000"/>
                <w:sz w:val="20"/>
                <w:szCs w:val="20"/>
                <w:lang w:eastAsia="es-MX"/>
              </w:rPr>
              <w:t xml:space="preserve"> la evaluación </w:t>
            </w:r>
            <w:r>
              <w:rPr>
                <w:rFonts w:ascii="Adobe Caslon Pro" w:hAnsi="Adobe Caslon Pro" w:cs="Calibri"/>
                <w:i/>
                <w:color w:val="000000"/>
                <w:sz w:val="20"/>
                <w:szCs w:val="20"/>
                <w:lang w:eastAsia="es-MX"/>
              </w:rPr>
              <w:t>de diez programas estatales</w:t>
            </w:r>
            <w:r w:rsidRPr="00B54BD0">
              <w:rPr>
                <w:rFonts w:ascii="Adobe Caslon Pro" w:hAnsi="Adobe Caslon Pro" w:cs="Calibri"/>
                <w:i/>
                <w:color w:val="000000"/>
                <w:sz w:val="20"/>
                <w:szCs w:val="20"/>
                <w:lang w:eastAsia="es-MX"/>
              </w:rPr>
              <w:t>.</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6.4</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 xml:space="preserve">Fuente de Financiamiento </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7D438C" w:rsidRPr="00385154" w:rsidRDefault="007D438C" w:rsidP="00A56E05">
            <w:pPr>
              <w:rPr>
                <w:rFonts w:ascii="Adobe Caslon Pro" w:hAnsi="Adobe Caslon Pro" w:cs="Calibri"/>
                <w:i/>
                <w:color w:val="000000"/>
                <w:lang w:eastAsia="es-MX"/>
              </w:rPr>
            </w:pPr>
            <w:r w:rsidRPr="00385154">
              <w:rPr>
                <w:rFonts w:ascii="Adobe Caslon Pro" w:hAnsi="Adobe Caslon Pro" w:cs="Calibri"/>
                <w:i/>
                <w:color w:val="000000"/>
                <w:sz w:val="20"/>
                <w:lang w:eastAsia="es-MX"/>
              </w:rPr>
              <w:t>Recursos Fiscales</w:t>
            </w:r>
          </w:p>
        </w:tc>
      </w:tr>
      <w:tr w:rsidR="007D438C" w:rsidRPr="004F6AC5" w:rsidTr="00A56E05">
        <w:trPr>
          <w:trHeight w:val="162"/>
          <w:jc w:val="center"/>
        </w:trPr>
        <w:tc>
          <w:tcPr>
            <w:tcW w:w="999"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D438C" w:rsidRPr="00066E84" w:rsidRDefault="007D438C" w:rsidP="00A56E05">
            <w:pPr>
              <w:rPr>
                <w:rFonts w:ascii="Adobe Caslon Pro" w:hAnsi="Adobe Caslon Pro" w:cs="Calibri"/>
                <w:color w:val="000000"/>
                <w:lang w:eastAsia="es-MX"/>
              </w:rPr>
            </w:pPr>
          </w:p>
        </w:tc>
      </w:tr>
      <w:tr w:rsidR="007D438C" w:rsidRPr="004F6AC5"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7D438C" w:rsidRPr="00066E84" w:rsidRDefault="007D438C" w:rsidP="00A56E05">
            <w:pPr>
              <w:rPr>
                <w:rFonts w:ascii="Trajan Pro" w:hAnsi="Trajan Pro" w:cs="Calibri"/>
                <w:b/>
                <w:bCs/>
                <w:color w:val="000000"/>
                <w:lang w:eastAsia="es-MX"/>
              </w:rPr>
            </w:pPr>
            <w:r w:rsidRPr="00066E84">
              <w:rPr>
                <w:rFonts w:ascii="Trajan Pro" w:hAnsi="Trajan Pro" w:cs="Calibri"/>
                <w:b/>
                <w:bCs/>
                <w:color w:val="00000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D438C" w:rsidRPr="00066E84" w:rsidRDefault="007D438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7.1  Difusión en internet de la evaluación:</w:t>
            </w:r>
            <w:r>
              <w:rPr>
                <w:rFonts w:ascii="Adobe Caslon Pro" w:hAnsi="Adobe Caslon Pro" w:cs="Calibri"/>
                <w:color w:val="000000"/>
                <w:lang w:eastAsia="es-MX"/>
              </w:rPr>
              <w:t xml:space="preserve"> </w:t>
            </w:r>
          </w:p>
          <w:p w:rsidR="007D438C" w:rsidRDefault="009B1A50" w:rsidP="00A56E05">
            <w:pPr>
              <w:rPr>
                <w:rFonts w:ascii="Adobe Caslon Pro" w:hAnsi="Adobe Caslon Pro" w:cs="Calibri"/>
                <w:i/>
                <w:color w:val="000000"/>
                <w:sz w:val="20"/>
                <w:szCs w:val="20"/>
                <w:lang w:eastAsia="es-MX"/>
              </w:rPr>
            </w:pPr>
            <w:hyperlink r:id="rId130" w:history="1">
              <w:r w:rsidR="007D438C" w:rsidRPr="00197EB9">
                <w:rPr>
                  <w:rStyle w:val="Hipervnculo"/>
                  <w:rFonts w:ascii="Adobe Caslon Pro" w:hAnsi="Adobe Caslon Pro" w:cs="Calibri"/>
                  <w:i/>
                  <w:sz w:val="20"/>
                  <w:szCs w:val="20"/>
                  <w:lang w:eastAsia="es-MX"/>
                </w:rPr>
                <w:t>http://www.jefaturadelagubernatura-evaluacion.oaxaca.gob.mx/index.php/pae-sidepanel/pae-2014</w:t>
              </w:r>
            </w:hyperlink>
          </w:p>
          <w:p w:rsidR="007D438C" w:rsidRPr="004B23C3" w:rsidRDefault="007D438C" w:rsidP="00A56E05">
            <w:pPr>
              <w:rPr>
                <w:rFonts w:ascii="Adobe Caslon Pro" w:hAnsi="Adobe Caslon Pro" w:cs="Calibri"/>
                <w:i/>
                <w:color w:val="000000"/>
                <w:sz w:val="20"/>
                <w:szCs w:val="20"/>
                <w:lang w:eastAsia="es-MX"/>
              </w:rPr>
            </w:pPr>
            <w:r w:rsidRPr="00BF1EBD">
              <w:rPr>
                <w:rStyle w:val="Hipervnculo"/>
                <w:rFonts w:ascii="Adobe Caslon Pro" w:hAnsi="Adobe Caslon Pro" w:cs="Calibri"/>
                <w:i/>
                <w:sz w:val="20"/>
                <w:szCs w:val="20"/>
                <w:lang w:eastAsia="es-MX"/>
              </w:rPr>
              <w:t>http://www.transparenciapresupuestaria.oaxaca.gob.mx/05_ev1_eprogramas.php</w:t>
            </w:r>
          </w:p>
        </w:tc>
      </w:tr>
      <w:tr w:rsidR="007D438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D438C" w:rsidRDefault="007D438C" w:rsidP="00A56E05">
            <w:pPr>
              <w:rPr>
                <w:rFonts w:ascii="Adobe Caslon Pro" w:hAnsi="Adobe Caslon Pro" w:cs="Calibri"/>
                <w:color w:val="000000"/>
                <w:lang w:eastAsia="es-MX"/>
              </w:rPr>
            </w:pPr>
            <w:r w:rsidRPr="00066E84">
              <w:rPr>
                <w:rFonts w:ascii="Adobe Caslon Pro" w:hAnsi="Adobe Caslon Pro" w:cs="Calibri"/>
                <w:color w:val="000000"/>
                <w:lang w:eastAsia="es-MX"/>
              </w:rPr>
              <w:t>7.2  Difusión en internet del formato:</w:t>
            </w:r>
          </w:p>
          <w:p w:rsidR="007D438C" w:rsidRPr="00066E84" w:rsidRDefault="007D438C" w:rsidP="00A56E05">
            <w:pPr>
              <w:rPr>
                <w:rFonts w:ascii="Adobe Caslon Pro" w:hAnsi="Adobe Caslon Pro" w:cs="Calibri"/>
                <w:color w:val="000000"/>
                <w:lang w:eastAsia="es-MX"/>
              </w:rPr>
            </w:pPr>
            <w:r w:rsidRPr="006865F0">
              <w:rPr>
                <w:rStyle w:val="Hipervnculo"/>
                <w:rFonts w:ascii="Adobe Caslon Pro" w:hAnsi="Adobe Caslon Pro" w:cs="Calibri"/>
                <w:i/>
                <w:sz w:val="20"/>
                <w:szCs w:val="20"/>
                <w:lang w:eastAsia="es-MX"/>
              </w:rPr>
              <w:t>http://www.jefaturadelagubernatura-evaluacion.oaxaca.gob.mx/index.php/pae-sidepanel/pae-2014</w:t>
            </w:r>
          </w:p>
        </w:tc>
      </w:tr>
    </w:tbl>
    <w:p w:rsidR="00CE5B8D" w:rsidRDefault="00CE5B8D" w:rsidP="00CE5B8D">
      <w:pPr>
        <w:rPr>
          <w:rFonts w:ascii="Adobe Caslon Pro" w:hAnsi="Adobe Caslon Pro" w:cs="Arial"/>
          <w:b/>
          <w:sz w:val="20"/>
          <w:szCs w:val="20"/>
        </w:rPr>
      </w:pPr>
      <w:r w:rsidRPr="00CE5B8D">
        <w:rPr>
          <w:rFonts w:ascii="Arial" w:hAnsi="Arial" w:cs="Arial"/>
          <w:b/>
        </w:rPr>
        <w:lastRenderedPageBreak/>
        <w:t>14.</w:t>
      </w:r>
      <w:r w:rsidR="0072684E">
        <w:rPr>
          <w:rFonts w:ascii="Arial" w:hAnsi="Arial" w:cs="Arial"/>
          <w:b/>
        </w:rPr>
        <w:t>2</w:t>
      </w:r>
      <w:r w:rsidRPr="00CE5B8D">
        <w:rPr>
          <w:rFonts w:ascii="Arial" w:hAnsi="Arial" w:cs="Arial"/>
          <w:b/>
        </w:rPr>
        <w:t>.4.- APOYO A PERSONAS CON DISCAPACIDAD</w:t>
      </w:r>
      <w:r w:rsidRPr="00066E84">
        <w:rPr>
          <w:rFonts w:ascii="Adobe Caslon Pro" w:hAnsi="Adobe Caslon Pro" w:cs="Arial"/>
          <w:b/>
          <w:sz w:val="20"/>
          <w:szCs w:val="20"/>
        </w:rPr>
        <w:t xml:space="preserve"> </w:t>
      </w:r>
    </w:p>
    <w:p w:rsidR="00CE5B8D" w:rsidRDefault="00CE5B8D" w:rsidP="00CE5B8D">
      <w:pPr>
        <w:pStyle w:val="Prrafodelista"/>
        <w:ind w:left="0"/>
        <w:jc w:val="center"/>
        <w:rPr>
          <w:rFonts w:ascii="Adobe Caslon Pro" w:hAnsi="Adobe Caslon Pro" w:cs="Arial"/>
          <w:b/>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CE5B8D" w:rsidRPr="004F6AC5"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CE5B8D" w:rsidRPr="00066E84" w:rsidRDefault="00CE5B8D" w:rsidP="00A56E05">
            <w:pPr>
              <w:rPr>
                <w:rFonts w:ascii="Trajan Pro" w:hAnsi="Trajan Pro" w:cs="Calibri"/>
                <w:b/>
                <w:bCs/>
                <w:color w:val="000000"/>
                <w:lang w:eastAsia="es-MX"/>
              </w:rPr>
            </w:pPr>
            <w:r w:rsidRPr="00066E84">
              <w:rPr>
                <w:rFonts w:ascii="Trajan Pro" w:hAnsi="Trajan Pro" w:cs="Calibri"/>
                <w:b/>
                <w:bCs/>
                <w:color w:val="00000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1.1 Nombre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CE5B8D" w:rsidRPr="00972BEC" w:rsidRDefault="00CE5B8D" w:rsidP="00A56E05">
            <w:pPr>
              <w:jc w:val="both"/>
              <w:rPr>
                <w:rFonts w:ascii="Adobe Caslon Pro" w:hAnsi="Adobe Caslon Pro" w:cs="Calibri"/>
                <w:i/>
                <w:color w:val="000000"/>
                <w:lang w:eastAsia="es-MX"/>
              </w:rPr>
            </w:pPr>
            <w:r w:rsidRPr="00EC23B2">
              <w:rPr>
                <w:rFonts w:ascii="Adobe Caslon Pro" w:hAnsi="Adobe Caslon Pro" w:cs="Calibri"/>
                <w:i/>
                <w:color w:val="000000"/>
                <w:sz w:val="20"/>
                <w:lang w:eastAsia="es-MX"/>
              </w:rPr>
              <w:t xml:space="preserve">Evaluación Estratégica de Consistencia y Resultados del </w:t>
            </w:r>
            <w:r>
              <w:rPr>
                <w:rFonts w:ascii="Adobe Caslon Pro" w:hAnsi="Adobe Caslon Pro" w:cs="Calibri"/>
                <w:i/>
                <w:color w:val="000000"/>
                <w:sz w:val="20"/>
                <w:lang w:eastAsia="es-MX"/>
              </w:rPr>
              <w:t>Programa Bienestar de Apoyo a Personas con Discapacidad</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AC127B">
              <w:rPr>
                <w:rFonts w:ascii="Adobe Caslon Pro" w:hAnsi="Adobe Caslon Pro" w:cs="Calibri"/>
                <w:color w:val="000000"/>
                <w:lang w:eastAsia="es-MX"/>
              </w:rPr>
              <w:t>1.2 Fecha de inicio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22/09</w:t>
            </w:r>
            <w:r w:rsidRPr="002C3B4D">
              <w:rPr>
                <w:rFonts w:ascii="Adobe Caslon Pro" w:hAnsi="Adobe Caslon Pro" w:cs="Calibri"/>
                <w:i/>
                <w:color w:val="000000"/>
                <w:sz w:val="20"/>
                <w:lang w:eastAsia="es-MX"/>
              </w:rPr>
              <w:t>/2014</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AC127B">
              <w:rPr>
                <w:rFonts w:ascii="Adobe Caslon Pro" w:hAnsi="Adobe Caslon Pro" w:cs="Calibri"/>
                <w:color w:val="000000"/>
                <w:lang w:eastAsia="es-MX"/>
              </w:rPr>
              <w:t>1.3 Fecha de término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13/</w:t>
            </w:r>
            <w:r w:rsidRPr="00AF449B">
              <w:rPr>
                <w:rFonts w:ascii="Adobe Caslon Pro" w:hAnsi="Adobe Caslon Pro" w:cs="Calibri"/>
                <w:i/>
                <w:color w:val="000000"/>
                <w:sz w:val="20"/>
                <w:lang w:eastAsia="es-MX"/>
              </w:rPr>
              <w:t>04/2015</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AC127B">
              <w:rPr>
                <w:rFonts w:ascii="Adobe Caslon Pro" w:hAnsi="Adobe Caslon Pro" w:cs="Calibri"/>
                <w:color w:val="000000"/>
                <w:lang w:eastAsia="es-MX"/>
              </w:rPr>
              <w:t>1.4 Nombre de la persona responsable de darle seguimiento a la evaluación y  nombre de la unidad administrativa a la que pertenece:</w:t>
            </w:r>
          </w:p>
        </w:tc>
      </w:tr>
      <w:tr w:rsidR="00CE5B8D" w:rsidRPr="004F6AC5"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5B8D" w:rsidRDefault="00CE5B8D" w:rsidP="00A56E05">
            <w:pPr>
              <w:rPr>
                <w:rFonts w:ascii="Adobe Caslon Pro" w:hAnsi="Adobe Caslon Pro" w:cs="Calibri"/>
                <w:color w:val="000000"/>
                <w:lang w:eastAsia="es-MX"/>
              </w:rPr>
            </w:pPr>
            <w:r w:rsidRPr="00AC127B">
              <w:rPr>
                <w:rFonts w:ascii="Adobe Caslon Pro" w:hAnsi="Adobe Caslon Pro" w:cs="Calibri"/>
                <w:color w:val="000000"/>
                <w:lang w:eastAsia="es-MX"/>
              </w:rPr>
              <w:t>Nombre:</w:t>
            </w:r>
          </w:p>
          <w:p w:rsidR="00CE5B8D" w:rsidRPr="00D02D2B" w:rsidRDefault="00CE5B8D" w:rsidP="00A56E05">
            <w:pPr>
              <w:rPr>
                <w:rFonts w:ascii="Adobe Caslon Pro" w:hAnsi="Adobe Caslon Pro" w:cs="Calibri"/>
                <w:color w:val="000000"/>
                <w:sz w:val="16"/>
                <w:szCs w:val="16"/>
                <w:lang w:eastAsia="es-MX"/>
              </w:rPr>
            </w:pPr>
          </w:p>
          <w:p w:rsidR="00CE5B8D" w:rsidRPr="002C3B4D" w:rsidRDefault="00CE5B8D" w:rsidP="00A56E05">
            <w:pPr>
              <w:rPr>
                <w:rFonts w:ascii="Adobe Caslon Pro" w:hAnsi="Adobe Caslon Pro" w:cs="Calibri"/>
                <w:i/>
                <w:color w:val="000000"/>
                <w:lang w:eastAsia="es-MX"/>
              </w:rPr>
            </w:pPr>
            <w:r w:rsidRPr="002C3B4D">
              <w:rPr>
                <w:rFonts w:ascii="Adobe Caslon Pro" w:hAnsi="Adobe Caslon Pro" w:cs="Calibri"/>
                <w:i/>
                <w:color w:val="000000"/>
                <w:sz w:val="20"/>
                <w:lang w:eastAsia="es-MX"/>
              </w:rPr>
              <w:t>Mtro. Gonzalo Lapuente Sastre</w:t>
            </w: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CE5B8D" w:rsidRDefault="00CE5B8D" w:rsidP="00A56E05">
            <w:pPr>
              <w:rPr>
                <w:rFonts w:ascii="Adobe Caslon Pro" w:hAnsi="Adobe Caslon Pro" w:cs="Calibri"/>
                <w:color w:val="000000"/>
                <w:lang w:eastAsia="es-MX"/>
              </w:rPr>
            </w:pPr>
            <w:r w:rsidRPr="00AC127B">
              <w:rPr>
                <w:rFonts w:ascii="Adobe Caslon Pro" w:hAnsi="Adobe Caslon Pro" w:cs="Calibri"/>
                <w:color w:val="000000"/>
                <w:lang w:eastAsia="es-MX"/>
              </w:rPr>
              <w:t>Unidad administrativa:</w:t>
            </w:r>
            <w:r>
              <w:rPr>
                <w:rFonts w:ascii="Adobe Caslon Pro" w:hAnsi="Adobe Caslon Pro" w:cs="Calibri"/>
                <w:color w:val="000000"/>
                <w:lang w:eastAsia="es-MX"/>
              </w:rPr>
              <w:t xml:space="preserve"> </w:t>
            </w:r>
          </w:p>
          <w:p w:rsidR="00CE5B8D" w:rsidRPr="00AC127B" w:rsidRDefault="00CE5B8D" w:rsidP="00A56E05">
            <w:pPr>
              <w:rPr>
                <w:rFonts w:ascii="Adobe Caslon Pro" w:hAnsi="Adobe Caslon Pro" w:cs="Calibri"/>
                <w:color w:val="000000"/>
                <w:lang w:eastAsia="es-MX"/>
              </w:rPr>
            </w:pPr>
            <w:r w:rsidRPr="00B17671">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 </w:t>
            </w:r>
            <w:r w:rsidRPr="00B17671">
              <w:rPr>
                <w:rFonts w:ascii="Adobe Caslon Pro" w:hAnsi="Adobe Caslon Pro" w:cs="Calibri"/>
                <w:i/>
                <w:color w:val="000000"/>
                <w:sz w:val="20"/>
                <w:szCs w:val="20"/>
                <w:lang w:eastAsia="es-MX"/>
              </w:rPr>
              <w:t>de la Jefatura de la Gubernatura del Gobierno del estado de Oaxaca.</w:t>
            </w:r>
          </w:p>
        </w:tc>
      </w:tr>
      <w:tr w:rsidR="00CE5B8D" w:rsidRPr="004F6AC5" w:rsidTr="00A56E05">
        <w:trPr>
          <w:trHeight w:val="1131"/>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5</w:t>
            </w:r>
            <w:r w:rsidRPr="00066E84">
              <w:rPr>
                <w:rFonts w:ascii="Adobe Caslon Pro" w:hAnsi="Adobe Caslon Pro" w:cs="Calibri"/>
                <w:color w:val="000000"/>
                <w:lang w:eastAsia="es-MX"/>
              </w:rPr>
              <w:t xml:space="preserve"> Objetivo general de la evaluación</w:t>
            </w:r>
            <w:r>
              <w:rPr>
                <w:rFonts w:ascii="Adobe Caslon Pro" w:hAnsi="Adobe Caslon Pro" w:cs="Calibri"/>
                <w:color w:val="000000"/>
                <w:lang w:eastAsia="es-MX"/>
              </w:rPr>
              <w:t>:</w:t>
            </w:r>
          </w:p>
          <w:p w:rsidR="00CE5B8D" w:rsidRDefault="00CE5B8D" w:rsidP="00A56E05">
            <w:pPr>
              <w:jc w:val="both"/>
              <w:rPr>
                <w:rFonts w:ascii="Adobe Caslon Pro" w:hAnsi="Adobe Caslon Pro" w:cs="Calibri"/>
                <w:i/>
                <w:color w:val="000000"/>
                <w:sz w:val="20"/>
                <w:szCs w:val="20"/>
                <w:lang w:eastAsia="es-MX"/>
              </w:rPr>
            </w:pPr>
            <w:r w:rsidRPr="00113C6E">
              <w:rPr>
                <w:rFonts w:ascii="Adobe Caslon Pro" w:hAnsi="Adobe Caslon Pro" w:cs="Calibri"/>
                <w:i/>
                <w:color w:val="000000"/>
                <w:sz w:val="20"/>
                <w:szCs w:val="20"/>
                <w:lang w:eastAsia="es-MX"/>
              </w:rPr>
              <w:t>Coadyuvar en la Consolidación del Sistema de Evaluación del Desempeño en el Estado de Oaxaca, a través</w:t>
            </w:r>
            <w:r w:rsidRPr="00BE4199">
              <w:rPr>
                <w:rFonts w:ascii="Adobe Caslon Pro" w:hAnsi="Adobe Caslon Pro" w:cs="Calibri"/>
                <w:i/>
                <w:color w:val="000000"/>
                <w:sz w:val="20"/>
                <w:szCs w:val="20"/>
                <w:lang w:eastAsia="es-MX"/>
              </w:rPr>
              <w:t xml:space="preserve"> de identificar y analizar la consistencia y resultados del </w:t>
            </w:r>
            <w:r>
              <w:rPr>
                <w:rFonts w:ascii="Adobe Caslon Pro" w:hAnsi="Adobe Caslon Pro" w:cs="Calibri"/>
                <w:i/>
                <w:color w:val="000000"/>
                <w:sz w:val="20"/>
                <w:lang w:eastAsia="es-MX"/>
              </w:rPr>
              <w:t>Programa Bienestar de Apoyo a Personas con Discapacidad</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p w:rsidR="00CE5B8D" w:rsidRPr="00D02D2B" w:rsidRDefault="00CE5B8D" w:rsidP="00A56E05">
            <w:pPr>
              <w:jc w:val="both"/>
              <w:rPr>
                <w:rFonts w:ascii="Adobe Caslon Pro" w:hAnsi="Adobe Caslon Pro" w:cs="Calibri"/>
                <w:i/>
                <w:color w:val="000000"/>
                <w:sz w:val="20"/>
                <w:szCs w:val="20"/>
                <w:lang w:eastAsia="es-MX"/>
              </w:rPr>
            </w:pP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6</w:t>
            </w:r>
            <w:r w:rsidRPr="00066E84">
              <w:rPr>
                <w:rFonts w:ascii="Adobe Caslon Pro" w:hAnsi="Adobe Caslon Pro" w:cs="Calibri"/>
                <w:color w:val="000000"/>
                <w:lang w:eastAsia="es-MX"/>
              </w:rPr>
              <w:t xml:space="preserve"> Objetivos específicos de la evaluación</w:t>
            </w:r>
            <w:r>
              <w:rPr>
                <w:rFonts w:ascii="Adobe Caslon Pro" w:hAnsi="Adobe Caslon Pro" w:cs="Calibri"/>
                <w:color w:val="000000"/>
                <w:lang w:eastAsia="es-MX"/>
              </w:rPr>
              <w:t>:</w:t>
            </w:r>
          </w:p>
          <w:p w:rsidR="00CE5B8D" w:rsidRDefault="00CE5B8D"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programa en los siguientes aspectos:</w:t>
            </w:r>
          </w:p>
          <w:p w:rsidR="00CE5B8D" w:rsidRDefault="00CE5B8D"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Diseño. Es un proceso analítico global que se enfoca en identificar los objetivos del programa, para luego determinar la consistencia de su diseño y los resultados con tales objetivos. </w:t>
            </w:r>
          </w:p>
          <w:p w:rsidR="00CE5B8D" w:rsidRDefault="00CE5B8D"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Planeación Estratégica. Implica analizar los instrumentos de planeación del Programa, y corroborar si tal planeación tiene una orientación para resultados. </w:t>
            </w:r>
          </w:p>
          <w:p w:rsidR="00CE5B8D" w:rsidRDefault="00CE5B8D"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Cobertura y Focalización. Corresponde cuantificar y determinar la población potencial y la población objetivo que está siendo atendida por el Programa. </w:t>
            </w:r>
          </w:p>
          <w:p w:rsidR="00CE5B8D" w:rsidRDefault="00CE5B8D"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Operación. Analiza las principales actividades y procesos establecidos en la normatividad aplicable; la eficiencia, eficacia y economía operativa del Programa; y el cumplimiento y avance en los indicadores estratégicos y de gestión. </w:t>
            </w:r>
          </w:p>
          <w:p w:rsidR="00CE5B8D" w:rsidRPr="00BC71C7" w:rsidRDefault="00CE5B8D"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Percepción de la Población. Analiza el grado de satisfacción de los beneficiarios de los bienes y servicios que conforman el Programa. </w:t>
            </w:r>
          </w:p>
          <w:p w:rsidR="00CE5B8D" w:rsidRDefault="00CE5B8D" w:rsidP="00F075EB">
            <w:pPr>
              <w:numPr>
                <w:ilvl w:val="0"/>
                <w:numId w:val="16"/>
              </w:numPr>
              <w:jc w:val="both"/>
              <w:rPr>
                <w:rFonts w:ascii="Adobe Caslon Pro" w:hAnsi="Adobe Caslon Pro" w:cs="Calibri"/>
                <w:i/>
                <w:color w:val="000000"/>
                <w:sz w:val="20"/>
                <w:lang w:eastAsia="es-MX"/>
              </w:rPr>
            </w:pPr>
            <w:r w:rsidRPr="00BC71C7">
              <w:rPr>
                <w:rFonts w:ascii="Adobe Caslon Pro" w:hAnsi="Adobe Caslon Pro" w:cs="Calibri"/>
                <w:i/>
                <w:color w:val="000000"/>
                <w:sz w:val="20"/>
                <w:lang w:eastAsia="es-MX"/>
              </w:rPr>
              <w:t xml:space="preserve">Resultados. Analiza los resultados intermedios y de impacto alcanzado por el Programa, de acuerdo a la evidencia documentada, para observar si éste ha logrado mejorar o resolver el problema para el cual fue creado. </w:t>
            </w:r>
          </w:p>
          <w:p w:rsidR="00CE5B8D" w:rsidRDefault="00CE5B8D" w:rsidP="00F075EB">
            <w:pPr>
              <w:numPr>
                <w:ilvl w:val="0"/>
                <w:numId w:val="16"/>
              </w:numPr>
              <w:jc w:val="both"/>
              <w:rPr>
                <w:rFonts w:ascii="Adobe Caslon Pro" w:hAnsi="Adobe Caslon Pro" w:cs="Calibri"/>
                <w:i/>
                <w:color w:val="000000"/>
                <w:sz w:val="20"/>
                <w:lang w:eastAsia="es-MX"/>
              </w:rPr>
            </w:pPr>
            <w:r w:rsidRPr="00BC71C7">
              <w:rPr>
                <w:rFonts w:ascii="Adobe Caslon Pro" w:hAnsi="Adobe Caslon Pro" w:cs="Calibri"/>
                <w:i/>
                <w:color w:val="000000"/>
                <w:sz w:val="20"/>
                <w:lang w:eastAsia="es-MX"/>
              </w:rPr>
              <w:t>Ejercicio de los recursos. Analiza el grado de cumplimiento en la aplicación de los recursos en tiempo y forma, de acuerdo a los objetivos para los cuales están destinados.</w:t>
            </w:r>
          </w:p>
          <w:p w:rsidR="00CE5B8D" w:rsidRPr="00BC71C7" w:rsidRDefault="00CE5B8D" w:rsidP="00A56E05">
            <w:pPr>
              <w:jc w:val="both"/>
              <w:rPr>
                <w:rFonts w:ascii="Adobe Caslon Pro" w:hAnsi="Adobe Caslon Pro" w:cs="Calibri"/>
                <w:i/>
                <w:color w:val="000000"/>
                <w:sz w:val="20"/>
                <w:lang w:eastAsia="es-MX"/>
              </w:rPr>
            </w:pP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7</w:t>
            </w:r>
            <w:r w:rsidRPr="00066E84">
              <w:rPr>
                <w:rFonts w:ascii="Adobe Caslon Pro" w:hAnsi="Adobe Caslon Pro" w:cs="Calibri"/>
                <w:color w:val="000000"/>
                <w:lang w:eastAsia="es-MX"/>
              </w:rPr>
              <w:t xml:space="preserve"> Metodología utilizada en la evaluación</w:t>
            </w:r>
            <w:r>
              <w:rPr>
                <w:rFonts w:ascii="Adobe Caslon Pro" w:hAnsi="Adobe Caslon Pro" w:cs="Calibri"/>
                <w:color w:val="000000"/>
                <w:lang w:eastAsia="es-MX"/>
              </w:rPr>
              <w:t>:</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Instrumentos de recolección de información: </w:t>
            </w:r>
          </w:p>
        </w:tc>
      </w:tr>
      <w:tr w:rsidR="00CE5B8D" w:rsidRPr="004F6AC5"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CE5B8D" w:rsidRPr="00BB2252"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 Cuestionarios</w:t>
            </w:r>
            <w:r>
              <w:rPr>
                <w:rFonts w:ascii="Adobe Caslon Pro" w:hAnsi="Adobe Caslon Pro" w:cs="Calibri"/>
                <w:color w:val="000000"/>
                <w:lang w:eastAsia="es-MX"/>
              </w:rPr>
              <w:t xml:space="preserve">__   Entrevistas__   Formatos__   </w:t>
            </w:r>
            <w:proofErr w:type="spellStart"/>
            <w:r>
              <w:rPr>
                <w:rFonts w:ascii="Adobe Caslon Pro" w:hAnsi="Adobe Caslon Pro" w:cs="Calibri"/>
                <w:color w:val="000000"/>
                <w:lang w:eastAsia="es-MX"/>
              </w:rPr>
              <w:t>Otros_X</w:t>
            </w:r>
            <w:proofErr w:type="spellEnd"/>
            <w:r>
              <w:rPr>
                <w:rFonts w:ascii="Adobe Caslon Pro" w:hAnsi="Adobe Caslon Pro" w:cs="Calibri"/>
                <w:color w:val="000000"/>
                <w:lang w:eastAsia="es-MX"/>
              </w:rPr>
              <w:t>_  Especifique:</w:t>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p>
          <w:p w:rsidR="00CE5B8D" w:rsidRPr="00F11793" w:rsidRDefault="00CE5B8D" w:rsidP="00F075EB">
            <w:pPr>
              <w:numPr>
                <w:ilvl w:val="0"/>
                <w:numId w:val="12"/>
              </w:numPr>
              <w:jc w:val="both"/>
              <w:rPr>
                <w:rFonts w:ascii="Adobe Caslon Pro" w:hAnsi="Adobe Caslon Pro" w:cs="Calibri"/>
                <w:i/>
                <w:color w:val="000000"/>
                <w:sz w:val="20"/>
                <w:lang w:eastAsia="es-MX"/>
              </w:rPr>
            </w:pPr>
            <w:r w:rsidRPr="00D073B5">
              <w:rPr>
                <w:rFonts w:ascii="Adobe Caslon Pro" w:hAnsi="Adobe Caslon Pro" w:cs="Calibri"/>
                <w:i/>
                <w:color w:val="000000"/>
                <w:sz w:val="20"/>
                <w:lang w:eastAsia="es-MX"/>
              </w:rPr>
              <w:t xml:space="preserve">Información proporcionada por la dependencia </w:t>
            </w:r>
            <w:r>
              <w:rPr>
                <w:rFonts w:ascii="Adobe Caslon Pro" w:hAnsi="Adobe Caslon Pro" w:cs="Calibri"/>
                <w:i/>
                <w:color w:val="000000"/>
                <w:sz w:val="20"/>
                <w:lang w:eastAsia="es-MX"/>
              </w:rPr>
              <w:t>o entidad responsable del programa.</w:t>
            </w:r>
          </w:p>
        </w:tc>
      </w:tr>
      <w:tr w:rsidR="00CE5B8D" w:rsidRPr="004F6AC5"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Descripción de las técnicas y modelos utilizados: </w:t>
            </w:r>
          </w:p>
          <w:p w:rsidR="00CE5B8D" w:rsidRDefault="00CE5B8D" w:rsidP="00A56E05">
            <w:pPr>
              <w:rPr>
                <w:rFonts w:ascii="Adobe Caslon Pro" w:hAnsi="Adobe Caslon Pro" w:cs="Calibri"/>
                <w:color w:val="000000"/>
                <w:lang w:eastAsia="es-MX"/>
              </w:rPr>
            </w:pPr>
          </w:p>
          <w:p w:rsidR="00CE5B8D" w:rsidRPr="00963A04" w:rsidRDefault="00CE5B8D" w:rsidP="00A56E05">
            <w:pPr>
              <w:jc w:val="both"/>
              <w:rPr>
                <w:rFonts w:ascii="Adobe Caslon Pro" w:hAnsi="Adobe Caslon Pro" w:cs="Calibri"/>
                <w:i/>
                <w:color w:val="4472C4"/>
                <w:sz w:val="20"/>
                <w:u w:val="single"/>
                <w:lang w:eastAsia="es-MX"/>
              </w:rPr>
            </w:pPr>
            <w:r w:rsidRPr="006F4A63">
              <w:rPr>
                <w:rFonts w:ascii="Adobe Caslon Pro" w:hAnsi="Adobe Caslon Pro" w:cs="Calibri"/>
                <w:i/>
                <w:color w:val="000000"/>
                <w:sz w:val="20"/>
                <w:lang w:eastAsia="es-MX"/>
              </w:rPr>
              <w:t>La metodología de Evaluación fue desarrollada por “LA JEFATURA”, quien funge como la Instancia Técnica de Evaluación, con la finalidad de obtener información confiable para mejorar la gestión, la toma de decisi</w:t>
            </w:r>
            <w:r>
              <w:rPr>
                <w:rFonts w:ascii="Adobe Caslon Pro" w:hAnsi="Adobe Caslon Pro" w:cs="Calibri"/>
                <w:i/>
                <w:color w:val="000000"/>
                <w:sz w:val="20"/>
                <w:lang w:eastAsia="es-MX"/>
              </w:rPr>
              <w:t xml:space="preserve">ones y el proceso presupuestario, los cuales se encuentran en los Términos de Referencia en la siguiente liga: </w:t>
            </w:r>
            <w:hyperlink r:id="rId131" w:history="1">
              <w:r w:rsidRPr="00632619">
                <w:rPr>
                  <w:rStyle w:val="Hipervnculo"/>
                  <w:rFonts w:ascii="Adobe Caslon Pro" w:hAnsi="Adobe Caslon Pro" w:cs="Calibri"/>
                  <w:i/>
                  <w:sz w:val="20"/>
                  <w:lang w:eastAsia="es-MX"/>
                </w:rPr>
                <w:t>http://www.jefaturadelagubernatura-evaluacion.oaxaca.gob.mx/index.php/pae-sidepanel/pae-2014</w:t>
              </w:r>
            </w:hyperlink>
          </w:p>
          <w:p w:rsidR="00CE5B8D" w:rsidRPr="00963A04" w:rsidRDefault="00CE5B8D" w:rsidP="00A56E05">
            <w:pPr>
              <w:jc w:val="both"/>
              <w:rPr>
                <w:rFonts w:ascii="Adobe Caslon Pro" w:hAnsi="Adobe Caslon Pro" w:cs="Calibri"/>
                <w:i/>
                <w:color w:val="4472C4"/>
                <w:sz w:val="20"/>
                <w:u w:val="single"/>
                <w:lang w:eastAsia="es-MX"/>
              </w:rPr>
            </w:pPr>
          </w:p>
          <w:p w:rsidR="00CE5B8D" w:rsidRDefault="00CE5B8D" w:rsidP="00A56E05">
            <w:pPr>
              <w:jc w:val="both"/>
              <w:rPr>
                <w:rFonts w:ascii="Adobe Caslon Pro" w:hAnsi="Adobe Caslon Pro" w:cs="Calibri"/>
                <w:i/>
                <w:sz w:val="20"/>
                <w:lang w:eastAsia="es-MX"/>
              </w:rPr>
            </w:pPr>
            <w:r w:rsidRPr="00A42027">
              <w:rPr>
                <w:rFonts w:ascii="Adobe Caslon Pro" w:hAnsi="Adobe Caslon Pro" w:cs="Calibri"/>
                <w:i/>
                <w:sz w:val="20"/>
                <w:lang w:eastAsia="es-MX"/>
              </w:rPr>
              <w:t>Base de datos de gabinete utilizados para el análisis:</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del Programa.</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Matriz de Indicadores para Resultados del Programa. </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Documento técnico que incluya el análisis del problema que está siendo atendido con los recursos del Programa.</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Objetivos Estratégicos de la Dependencia coordinadora del Programa.</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Plan Nacional de Desarrollo.</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Plan Estatal de Desarrollo y Plan Sectorial de Desarrollo.</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Diagnóstico situacional del Programa y sus beneficiarios.</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Padrón de beneficiarios. </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Características socioeconómicas de los beneficiarios.</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Reglas de Operación.</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 Programas federales y estatales con características similares</w:t>
            </w:r>
            <w:r>
              <w:rPr>
                <w:rFonts w:ascii="Adobe Caslon Pro" w:hAnsi="Adobe Caslon Pro" w:cs="Calibri"/>
                <w:i/>
                <w:sz w:val="20"/>
                <w:lang w:eastAsia="es-MX"/>
              </w:rPr>
              <w:t>.</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Plan Estratégico de la Dependencia responsable de la MIR del Programa o Plan Sectorial.</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Manual de programación</w:t>
            </w:r>
            <w:r>
              <w:rPr>
                <w:rFonts w:ascii="Adobe Caslon Pro" w:hAnsi="Adobe Caslon Pro" w:cs="Calibri"/>
                <w:i/>
                <w:sz w:val="20"/>
                <w:lang w:eastAsia="es-MX"/>
              </w:rPr>
              <w:t>.</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Reporte de Evaluación del Programa.</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Planes de mejora asociados a la evaluación del Programa.</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w:t>
            </w:r>
            <w:r>
              <w:rPr>
                <w:rFonts w:ascii="Adobe Caslon Pro" w:hAnsi="Adobe Caslon Pro" w:cs="Calibri"/>
                <w:i/>
                <w:sz w:val="20"/>
                <w:lang w:eastAsia="es-MX"/>
              </w:rPr>
              <w:t>.</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Población Potencial.</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Población Objetivo</w:t>
            </w:r>
            <w:r>
              <w:rPr>
                <w:rFonts w:ascii="Adobe Caslon Pro" w:hAnsi="Adobe Caslon Pro" w:cs="Calibri"/>
                <w:i/>
                <w:sz w:val="20"/>
                <w:lang w:eastAsia="es-MX"/>
              </w:rPr>
              <w:t>.</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Población Atendida.</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Reporte de seguimiento de metas del sistema de evaluación del desempeño</w:t>
            </w:r>
            <w:r>
              <w:rPr>
                <w:rFonts w:ascii="Adobe Caslon Pro" w:hAnsi="Adobe Caslon Pro" w:cs="Calibri"/>
                <w:i/>
                <w:sz w:val="20"/>
                <w:lang w:eastAsia="es-MX"/>
              </w:rPr>
              <w:t>.</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 para la selección de beneficiarios.</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Criterios de elegibilidad aplicados</w:t>
            </w:r>
            <w:r>
              <w:rPr>
                <w:rFonts w:ascii="Adobe Caslon Pro" w:hAnsi="Adobe Caslon Pro" w:cs="Calibri"/>
                <w:i/>
                <w:sz w:val="20"/>
                <w:lang w:eastAsia="es-MX"/>
              </w:rPr>
              <w:t>.</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Avance físico-financiero</w:t>
            </w:r>
            <w:r>
              <w:rPr>
                <w:rFonts w:ascii="Adobe Caslon Pro" w:hAnsi="Adobe Caslon Pro" w:cs="Calibri"/>
                <w:i/>
                <w:sz w:val="20"/>
                <w:lang w:eastAsia="es-MX"/>
              </w:rPr>
              <w:t>.</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Cierre de ejercicio.</w:t>
            </w:r>
          </w:p>
          <w:p w:rsidR="00CE5B8D" w:rsidRDefault="00CE5B8D" w:rsidP="00F075EB">
            <w:pPr>
              <w:numPr>
                <w:ilvl w:val="0"/>
                <w:numId w:val="38"/>
              </w:numPr>
              <w:jc w:val="both"/>
              <w:rPr>
                <w:rFonts w:ascii="Adobe Caslon Pro" w:hAnsi="Adobe Caslon Pro" w:cs="Calibri"/>
                <w:i/>
                <w:sz w:val="20"/>
                <w:lang w:eastAsia="es-MX"/>
              </w:rPr>
            </w:pPr>
            <w:r>
              <w:rPr>
                <w:rFonts w:ascii="Adobe Caslon Pro" w:hAnsi="Adobe Caslon Pro" w:cs="Calibri"/>
                <w:i/>
                <w:color w:val="000000"/>
                <w:sz w:val="20"/>
                <w:lang w:eastAsia="es-MX"/>
              </w:rPr>
              <w:t>Recursos no devengados.</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Estructura organizacional de la dependencia, que incluya las áreas operativas relacionadas con 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organizacional de la dependencia, que incluya las responsabilidades y funciones asociadas con 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técnico que contenga los procesos de la entrega/recepción de componentes.</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contenga el procedimiento a través del cual se proporciona la información sobre estados financieros relacionados con 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descriptivo, normativo funcional acerca de los sistemas de información que conforman la administración financiera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estratégicos y de gestión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Costos de Operación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Procedimientos para medir costo-efectividad en la ejecución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resultados de la medición costo-efectividad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de eficiencia.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Aprobado.</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lastRenderedPageBreak/>
              <w:t>Presupuesto Ejercido.</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Instrumentos de recuperación de Deuda relacionados con el cumplimiento de objetivos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el procedimiento a través del cual se administra y opera 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sistemas de información que se utilizan en la gestión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procedimientos de actualización del padrón de beneficiarios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del Sistema de Rendición de Cuentas y Transparencia para los funcionarios que administran 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Transparencia (En donde se transparenten los resultados de la evaluación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la gaceta oficial de difusión (En donde se transparenten los resultados de la evaluación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oficial que indique el monto y la fecha de recepción de recursos destinados a la operación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Calendario de transferencia de recursos para la operación del Programa.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Reportes de Cuenta Pública.</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de Desempeño.</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Guía para usuarios del SED Estatal y Federal.</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de resultados.</w:t>
            </w:r>
          </w:p>
          <w:p w:rsidR="00CE5B8D" w:rsidRDefault="00CE5B8D" w:rsidP="00F075EB">
            <w:pPr>
              <w:numPr>
                <w:ilvl w:val="0"/>
                <w:numId w:val="38"/>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financiero del Programa.</w:t>
            </w:r>
          </w:p>
          <w:p w:rsidR="00CE5B8D" w:rsidRPr="00B3377B" w:rsidRDefault="00CE5B8D" w:rsidP="00A56E05">
            <w:pPr>
              <w:ind w:left="720"/>
              <w:jc w:val="both"/>
              <w:rPr>
                <w:rFonts w:ascii="Adobe Caslon Pro" w:hAnsi="Adobe Caslon Pro" w:cs="Calibri"/>
                <w:i/>
                <w:color w:val="000000"/>
                <w:sz w:val="20"/>
                <w:lang w:eastAsia="es-MX"/>
              </w:rPr>
            </w:pPr>
            <w:r>
              <w:rPr>
                <w:rFonts w:ascii="Adobe Caslon Pro" w:hAnsi="Adobe Caslon Pro" w:cs="Calibri"/>
                <w:i/>
                <w:color w:val="000000"/>
                <w:sz w:val="20"/>
                <w:lang w:eastAsia="es-MX"/>
              </w:rPr>
              <w:t>Ficha técnica de los indicadores de Resultados del Programa.</w:t>
            </w:r>
          </w:p>
        </w:tc>
      </w:tr>
      <w:tr w:rsidR="00CE5B8D" w:rsidRPr="004F6AC5" w:rsidTr="00A56E05">
        <w:trPr>
          <w:trHeight w:val="60"/>
          <w:jc w:val="center"/>
        </w:trPr>
        <w:tc>
          <w:tcPr>
            <w:tcW w:w="999" w:type="dxa"/>
            <w:gridSpan w:val="2"/>
            <w:tcBorders>
              <w:top w:val="single" w:sz="4" w:space="0" w:color="auto"/>
              <w:bottom w:val="single" w:sz="4" w:space="0" w:color="auto"/>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CE5B8D" w:rsidRPr="00DE6244" w:rsidRDefault="00CE5B8D" w:rsidP="00A56E05">
            <w:pPr>
              <w:rPr>
                <w:rFonts w:ascii="Adobe Caslon Pro" w:hAnsi="Adobe Caslon Pro" w:cs="Calibri"/>
                <w:color w:val="000000"/>
                <w:sz w:val="10"/>
                <w:szCs w:val="10"/>
                <w:lang w:eastAsia="es-MX"/>
              </w:rPr>
            </w:pPr>
          </w:p>
        </w:tc>
      </w:tr>
      <w:tr w:rsidR="00CE5B8D"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CE5B8D" w:rsidRPr="00066E84" w:rsidRDefault="00CE5B8D" w:rsidP="00A56E05">
            <w:pPr>
              <w:rPr>
                <w:rFonts w:ascii="Trajan Pro" w:hAnsi="Trajan Pro" w:cs="Calibri"/>
                <w:b/>
                <w:bCs/>
                <w:color w:val="000000"/>
                <w:lang w:eastAsia="es-MX"/>
              </w:rPr>
            </w:pPr>
            <w:r w:rsidRPr="00066E84">
              <w:rPr>
                <w:rFonts w:ascii="Trajan Pro" w:hAnsi="Trajan Pro" w:cs="Calibri"/>
                <w:b/>
                <w:bCs/>
                <w:color w:val="00000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CE5B8D" w:rsidRPr="004F6AC5"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2.1 Describir los hallazgos más relevantes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tc>
      </w:tr>
      <w:tr w:rsidR="00CE5B8D" w:rsidRPr="004F6AC5"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2.2 Señalar cuáles son las principales Fortalezas, Oportunidades, Debilidades y Amenazas (FODA), de acuerdo con los</w:t>
            </w:r>
            <w:r>
              <w:rPr>
                <w:rFonts w:ascii="Adobe Caslon Pro" w:hAnsi="Adobe Caslon Pro" w:cs="Calibri"/>
                <w:color w:val="000000"/>
                <w:lang w:eastAsia="es-MX"/>
              </w:rPr>
              <w:t xml:space="preserve"> temas</w:t>
            </w:r>
            <w:r w:rsidRPr="00066E84">
              <w:rPr>
                <w:rFonts w:ascii="Adobe Caslon Pro" w:hAnsi="Adobe Caslon Pro" w:cs="Calibri"/>
                <w:color w:val="000000"/>
                <w:lang w:eastAsia="es-MX"/>
              </w:rPr>
              <w:t xml:space="preserve"> del programa</w:t>
            </w:r>
            <w:r>
              <w:rPr>
                <w:rFonts w:ascii="Adobe Caslon Pro" w:hAnsi="Adobe Caslon Pro" w:cs="Calibri"/>
                <w:color w:val="000000"/>
                <w:lang w:eastAsia="es-MX"/>
              </w:rPr>
              <w:t>, estrategia o instituciones</w:t>
            </w:r>
            <w:r w:rsidRPr="00066E84">
              <w:rPr>
                <w:rFonts w:ascii="Adobe Caslon Pro" w:hAnsi="Adobe Caslon Pro" w:cs="Calibri"/>
                <w:color w:val="000000"/>
                <w:lang w:eastAsia="es-MX"/>
              </w:rPr>
              <w:t>.</w:t>
            </w:r>
          </w:p>
        </w:tc>
      </w:tr>
      <w:tr w:rsidR="00CE5B8D" w:rsidRPr="004F6AC5"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CE5B8D" w:rsidRPr="00066E84" w:rsidRDefault="00CE5B8D" w:rsidP="00A56E05">
            <w:pPr>
              <w:rPr>
                <w:rFonts w:ascii="Adobe Caslon Pro" w:hAnsi="Adobe Caslon Pro" w:cs="Calibri"/>
                <w:color w:val="000000"/>
                <w:lang w:eastAsia="es-MX"/>
              </w:rPr>
            </w:pP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2.2.1 Fortalezas</w:t>
            </w:r>
            <w:r>
              <w:rPr>
                <w:rFonts w:ascii="Adobe Caslon Pro" w:hAnsi="Adobe Caslon Pro" w:cs="Calibri"/>
                <w:color w:val="000000"/>
                <w:lang w:eastAsia="es-MX"/>
              </w:rPr>
              <w:t>:</w:t>
            </w:r>
          </w:p>
          <w:p w:rsidR="00CE5B8D" w:rsidRDefault="00CE5B8D" w:rsidP="00A56E05">
            <w:pPr>
              <w:rPr>
                <w:rFonts w:ascii="Adobe Caslon Pro" w:hAnsi="Adobe Caslon Pro" w:cs="Calibri"/>
                <w:color w:val="000000"/>
                <w:lang w:eastAsia="es-MX"/>
              </w:rPr>
            </w:pPr>
          </w:p>
          <w:p w:rsidR="00CE5B8D" w:rsidRDefault="00CE5B8D"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CE5B8D" w:rsidRPr="00762C8E" w:rsidRDefault="00CE5B8D" w:rsidP="00F075EB">
            <w:pPr>
              <w:numPr>
                <w:ilvl w:val="0"/>
                <w:numId w:val="12"/>
              </w:numPr>
              <w:jc w:val="both"/>
              <w:rPr>
                <w:rFonts w:ascii="Adobe Caslon Pro" w:hAnsi="Adobe Caslon Pro" w:cs="Calibri"/>
                <w:i/>
                <w:color w:val="000000"/>
                <w:sz w:val="20"/>
                <w:szCs w:val="20"/>
                <w:lang w:eastAsia="es-MX"/>
              </w:rPr>
            </w:pPr>
            <w:r w:rsidRPr="00762C8E">
              <w:rPr>
                <w:rFonts w:ascii="Adobe Caslon Pro" w:hAnsi="Adobe Caslon Pro" w:cs="Calibri"/>
                <w:i/>
                <w:color w:val="000000"/>
                <w:sz w:val="20"/>
                <w:szCs w:val="20"/>
                <w:lang w:eastAsia="es-MX"/>
              </w:rPr>
              <w:t>Los componentes que se encuentran en el resumen narrativo de la Matriz de Indicadores para Resultados son los necesarios.</w:t>
            </w:r>
          </w:p>
          <w:p w:rsidR="00CE5B8D" w:rsidRPr="00762C8E" w:rsidRDefault="00CE5B8D" w:rsidP="00F075EB">
            <w:pPr>
              <w:numPr>
                <w:ilvl w:val="0"/>
                <w:numId w:val="12"/>
              </w:numPr>
              <w:jc w:val="both"/>
              <w:rPr>
                <w:rFonts w:ascii="Adobe Caslon Pro" w:hAnsi="Adobe Caslon Pro" w:cs="Calibri"/>
                <w:i/>
                <w:color w:val="000000"/>
                <w:sz w:val="20"/>
                <w:szCs w:val="20"/>
                <w:lang w:eastAsia="es-MX"/>
              </w:rPr>
            </w:pPr>
            <w:r w:rsidRPr="00762C8E">
              <w:rPr>
                <w:rFonts w:ascii="Adobe Caslon Pro" w:hAnsi="Adobe Caslon Pro" w:cs="Calibri"/>
                <w:i/>
                <w:color w:val="000000"/>
                <w:sz w:val="20"/>
                <w:szCs w:val="20"/>
                <w:lang w:eastAsia="es-MX"/>
              </w:rPr>
              <w:t>El Programa identifica claramente la población potencial a la que debe atender.</w:t>
            </w:r>
          </w:p>
          <w:p w:rsidR="00CE5B8D" w:rsidRPr="00820925" w:rsidRDefault="00CE5B8D" w:rsidP="00A56E05">
            <w:pPr>
              <w:ind w:left="360"/>
              <w:jc w:val="both"/>
              <w:rPr>
                <w:rFonts w:ascii="Adobe Caslon Pro" w:hAnsi="Adobe Caslon Pro" w:cs="Calibri"/>
                <w:color w:val="000000"/>
                <w:sz w:val="20"/>
                <w:szCs w:val="20"/>
                <w:lang w:eastAsia="es-MX"/>
              </w:rPr>
            </w:pPr>
          </w:p>
          <w:p w:rsidR="00CE5B8D" w:rsidRPr="00F11793"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CE5B8D" w:rsidRPr="00931DE2" w:rsidRDefault="00CE5B8D" w:rsidP="00F075EB">
            <w:pPr>
              <w:numPr>
                <w:ilvl w:val="0"/>
                <w:numId w:val="40"/>
              </w:numPr>
              <w:jc w:val="both"/>
              <w:rPr>
                <w:rFonts w:ascii="Adobe Caslon Pro" w:hAnsi="Adobe Caslon Pro" w:cs="Calibri"/>
                <w:i/>
                <w:color w:val="000000"/>
                <w:sz w:val="20"/>
                <w:szCs w:val="20"/>
                <w:lang w:eastAsia="es-MX"/>
              </w:rPr>
            </w:pPr>
            <w:r w:rsidRPr="00931DE2">
              <w:rPr>
                <w:rFonts w:ascii="Adobe Caslon Pro" w:hAnsi="Adobe Caslon Pro" w:cs="Calibri"/>
                <w:i/>
                <w:color w:val="000000"/>
                <w:sz w:val="20"/>
                <w:szCs w:val="20"/>
                <w:lang w:eastAsia="es-MX"/>
              </w:rPr>
              <w:t>Existe una claridad en el establecimiento de las metas y resultados del programa en los planes de desarrollo y los planes sectoriales.</w:t>
            </w:r>
          </w:p>
          <w:p w:rsidR="00CE5B8D" w:rsidRPr="00931DE2" w:rsidRDefault="00CE5B8D" w:rsidP="00F075EB">
            <w:pPr>
              <w:numPr>
                <w:ilvl w:val="0"/>
                <w:numId w:val="40"/>
              </w:numPr>
              <w:jc w:val="both"/>
              <w:rPr>
                <w:rFonts w:ascii="Adobe Caslon Pro" w:hAnsi="Adobe Caslon Pro" w:cs="Calibri"/>
                <w:i/>
                <w:color w:val="000000"/>
                <w:sz w:val="20"/>
                <w:szCs w:val="20"/>
                <w:lang w:eastAsia="es-MX"/>
              </w:rPr>
            </w:pPr>
            <w:r w:rsidRPr="00931DE2">
              <w:rPr>
                <w:rFonts w:ascii="Adobe Caslon Pro" w:hAnsi="Adobe Caslon Pro" w:cs="Calibri"/>
                <w:i/>
                <w:color w:val="000000"/>
                <w:sz w:val="20"/>
                <w:szCs w:val="20"/>
                <w:lang w:eastAsia="es-MX"/>
              </w:rPr>
              <w:t>Se cuenta con un sistema que permite la recolección de la información para el monitoreo sobre el desempeño del Programa.</w:t>
            </w:r>
          </w:p>
          <w:p w:rsidR="00CE5B8D" w:rsidRPr="00813420" w:rsidRDefault="00CE5B8D" w:rsidP="00A56E05">
            <w:pPr>
              <w:ind w:left="360"/>
              <w:jc w:val="both"/>
              <w:rPr>
                <w:rFonts w:ascii="Adobe Caslon Pro" w:hAnsi="Adobe Caslon Pro" w:cs="Calibri"/>
                <w:i/>
                <w:color w:val="000000"/>
                <w:sz w:val="20"/>
                <w:szCs w:val="20"/>
                <w:lang w:eastAsia="es-MX"/>
              </w:rPr>
            </w:pPr>
          </w:p>
          <w:p w:rsidR="00CE5B8D" w:rsidRDefault="00CE5B8D"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CE5B8D" w:rsidRPr="00B677F7" w:rsidRDefault="00CE5B8D" w:rsidP="00F075EB">
            <w:pPr>
              <w:numPr>
                <w:ilvl w:val="0"/>
                <w:numId w:val="41"/>
              </w:numPr>
              <w:spacing w:after="200" w:line="276" w:lineRule="auto"/>
              <w:rPr>
                <w:rFonts w:ascii="Adobe Caslon Pro" w:hAnsi="Adobe Caslon Pro" w:cs="Calibri"/>
                <w:i/>
                <w:color w:val="000000"/>
                <w:sz w:val="20"/>
                <w:szCs w:val="20"/>
                <w:lang w:eastAsia="es-MX"/>
              </w:rPr>
            </w:pPr>
            <w:r w:rsidRPr="00B677F7">
              <w:rPr>
                <w:rFonts w:ascii="Adobe Caslon Pro" w:hAnsi="Adobe Caslon Pro" w:cs="Calibri"/>
                <w:i/>
                <w:color w:val="000000"/>
                <w:sz w:val="20"/>
                <w:szCs w:val="20"/>
                <w:lang w:eastAsia="es-MX"/>
              </w:rPr>
              <w:t>El programa cuenta con un sistema que permite cuantificar a la población objetivo del Programa, este sistema es adecuado y proporciona información oportuna y confiable sobre cada uno de los beneficiarios, así como sus procesos de actualización y depuración.</w:t>
            </w:r>
          </w:p>
          <w:p w:rsidR="00CE5B8D"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lastRenderedPageBreak/>
              <w:t>OPERACIÓN</w:t>
            </w:r>
          </w:p>
          <w:p w:rsidR="00CE5B8D" w:rsidRPr="00B677F7" w:rsidRDefault="00CE5B8D" w:rsidP="00F075EB">
            <w:pPr>
              <w:numPr>
                <w:ilvl w:val="0"/>
                <w:numId w:val="42"/>
              </w:numPr>
              <w:jc w:val="both"/>
              <w:rPr>
                <w:rFonts w:ascii="Adobe Caslon Pro" w:hAnsi="Adobe Caslon Pro" w:cs="Calibri"/>
                <w:i/>
                <w:color w:val="000000"/>
                <w:sz w:val="20"/>
                <w:szCs w:val="20"/>
                <w:lang w:eastAsia="es-MX"/>
              </w:rPr>
            </w:pPr>
            <w:r w:rsidRPr="00B677F7">
              <w:rPr>
                <w:rFonts w:ascii="Adobe Caslon Pro" w:hAnsi="Adobe Caslon Pro" w:cs="Calibri"/>
                <w:i/>
                <w:color w:val="000000"/>
                <w:sz w:val="20"/>
                <w:szCs w:val="20"/>
                <w:lang w:eastAsia="es-MX"/>
              </w:rPr>
              <w:t>El Programa cumple con los criterios de elegibilidad aplicable en la normatividad vigente, de cual se cuenta con la evidencia físico/financiera, cierre de ejercicio y recursos no devengados.</w:t>
            </w:r>
          </w:p>
          <w:p w:rsidR="00CE5B8D" w:rsidRPr="00B677F7" w:rsidRDefault="00CE5B8D" w:rsidP="00F075EB">
            <w:pPr>
              <w:numPr>
                <w:ilvl w:val="0"/>
                <w:numId w:val="42"/>
              </w:numPr>
              <w:jc w:val="both"/>
              <w:rPr>
                <w:rFonts w:ascii="Adobe Caslon Pro" w:hAnsi="Adobe Caslon Pro" w:cs="Calibri"/>
                <w:i/>
                <w:color w:val="000000"/>
                <w:sz w:val="20"/>
                <w:szCs w:val="20"/>
                <w:lang w:eastAsia="es-MX"/>
              </w:rPr>
            </w:pPr>
            <w:r w:rsidRPr="00B677F7">
              <w:rPr>
                <w:rFonts w:ascii="Adobe Caslon Pro" w:hAnsi="Adobe Caslon Pro" w:cs="Calibri"/>
                <w:i/>
                <w:color w:val="000000"/>
                <w:sz w:val="20"/>
                <w:szCs w:val="20"/>
                <w:lang w:eastAsia="es-MX"/>
              </w:rPr>
              <w:t>El Programa tiene claramente definida la estructura organizacional, a través de la cual se puede producir o entregar los bienes y servicios para alcanzar con el propósito.</w:t>
            </w:r>
          </w:p>
          <w:p w:rsidR="00CE5B8D" w:rsidRPr="00B677F7" w:rsidRDefault="00CE5B8D" w:rsidP="00F075EB">
            <w:pPr>
              <w:numPr>
                <w:ilvl w:val="0"/>
                <w:numId w:val="42"/>
              </w:numPr>
              <w:jc w:val="both"/>
              <w:rPr>
                <w:rFonts w:ascii="Adobe Caslon Pro" w:hAnsi="Adobe Caslon Pro" w:cs="Calibri"/>
                <w:i/>
                <w:color w:val="000000"/>
                <w:sz w:val="20"/>
                <w:szCs w:val="20"/>
                <w:lang w:eastAsia="es-MX"/>
              </w:rPr>
            </w:pPr>
            <w:r w:rsidRPr="00B677F7">
              <w:rPr>
                <w:rFonts w:ascii="Adobe Caslon Pro" w:hAnsi="Adobe Caslon Pro" w:cs="Calibri"/>
                <w:i/>
                <w:color w:val="000000"/>
                <w:sz w:val="20"/>
                <w:szCs w:val="20"/>
                <w:lang w:eastAsia="es-MX"/>
              </w:rPr>
              <w:t>El Programa cuenta con mecanismos de transparencia y en rendición de cuentas que funcionan adecuadamente y que proporcionan informes y reportes que se soliciten o sean de carácter obligatorio.</w:t>
            </w:r>
          </w:p>
          <w:p w:rsidR="00CE5B8D" w:rsidRPr="002324C1" w:rsidRDefault="00CE5B8D" w:rsidP="00A56E05">
            <w:pPr>
              <w:ind w:left="720"/>
              <w:jc w:val="both"/>
              <w:rPr>
                <w:rFonts w:ascii="Adobe Caslon Pro" w:hAnsi="Adobe Caslon Pro" w:cs="Calibri"/>
                <w:i/>
                <w:color w:val="000000"/>
                <w:sz w:val="20"/>
                <w:szCs w:val="20"/>
                <w:lang w:eastAsia="es-MX"/>
              </w:rPr>
            </w:pPr>
          </w:p>
          <w:p w:rsidR="00CE5B8D" w:rsidRDefault="00CE5B8D"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EJERCICIO</w:t>
            </w:r>
            <w:r w:rsidRPr="00F11793">
              <w:rPr>
                <w:rFonts w:ascii="Adobe Caslon Pro" w:hAnsi="Adobe Caslon Pro" w:cs="Calibri"/>
                <w:color w:val="000000"/>
                <w:sz w:val="20"/>
                <w:szCs w:val="20"/>
                <w:lang w:eastAsia="es-MX"/>
              </w:rPr>
              <w:t xml:space="preserve"> DE LOS RECURSOS</w:t>
            </w:r>
          </w:p>
          <w:p w:rsidR="00CE5B8D" w:rsidRPr="000E5651" w:rsidRDefault="00CE5B8D" w:rsidP="00F075EB">
            <w:pPr>
              <w:numPr>
                <w:ilvl w:val="0"/>
                <w:numId w:val="42"/>
              </w:numPr>
              <w:jc w:val="both"/>
              <w:rPr>
                <w:rFonts w:ascii="Adobe Caslon Pro" w:hAnsi="Adobe Caslon Pro" w:cs="Calibri"/>
                <w:i/>
                <w:color w:val="000000"/>
                <w:sz w:val="20"/>
                <w:szCs w:val="20"/>
                <w:lang w:eastAsia="es-MX"/>
              </w:rPr>
            </w:pPr>
            <w:r w:rsidRPr="000E5651">
              <w:rPr>
                <w:rFonts w:ascii="Adobe Caslon Pro" w:hAnsi="Adobe Caslon Pro" w:cs="Calibri"/>
                <w:i/>
                <w:color w:val="000000"/>
                <w:sz w:val="20"/>
                <w:szCs w:val="20"/>
                <w:lang w:eastAsia="es-MX"/>
              </w:rPr>
              <w:t>Los recursos del Programa cumplen con el calendario de transferencias en tiempo y forma establecidos.</w:t>
            </w:r>
          </w:p>
          <w:p w:rsidR="00CE5B8D" w:rsidRPr="00FB7EAC" w:rsidRDefault="00CE5B8D" w:rsidP="00F075EB">
            <w:pPr>
              <w:numPr>
                <w:ilvl w:val="0"/>
                <w:numId w:val="42"/>
              </w:numPr>
              <w:jc w:val="both"/>
              <w:rPr>
                <w:rFonts w:ascii="Adobe Caslon Pro" w:hAnsi="Adobe Caslon Pro" w:cs="Calibri"/>
                <w:i/>
                <w:color w:val="000000"/>
                <w:sz w:val="20"/>
                <w:szCs w:val="20"/>
                <w:lang w:eastAsia="es-MX"/>
              </w:rPr>
            </w:pPr>
            <w:r w:rsidRPr="000E5651">
              <w:rPr>
                <w:rFonts w:ascii="Adobe Caslon Pro" w:hAnsi="Adobe Caslon Pro" w:cs="Calibri"/>
                <w:i/>
                <w:color w:val="000000"/>
                <w:sz w:val="20"/>
                <w:szCs w:val="20"/>
                <w:lang w:eastAsia="es-MX"/>
              </w:rPr>
              <w:t xml:space="preserve">Dominación de la normatividad aplicable para la transparencia y rendición de cuentas. </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CE5B8D" w:rsidRPr="007B54FC"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2.2.2 Oportunidades</w:t>
            </w:r>
            <w:r>
              <w:rPr>
                <w:rFonts w:ascii="Adobe Caslon Pro" w:hAnsi="Adobe Caslon Pro" w:cs="Calibri"/>
                <w:color w:val="000000"/>
                <w:lang w:eastAsia="es-MX"/>
              </w:rPr>
              <w:t>:</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2.2.3 Debilidades</w:t>
            </w:r>
            <w:r>
              <w:rPr>
                <w:rFonts w:ascii="Adobe Caslon Pro" w:hAnsi="Adobe Caslon Pro" w:cs="Calibri"/>
                <w:color w:val="000000"/>
                <w:lang w:eastAsia="es-MX"/>
              </w:rPr>
              <w:t>:</w:t>
            </w:r>
          </w:p>
          <w:p w:rsidR="00CE5B8D" w:rsidRDefault="00CE5B8D" w:rsidP="00A56E05">
            <w:pPr>
              <w:rPr>
                <w:rFonts w:ascii="Adobe Caslon Pro" w:hAnsi="Adobe Caslon Pro" w:cs="Calibri"/>
                <w:color w:val="000000"/>
                <w:lang w:eastAsia="es-MX"/>
              </w:rPr>
            </w:pPr>
          </w:p>
          <w:p w:rsidR="00CE5B8D" w:rsidRDefault="00CE5B8D"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CE5B8D" w:rsidRPr="00E92173" w:rsidRDefault="00CE5B8D" w:rsidP="00F075EB">
            <w:pPr>
              <w:numPr>
                <w:ilvl w:val="0"/>
                <w:numId w:val="13"/>
              </w:numPr>
              <w:jc w:val="both"/>
              <w:rPr>
                <w:rFonts w:ascii="Adobe Caslon Pro" w:hAnsi="Adobe Caslon Pro" w:cs="Calibri"/>
                <w:i/>
                <w:color w:val="000000"/>
                <w:sz w:val="20"/>
                <w:szCs w:val="20"/>
                <w:lang w:eastAsia="es-MX"/>
              </w:rPr>
            </w:pPr>
            <w:r w:rsidRPr="00E92173">
              <w:rPr>
                <w:rFonts w:ascii="Adobe Caslon Pro" w:hAnsi="Adobe Caslon Pro" w:cs="Calibri"/>
                <w:i/>
                <w:color w:val="000000"/>
                <w:sz w:val="20"/>
                <w:szCs w:val="20"/>
                <w:lang w:eastAsia="es-MX"/>
              </w:rPr>
              <w:t>El Fin y Propósito del Programa no se encuentran claramente definidos en el resumen narrativo de la Matriz de Indicadores para Resultados, asimismo no corresponde a la solución de un problema en específico.</w:t>
            </w:r>
          </w:p>
          <w:p w:rsidR="00CE5B8D" w:rsidRPr="00E92173" w:rsidRDefault="00CE5B8D" w:rsidP="00F075EB">
            <w:pPr>
              <w:numPr>
                <w:ilvl w:val="0"/>
                <w:numId w:val="13"/>
              </w:numPr>
              <w:jc w:val="both"/>
              <w:rPr>
                <w:rFonts w:ascii="Adobe Caslon Pro" w:hAnsi="Adobe Caslon Pro" w:cs="Calibri"/>
                <w:i/>
                <w:color w:val="000000"/>
                <w:sz w:val="20"/>
                <w:szCs w:val="20"/>
                <w:lang w:eastAsia="es-MX"/>
              </w:rPr>
            </w:pPr>
            <w:r w:rsidRPr="00E92173">
              <w:rPr>
                <w:rFonts w:ascii="Adobe Caslon Pro" w:hAnsi="Adobe Caslon Pro" w:cs="Calibri"/>
                <w:i/>
                <w:color w:val="000000"/>
                <w:sz w:val="20"/>
                <w:szCs w:val="20"/>
                <w:lang w:eastAsia="es-MX"/>
              </w:rPr>
              <w:t>Las actividades no se encuentran descritas en el resumen narrativo de la Matriz de Indicadores para Resultados.</w:t>
            </w:r>
          </w:p>
          <w:p w:rsidR="00CE5B8D" w:rsidRPr="00E92173" w:rsidRDefault="00CE5B8D" w:rsidP="00F075EB">
            <w:pPr>
              <w:numPr>
                <w:ilvl w:val="0"/>
                <w:numId w:val="13"/>
              </w:numPr>
              <w:jc w:val="both"/>
              <w:rPr>
                <w:rFonts w:ascii="Adobe Caslon Pro" w:hAnsi="Adobe Caslon Pro" w:cs="Calibri"/>
                <w:i/>
                <w:color w:val="000000"/>
                <w:sz w:val="20"/>
                <w:szCs w:val="20"/>
                <w:lang w:eastAsia="es-MX"/>
              </w:rPr>
            </w:pPr>
            <w:r w:rsidRPr="00E92173">
              <w:rPr>
                <w:rFonts w:ascii="Adobe Caslon Pro" w:hAnsi="Adobe Caslon Pro" w:cs="Calibri"/>
                <w:i/>
                <w:color w:val="000000"/>
                <w:sz w:val="20"/>
                <w:szCs w:val="20"/>
                <w:lang w:eastAsia="es-MX"/>
              </w:rPr>
              <w:t xml:space="preserve">Los indicadores no presentan las características que menciona la metodología del Marco Lógico, ser claros, relevantes, económicos, adecuados y </w:t>
            </w:r>
            <w:proofErr w:type="spellStart"/>
            <w:r w:rsidRPr="00E92173">
              <w:rPr>
                <w:rFonts w:ascii="Adobe Caslon Pro" w:hAnsi="Adobe Caslon Pro" w:cs="Calibri"/>
                <w:i/>
                <w:color w:val="000000"/>
                <w:sz w:val="20"/>
                <w:szCs w:val="20"/>
                <w:lang w:eastAsia="es-MX"/>
              </w:rPr>
              <w:t>monitoreables</w:t>
            </w:r>
            <w:proofErr w:type="spellEnd"/>
            <w:r w:rsidRPr="00E92173">
              <w:rPr>
                <w:rFonts w:ascii="Adobe Caslon Pro" w:hAnsi="Adobe Caslon Pro" w:cs="Calibri"/>
                <w:i/>
                <w:color w:val="000000"/>
                <w:sz w:val="20"/>
                <w:szCs w:val="20"/>
                <w:lang w:eastAsia="es-MX"/>
              </w:rPr>
              <w:t>, no tienen la línea base identifica y los medios de verificación.</w:t>
            </w:r>
          </w:p>
          <w:p w:rsidR="00CE5B8D" w:rsidRPr="00813420" w:rsidRDefault="00CE5B8D" w:rsidP="00A56E05">
            <w:pPr>
              <w:ind w:left="360"/>
              <w:jc w:val="both"/>
              <w:rPr>
                <w:rFonts w:ascii="Adobe Caslon Pro" w:hAnsi="Adobe Caslon Pro" w:cs="Calibri"/>
                <w:color w:val="000000"/>
                <w:sz w:val="20"/>
                <w:szCs w:val="20"/>
                <w:lang w:eastAsia="es-MX"/>
              </w:rPr>
            </w:pPr>
          </w:p>
          <w:p w:rsidR="00CE5B8D"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CE5B8D" w:rsidRPr="00931DE2" w:rsidRDefault="00CE5B8D" w:rsidP="00F075EB">
            <w:pPr>
              <w:numPr>
                <w:ilvl w:val="0"/>
                <w:numId w:val="13"/>
              </w:numPr>
              <w:jc w:val="both"/>
              <w:rPr>
                <w:rFonts w:ascii="Adobe Caslon Pro" w:hAnsi="Adobe Caslon Pro" w:cs="Calibri"/>
                <w:i/>
                <w:color w:val="000000"/>
                <w:sz w:val="20"/>
                <w:szCs w:val="20"/>
                <w:lang w:eastAsia="es-MX"/>
              </w:rPr>
            </w:pPr>
            <w:r w:rsidRPr="00931DE2">
              <w:rPr>
                <w:rFonts w:ascii="Adobe Caslon Pro" w:hAnsi="Adobe Caslon Pro" w:cs="Calibri"/>
                <w:i/>
                <w:color w:val="000000"/>
                <w:sz w:val="20"/>
                <w:szCs w:val="20"/>
                <w:lang w:eastAsia="es-MX"/>
              </w:rPr>
              <w:t xml:space="preserve">El Programa no cuenta con las metas pertinentes y plazos específicos establecidos en la Matriz de Indicadores para Resultados. </w:t>
            </w:r>
          </w:p>
          <w:p w:rsidR="00CE5B8D" w:rsidRPr="00931DE2" w:rsidRDefault="00CE5B8D" w:rsidP="00F075EB">
            <w:pPr>
              <w:numPr>
                <w:ilvl w:val="0"/>
                <w:numId w:val="13"/>
              </w:numPr>
              <w:jc w:val="both"/>
              <w:rPr>
                <w:rFonts w:ascii="Adobe Caslon Pro" w:hAnsi="Adobe Caslon Pro" w:cs="Calibri"/>
                <w:i/>
                <w:color w:val="000000"/>
                <w:sz w:val="20"/>
                <w:szCs w:val="20"/>
                <w:lang w:eastAsia="es-MX"/>
              </w:rPr>
            </w:pPr>
            <w:r w:rsidRPr="00931DE2">
              <w:rPr>
                <w:rFonts w:ascii="Adobe Caslon Pro" w:hAnsi="Adobe Caslon Pro" w:cs="Calibri"/>
                <w:i/>
                <w:color w:val="000000"/>
                <w:sz w:val="20"/>
                <w:szCs w:val="20"/>
                <w:lang w:eastAsia="es-MX"/>
              </w:rPr>
              <w:t xml:space="preserve">El Programa no cuenta con una línea base determinada en la Matriz Indicadores para Resultados. </w:t>
            </w:r>
          </w:p>
          <w:p w:rsidR="00CE5B8D" w:rsidRPr="009C538D" w:rsidRDefault="00CE5B8D" w:rsidP="00A56E05">
            <w:pPr>
              <w:jc w:val="both"/>
              <w:rPr>
                <w:rFonts w:ascii="Adobe Caslon Pro" w:hAnsi="Adobe Caslon Pro" w:cs="Calibri"/>
                <w:i/>
                <w:color w:val="000000"/>
                <w:sz w:val="20"/>
                <w:szCs w:val="20"/>
                <w:lang w:eastAsia="es-MX"/>
              </w:rPr>
            </w:pPr>
          </w:p>
          <w:p w:rsidR="00CE5B8D"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CE5B8D" w:rsidRPr="00B677F7" w:rsidRDefault="00CE5B8D" w:rsidP="00F075EB">
            <w:pPr>
              <w:numPr>
                <w:ilvl w:val="0"/>
                <w:numId w:val="13"/>
              </w:numPr>
              <w:jc w:val="both"/>
              <w:rPr>
                <w:rFonts w:ascii="Adobe Caslon Pro" w:hAnsi="Adobe Caslon Pro" w:cs="Calibri"/>
                <w:i/>
                <w:color w:val="000000"/>
                <w:sz w:val="20"/>
                <w:szCs w:val="20"/>
                <w:lang w:eastAsia="es-MX"/>
              </w:rPr>
            </w:pPr>
            <w:r w:rsidRPr="00B677F7">
              <w:rPr>
                <w:rFonts w:ascii="Adobe Caslon Pro" w:hAnsi="Adobe Caslon Pro" w:cs="Calibri"/>
                <w:i/>
                <w:color w:val="000000"/>
                <w:sz w:val="20"/>
                <w:szCs w:val="20"/>
                <w:lang w:eastAsia="es-MX"/>
              </w:rPr>
              <w:t>El Programa no cuenta con mecanismos establecidos para medir el costo-efectividad en la ejecución del Programa.</w:t>
            </w:r>
          </w:p>
          <w:p w:rsidR="00CE5B8D" w:rsidRPr="00B677F7" w:rsidRDefault="00CE5B8D" w:rsidP="00F075EB">
            <w:pPr>
              <w:numPr>
                <w:ilvl w:val="0"/>
                <w:numId w:val="13"/>
              </w:numPr>
              <w:jc w:val="both"/>
              <w:rPr>
                <w:rFonts w:ascii="Adobe Caslon Pro" w:hAnsi="Adobe Caslon Pro" w:cs="Calibri"/>
                <w:i/>
                <w:color w:val="000000"/>
                <w:sz w:val="20"/>
                <w:szCs w:val="20"/>
                <w:lang w:eastAsia="es-MX"/>
              </w:rPr>
            </w:pPr>
            <w:r w:rsidRPr="00B677F7">
              <w:rPr>
                <w:rFonts w:ascii="Adobe Caslon Pro" w:hAnsi="Adobe Caslon Pro" w:cs="Calibri"/>
                <w:i/>
                <w:color w:val="000000"/>
                <w:sz w:val="20"/>
                <w:szCs w:val="20"/>
                <w:lang w:eastAsia="es-MX"/>
              </w:rPr>
              <w:t xml:space="preserve">El Programa no cuenta con indicadores de eficiencia en la Matriz de Indicadores para Resultados. </w:t>
            </w:r>
          </w:p>
          <w:p w:rsidR="00CE5B8D" w:rsidRPr="00F11793" w:rsidRDefault="00CE5B8D" w:rsidP="00A56E05">
            <w:pPr>
              <w:ind w:left="360"/>
              <w:jc w:val="both"/>
              <w:rPr>
                <w:rFonts w:ascii="Adobe Caslon Pro" w:hAnsi="Adobe Caslon Pro" w:cs="Calibri"/>
                <w:i/>
                <w:color w:val="000000"/>
                <w:sz w:val="20"/>
                <w:szCs w:val="20"/>
                <w:lang w:eastAsia="es-MX"/>
              </w:rPr>
            </w:pPr>
          </w:p>
          <w:p w:rsidR="00CE5B8D"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PERCEPCIÓN DE LA POBLACIÓN OBJETIVO</w:t>
            </w:r>
          </w:p>
          <w:p w:rsidR="00CE5B8D" w:rsidRPr="007E5FB6" w:rsidRDefault="00CE5B8D" w:rsidP="00F075EB">
            <w:pPr>
              <w:numPr>
                <w:ilvl w:val="0"/>
                <w:numId w:val="13"/>
              </w:numPr>
              <w:spacing w:after="200" w:line="276" w:lineRule="auto"/>
              <w:rPr>
                <w:rFonts w:ascii="Adobe Caslon Pro" w:hAnsi="Adobe Caslon Pro" w:cs="Calibri"/>
                <w:i/>
                <w:color w:val="000000"/>
                <w:sz w:val="20"/>
                <w:szCs w:val="20"/>
                <w:lang w:eastAsia="es-MX"/>
              </w:rPr>
            </w:pPr>
            <w:r w:rsidRPr="007E5FB6">
              <w:rPr>
                <w:rFonts w:ascii="Adobe Caslon Pro" w:hAnsi="Adobe Caslon Pro" w:cs="Calibri"/>
                <w:i/>
                <w:color w:val="000000"/>
                <w:sz w:val="20"/>
                <w:szCs w:val="20"/>
                <w:lang w:eastAsia="es-MX"/>
              </w:rPr>
              <w:t>El Programa no cuenta con información sobre la satisfacción de los beneficiarios a través de la recepción del apoyo.</w:t>
            </w:r>
          </w:p>
          <w:p w:rsidR="00CE5B8D" w:rsidRDefault="00CE5B8D"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CE5B8D" w:rsidRPr="00A67C34" w:rsidRDefault="00CE5B8D" w:rsidP="00F075EB">
            <w:pPr>
              <w:numPr>
                <w:ilvl w:val="0"/>
                <w:numId w:val="13"/>
              </w:numPr>
              <w:jc w:val="both"/>
              <w:rPr>
                <w:rFonts w:ascii="Adobe Caslon Pro" w:hAnsi="Adobe Caslon Pro" w:cs="Calibri"/>
                <w:i/>
                <w:color w:val="000000"/>
                <w:sz w:val="20"/>
                <w:szCs w:val="20"/>
                <w:lang w:eastAsia="es-MX"/>
              </w:rPr>
            </w:pPr>
            <w:r w:rsidRPr="00A67C34">
              <w:rPr>
                <w:rFonts w:ascii="Adobe Caslon Pro" w:hAnsi="Adobe Caslon Pro" w:cs="Calibri"/>
                <w:i/>
                <w:color w:val="000000"/>
                <w:sz w:val="20"/>
                <w:szCs w:val="20"/>
                <w:lang w:eastAsia="es-MX"/>
              </w:rPr>
              <w:t>El Programa no cuenta con información sobre el avance del propósito y fin a través de evaluaciones externas.</w:t>
            </w:r>
          </w:p>
          <w:p w:rsidR="00CE5B8D" w:rsidRDefault="00CE5B8D" w:rsidP="00F075EB">
            <w:pPr>
              <w:numPr>
                <w:ilvl w:val="0"/>
                <w:numId w:val="13"/>
              </w:numPr>
              <w:jc w:val="both"/>
              <w:rPr>
                <w:rFonts w:ascii="Adobe Caslon Pro" w:hAnsi="Adobe Caslon Pro" w:cs="Calibri"/>
                <w:i/>
                <w:color w:val="000000"/>
                <w:sz w:val="20"/>
                <w:szCs w:val="20"/>
                <w:lang w:eastAsia="es-MX"/>
              </w:rPr>
            </w:pPr>
            <w:r w:rsidRPr="00A67C34">
              <w:rPr>
                <w:rFonts w:ascii="Adobe Caslon Pro" w:hAnsi="Adobe Caslon Pro" w:cs="Calibri"/>
                <w:i/>
                <w:color w:val="000000"/>
                <w:sz w:val="20"/>
                <w:szCs w:val="20"/>
                <w:lang w:eastAsia="es-MX"/>
              </w:rPr>
              <w:t xml:space="preserve">No se han llevado a cabo evaluaciones externas que permitan conocer el impacto en la población objetivo. </w:t>
            </w:r>
          </w:p>
          <w:p w:rsidR="00CE5B8D" w:rsidRPr="00414B7F" w:rsidRDefault="00CE5B8D" w:rsidP="00A56E05">
            <w:pPr>
              <w:ind w:left="720"/>
              <w:jc w:val="both"/>
              <w:rPr>
                <w:rFonts w:ascii="Adobe Caslon Pro" w:hAnsi="Adobe Caslon Pro" w:cs="Calibri"/>
                <w:i/>
                <w:color w:val="000000"/>
                <w:sz w:val="20"/>
                <w:szCs w:val="20"/>
                <w:lang w:eastAsia="es-MX"/>
              </w:rPr>
            </w:pP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2.2.4 Amenazas</w:t>
            </w:r>
            <w:r>
              <w:rPr>
                <w:rFonts w:ascii="Adobe Caslon Pro" w:hAnsi="Adobe Caslon Pro" w:cs="Calibri"/>
                <w:color w:val="000000"/>
                <w:lang w:eastAsia="es-MX"/>
              </w:rPr>
              <w:t>:</w:t>
            </w:r>
          </w:p>
        </w:tc>
      </w:tr>
      <w:tr w:rsidR="00CE5B8D" w:rsidRPr="004F6AC5"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CE5B8D" w:rsidRPr="00066E84" w:rsidRDefault="00CE5B8D" w:rsidP="00A56E05">
            <w:pPr>
              <w:jc w:val="center"/>
              <w:rPr>
                <w:rFonts w:ascii="Adobe Caslon Pro" w:hAnsi="Adobe Caslon Pro" w:cs="Calibri"/>
                <w:color w:val="000000"/>
                <w:lang w:eastAsia="es-MX"/>
              </w:rPr>
            </w:pP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CE5B8D" w:rsidRPr="00066E84" w:rsidRDefault="00CE5B8D" w:rsidP="00A56E05">
            <w:pPr>
              <w:rPr>
                <w:rFonts w:ascii="Trajan Pro" w:hAnsi="Trajan Pro" w:cs="Calibri"/>
                <w:b/>
                <w:bCs/>
                <w:color w:val="000000"/>
                <w:lang w:eastAsia="es-MX"/>
              </w:rPr>
            </w:pPr>
            <w:r w:rsidRPr="00066E84">
              <w:rPr>
                <w:rFonts w:ascii="Trajan Pro" w:hAnsi="Trajan Pro" w:cs="Calibri"/>
                <w:b/>
                <w:bCs/>
                <w:color w:val="000000"/>
                <w:lang w:eastAsia="es-MX"/>
              </w:rPr>
              <w:lastRenderedPageBreak/>
              <w:t>3. Conclusiones y recomendaciones de la evaluación</w:t>
            </w:r>
          </w:p>
        </w:tc>
      </w:tr>
      <w:tr w:rsidR="00CE5B8D" w:rsidRPr="004F6AC5" w:rsidTr="00A56E05">
        <w:trPr>
          <w:trHeight w:val="110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CE5B8D" w:rsidRDefault="00CE5B8D" w:rsidP="00F075EB">
            <w:pPr>
              <w:numPr>
                <w:ilvl w:val="1"/>
                <w:numId w:val="15"/>
              </w:numPr>
              <w:rPr>
                <w:rFonts w:ascii="Adobe Caslon Pro" w:hAnsi="Adobe Caslon Pro" w:cs="Calibri"/>
                <w:color w:val="000000"/>
                <w:lang w:eastAsia="es-MX"/>
              </w:rPr>
            </w:pPr>
            <w:r w:rsidRPr="00066E84">
              <w:rPr>
                <w:rFonts w:ascii="Adobe Caslon Pro" w:hAnsi="Adobe Caslon Pro" w:cs="Calibri"/>
                <w:color w:val="000000"/>
                <w:lang w:eastAsia="es-MX"/>
              </w:rPr>
              <w:t>Describir brevemente las conclusiones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CE5B8D" w:rsidRDefault="00CE5B8D" w:rsidP="00A56E05">
            <w:pPr>
              <w:ind w:left="360"/>
              <w:rPr>
                <w:rFonts w:ascii="Adobe Caslon Pro" w:hAnsi="Adobe Caslon Pro" w:cs="Calibri"/>
                <w:color w:val="000000"/>
                <w:lang w:eastAsia="es-MX"/>
              </w:rPr>
            </w:pPr>
          </w:p>
          <w:p w:rsidR="00CE5B8D" w:rsidRDefault="00CE5B8D"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En el apartado de Diseño la Matriz de Indicadores para Resultados </w:t>
            </w:r>
            <w:r w:rsidRPr="00100831">
              <w:rPr>
                <w:rFonts w:ascii="Adobe Caslon Pro" w:hAnsi="Adobe Caslon Pro" w:cs="Calibri"/>
                <w:i/>
                <w:color w:val="000000"/>
                <w:sz w:val="20"/>
                <w:szCs w:val="20"/>
                <w:lang w:eastAsia="es-MX"/>
              </w:rPr>
              <w:t>cuenta con un resumen narrativo con detalles de mejora en el Fin y Propósito</w:t>
            </w:r>
            <w:r>
              <w:rPr>
                <w:rFonts w:ascii="Adobe Caslon Pro" w:hAnsi="Adobe Caslon Pro" w:cs="Calibri"/>
                <w:i/>
                <w:color w:val="000000"/>
                <w:sz w:val="20"/>
                <w:szCs w:val="20"/>
                <w:lang w:eastAsia="es-MX"/>
              </w:rPr>
              <w:t xml:space="preserve">, </w:t>
            </w:r>
            <w:r w:rsidRPr="00100831">
              <w:rPr>
                <w:rFonts w:ascii="Adobe Caslon Pro" w:hAnsi="Adobe Caslon Pro" w:cs="Calibri"/>
                <w:i/>
                <w:color w:val="000000"/>
                <w:sz w:val="20"/>
                <w:szCs w:val="20"/>
                <w:lang w:eastAsia="es-MX"/>
              </w:rPr>
              <w:t>las actividades no se en</w:t>
            </w:r>
            <w:r>
              <w:rPr>
                <w:rFonts w:ascii="Adobe Caslon Pro" w:hAnsi="Adobe Caslon Pro" w:cs="Calibri"/>
                <w:i/>
                <w:color w:val="000000"/>
                <w:sz w:val="20"/>
                <w:szCs w:val="20"/>
                <w:lang w:eastAsia="es-MX"/>
              </w:rPr>
              <w:t>cuentran señaladas</w:t>
            </w:r>
            <w:r w:rsidRPr="00100831">
              <w:rPr>
                <w:rFonts w:ascii="Adobe Caslon Pro" w:hAnsi="Adobe Caslon Pro" w:cs="Calibri"/>
                <w:i/>
                <w:color w:val="000000"/>
                <w:sz w:val="20"/>
                <w:szCs w:val="20"/>
                <w:lang w:eastAsia="es-MX"/>
              </w:rPr>
              <w:t xml:space="preserve"> lo que ha restado poder completar la información correspondiente a las evaluaciones.</w:t>
            </w:r>
          </w:p>
          <w:p w:rsidR="00CE5B8D" w:rsidRDefault="00CE5B8D"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En la Planeación Estratégica</w:t>
            </w:r>
            <w:r>
              <w:t xml:space="preserve"> </w:t>
            </w:r>
            <w:r w:rsidRPr="00EF7011">
              <w:rPr>
                <w:rFonts w:ascii="Adobe Caslon Pro" w:hAnsi="Adobe Caslon Pro" w:cs="Calibri"/>
                <w:i/>
                <w:color w:val="000000"/>
                <w:sz w:val="20"/>
                <w:szCs w:val="20"/>
                <w:lang w:eastAsia="es-MX"/>
              </w:rPr>
              <w:t>las metas y resultados del programa son claros en los objetivos establecidos,</w:t>
            </w:r>
            <w:r>
              <w:rPr>
                <w:rFonts w:ascii="Adobe Caslon Pro" w:hAnsi="Adobe Caslon Pro" w:cs="Calibri"/>
                <w:i/>
                <w:color w:val="000000"/>
                <w:sz w:val="20"/>
                <w:szCs w:val="20"/>
                <w:lang w:eastAsia="es-MX"/>
              </w:rPr>
              <w:t xml:space="preserve"> sin embargo </w:t>
            </w:r>
            <w:r w:rsidRPr="00EF7011">
              <w:rPr>
                <w:rFonts w:ascii="Adobe Caslon Pro" w:hAnsi="Adobe Caslon Pro" w:cs="Calibri"/>
                <w:i/>
                <w:color w:val="000000"/>
                <w:sz w:val="20"/>
                <w:szCs w:val="20"/>
                <w:lang w:eastAsia="es-MX"/>
              </w:rPr>
              <w:t>estas metas no se encuentran establecidas en el formato de Matriz de Indicadores para Resultados del Programa</w:t>
            </w:r>
            <w:r>
              <w:rPr>
                <w:rFonts w:ascii="Adobe Caslon Pro" w:hAnsi="Adobe Caslon Pro" w:cs="Calibri"/>
                <w:i/>
                <w:color w:val="000000"/>
                <w:sz w:val="20"/>
                <w:szCs w:val="20"/>
                <w:lang w:eastAsia="es-MX"/>
              </w:rPr>
              <w:t>.</w:t>
            </w:r>
          </w:p>
          <w:p w:rsidR="00CE5B8D" w:rsidRDefault="00CE5B8D" w:rsidP="00F075EB">
            <w:pPr>
              <w:numPr>
                <w:ilvl w:val="0"/>
                <w:numId w:val="43"/>
              </w:numPr>
              <w:jc w:val="both"/>
              <w:rPr>
                <w:rFonts w:ascii="Adobe Caslon Pro" w:hAnsi="Adobe Caslon Pro" w:cs="Calibri"/>
                <w:i/>
                <w:color w:val="000000"/>
                <w:sz w:val="20"/>
                <w:szCs w:val="20"/>
                <w:lang w:eastAsia="es-MX"/>
              </w:rPr>
            </w:pPr>
            <w:r w:rsidRPr="00EF7011">
              <w:rPr>
                <w:rFonts w:ascii="Adobe Caslon Pro" w:hAnsi="Adobe Caslon Pro" w:cs="Calibri"/>
                <w:i/>
                <w:color w:val="000000"/>
                <w:sz w:val="20"/>
                <w:szCs w:val="20"/>
                <w:lang w:eastAsia="es-MX"/>
              </w:rPr>
              <w:t>El Programa cuenta con un sistema que permite establecer el monitoreo y registro de los beneficiarios.</w:t>
            </w:r>
          </w:p>
          <w:p w:rsidR="00CE5B8D" w:rsidRDefault="00CE5B8D"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Se </w:t>
            </w:r>
            <w:r w:rsidRPr="00B5456B">
              <w:rPr>
                <w:rFonts w:ascii="Adobe Caslon Pro" w:hAnsi="Adobe Caslon Pro" w:cs="Calibri"/>
                <w:i/>
                <w:color w:val="000000"/>
                <w:sz w:val="20"/>
                <w:szCs w:val="20"/>
                <w:lang w:eastAsia="es-MX"/>
              </w:rPr>
              <w:t>identifica claramente la población potencial, población objet</w:t>
            </w:r>
            <w:r>
              <w:rPr>
                <w:rFonts w:ascii="Adobe Caslon Pro" w:hAnsi="Adobe Caslon Pro" w:cs="Calibri"/>
                <w:i/>
                <w:color w:val="000000"/>
                <w:sz w:val="20"/>
                <w:szCs w:val="20"/>
                <w:lang w:eastAsia="es-MX"/>
              </w:rPr>
              <w:t xml:space="preserve">ivo y la población atendida que </w:t>
            </w:r>
            <w:r w:rsidRPr="00B5456B">
              <w:rPr>
                <w:rFonts w:ascii="Adobe Caslon Pro" w:hAnsi="Adobe Caslon Pro" w:cs="Calibri"/>
                <w:i/>
                <w:color w:val="000000"/>
                <w:sz w:val="20"/>
                <w:szCs w:val="20"/>
                <w:lang w:eastAsia="es-MX"/>
              </w:rPr>
              <w:t>requiere de los beneficios que se proporcionan.</w:t>
            </w:r>
          </w:p>
          <w:p w:rsidR="00CE5B8D" w:rsidRDefault="00CE5B8D"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El programa r</w:t>
            </w:r>
            <w:r w:rsidRPr="00B5456B">
              <w:rPr>
                <w:rFonts w:ascii="Adobe Caslon Pro" w:hAnsi="Adobe Caslon Pro" w:cs="Calibri"/>
                <w:i/>
                <w:color w:val="000000"/>
                <w:sz w:val="20"/>
                <w:szCs w:val="20"/>
                <w:lang w:eastAsia="es-MX"/>
              </w:rPr>
              <w:t>ealiza la información financiera a través de los reportes de cierre de ejercicio, recursos no devenga</w:t>
            </w:r>
            <w:r>
              <w:rPr>
                <w:rFonts w:ascii="Adobe Caslon Pro" w:hAnsi="Adobe Caslon Pro" w:cs="Calibri"/>
                <w:i/>
                <w:color w:val="000000"/>
                <w:sz w:val="20"/>
                <w:szCs w:val="20"/>
                <w:lang w:eastAsia="es-MX"/>
              </w:rPr>
              <w:t>dos</w:t>
            </w:r>
            <w:r w:rsidRPr="00B5456B">
              <w:rPr>
                <w:rFonts w:ascii="Adobe Caslon Pro" w:hAnsi="Adobe Caslon Pro" w:cs="Calibri"/>
                <w:i/>
                <w:color w:val="000000"/>
                <w:sz w:val="20"/>
                <w:szCs w:val="20"/>
                <w:lang w:eastAsia="es-MX"/>
              </w:rPr>
              <w:t xml:space="preserve"> y reportes físico-financieros. Aunque cumple con algunos aspectos sobre la información sujeta a la transparencia y rendición de cuentas el programa tiene un área de mejora en el concepto de costo-efectividad, mismo que es información relevante y que contribuirá a conocer aspectos específicos de la operación de los recursos.</w:t>
            </w:r>
          </w:p>
          <w:p w:rsidR="00CE5B8D" w:rsidRDefault="00CE5B8D" w:rsidP="00F075EB">
            <w:pPr>
              <w:numPr>
                <w:ilvl w:val="0"/>
                <w:numId w:val="43"/>
              </w:numPr>
              <w:jc w:val="both"/>
              <w:rPr>
                <w:rFonts w:ascii="Adobe Caslon Pro" w:hAnsi="Adobe Caslon Pro" w:cs="Calibri"/>
                <w:i/>
                <w:color w:val="000000"/>
                <w:sz w:val="20"/>
                <w:szCs w:val="20"/>
                <w:lang w:eastAsia="es-MX"/>
              </w:rPr>
            </w:pPr>
            <w:r w:rsidRPr="00CF1E01">
              <w:rPr>
                <w:rFonts w:ascii="Adobe Caslon Pro" w:hAnsi="Adobe Caslon Pro" w:cs="Calibri"/>
                <w:i/>
                <w:color w:val="000000"/>
                <w:sz w:val="20"/>
                <w:szCs w:val="20"/>
                <w:lang w:eastAsia="es-MX"/>
              </w:rPr>
              <w:t xml:space="preserve">En el Programa Bienestar de Apoyo a Personas con Discapacidad y con base a la evaluación realizada, no se conoce la percepción de la población a través de la entrega-recepción de los recursos, esto significa un reto muy importante, pues es fundamental conocer si en realidad se contribuye a la mejora de las familias que lo reciben. </w:t>
            </w:r>
          </w:p>
          <w:p w:rsidR="00CE5B8D" w:rsidRDefault="00CE5B8D"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w:t>
            </w:r>
            <w:r w:rsidRPr="0068123D">
              <w:rPr>
                <w:rFonts w:ascii="Adobe Caslon Pro" w:hAnsi="Adobe Caslon Pro" w:cs="Calibri"/>
                <w:i/>
                <w:color w:val="000000"/>
                <w:sz w:val="20"/>
                <w:szCs w:val="20"/>
                <w:lang w:eastAsia="es-MX"/>
              </w:rPr>
              <w:t>l Programa no ha realizado evaluaciones externas que permita conocer el impacto en la población atendida, esto es, conocer los beneficios que han logrados a través de la recepción de los bienes y servicios.</w:t>
            </w:r>
          </w:p>
          <w:p w:rsidR="00CE5B8D" w:rsidRDefault="00CE5B8D"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En cuanto al ejercicio de los recursos </w:t>
            </w:r>
            <w:r w:rsidRPr="0068123D">
              <w:rPr>
                <w:rFonts w:ascii="Adobe Caslon Pro" w:hAnsi="Adobe Caslon Pro" w:cs="Calibri"/>
                <w:i/>
                <w:color w:val="000000"/>
                <w:sz w:val="20"/>
                <w:szCs w:val="20"/>
                <w:lang w:eastAsia="es-MX"/>
              </w:rPr>
              <w:t>el Programa cumple con todos los aspectos sometidos a evaluación, esto significa que a partir de ejercer una transferencia de los recursos en tiempo y forma definidos en el calendario, permite que los bienes y servicios, así como los procesos necesarios y sustantivos del Programa se ejerzan con eficiencia y eficacia, alcanzado un éxito en la elaboración de cada uno de ellos.</w:t>
            </w:r>
          </w:p>
          <w:p w:rsidR="00CE5B8D" w:rsidRPr="00100831" w:rsidRDefault="00CE5B8D" w:rsidP="00A56E05">
            <w:pPr>
              <w:ind w:left="720"/>
              <w:jc w:val="both"/>
              <w:rPr>
                <w:rFonts w:ascii="Adobe Caslon Pro" w:hAnsi="Adobe Caslon Pro" w:cs="Calibri"/>
                <w:i/>
                <w:color w:val="000000"/>
                <w:sz w:val="20"/>
                <w:szCs w:val="20"/>
                <w:lang w:eastAsia="es-MX"/>
              </w:rPr>
            </w:pPr>
          </w:p>
        </w:tc>
      </w:tr>
      <w:tr w:rsidR="00CE5B8D" w:rsidRPr="004F6AC5" w:rsidTr="00A56E05">
        <w:trPr>
          <w:trHeight w:val="525"/>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CE5B8D" w:rsidRPr="00066E84" w:rsidRDefault="00CE5B8D" w:rsidP="00F075EB">
            <w:pPr>
              <w:numPr>
                <w:ilvl w:val="1"/>
                <w:numId w:val="14"/>
              </w:numPr>
              <w:rPr>
                <w:rFonts w:ascii="Adobe Caslon Pro" w:hAnsi="Adobe Caslon Pro" w:cs="Calibri"/>
                <w:color w:val="000000"/>
                <w:lang w:eastAsia="es-MX"/>
              </w:rPr>
            </w:pPr>
            <w:r>
              <w:rPr>
                <w:rFonts w:ascii="Adobe Caslon Pro" w:hAnsi="Adobe Caslon Pro" w:cs="Calibri"/>
                <w:color w:val="000000"/>
                <w:lang w:eastAsia="es-MX"/>
              </w:rPr>
              <w:t>Describir</w:t>
            </w:r>
            <w:r w:rsidRPr="00066E84">
              <w:rPr>
                <w:rFonts w:ascii="Adobe Caslon Pro" w:hAnsi="Adobe Caslon Pro" w:cs="Calibri"/>
                <w:color w:val="000000"/>
                <w:lang w:eastAsia="es-MX"/>
              </w:rPr>
              <w:t xml:space="preserve"> las recomendaciones de acuerdo a su relevancia:</w:t>
            </w:r>
          </w:p>
        </w:tc>
      </w:tr>
      <w:tr w:rsidR="00CE5B8D" w:rsidRPr="004F6AC5"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CE5B8D"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DISEÑO</w:t>
            </w:r>
          </w:p>
          <w:p w:rsidR="00CE5B8D" w:rsidRPr="00E92173" w:rsidRDefault="00CE5B8D" w:rsidP="00F075EB">
            <w:pPr>
              <w:numPr>
                <w:ilvl w:val="0"/>
                <w:numId w:val="13"/>
              </w:numPr>
              <w:jc w:val="both"/>
              <w:rPr>
                <w:rFonts w:ascii="Adobe Caslon Pro" w:hAnsi="Adobe Caslon Pro" w:cs="Calibri"/>
                <w:i/>
                <w:color w:val="000000"/>
                <w:sz w:val="20"/>
                <w:szCs w:val="20"/>
                <w:lang w:eastAsia="es-MX"/>
              </w:rPr>
            </w:pPr>
            <w:r w:rsidRPr="00E92173">
              <w:rPr>
                <w:rFonts w:ascii="Adobe Caslon Pro" w:hAnsi="Adobe Caslon Pro" w:cs="Calibri"/>
                <w:i/>
                <w:color w:val="000000"/>
                <w:sz w:val="20"/>
                <w:szCs w:val="20"/>
                <w:lang w:eastAsia="es-MX"/>
              </w:rPr>
              <w:t>Establecer adecuadamente el diseño de la Matriz de Indicadores para Resultados con base en la metodología de Marco Lógico, de tal forma que en su elaboración se incluyan las columnas correspondientes al resumen narrativo, indicadores, medios de verificación y supuestos.</w:t>
            </w:r>
          </w:p>
          <w:p w:rsidR="00CE5B8D" w:rsidRPr="00E92173" w:rsidRDefault="00CE5B8D" w:rsidP="00F075EB">
            <w:pPr>
              <w:numPr>
                <w:ilvl w:val="0"/>
                <w:numId w:val="13"/>
              </w:numPr>
              <w:jc w:val="both"/>
              <w:rPr>
                <w:rFonts w:ascii="Adobe Caslon Pro" w:hAnsi="Adobe Caslon Pro" w:cs="Calibri"/>
                <w:i/>
                <w:color w:val="000000"/>
                <w:sz w:val="20"/>
                <w:szCs w:val="20"/>
                <w:lang w:eastAsia="es-MX"/>
              </w:rPr>
            </w:pPr>
            <w:r w:rsidRPr="00E92173">
              <w:rPr>
                <w:rFonts w:ascii="Adobe Caslon Pro" w:hAnsi="Adobe Caslon Pro" w:cs="Calibri"/>
                <w:i/>
                <w:color w:val="000000"/>
                <w:sz w:val="20"/>
                <w:szCs w:val="20"/>
                <w:lang w:eastAsia="es-MX"/>
              </w:rPr>
              <w:t xml:space="preserve">Redactar para cada indicador los medios de verificación que proveerán la información necesaria para las variables que los conforman; y verificar el cumplimiento de las metas asociadas a los indicadores. </w:t>
            </w:r>
          </w:p>
          <w:p w:rsidR="00CE5B8D" w:rsidRDefault="00CE5B8D" w:rsidP="00F075EB">
            <w:pPr>
              <w:numPr>
                <w:ilvl w:val="0"/>
                <w:numId w:val="13"/>
              </w:numPr>
              <w:jc w:val="both"/>
              <w:rPr>
                <w:rFonts w:ascii="Adobe Caslon Pro" w:hAnsi="Adobe Caslon Pro" w:cs="Calibri"/>
                <w:i/>
                <w:color w:val="000000"/>
                <w:sz w:val="20"/>
                <w:szCs w:val="20"/>
                <w:lang w:eastAsia="es-MX"/>
              </w:rPr>
            </w:pPr>
            <w:r w:rsidRPr="00E92173">
              <w:rPr>
                <w:rFonts w:ascii="Adobe Caslon Pro" w:hAnsi="Adobe Caslon Pro" w:cs="Calibri"/>
                <w:i/>
                <w:color w:val="000000"/>
                <w:sz w:val="20"/>
                <w:szCs w:val="20"/>
                <w:lang w:eastAsia="es-MX"/>
              </w:rPr>
              <w:t>Es necesario que las fuentes de información, al menos en los ámbitos estratégicos de Fin y Propósito, se encuentren disponibles en el sitio web de transparencia de la Dependencia; así como que la Matriz de Indicadores para Resultados del Programa en su totalidad esté a disposición a través del Portal de Transparencia Fiscal.</w:t>
            </w:r>
          </w:p>
          <w:p w:rsidR="00CE5B8D" w:rsidRPr="00E92173" w:rsidRDefault="00CE5B8D" w:rsidP="00F075EB">
            <w:pPr>
              <w:numPr>
                <w:ilvl w:val="0"/>
                <w:numId w:val="13"/>
              </w:numPr>
              <w:spacing w:after="200" w:line="276" w:lineRule="auto"/>
              <w:rPr>
                <w:rFonts w:ascii="Adobe Caslon Pro" w:hAnsi="Adobe Caslon Pro" w:cs="Calibri"/>
                <w:i/>
                <w:color w:val="000000"/>
                <w:sz w:val="20"/>
                <w:szCs w:val="20"/>
                <w:lang w:eastAsia="es-MX"/>
              </w:rPr>
            </w:pPr>
            <w:r w:rsidRPr="00E92173">
              <w:rPr>
                <w:rFonts w:ascii="Adobe Caslon Pro" w:hAnsi="Adobe Caslon Pro" w:cs="Calibri"/>
                <w:i/>
                <w:color w:val="000000"/>
                <w:sz w:val="20"/>
                <w:szCs w:val="20"/>
                <w:lang w:eastAsia="es-MX"/>
              </w:rPr>
              <w:t>De acuerdo con el punto anterior, dentro de la misma columna y celda correspondiente, es necesario incluir el link o liga en donde es posible encontrar la información correspondiente a las fuentes de información y Medios de Verificación.</w:t>
            </w:r>
          </w:p>
          <w:p w:rsidR="00CE5B8D" w:rsidRPr="00F11793"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CE5B8D" w:rsidRPr="00931DE2" w:rsidRDefault="00CE5B8D" w:rsidP="00F075EB">
            <w:pPr>
              <w:numPr>
                <w:ilvl w:val="0"/>
                <w:numId w:val="13"/>
              </w:numPr>
              <w:jc w:val="both"/>
              <w:rPr>
                <w:rFonts w:ascii="Adobe Caslon Pro" w:hAnsi="Adobe Caslon Pro" w:cs="Calibri"/>
                <w:i/>
                <w:color w:val="000000"/>
                <w:sz w:val="20"/>
                <w:szCs w:val="20"/>
                <w:lang w:eastAsia="es-MX"/>
              </w:rPr>
            </w:pPr>
            <w:r w:rsidRPr="00931DE2">
              <w:rPr>
                <w:rFonts w:ascii="Adobe Caslon Pro" w:hAnsi="Adobe Caslon Pro" w:cs="Calibri"/>
                <w:i/>
                <w:color w:val="000000"/>
                <w:sz w:val="20"/>
                <w:szCs w:val="20"/>
                <w:lang w:eastAsia="es-MX"/>
              </w:rPr>
              <w:t xml:space="preserve">Establecer las metas pertinentes con los plazos específicos a cada una de ellas en los documentos y reportes del programa, de acuerdo con el análisis de datos históricos, acontecimientos y bases de datos </w:t>
            </w:r>
            <w:r w:rsidRPr="00931DE2">
              <w:rPr>
                <w:rFonts w:ascii="Adobe Caslon Pro" w:hAnsi="Adobe Caslon Pro" w:cs="Calibri"/>
                <w:i/>
                <w:color w:val="000000"/>
                <w:sz w:val="20"/>
                <w:szCs w:val="20"/>
                <w:lang w:eastAsia="es-MX"/>
              </w:rPr>
              <w:lastRenderedPageBreak/>
              <w:t>que proporcionen información clave para el progreso del objetivo.</w:t>
            </w:r>
          </w:p>
          <w:p w:rsidR="00CE5B8D" w:rsidRPr="00931DE2" w:rsidRDefault="00CE5B8D" w:rsidP="00F075EB">
            <w:pPr>
              <w:numPr>
                <w:ilvl w:val="0"/>
                <w:numId w:val="13"/>
              </w:numPr>
              <w:jc w:val="both"/>
              <w:rPr>
                <w:rFonts w:ascii="Adobe Caslon Pro" w:hAnsi="Adobe Caslon Pro" w:cs="Calibri"/>
                <w:i/>
                <w:color w:val="000000"/>
                <w:sz w:val="20"/>
                <w:szCs w:val="20"/>
                <w:lang w:eastAsia="es-MX"/>
              </w:rPr>
            </w:pPr>
            <w:r w:rsidRPr="00931DE2">
              <w:rPr>
                <w:rFonts w:ascii="Adobe Caslon Pro" w:hAnsi="Adobe Caslon Pro" w:cs="Calibri"/>
                <w:i/>
                <w:color w:val="000000"/>
                <w:sz w:val="20"/>
                <w:szCs w:val="20"/>
                <w:lang w:eastAsia="es-MX"/>
              </w:rPr>
              <w:t>Agregar al formato de Matriz de Indicadores de Resultados la columna de la línea base, la importancia de este apartado permite tener el parámetro inicial de medida a partir de cada frecuencia de medición que se ha establecido.</w:t>
            </w:r>
          </w:p>
          <w:p w:rsidR="00CE5B8D" w:rsidRDefault="00CE5B8D" w:rsidP="00A56E05">
            <w:pPr>
              <w:jc w:val="both"/>
              <w:rPr>
                <w:rFonts w:ascii="Adobe Caslon Pro" w:hAnsi="Adobe Caslon Pro" w:cs="Calibri"/>
                <w:color w:val="000000"/>
                <w:sz w:val="20"/>
                <w:szCs w:val="20"/>
                <w:lang w:eastAsia="es-MX"/>
              </w:rPr>
            </w:pPr>
          </w:p>
          <w:p w:rsidR="00CE5B8D" w:rsidRPr="00F11793"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CE5B8D" w:rsidRPr="00B677F7" w:rsidRDefault="00CE5B8D" w:rsidP="00F075EB">
            <w:pPr>
              <w:numPr>
                <w:ilvl w:val="0"/>
                <w:numId w:val="13"/>
              </w:numPr>
              <w:jc w:val="both"/>
              <w:rPr>
                <w:rFonts w:ascii="Adobe Caslon Pro" w:hAnsi="Adobe Caslon Pro" w:cs="Calibri"/>
                <w:i/>
                <w:color w:val="000000"/>
                <w:sz w:val="20"/>
                <w:szCs w:val="20"/>
                <w:lang w:eastAsia="es-MX"/>
              </w:rPr>
            </w:pPr>
            <w:r w:rsidRPr="00B677F7">
              <w:rPr>
                <w:rFonts w:ascii="Adobe Caslon Pro" w:hAnsi="Adobe Caslon Pro" w:cs="Calibri"/>
                <w:i/>
                <w:color w:val="000000"/>
                <w:sz w:val="20"/>
                <w:szCs w:val="20"/>
                <w:lang w:eastAsia="es-MX"/>
              </w:rPr>
              <w:t>Establecer un mecanismo que permita conocer el costo-efectividad en la entrega de los componentes para la ejecución el Programa, esto permitirá saber cuánto es el costo de operación por cada beneficiario atendido y permitirá tener una información financiera estratégica.</w:t>
            </w:r>
          </w:p>
          <w:p w:rsidR="00CE5B8D" w:rsidRPr="00B677F7" w:rsidRDefault="00CE5B8D" w:rsidP="00F075EB">
            <w:pPr>
              <w:numPr>
                <w:ilvl w:val="0"/>
                <w:numId w:val="13"/>
              </w:numPr>
              <w:jc w:val="both"/>
              <w:rPr>
                <w:rFonts w:ascii="Adobe Caslon Pro" w:hAnsi="Adobe Caslon Pro" w:cs="Calibri"/>
                <w:i/>
                <w:color w:val="000000"/>
                <w:sz w:val="20"/>
                <w:szCs w:val="20"/>
                <w:lang w:eastAsia="es-MX"/>
              </w:rPr>
            </w:pPr>
            <w:r w:rsidRPr="00B677F7">
              <w:rPr>
                <w:rFonts w:ascii="Adobe Caslon Pro" w:hAnsi="Adobe Caslon Pro" w:cs="Calibri"/>
                <w:i/>
                <w:color w:val="000000"/>
                <w:sz w:val="20"/>
                <w:szCs w:val="20"/>
                <w:lang w:eastAsia="es-MX"/>
              </w:rPr>
              <w:t>Establecer y definir indicadores de eficiencia para el componentes y las actividades que se describan, la importancia de los indicadores de eficiencia es que permite conocer el avance, características y tiempo del objetivo planteado.</w:t>
            </w:r>
          </w:p>
          <w:p w:rsidR="00CE5B8D" w:rsidRPr="00A5758C" w:rsidRDefault="00CE5B8D" w:rsidP="00A56E05">
            <w:pPr>
              <w:ind w:left="720"/>
              <w:jc w:val="both"/>
              <w:rPr>
                <w:rFonts w:ascii="Adobe Caslon Pro" w:hAnsi="Adobe Caslon Pro" w:cs="Calibri"/>
                <w:i/>
                <w:color w:val="000000"/>
                <w:sz w:val="20"/>
                <w:szCs w:val="20"/>
                <w:lang w:eastAsia="es-MX"/>
              </w:rPr>
            </w:pPr>
          </w:p>
          <w:p w:rsidR="00CE5B8D" w:rsidRDefault="00CE5B8D"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w:t>
            </w:r>
            <w:r>
              <w:rPr>
                <w:rFonts w:ascii="Adobe Caslon Pro" w:hAnsi="Adobe Caslon Pro" w:cs="Calibri"/>
                <w:color w:val="000000"/>
                <w:sz w:val="20"/>
                <w:szCs w:val="20"/>
                <w:lang w:eastAsia="es-MX"/>
              </w:rPr>
              <w:t>EPCIÓN DE LA POBLACIÓN OBJETIVO</w:t>
            </w:r>
          </w:p>
          <w:p w:rsidR="00CE5B8D" w:rsidRPr="007E5FB6" w:rsidRDefault="00CE5B8D" w:rsidP="00F075EB">
            <w:pPr>
              <w:numPr>
                <w:ilvl w:val="0"/>
                <w:numId w:val="13"/>
              </w:numPr>
              <w:spacing w:after="200" w:line="276" w:lineRule="auto"/>
              <w:rPr>
                <w:rFonts w:ascii="Adobe Caslon Pro" w:hAnsi="Adobe Caslon Pro" w:cs="Calibri"/>
                <w:i/>
                <w:color w:val="000000"/>
                <w:sz w:val="20"/>
                <w:szCs w:val="20"/>
                <w:lang w:eastAsia="es-MX"/>
              </w:rPr>
            </w:pPr>
            <w:r w:rsidRPr="007E5FB6">
              <w:rPr>
                <w:rFonts w:ascii="Adobe Caslon Pro" w:hAnsi="Adobe Caslon Pro" w:cs="Calibri"/>
                <w:i/>
                <w:color w:val="000000"/>
                <w:sz w:val="20"/>
                <w:szCs w:val="20"/>
                <w:lang w:eastAsia="es-MX"/>
              </w:rPr>
              <w:t xml:space="preserve">Realizar indicadores de calidad sobre el componente proporcionado a la población, los indicadores de calidad permiten conocer las características del bien o servicio proporcionado, así como el grado de satisfacción sobre la recepción del mismo. </w:t>
            </w:r>
          </w:p>
          <w:p w:rsidR="00CE5B8D" w:rsidRDefault="00CE5B8D"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CE5B8D" w:rsidRPr="00414B7F" w:rsidRDefault="00CE5B8D" w:rsidP="00F075EB">
            <w:pPr>
              <w:numPr>
                <w:ilvl w:val="0"/>
                <w:numId w:val="13"/>
              </w:numPr>
              <w:spacing w:after="200" w:line="276" w:lineRule="auto"/>
              <w:rPr>
                <w:rFonts w:ascii="Adobe Caslon Pro" w:hAnsi="Adobe Caslon Pro" w:cs="Calibri"/>
                <w:i/>
                <w:color w:val="000000"/>
                <w:sz w:val="20"/>
                <w:szCs w:val="20"/>
                <w:lang w:eastAsia="es-MX"/>
              </w:rPr>
            </w:pPr>
            <w:r w:rsidRPr="00A67C34">
              <w:rPr>
                <w:rFonts w:ascii="Adobe Caslon Pro" w:hAnsi="Adobe Caslon Pro" w:cs="Calibri"/>
                <w:i/>
                <w:color w:val="000000"/>
                <w:sz w:val="20"/>
                <w:szCs w:val="20"/>
                <w:lang w:eastAsia="es-MX"/>
              </w:rPr>
              <w:t>Realizar las evaluaciones pertinentes al Programa, es decir, evaluación de consistencia y resultados por un organismo independiente a la ejecutora del Programa, mismo que permita conocer el avance de los objetivos estratégicos definidos en la Matriz</w:t>
            </w:r>
            <w:r>
              <w:rPr>
                <w:rFonts w:ascii="Adobe Caslon Pro" w:hAnsi="Adobe Caslon Pro" w:cs="Calibri"/>
                <w:i/>
                <w:color w:val="000000"/>
                <w:sz w:val="20"/>
                <w:szCs w:val="20"/>
                <w:lang w:eastAsia="es-MX"/>
              </w:rPr>
              <w:t xml:space="preserve"> de Indicadores para Resultados.</w:t>
            </w:r>
          </w:p>
        </w:tc>
      </w:tr>
      <w:tr w:rsidR="00CE5B8D" w:rsidRPr="004F6AC5" w:rsidTr="00A56E05">
        <w:trPr>
          <w:trHeight w:val="105"/>
          <w:jc w:val="center"/>
        </w:trPr>
        <w:tc>
          <w:tcPr>
            <w:tcW w:w="579"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2375" w:type="dxa"/>
            <w:gridSpan w:val="2"/>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r>
      <w:tr w:rsidR="00CE5B8D" w:rsidRPr="004F6AC5"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CE5B8D" w:rsidRPr="00066E84" w:rsidRDefault="00CE5B8D" w:rsidP="00A56E05">
            <w:pPr>
              <w:rPr>
                <w:rFonts w:ascii="Trajan Pro" w:hAnsi="Trajan Pro" w:cs="Calibri"/>
                <w:b/>
                <w:bCs/>
                <w:color w:val="000000"/>
                <w:lang w:eastAsia="es-MX"/>
              </w:rPr>
            </w:pPr>
            <w:r w:rsidRPr="00066E84">
              <w:rPr>
                <w:rFonts w:ascii="Trajan Pro" w:hAnsi="Trajan Pro" w:cs="Calibri"/>
                <w:b/>
                <w:bCs/>
                <w:color w:val="00000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4.1 Nombre del coordinador de la evaluación</w:t>
            </w:r>
            <w:r>
              <w:rPr>
                <w:rFonts w:ascii="Adobe Caslon Pro" w:hAnsi="Adobe Caslon Pro" w:cs="Calibri"/>
                <w:color w:val="000000"/>
                <w:lang w:eastAsia="es-MX"/>
              </w:rPr>
              <w:t>:</w:t>
            </w:r>
          </w:p>
          <w:p w:rsidR="00CE5B8D" w:rsidRPr="005C31CA" w:rsidRDefault="00CE5B8D"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Dra. Luz Elvia Rascón </w:t>
            </w:r>
            <w:proofErr w:type="spellStart"/>
            <w:r>
              <w:rPr>
                <w:rFonts w:ascii="Adobe Caslon Pro" w:hAnsi="Adobe Caslon Pro" w:cs="Calibri"/>
                <w:i/>
                <w:color w:val="000000"/>
                <w:sz w:val="20"/>
                <w:lang w:eastAsia="es-MX"/>
              </w:rPr>
              <w:t>Manquero</w:t>
            </w:r>
            <w:proofErr w:type="spellEnd"/>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4.2 Cargo</w:t>
            </w:r>
            <w:r>
              <w:rPr>
                <w:rFonts w:ascii="Adobe Caslon Pro" w:hAnsi="Adobe Caslon Pro" w:cs="Calibri"/>
                <w:color w:val="000000"/>
                <w:lang w:eastAsia="es-MX"/>
              </w:rPr>
              <w:t>:</w:t>
            </w:r>
          </w:p>
          <w:p w:rsidR="00CE5B8D" w:rsidRPr="005C31CA" w:rsidRDefault="00CE5B8D" w:rsidP="00A56E05">
            <w:pPr>
              <w:rPr>
                <w:rFonts w:ascii="Adobe Caslon Pro" w:hAnsi="Adobe Caslon Pro" w:cs="Calibri"/>
                <w:i/>
                <w:color w:val="000000"/>
                <w:lang w:eastAsia="es-MX"/>
              </w:rPr>
            </w:pPr>
            <w:r>
              <w:rPr>
                <w:rFonts w:ascii="Adobe Caslon Pro" w:hAnsi="Adobe Caslon Pro" w:cs="Calibri"/>
                <w:i/>
                <w:color w:val="000000"/>
                <w:sz w:val="20"/>
                <w:lang w:eastAsia="es-MX"/>
              </w:rPr>
              <w:t>Directora del Sistema Integral de Información</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4.3 Institución a la que pertenece</w:t>
            </w:r>
            <w:r>
              <w:rPr>
                <w:rFonts w:ascii="Adobe Caslon Pro" w:hAnsi="Adobe Caslon Pro" w:cs="Calibri"/>
                <w:color w:val="000000"/>
                <w:lang w:eastAsia="es-MX"/>
              </w:rPr>
              <w:t>:</w:t>
            </w:r>
            <w:r w:rsidRPr="00066E84">
              <w:rPr>
                <w:rFonts w:ascii="Adobe Caslon Pro" w:hAnsi="Adobe Caslon Pro" w:cs="Calibri"/>
                <w:color w:val="000000"/>
                <w:lang w:eastAsia="es-MX"/>
              </w:rPr>
              <w:t xml:space="preserve">  </w:t>
            </w:r>
          </w:p>
          <w:p w:rsidR="00CE5B8D" w:rsidRPr="00DF7C94" w:rsidRDefault="00CE5B8D" w:rsidP="00A56E05">
            <w:pPr>
              <w:rPr>
                <w:rFonts w:ascii="Adobe Caslon Pro" w:hAnsi="Adobe Caslon Pro" w:cs="Calibri"/>
                <w:i/>
                <w:color w:val="000000"/>
                <w:lang w:eastAsia="es-MX"/>
              </w:rPr>
            </w:pPr>
            <w:r w:rsidRPr="00DF7C94">
              <w:rPr>
                <w:rFonts w:ascii="Adobe Caslon Pro" w:hAnsi="Adobe Caslon Pro" w:cs="Calibri"/>
                <w:i/>
                <w:color w:val="000000"/>
                <w:sz w:val="20"/>
                <w:lang w:eastAsia="es-MX"/>
              </w:rPr>
              <w:t>Instituto para el Desarrollo Técnico de las Haciendas Públicas (INDETEC)</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4.4 Principales colaboradores</w:t>
            </w:r>
            <w:r>
              <w:rPr>
                <w:rFonts w:ascii="Adobe Caslon Pro" w:hAnsi="Adobe Caslon Pro" w:cs="Calibri"/>
                <w:color w:val="000000"/>
                <w:lang w:eastAsia="es-MX"/>
              </w:rPr>
              <w:t>:</w:t>
            </w:r>
          </w:p>
          <w:p w:rsidR="00CE5B8D" w:rsidRPr="00DF7C94" w:rsidRDefault="00CE5B8D" w:rsidP="00A56E05">
            <w:pPr>
              <w:rPr>
                <w:rFonts w:ascii="Adobe Caslon Pro" w:hAnsi="Adobe Caslon Pro" w:cs="Calibri"/>
                <w:i/>
                <w:color w:val="000000"/>
                <w:lang w:eastAsia="es-MX"/>
              </w:rPr>
            </w:pPr>
            <w:r w:rsidRPr="007D5771">
              <w:rPr>
                <w:rFonts w:ascii="Adobe Caslon Pro" w:hAnsi="Adobe Caslon Pro" w:cs="Calibri"/>
                <w:i/>
                <w:color w:val="000000"/>
                <w:sz w:val="20"/>
                <w:lang w:eastAsia="es-MX"/>
              </w:rPr>
              <w:t>Lic. Viridiana García Roque</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4.5 Correo electrónico del coordinador de la evaluación</w:t>
            </w:r>
            <w:r>
              <w:rPr>
                <w:rFonts w:ascii="Adobe Caslon Pro" w:hAnsi="Adobe Caslon Pro" w:cs="Calibri"/>
                <w:color w:val="000000"/>
                <w:lang w:eastAsia="es-MX"/>
              </w:rPr>
              <w:t>:</w:t>
            </w:r>
          </w:p>
          <w:p w:rsidR="00CE5B8D" w:rsidRPr="00335A49" w:rsidRDefault="00CE5B8D" w:rsidP="00A56E05">
            <w:pPr>
              <w:rPr>
                <w:rFonts w:ascii="Adobe Caslon Pro" w:hAnsi="Adobe Caslon Pro" w:cs="Calibri"/>
                <w:color w:val="000000"/>
                <w:lang w:eastAsia="es-MX"/>
              </w:rPr>
            </w:pPr>
            <w:r w:rsidRPr="00335A49">
              <w:rPr>
                <w:rFonts w:ascii="Adobe Caslon Pro" w:hAnsi="Adobe Caslon Pro" w:cs="Calibri"/>
                <w:i/>
                <w:color w:val="000000"/>
                <w:sz w:val="20"/>
                <w:u w:val="single"/>
                <w:lang w:eastAsia="es-MX"/>
              </w:rPr>
              <w:t>lrasconm@indetec.gob.mx</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4.6 Teléfono (con clave lada)</w:t>
            </w:r>
            <w:r>
              <w:rPr>
                <w:rFonts w:ascii="Adobe Caslon Pro" w:hAnsi="Adobe Caslon Pro" w:cs="Calibri"/>
                <w:color w:val="000000"/>
                <w:lang w:eastAsia="es-MX"/>
              </w:rPr>
              <w:t>:</w:t>
            </w:r>
          </w:p>
          <w:p w:rsidR="00CE5B8D" w:rsidRPr="00DF7C94" w:rsidRDefault="00CE5B8D" w:rsidP="00A56E05">
            <w:pPr>
              <w:rPr>
                <w:rFonts w:ascii="Adobe Caslon Pro" w:hAnsi="Adobe Caslon Pro" w:cs="Calibri"/>
                <w:i/>
                <w:color w:val="000000"/>
                <w:lang w:eastAsia="es-MX"/>
              </w:rPr>
            </w:pPr>
            <w:r>
              <w:rPr>
                <w:rFonts w:ascii="Adobe Caslon Pro" w:hAnsi="Adobe Caslon Pro" w:cs="Calibri"/>
                <w:i/>
                <w:color w:val="000000"/>
                <w:sz w:val="20"/>
                <w:lang w:eastAsia="es-MX"/>
              </w:rPr>
              <w:t>01 (33) 36695550 E</w:t>
            </w:r>
            <w:r w:rsidRPr="007D5771">
              <w:rPr>
                <w:rFonts w:ascii="Adobe Caslon Pro" w:hAnsi="Adobe Caslon Pro" w:cs="Calibri"/>
                <w:i/>
                <w:color w:val="000000"/>
                <w:sz w:val="20"/>
                <w:lang w:eastAsia="es-MX"/>
              </w:rPr>
              <w:t>xt. 139 y 155</w:t>
            </w:r>
          </w:p>
        </w:tc>
      </w:tr>
      <w:tr w:rsidR="00CE5B8D" w:rsidRPr="004F6AC5" w:rsidTr="00A56E05">
        <w:trPr>
          <w:trHeight w:val="75"/>
          <w:jc w:val="center"/>
        </w:trPr>
        <w:tc>
          <w:tcPr>
            <w:tcW w:w="999" w:type="dxa"/>
            <w:gridSpan w:val="2"/>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r>
      <w:tr w:rsidR="00CE5B8D" w:rsidRPr="004F6AC5"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CE5B8D" w:rsidRPr="00066E84" w:rsidRDefault="00CE5B8D" w:rsidP="00A56E05">
            <w:pPr>
              <w:rPr>
                <w:rFonts w:ascii="Trajan Pro" w:hAnsi="Trajan Pro" w:cs="Calibri"/>
                <w:b/>
                <w:bCs/>
                <w:color w:val="000000"/>
                <w:lang w:eastAsia="es-MX"/>
              </w:rPr>
            </w:pPr>
            <w:r w:rsidRPr="00066E84">
              <w:rPr>
                <w:rFonts w:ascii="Trajan Pro" w:hAnsi="Trajan Pro" w:cs="Calibri"/>
                <w:b/>
                <w:bCs/>
                <w:color w:val="00000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5.1 Nombre de</w:t>
            </w:r>
            <w:r>
              <w:rPr>
                <w:rFonts w:ascii="Adobe Caslon Pro" w:hAnsi="Adobe Caslon Pro" w:cs="Calibri"/>
                <w:color w:val="000000"/>
                <w:lang w:eastAsia="es-MX"/>
              </w:rPr>
              <w:t>l (los) programa(s) evaluado(s):</w:t>
            </w:r>
          </w:p>
          <w:p w:rsidR="00CE5B8D" w:rsidRPr="009B0D97" w:rsidRDefault="00CE5B8D" w:rsidP="00A56E05">
            <w:p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Programa Bienestar de Apoyo a Personas c</w:t>
            </w:r>
            <w:r w:rsidRPr="007D5771">
              <w:rPr>
                <w:rFonts w:ascii="Adobe Caslon Pro" w:hAnsi="Adobe Caslon Pro" w:cs="Calibri"/>
                <w:i/>
                <w:color w:val="000000"/>
                <w:sz w:val="20"/>
                <w:lang w:eastAsia="es-MX"/>
              </w:rPr>
              <w:t>on Discapacidad</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5.2 Siglas</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5.3 Ente público coordinador del (los) programa(s)</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CE5B8D" w:rsidRPr="00B33A80" w:rsidRDefault="00CE5B8D" w:rsidP="00A56E05">
            <w:pPr>
              <w:rPr>
                <w:rFonts w:ascii="Adobe Caslon Pro" w:hAnsi="Adobe Caslon Pro" w:cs="Calibri"/>
                <w:i/>
                <w:color w:val="000000"/>
                <w:sz w:val="20"/>
                <w:szCs w:val="20"/>
                <w:lang w:eastAsia="es-MX"/>
              </w:rPr>
            </w:pPr>
            <w:r w:rsidRPr="00DD12C4">
              <w:rPr>
                <w:rFonts w:ascii="Adobe Caslon Pro" w:hAnsi="Adobe Caslon Pro" w:cs="Calibri"/>
                <w:i/>
                <w:color w:val="000000"/>
                <w:sz w:val="20"/>
                <w:lang w:eastAsia="es-MX"/>
              </w:rPr>
              <w:t>Sistema para el Desarrollo Integral de la Familia (DIF)</w:t>
            </w:r>
            <w:r>
              <w:rPr>
                <w:rFonts w:ascii="Adobe Caslon Pro" w:hAnsi="Adobe Caslon Pro" w:cs="Calibri"/>
                <w:i/>
                <w:color w:val="000000"/>
                <w:sz w:val="20"/>
                <w:lang w:eastAsia="es-MX"/>
              </w:rPr>
              <w:t>.</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5.4 Poder público al que pertenece(n) el(los) programa(s)</w:t>
            </w:r>
            <w:r>
              <w:rPr>
                <w:rFonts w:ascii="Adobe Caslon Pro" w:hAnsi="Adobe Caslon Pro" w:cs="Calibri"/>
                <w:color w:val="000000"/>
                <w:lang w:eastAsia="es-MX"/>
              </w:rPr>
              <w:t>:</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Pr>
                <w:rFonts w:ascii="Adobe Caslon Pro" w:hAnsi="Adobe Caslon Pro" w:cs="Calibri"/>
                <w:color w:val="000000"/>
                <w:lang w:eastAsia="es-MX"/>
              </w:rPr>
              <w:lastRenderedPageBreak/>
              <w:t xml:space="preserve">Poder </w:t>
            </w:r>
            <w:proofErr w:type="spellStart"/>
            <w:r>
              <w:rPr>
                <w:rFonts w:ascii="Adobe Caslon Pro" w:hAnsi="Adobe Caslon Pro" w:cs="Calibri"/>
                <w:color w:val="000000"/>
                <w:lang w:eastAsia="es-MX"/>
              </w:rPr>
              <w:t>Ejecutivo_X</w:t>
            </w:r>
            <w:proofErr w:type="spellEnd"/>
            <w:r>
              <w:rPr>
                <w:rFonts w:ascii="Adobe Caslon Pro" w:hAnsi="Adobe Caslon Pro" w:cs="Calibri"/>
                <w:color w:val="000000"/>
                <w:lang w:eastAsia="es-MX"/>
              </w:rPr>
              <w:t>__   Poder Legislativo___   Poder Judicial___  Ente Autónomo___</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5.5 Ámbito gubernamental al que pertenece(n) el(los) programa(s)</w:t>
            </w:r>
            <w:r>
              <w:rPr>
                <w:rFonts w:ascii="Adobe Caslon Pro" w:hAnsi="Adobe Caslon Pro" w:cs="Calibri"/>
                <w:color w:val="000000"/>
                <w:lang w:eastAsia="es-MX"/>
              </w:rPr>
              <w:t>:</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Pr>
                <w:rFonts w:ascii="Adobe Caslon Pro" w:hAnsi="Adobe Caslon Pro" w:cs="Calibri"/>
                <w:color w:val="000000"/>
                <w:lang w:eastAsia="es-MX"/>
              </w:rPr>
              <w:t>Federal_</w:t>
            </w:r>
            <w:r>
              <w:rPr>
                <w:rFonts w:ascii="Adobe Caslon Pro" w:hAnsi="Adobe Caslon Pro" w:cs="Calibri"/>
                <w:color w:val="000000"/>
                <w:u w:val="single"/>
                <w:lang w:eastAsia="es-MX"/>
              </w:rPr>
              <w:t>_</w:t>
            </w:r>
            <w:r>
              <w:rPr>
                <w:rFonts w:ascii="Adobe Caslon Pro" w:hAnsi="Adobe Caslon Pro" w:cs="Calibri"/>
                <w:color w:val="000000"/>
                <w:lang w:eastAsia="es-MX"/>
              </w:rPr>
              <w:t xml:space="preserve">_       </w:t>
            </w:r>
            <w:proofErr w:type="spellStart"/>
            <w:r>
              <w:rPr>
                <w:rFonts w:ascii="Adobe Caslon Pro" w:hAnsi="Adobe Caslon Pro" w:cs="Calibri"/>
                <w:color w:val="000000"/>
                <w:lang w:eastAsia="es-MX"/>
              </w:rPr>
              <w:t>Estatal_X</w:t>
            </w:r>
            <w:proofErr w:type="spellEnd"/>
            <w:r>
              <w:rPr>
                <w:rFonts w:ascii="Adobe Caslon Pro" w:hAnsi="Adobe Caslon Pro" w:cs="Calibri"/>
                <w:color w:val="000000"/>
                <w:lang w:eastAsia="es-MX"/>
              </w:rPr>
              <w:t>__     Local___</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A6AC6">
              <w:rPr>
                <w:rFonts w:ascii="Adobe Caslon Pro" w:hAnsi="Adobe Caslon Pro" w:cs="Calibri"/>
                <w:color w:val="000000"/>
                <w:lang w:eastAsia="es-MX"/>
              </w:rPr>
              <w:t>5.6 Nombre de la(s) unidad(es) administrativa(s) y de (los) titular(es) a cargo del (los) programa(s):</w:t>
            </w:r>
          </w:p>
        </w:tc>
      </w:tr>
      <w:tr w:rsidR="00CE5B8D" w:rsidRPr="004F6AC5"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CE5B8D" w:rsidRPr="00066E84" w:rsidRDefault="00CE5B8D" w:rsidP="00A56E05">
            <w:pPr>
              <w:rPr>
                <w:rFonts w:ascii="Adobe Caslon Pro" w:hAnsi="Adobe Caslon Pro" w:cs="Calibri"/>
                <w:color w:val="000000"/>
                <w:lang w:eastAsia="es-MX"/>
              </w:rPr>
            </w:pPr>
            <w:r w:rsidRPr="007C224C">
              <w:rPr>
                <w:rFonts w:ascii="Adobe Caslon Pro" w:hAnsi="Adobe Caslon Pro" w:cs="Calibri"/>
                <w:color w:val="000000"/>
                <w:lang w:eastAsia="es-MX"/>
              </w:rPr>
              <w:t>5.6.1 Nombre(s) de la(s) unidad(es) administrativa(s) a cargo de (los) programa(s):</w:t>
            </w:r>
          </w:p>
        </w:tc>
      </w:tr>
      <w:tr w:rsidR="00CE5B8D"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CE5B8D" w:rsidRPr="00385F2B" w:rsidRDefault="00CE5B8D" w:rsidP="00A56E05">
            <w:pPr>
              <w:rPr>
                <w:rFonts w:ascii="Adobe Caslon Pro" w:hAnsi="Adobe Caslon Pro" w:cs="Calibri"/>
                <w:i/>
                <w:color w:val="000000"/>
                <w:sz w:val="20"/>
                <w:szCs w:val="20"/>
                <w:lang w:eastAsia="es-MX"/>
              </w:rPr>
            </w:pPr>
            <w:r w:rsidRPr="00DD12C4">
              <w:rPr>
                <w:rFonts w:ascii="Adobe Caslon Pro" w:hAnsi="Adobe Caslon Pro" w:cs="Calibri"/>
                <w:i/>
                <w:color w:val="000000"/>
                <w:sz w:val="20"/>
                <w:lang w:eastAsia="es-MX"/>
              </w:rPr>
              <w:t>Sistema para el Desarrollo Integral de la Familia (DIF)</w:t>
            </w:r>
            <w:r>
              <w:rPr>
                <w:rFonts w:ascii="Adobe Caslon Pro" w:hAnsi="Adobe Caslon Pro" w:cs="Calibri"/>
                <w:i/>
                <w:color w:val="000000"/>
                <w:sz w:val="20"/>
                <w:lang w:eastAsia="es-MX"/>
              </w:rPr>
              <w:t>.</w:t>
            </w:r>
          </w:p>
        </w:tc>
      </w:tr>
      <w:tr w:rsidR="00CE5B8D"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CE5B8D" w:rsidRPr="00066E84" w:rsidRDefault="00CE5B8D" w:rsidP="00A56E05">
            <w:pPr>
              <w:rPr>
                <w:rFonts w:ascii="Adobe Caslon Pro" w:hAnsi="Adobe Caslon Pro" w:cs="Calibri"/>
                <w:color w:val="000000"/>
                <w:lang w:eastAsia="es-MX"/>
              </w:rPr>
            </w:pPr>
            <w:r w:rsidRPr="000A6AC6">
              <w:rPr>
                <w:rFonts w:ascii="Adobe Caslon Pro" w:hAnsi="Adobe Caslon Pro" w:cs="Calibri"/>
                <w:color w:val="000000"/>
                <w:lang w:eastAsia="es-MX"/>
              </w:rPr>
              <w:t>5.6.2 Nombre(s) de (los) titular(es) de la(s) unidad(es) administrativa(s) a cargo de (los) programa(s) (nombre completo, correo electrónico y teléfono con clave lada):</w:t>
            </w:r>
          </w:p>
        </w:tc>
      </w:tr>
      <w:tr w:rsidR="00CE5B8D" w:rsidRPr="004F6AC5"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Nombre:</w:t>
            </w:r>
          </w:p>
          <w:p w:rsidR="00CE5B8D" w:rsidRDefault="00CE5B8D" w:rsidP="00A56E05">
            <w:pPr>
              <w:rPr>
                <w:rFonts w:ascii="Adobe Caslon Pro" w:hAnsi="Adobe Caslon Pro" w:cs="Calibri"/>
                <w:i/>
                <w:color w:val="000000"/>
                <w:sz w:val="20"/>
                <w:szCs w:val="20"/>
                <w:lang w:eastAsia="es-MX"/>
              </w:rPr>
            </w:pPr>
            <w:r w:rsidRPr="00DD12C4">
              <w:rPr>
                <w:rFonts w:ascii="Adobe Caslon Pro" w:hAnsi="Adobe Caslon Pro" w:cs="Calibri"/>
                <w:i/>
                <w:color w:val="000000"/>
                <w:sz w:val="20"/>
                <w:szCs w:val="20"/>
                <w:lang w:eastAsia="es-MX"/>
              </w:rPr>
              <w:t xml:space="preserve">Lic. María </w:t>
            </w:r>
            <w:r>
              <w:rPr>
                <w:rFonts w:ascii="Adobe Caslon Pro" w:hAnsi="Adobe Caslon Pro" w:cs="Calibri"/>
                <w:i/>
                <w:color w:val="000000"/>
                <w:sz w:val="20"/>
                <w:szCs w:val="20"/>
                <w:lang w:eastAsia="es-MX"/>
              </w:rPr>
              <w:t>d</w:t>
            </w:r>
            <w:r w:rsidRPr="00DD12C4">
              <w:rPr>
                <w:rFonts w:ascii="Adobe Caslon Pro" w:hAnsi="Adobe Caslon Pro" w:cs="Calibri"/>
                <w:i/>
                <w:color w:val="000000"/>
                <w:sz w:val="20"/>
                <w:szCs w:val="20"/>
                <w:lang w:eastAsia="es-MX"/>
              </w:rPr>
              <w:t xml:space="preserve">e Fátima García León </w:t>
            </w:r>
          </w:p>
          <w:p w:rsidR="00CE5B8D" w:rsidRPr="00066E84" w:rsidRDefault="00CE5B8D" w:rsidP="00A56E05">
            <w:pPr>
              <w:rPr>
                <w:rFonts w:ascii="Adobe Caslon Pro" w:hAnsi="Adobe Caslon Pro" w:cs="Calibri"/>
                <w:color w:val="000000"/>
                <w:lang w:eastAsia="es-MX"/>
              </w:rPr>
            </w:pPr>
            <w:r w:rsidRPr="00642484">
              <w:rPr>
                <w:rFonts w:ascii="Adobe Caslon Pro" w:hAnsi="Adobe Caslon Pro" w:cs="Calibri"/>
                <w:i/>
                <w:color w:val="000000"/>
                <w:sz w:val="20"/>
                <w:szCs w:val="20"/>
                <w:lang w:eastAsia="es-MX"/>
              </w:rPr>
              <w:t xml:space="preserve">Tel. </w:t>
            </w:r>
            <w:r>
              <w:rPr>
                <w:rFonts w:ascii="Adobe Caslon Pro" w:hAnsi="Adobe Caslon Pro" w:cs="Calibri"/>
                <w:i/>
                <w:color w:val="000000"/>
                <w:sz w:val="20"/>
                <w:szCs w:val="20"/>
                <w:lang w:eastAsia="es-MX"/>
              </w:rPr>
              <w:t>01 (951) 501-50-50 Ext. 1051</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Unidad administrativa:</w:t>
            </w:r>
          </w:p>
          <w:p w:rsidR="00CE5B8D" w:rsidRPr="00066E84" w:rsidRDefault="00CE5B8D" w:rsidP="00A56E05">
            <w:pPr>
              <w:rPr>
                <w:rFonts w:ascii="Adobe Caslon Pro" w:hAnsi="Adobe Caslon Pro" w:cs="Calibri"/>
                <w:color w:val="000000"/>
                <w:lang w:eastAsia="es-MX"/>
              </w:rPr>
            </w:pPr>
            <w:r>
              <w:rPr>
                <w:rFonts w:ascii="Adobe Caslon Pro" w:hAnsi="Adobe Caslon Pro" w:cs="Calibri"/>
                <w:i/>
                <w:color w:val="000000"/>
                <w:sz w:val="20"/>
                <w:szCs w:val="20"/>
                <w:lang w:eastAsia="es-MX"/>
              </w:rPr>
              <w:t>Sistema para el Desarrollo Integral de l</w:t>
            </w:r>
            <w:r w:rsidRPr="00DD12C4">
              <w:rPr>
                <w:rFonts w:ascii="Adobe Caslon Pro" w:hAnsi="Adobe Caslon Pro" w:cs="Calibri"/>
                <w:i/>
                <w:color w:val="000000"/>
                <w:sz w:val="20"/>
                <w:szCs w:val="20"/>
                <w:lang w:eastAsia="es-MX"/>
              </w:rPr>
              <w:t>a Familia</w:t>
            </w:r>
          </w:p>
        </w:tc>
      </w:tr>
      <w:tr w:rsidR="00CE5B8D" w:rsidRPr="004F6AC5" w:rsidTr="00A56E05">
        <w:trPr>
          <w:trHeight w:val="165"/>
          <w:jc w:val="center"/>
        </w:trPr>
        <w:tc>
          <w:tcPr>
            <w:tcW w:w="999" w:type="dxa"/>
            <w:gridSpan w:val="2"/>
            <w:tcBorders>
              <w:top w:val="nil"/>
              <w:left w:val="nil"/>
              <w:bottom w:val="nil"/>
              <w:right w:val="nil"/>
            </w:tcBorders>
            <w:shd w:val="clear" w:color="auto" w:fill="auto"/>
            <w:hideMark/>
          </w:tcPr>
          <w:p w:rsidR="00CE5B8D" w:rsidRPr="00066E84" w:rsidRDefault="00CE5B8D" w:rsidP="00A56E05">
            <w:pPr>
              <w:jc w:val="right"/>
              <w:rPr>
                <w:rFonts w:ascii="Adobe Caslon Pro" w:hAnsi="Adobe Caslon Pro" w:cs="Calibri"/>
                <w:color w:val="000000"/>
                <w:lang w:eastAsia="es-MX"/>
              </w:rPr>
            </w:pPr>
          </w:p>
        </w:tc>
        <w:tc>
          <w:tcPr>
            <w:tcW w:w="3266" w:type="dxa"/>
            <w:gridSpan w:val="2"/>
            <w:tcBorders>
              <w:top w:val="nil"/>
              <w:left w:val="nil"/>
              <w:bottom w:val="nil"/>
              <w:right w:val="nil"/>
            </w:tcBorders>
            <w:shd w:val="clear" w:color="auto" w:fill="auto"/>
            <w:hideMark/>
          </w:tcPr>
          <w:p w:rsidR="00CE5B8D" w:rsidRPr="00066E84" w:rsidRDefault="00CE5B8D" w:rsidP="00A56E05">
            <w:pPr>
              <w:jc w:val="right"/>
              <w:rPr>
                <w:rFonts w:ascii="Adobe Caslon Pro" w:hAnsi="Adobe Caslon Pro" w:cs="Calibri"/>
                <w:color w:val="000000"/>
                <w:lang w:eastAsia="es-MX"/>
              </w:rPr>
            </w:pPr>
          </w:p>
        </w:tc>
        <w:tc>
          <w:tcPr>
            <w:tcW w:w="160" w:type="dxa"/>
            <w:tcBorders>
              <w:top w:val="nil"/>
              <w:left w:val="nil"/>
              <w:bottom w:val="nil"/>
              <w:right w:val="nil"/>
            </w:tcBorders>
            <w:shd w:val="clear" w:color="auto" w:fill="auto"/>
            <w:hideMark/>
          </w:tcPr>
          <w:p w:rsidR="00CE5B8D" w:rsidRPr="00066E84" w:rsidRDefault="00CE5B8D" w:rsidP="00A56E05">
            <w:pPr>
              <w:rPr>
                <w:rFonts w:ascii="Adobe Caslon Pro" w:hAnsi="Adobe Caslon Pro" w:cs="Calibri"/>
                <w:color w:val="000000"/>
                <w:lang w:eastAsia="es-MX"/>
              </w:rPr>
            </w:pPr>
          </w:p>
        </w:tc>
        <w:tc>
          <w:tcPr>
            <w:tcW w:w="2526" w:type="dxa"/>
            <w:gridSpan w:val="4"/>
            <w:tcBorders>
              <w:top w:val="nil"/>
              <w:left w:val="nil"/>
              <w:bottom w:val="nil"/>
              <w:right w:val="nil"/>
            </w:tcBorders>
            <w:shd w:val="clear" w:color="auto" w:fill="auto"/>
            <w:hideMark/>
          </w:tcPr>
          <w:p w:rsidR="00CE5B8D" w:rsidRPr="00066E84" w:rsidRDefault="00CE5B8D" w:rsidP="00A56E05">
            <w:pPr>
              <w:jc w:val="center"/>
              <w:rPr>
                <w:rFonts w:ascii="Adobe Caslon Pro" w:hAnsi="Adobe Caslon Pro" w:cs="Calibri"/>
                <w:color w:val="000000"/>
                <w:lang w:eastAsia="es-MX"/>
              </w:rPr>
            </w:pPr>
          </w:p>
        </w:tc>
        <w:tc>
          <w:tcPr>
            <w:tcW w:w="1325" w:type="dxa"/>
            <w:gridSpan w:val="3"/>
            <w:tcBorders>
              <w:top w:val="nil"/>
              <w:left w:val="nil"/>
              <w:bottom w:val="nil"/>
              <w:right w:val="nil"/>
            </w:tcBorders>
            <w:shd w:val="clear" w:color="auto" w:fill="auto"/>
            <w:hideMark/>
          </w:tcPr>
          <w:p w:rsidR="00CE5B8D" w:rsidRPr="00066E84" w:rsidRDefault="00CE5B8D" w:rsidP="00A56E05">
            <w:pPr>
              <w:jc w:val="center"/>
              <w:rPr>
                <w:rFonts w:ascii="Adobe Caslon Pro" w:hAnsi="Adobe Caslon Pro" w:cs="Calibri"/>
                <w:color w:val="000000"/>
                <w:lang w:eastAsia="es-MX"/>
              </w:rPr>
            </w:pPr>
          </w:p>
        </w:tc>
        <w:tc>
          <w:tcPr>
            <w:tcW w:w="1160" w:type="dxa"/>
            <w:tcBorders>
              <w:top w:val="nil"/>
              <w:left w:val="nil"/>
              <w:bottom w:val="nil"/>
              <w:right w:val="nil"/>
            </w:tcBorders>
            <w:shd w:val="clear" w:color="auto" w:fill="auto"/>
            <w:hideMark/>
          </w:tcPr>
          <w:p w:rsidR="00CE5B8D" w:rsidRPr="00066E84" w:rsidRDefault="00CE5B8D" w:rsidP="00A56E05">
            <w:pPr>
              <w:jc w:val="center"/>
              <w:rPr>
                <w:rFonts w:ascii="Adobe Caslon Pro" w:hAnsi="Adobe Caslon Pro" w:cs="Calibri"/>
                <w:color w:val="000000"/>
                <w:lang w:eastAsia="es-MX"/>
              </w:rPr>
            </w:pPr>
          </w:p>
        </w:tc>
      </w:tr>
      <w:tr w:rsidR="00CE5B8D"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CE5B8D" w:rsidRPr="00066E84" w:rsidRDefault="00CE5B8D" w:rsidP="00A56E05">
            <w:pPr>
              <w:rPr>
                <w:rFonts w:ascii="Trajan Pro" w:hAnsi="Trajan Pro" w:cs="Calibri"/>
                <w:b/>
                <w:bCs/>
                <w:color w:val="000000"/>
                <w:lang w:eastAsia="es-MX"/>
              </w:rPr>
            </w:pPr>
            <w:r w:rsidRPr="00066E84">
              <w:rPr>
                <w:rFonts w:ascii="Trajan Pro" w:hAnsi="Trajan Pro" w:cs="Calibri"/>
                <w:b/>
                <w:bCs/>
                <w:color w:val="00000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6.1 Tipo de contratación:</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6561A1">
              <w:rPr>
                <w:rFonts w:ascii="Adobe Caslon Pro" w:hAnsi="Adobe Caslon Pro" w:cs="Calibri"/>
                <w:color w:val="000000"/>
                <w:lang w:eastAsia="es-MX"/>
              </w:rPr>
              <w:t>6.1.1 Adjudicación Directa</w:t>
            </w:r>
            <w:r>
              <w:rPr>
                <w:rFonts w:ascii="Adobe Caslon Pro" w:hAnsi="Adobe Caslon Pro" w:cs="Calibri"/>
                <w:color w:val="000000"/>
                <w:lang w:eastAsia="es-MX"/>
              </w:rPr>
              <w:t xml:space="preserve">__  </w:t>
            </w:r>
            <w:r w:rsidRPr="006561A1">
              <w:rPr>
                <w:rFonts w:ascii="Adobe Caslon Pro" w:hAnsi="Adobe Caslon Pro" w:cs="Calibri"/>
                <w:color w:val="000000"/>
                <w:lang w:eastAsia="es-MX"/>
              </w:rPr>
              <w:t>6.1.2 Invitación a tres</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6.1.3 Licitación Pública Nacional</w:t>
            </w:r>
            <w:r>
              <w:rPr>
                <w:rFonts w:ascii="Adobe Caslon Pro" w:hAnsi="Adobe Caslon Pro" w:cs="Calibri"/>
                <w:color w:val="000000"/>
                <w:lang w:eastAsia="es-MX"/>
              </w:rPr>
              <w:t>___</w:t>
            </w:r>
          </w:p>
          <w:p w:rsidR="00CE5B8D" w:rsidRPr="00066E84" w:rsidRDefault="00CE5B8D" w:rsidP="00A56E05">
            <w:pPr>
              <w:rPr>
                <w:rFonts w:ascii="Adobe Caslon Pro" w:hAnsi="Adobe Caslon Pro" w:cs="Calibri"/>
                <w:color w:val="000000"/>
                <w:lang w:eastAsia="es-MX"/>
              </w:rPr>
            </w:pPr>
            <w:r w:rsidRPr="006561A1">
              <w:rPr>
                <w:rFonts w:ascii="Adobe Caslon Pro" w:hAnsi="Adobe Caslon Pro" w:cs="Calibri"/>
                <w:color w:val="000000"/>
                <w:lang w:eastAsia="es-MX"/>
              </w:rPr>
              <w:t>6.1.4 Licitación Pública Internacional</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6.1.5 Otro: (Señalar)</w:t>
            </w:r>
            <w:r w:rsidRPr="009C27B5">
              <w:rPr>
                <w:rFonts w:ascii="Adobe Caslon Pro" w:hAnsi="Adobe Caslon Pro" w:cs="Calibri"/>
                <w:i/>
                <w:color w:val="000000"/>
                <w:u w:val="single"/>
                <w:lang w:eastAsia="es-MX"/>
              </w:rPr>
              <w:t xml:space="preserve"> </w:t>
            </w:r>
            <w:r w:rsidRPr="009C27B5">
              <w:rPr>
                <w:rFonts w:ascii="Adobe Caslon Pro" w:hAnsi="Adobe Caslon Pro" w:cs="Calibri"/>
                <w:i/>
                <w:color w:val="000000"/>
                <w:sz w:val="20"/>
                <w:szCs w:val="20"/>
                <w:u w:val="single"/>
                <w:lang w:eastAsia="es-MX"/>
              </w:rPr>
              <w:t>Convenio de colaboración institucional.</w:t>
            </w:r>
          </w:p>
        </w:tc>
      </w:tr>
      <w:tr w:rsidR="00CE5B8D" w:rsidRPr="004F6AC5"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6.2</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Unidad administrativa responsable de contratar la evaluación</w:t>
            </w:r>
            <w:r>
              <w:rPr>
                <w:rFonts w:ascii="Adobe Caslon Pro" w:hAnsi="Adobe Caslon Pro" w:cs="Calibri"/>
                <w:color w:val="000000"/>
                <w:lang w:eastAsia="es-MX"/>
              </w:rPr>
              <w:t>:</w:t>
            </w:r>
          </w:p>
          <w:p w:rsidR="00CE5B8D" w:rsidRPr="009053D3" w:rsidRDefault="00CE5B8D" w:rsidP="00A56E05">
            <w:pPr>
              <w:rPr>
                <w:rFonts w:ascii="Adobe Caslon Pro" w:hAnsi="Adobe Caslon Pro" w:cs="Calibri"/>
                <w:i/>
                <w:color w:val="000000"/>
                <w:lang w:eastAsia="es-MX"/>
              </w:rPr>
            </w:pPr>
            <w:r w:rsidRPr="009053D3">
              <w:rPr>
                <w:rFonts w:ascii="Adobe Caslon Pro" w:hAnsi="Adobe Caslon Pro" w:cs="Calibri"/>
                <w:i/>
                <w:color w:val="000000"/>
                <w:sz w:val="20"/>
                <w:lang w:eastAsia="es-MX"/>
              </w:rPr>
              <w:t>Jefatura de la Gubernatura</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6.3</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Costo total de la evaluación</w:t>
            </w:r>
            <w:r>
              <w:rPr>
                <w:rFonts w:ascii="Adobe Caslon Pro" w:hAnsi="Adobe Caslon Pro" w:cs="Calibri"/>
                <w:color w:val="000000"/>
                <w:lang w:eastAsia="es-MX"/>
              </w:rPr>
              <w:t xml:space="preserve">: </w:t>
            </w:r>
            <w:r w:rsidRPr="00B54BD0">
              <w:rPr>
                <w:rFonts w:ascii="Adobe Caslon Pro" w:hAnsi="Adobe Caslon Pro" w:cs="Calibri"/>
                <w:i/>
                <w:color w:val="000000"/>
                <w:sz w:val="20"/>
                <w:szCs w:val="20"/>
                <w:lang w:eastAsia="es-MX"/>
              </w:rPr>
              <w:t>$1,</w:t>
            </w:r>
            <w:r>
              <w:rPr>
                <w:rFonts w:ascii="Adobe Caslon Pro" w:hAnsi="Adobe Caslon Pro" w:cs="Calibri"/>
                <w:i/>
                <w:color w:val="000000"/>
                <w:sz w:val="20"/>
                <w:szCs w:val="20"/>
                <w:lang w:eastAsia="es-MX"/>
              </w:rPr>
              <w:t xml:space="preserve"> </w:t>
            </w:r>
            <w:r w:rsidRPr="00B54BD0">
              <w:rPr>
                <w:rFonts w:ascii="Adobe Caslon Pro" w:hAnsi="Adobe Caslon Pro" w:cs="Calibri"/>
                <w:i/>
                <w:color w:val="000000"/>
                <w:sz w:val="20"/>
                <w:szCs w:val="20"/>
                <w:lang w:eastAsia="es-MX"/>
              </w:rPr>
              <w:t xml:space="preserve">310,00.00 (Un millón trescientos diez mil pesos 00/100 M.N.) </w:t>
            </w:r>
            <w:r>
              <w:rPr>
                <w:rFonts w:ascii="Adobe Caslon Pro" w:hAnsi="Adobe Caslon Pro" w:cs="Calibri"/>
                <w:i/>
                <w:color w:val="000000"/>
                <w:sz w:val="20"/>
                <w:szCs w:val="20"/>
                <w:lang w:eastAsia="es-MX"/>
              </w:rPr>
              <w:t>Incluye</w:t>
            </w:r>
            <w:r w:rsidRPr="00E7741C">
              <w:rPr>
                <w:rFonts w:ascii="Adobe Caslon Pro" w:hAnsi="Adobe Caslon Pro" w:cs="Calibri"/>
                <w:i/>
                <w:color w:val="000000"/>
                <w:sz w:val="20"/>
                <w:szCs w:val="20"/>
                <w:lang w:eastAsia="es-MX"/>
              </w:rPr>
              <w:t xml:space="preserve"> IVA. El costo </w:t>
            </w:r>
            <w:r>
              <w:rPr>
                <w:rFonts w:ascii="Adobe Caslon Pro" w:hAnsi="Adobe Caslon Pro" w:cs="Calibri"/>
                <w:i/>
                <w:color w:val="000000"/>
                <w:sz w:val="20"/>
                <w:szCs w:val="20"/>
                <w:lang w:eastAsia="es-MX"/>
              </w:rPr>
              <w:t>corresponde a</w:t>
            </w:r>
            <w:r w:rsidRPr="00E7741C">
              <w:rPr>
                <w:rFonts w:ascii="Adobe Caslon Pro" w:hAnsi="Adobe Caslon Pro" w:cs="Calibri"/>
                <w:i/>
                <w:color w:val="000000"/>
                <w:sz w:val="20"/>
                <w:szCs w:val="20"/>
                <w:lang w:eastAsia="es-MX"/>
              </w:rPr>
              <w:t xml:space="preserve"> la evaluación </w:t>
            </w:r>
            <w:r>
              <w:rPr>
                <w:rFonts w:ascii="Adobe Caslon Pro" w:hAnsi="Adobe Caslon Pro" w:cs="Calibri"/>
                <w:i/>
                <w:color w:val="000000"/>
                <w:sz w:val="20"/>
                <w:szCs w:val="20"/>
                <w:lang w:eastAsia="es-MX"/>
              </w:rPr>
              <w:t>de diez programas estatales</w:t>
            </w:r>
            <w:r w:rsidRPr="00B54BD0">
              <w:rPr>
                <w:rFonts w:ascii="Adobe Caslon Pro" w:hAnsi="Adobe Caslon Pro" w:cs="Calibri"/>
                <w:i/>
                <w:color w:val="000000"/>
                <w:sz w:val="20"/>
                <w:szCs w:val="20"/>
                <w:lang w:eastAsia="es-MX"/>
              </w:rPr>
              <w:t>.</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6.4</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 xml:space="preserve">Fuente de Financiamiento </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CE5B8D" w:rsidRPr="00385154" w:rsidRDefault="00CE5B8D" w:rsidP="00A56E05">
            <w:pPr>
              <w:rPr>
                <w:rFonts w:ascii="Adobe Caslon Pro" w:hAnsi="Adobe Caslon Pro" w:cs="Calibri"/>
                <w:i/>
                <w:color w:val="000000"/>
                <w:lang w:eastAsia="es-MX"/>
              </w:rPr>
            </w:pPr>
            <w:r w:rsidRPr="00385154">
              <w:rPr>
                <w:rFonts w:ascii="Adobe Caslon Pro" w:hAnsi="Adobe Caslon Pro" w:cs="Calibri"/>
                <w:i/>
                <w:color w:val="000000"/>
                <w:sz w:val="20"/>
                <w:lang w:eastAsia="es-MX"/>
              </w:rPr>
              <w:t>Recursos Fiscales</w:t>
            </w:r>
          </w:p>
        </w:tc>
      </w:tr>
      <w:tr w:rsidR="00CE5B8D" w:rsidRPr="004F6AC5" w:rsidTr="00A56E05">
        <w:trPr>
          <w:trHeight w:val="162"/>
          <w:jc w:val="center"/>
        </w:trPr>
        <w:tc>
          <w:tcPr>
            <w:tcW w:w="999" w:type="dxa"/>
            <w:gridSpan w:val="2"/>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CE5B8D" w:rsidRPr="00066E84" w:rsidRDefault="00CE5B8D" w:rsidP="00A56E05">
            <w:pPr>
              <w:rPr>
                <w:rFonts w:ascii="Adobe Caslon Pro" w:hAnsi="Adobe Caslon Pro" w:cs="Calibri"/>
                <w:color w:val="000000"/>
                <w:lang w:eastAsia="es-MX"/>
              </w:rPr>
            </w:pPr>
          </w:p>
        </w:tc>
      </w:tr>
      <w:tr w:rsidR="00CE5B8D" w:rsidRPr="004F6AC5"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CE5B8D" w:rsidRPr="00066E84" w:rsidRDefault="00CE5B8D" w:rsidP="00A56E05">
            <w:pPr>
              <w:rPr>
                <w:rFonts w:ascii="Trajan Pro" w:hAnsi="Trajan Pro" w:cs="Calibri"/>
                <w:b/>
                <w:bCs/>
                <w:color w:val="000000"/>
                <w:lang w:eastAsia="es-MX"/>
              </w:rPr>
            </w:pPr>
            <w:r w:rsidRPr="00066E84">
              <w:rPr>
                <w:rFonts w:ascii="Trajan Pro" w:hAnsi="Trajan Pro" w:cs="Calibri"/>
                <w:b/>
                <w:bCs/>
                <w:color w:val="00000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CE5B8D" w:rsidRPr="00066E84" w:rsidRDefault="00CE5B8D"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7.1  Difusión en internet de la evaluación:</w:t>
            </w:r>
            <w:r>
              <w:rPr>
                <w:rFonts w:ascii="Adobe Caslon Pro" w:hAnsi="Adobe Caslon Pro" w:cs="Calibri"/>
                <w:color w:val="000000"/>
                <w:lang w:eastAsia="es-MX"/>
              </w:rPr>
              <w:t xml:space="preserve"> </w:t>
            </w:r>
          </w:p>
          <w:p w:rsidR="00CE5B8D" w:rsidRDefault="009B1A50" w:rsidP="00A56E05">
            <w:pPr>
              <w:rPr>
                <w:rFonts w:ascii="Adobe Caslon Pro" w:hAnsi="Adobe Caslon Pro" w:cs="Calibri"/>
                <w:i/>
                <w:color w:val="000000"/>
                <w:sz w:val="20"/>
                <w:szCs w:val="20"/>
                <w:lang w:eastAsia="es-MX"/>
              </w:rPr>
            </w:pPr>
            <w:hyperlink r:id="rId132" w:history="1">
              <w:r w:rsidR="00CE5B8D" w:rsidRPr="00197EB9">
                <w:rPr>
                  <w:rStyle w:val="Hipervnculo"/>
                  <w:rFonts w:ascii="Adobe Caslon Pro" w:hAnsi="Adobe Caslon Pro" w:cs="Calibri"/>
                  <w:i/>
                  <w:sz w:val="20"/>
                  <w:szCs w:val="20"/>
                  <w:lang w:eastAsia="es-MX"/>
                </w:rPr>
                <w:t>http://www.jefaturadelagubernatura-evaluacion.oaxaca.gob.mx/index.php/pae-sidepanel/pae-2014</w:t>
              </w:r>
            </w:hyperlink>
          </w:p>
          <w:p w:rsidR="00CE5B8D" w:rsidRPr="004B23C3" w:rsidRDefault="00CE5B8D" w:rsidP="00A56E05">
            <w:pPr>
              <w:rPr>
                <w:rFonts w:ascii="Adobe Caslon Pro" w:hAnsi="Adobe Caslon Pro" w:cs="Calibri"/>
                <w:i/>
                <w:color w:val="000000"/>
                <w:sz w:val="20"/>
                <w:szCs w:val="20"/>
                <w:lang w:eastAsia="es-MX"/>
              </w:rPr>
            </w:pPr>
            <w:r w:rsidRPr="00BF1EBD">
              <w:rPr>
                <w:rStyle w:val="Hipervnculo"/>
                <w:rFonts w:ascii="Adobe Caslon Pro" w:hAnsi="Adobe Caslon Pro" w:cs="Calibri"/>
                <w:i/>
                <w:sz w:val="20"/>
                <w:szCs w:val="20"/>
                <w:lang w:eastAsia="es-MX"/>
              </w:rPr>
              <w:t>http://www.transparenciapresupuestaria.oaxaca.gob.mx/05_ev1_eprogramas.php</w:t>
            </w:r>
          </w:p>
        </w:tc>
      </w:tr>
      <w:tr w:rsidR="00CE5B8D"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E5B8D" w:rsidRDefault="00CE5B8D" w:rsidP="00A56E05">
            <w:pPr>
              <w:rPr>
                <w:rFonts w:ascii="Adobe Caslon Pro" w:hAnsi="Adobe Caslon Pro" w:cs="Calibri"/>
                <w:color w:val="000000"/>
                <w:lang w:eastAsia="es-MX"/>
              </w:rPr>
            </w:pPr>
            <w:r w:rsidRPr="00066E84">
              <w:rPr>
                <w:rFonts w:ascii="Adobe Caslon Pro" w:hAnsi="Adobe Caslon Pro" w:cs="Calibri"/>
                <w:color w:val="000000"/>
                <w:lang w:eastAsia="es-MX"/>
              </w:rPr>
              <w:t>7.2  Difusión en internet del formato:</w:t>
            </w:r>
          </w:p>
          <w:p w:rsidR="00CE5B8D" w:rsidRPr="00066E84" w:rsidRDefault="00CE5B8D" w:rsidP="00A56E05">
            <w:pPr>
              <w:rPr>
                <w:rFonts w:ascii="Adobe Caslon Pro" w:hAnsi="Adobe Caslon Pro" w:cs="Calibri"/>
                <w:color w:val="000000"/>
                <w:lang w:eastAsia="es-MX"/>
              </w:rPr>
            </w:pPr>
            <w:r w:rsidRPr="006865F0">
              <w:rPr>
                <w:rStyle w:val="Hipervnculo"/>
                <w:rFonts w:ascii="Adobe Caslon Pro" w:hAnsi="Adobe Caslon Pro" w:cs="Calibri"/>
                <w:i/>
                <w:sz w:val="20"/>
                <w:szCs w:val="20"/>
                <w:lang w:eastAsia="es-MX"/>
              </w:rPr>
              <w:t>http://www.jefaturadelagubernatura-evaluacion.oaxaca.gob.mx/index.php/pae-sidepanel/pae-2014</w:t>
            </w:r>
          </w:p>
        </w:tc>
      </w:tr>
    </w:tbl>
    <w:p w:rsidR="00CE5B8D" w:rsidRPr="00066E84" w:rsidRDefault="00CE5B8D" w:rsidP="00CE5B8D">
      <w:pPr>
        <w:rPr>
          <w:rFonts w:ascii="Adobe Caslon Pro" w:hAnsi="Adobe Caslon Pro"/>
          <w:b/>
          <w:sz w:val="20"/>
          <w:szCs w:val="20"/>
          <w:lang w:eastAsia="es-MX"/>
        </w:rPr>
      </w:pPr>
    </w:p>
    <w:p w:rsidR="00CE5B8D" w:rsidRDefault="00CE5B8D" w:rsidP="00CE5B8D">
      <w:pPr>
        <w:autoSpaceDE w:val="0"/>
        <w:autoSpaceDN w:val="0"/>
        <w:adjustRightInd w:val="0"/>
        <w:jc w:val="both"/>
        <w:rPr>
          <w:rFonts w:cs="Calibri"/>
          <w:sz w:val="16"/>
          <w:szCs w:val="16"/>
        </w:rPr>
      </w:pPr>
    </w:p>
    <w:p w:rsidR="00CE5B8D" w:rsidRDefault="00CE5B8D">
      <w:pPr>
        <w:rPr>
          <w:rFonts w:ascii="Arial" w:hAnsi="Arial" w:cs="Arial"/>
          <w:b/>
        </w:rPr>
      </w:pPr>
    </w:p>
    <w:p w:rsidR="00CE5B8D" w:rsidRDefault="00CE5B8D">
      <w:pPr>
        <w:rPr>
          <w:rFonts w:ascii="Arial" w:hAnsi="Arial" w:cs="Arial"/>
          <w:b/>
        </w:rPr>
      </w:pPr>
      <w:r>
        <w:rPr>
          <w:rFonts w:ascii="Arial" w:hAnsi="Arial" w:cs="Arial"/>
          <w:b/>
        </w:rPr>
        <w:br w:type="page"/>
      </w:r>
    </w:p>
    <w:p w:rsidR="005C48E8" w:rsidRPr="005C48E8" w:rsidRDefault="005C48E8" w:rsidP="005C48E8">
      <w:pPr>
        <w:rPr>
          <w:rFonts w:ascii="Arial" w:hAnsi="Arial" w:cs="Arial"/>
          <w:b/>
        </w:rPr>
      </w:pPr>
      <w:r w:rsidRPr="005C48E8">
        <w:rPr>
          <w:rFonts w:ascii="Arial" w:hAnsi="Arial" w:cs="Arial"/>
          <w:b/>
        </w:rPr>
        <w:lastRenderedPageBreak/>
        <w:t>14.</w:t>
      </w:r>
      <w:r w:rsidR="0072684E">
        <w:rPr>
          <w:rFonts w:ascii="Arial" w:hAnsi="Arial" w:cs="Arial"/>
          <w:b/>
        </w:rPr>
        <w:t>2</w:t>
      </w:r>
      <w:r w:rsidRPr="005C48E8">
        <w:rPr>
          <w:rFonts w:ascii="Arial" w:hAnsi="Arial" w:cs="Arial"/>
          <w:b/>
        </w:rPr>
        <w:t>.</w:t>
      </w:r>
      <w:r>
        <w:rPr>
          <w:rFonts w:ascii="Arial" w:hAnsi="Arial" w:cs="Arial"/>
          <w:b/>
        </w:rPr>
        <w:t>5</w:t>
      </w:r>
      <w:r w:rsidRPr="005C48E8">
        <w:rPr>
          <w:rFonts w:ascii="Arial" w:hAnsi="Arial" w:cs="Arial"/>
          <w:b/>
        </w:rPr>
        <w:t>.- PROYECTO ESTRATÉGICO DE SEGURIDAD ALIMENTARIA (PESA)</w:t>
      </w:r>
    </w:p>
    <w:p w:rsidR="005C48E8" w:rsidRDefault="005C48E8" w:rsidP="005C48E8">
      <w:pPr>
        <w:pStyle w:val="Prrafodelista"/>
        <w:ind w:left="0"/>
        <w:jc w:val="center"/>
        <w:rPr>
          <w:rFonts w:ascii="Adobe Caslon Pro" w:hAnsi="Adobe Caslon Pro" w:cs="Calibri"/>
          <w:i/>
          <w:color w:val="000000"/>
          <w:szCs w:val="24"/>
          <w:lang w:eastAsia="es-MX"/>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5C48E8" w:rsidRPr="004F6AC5"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1.1 Nombre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5C48E8" w:rsidRPr="00636B64" w:rsidRDefault="005C48E8" w:rsidP="00A56E05">
            <w:pPr>
              <w:rPr>
                <w:rFonts w:ascii="Adobe Caslon Pro" w:hAnsi="Adobe Caslon Pro" w:cs="Calibri"/>
                <w:i/>
                <w:color w:val="000000"/>
                <w:sz w:val="20"/>
                <w:lang w:eastAsia="es-MX"/>
              </w:rPr>
            </w:pPr>
            <w:r w:rsidRPr="00EC23B2">
              <w:rPr>
                <w:rFonts w:ascii="Adobe Caslon Pro" w:hAnsi="Adobe Caslon Pro" w:cs="Calibri"/>
                <w:i/>
                <w:color w:val="000000"/>
                <w:sz w:val="20"/>
                <w:lang w:eastAsia="es-MX"/>
              </w:rPr>
              <w:t xml:space="preserve">Evaluación Estratégica de Consistencia y Resultados del </w:t>
            </w:r>
            <w:r>
              <w:rPr>
                <w:rFonts w:ascii="Adobe Caslon Pro" w:hAnsi="Adobe Caslon Pro" w:cs="Calibri"/>
                <w:i/>
                <w:color w:val="000000"/>
                <w:sz w:val="20"/>
                <w:lang w:eastAsia="es-MX"/>
              </w:rPr>
              <w:t>Proyecto Estratégico de Seguridad Alimentaria (PESA)</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1.2 Fecha de inicio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22/09</w:t>
            </w:r>
            <w:r w:rsidRPr="002C3B4D">
              <w:rPr>
                <w:rFonts w:ascii="Adobe Caslon Pro" w:hAnsi="Adobe Caslon Pro" w:cs="Calibri"/>
                <w:i/>
                <w:color w:val="000000"/>
                <w:sz w:val="20"/>
                <w:lang w:eastAsia="es-MX"/>
              </w:rPr>
              <w:t>/2014</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1.3 Fecha de término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13/</w:t>
            </w:r>
            <w:r w:rsidRPr="00AF449B">
              <w:rPr>
                <w:rFonts w:ascii="Adobe Caslon Pro" w:hAnsi="Adobe Caslon Pro" w:cs="Calibri"/>
                <w:i/>
                <w:color w:val="000000"/>
                <w:sz w:val="20"/>
                <w:lang w:eastAsia="es-MX"/>
              </w:rPr>
              <w:t>04/2015</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1.4 Nombre de la persona responsable de darle seguimiento a la evaluación y  nombre de la unidad administrativa a la que pertenece:</w:t>
            </w:r>
          </w:p>
        </w:tc>
      </w:tr>
      <w:tr w:rsidR="005C48E8" w:rsidRPr="004F6AC5"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48E8"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Nombre:</w:t>
            </w:r>
          </w:p>
          <w:p w:rsidR="005C48E8" w:rsidRPr="00D02D2B" w:rsidRDefault="005C48E8" w:rsidP="00A56E05">
            <w:pPr>
              <w:rPr>
                <w:rFonts w:ascii="Adobe Caslon Pro" w:hAnsi="Adobe Caslon Pro" w:cs="Calibri"/>
                <w:color w:val="000000"/>
                <w:sz w:val="16"/>
                <w:szCs w:val="16"/>
                <w:lang w:eastAsia="es-MX"/>
              </w:rPr>
            </w:pPr>
          </w:p>
          <w:p w:rsidR="005C48E8" w:rsidRPr="002C3B4D" w:rsidRDefault="005C48E8" w:rsidP="00A56E05">
            <w:pPr>
              <w:rPr>
                <w:rFonts w:ascii="Adobe Caslon Pro" w:hAnsi="Adobe Caslon Pro" w:cs="Calibri"/>
                <w:i/>
                <w:color w:val="000000"/>
                <w:lang w:eastAsia="es-MX"/>
              </w:rPr>
            </w:pPr>
            <w:r w:rsidRPr="002C3B4D">
              <w:rPr>
                <w:rFonts w:ascii="Adobe Caslon Pro" w:hAnsi="Adobe Caslon Pro" w:cs="Calibri"/>
                <w:i/>
                <w:color w:val="000000"/>
                <w:sz w:val="20"/>
                <w:lang w:eastAsia="es-MX"/>
              </w:rPr>
              <w:t>Mtro. Gonzalo Lapuente Sastre</w:t>
            </w: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5C48E8"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Unidad administrativa:</w:t>
            </w:r>
            <w:r>
              <w:rPr>
                <w:rFonts w:ascii="Adobe Caslon Pro" w:hAnsi="Adobe Caslon Pro" w:cs="Calibri"/>
                <w:color w:val="000000"/>
                <w:lang w:eastAsia="es-MX"/>
              </w:rPr>
              <w:t xml:space="preserve"> </w:t>
            </w:r>
          </w:p>
          <w:p w:rsidR="005C48E8" w:rsidRPr="00AC127B" w:rsidRDefault="005C48E8" w:rsidP="00A56E05">
            <w:pPr>
              <w:rPr>
                <w:rFonts w:ascii="Adobe Caslon Pro" w:hAnsi="Adobe Caslon Pro" w:cs="Calibri"/>
                <w:color w:val="000000"/>
                <w:lang w:eastAsia="es-MX"/>
              </w:rPr>
            </w:pPr>
            <w:r w:rsidRPr="00B17671">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 </w:t>
            </w:r>
            <w:r w:rsidRPr="00B17671">
              <w:rPr>
                <w:rFonts w:ascii="Adobe Caslon Pro" w:hAnsi="Adobe Caslon Pro" w:cs="Calibri"/>
                <w:i/>
                <w:color w:val="000000"/>
                <w:sz w:val="20"/>
                <w:szCs w:val="20"/>
                <w:lang w:eastAsia="es-MX"/>
              </w:rPr>
              <w:t>de la Jefatura de la Gubernatura del Gobierno del estado de Oaxaca.</w:t>
            </w:r>
          </w:p>
        </w:tc>
      </w:tr>
      <w:tr w:rsidR="005C48E8" w:rsidRPr="004F6AC5" w:rsidTr="00A56E05">
        <w:trPr>
          <w:trHeight w:val="1131"/>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614B76"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5</w:t>
            </w:r>
            <w:r w:rsidRPr="00066E84">
              <w:rPr>
                <w:rFonts w:ascii="Adobe Caslon Pro" w:hAnsi="Adobe Caslon Pro" w:cs="Calibri"/>
                <w:color w:val="000000"/>
                <w:lang w:eastAsia="es-MX"/>
              </w:rPr>
              <w:t xml:space="preserve"> Objetivo general de la evaluación</w:t>
            </w:r>
            <w:r>
              <w:rPr>
                <w:rFonts w:ascii="Adobe Caslon Pro" w:hAnsi="Adobe Caslon Pro" w:cs="Calibri"/>
                <w:color w:val="000000"/>
                <w:lang w:eastAsia="es-MX"/>
              </w:rPr>
              <w:t>:</w:t>
            </w:r>
          </w:p>
          <w:p w:rsidR="005C48E8" w:rsidRPr="00D02D2B" w:rsidRDefault="005C48E8" w:rsidP="00A56E05">
            <w:pPr>
              <w:jc w:val="both"/>
              <w:rPr>
                <w:rFonts w:ascii="Adobe Caslon Pro" w:hAnsi="Adobe Caslon Pro" w:cs="Calibri"/>
                <w:i/>
                <w:color w:val="000000"/>
                <w:sz w:val="20"/>
                <w:szCs w:val="20"/>
                <w:lang w:eastAsia="es-MX"/>
              </w:rPr>
            </w:pPr>
            <w:r w:rsidRPr="00113C6E">
              <w:rPr>
                <w:rFonts w:ascii="Adobe Caslon Pro" w:hAnsi="Adobe Caslon Pro" w:cs="Calibri"/>
                <w:i/>
                <w:color w:val="000000"/>
                <w:sz w:val="20"/>
                <w:szCs w:val="20"/>
                <w:lang w:eastAsia="es-MX"/>
              </w:rPr>
              <w:t>Coadyuvar en la Consolidación del Sistema de Evaluación del Desempeño en el Estado de Oaxaca, a través</w:t>
            </w:r>
            <w:r w:rsidRPr="00BE4199">
              <w:rPr>
                <w:rFonts w:ascii="Adobe Caslon Pro" w:hAnsi="Adobe Caslon Pro" w:cs="Calibri"/>
                <w:i/>
                <w:color w:val="000000"/>
                <w:sz w:val="20"/>
                <w:szCs w:val="20"/>
                <w:lang w:eastAsia="es-MX"/>
              </w:rPr>
              <w:t xml:space="preserve"> de identificar y analizar la consistencia y resultados del </w:t>
            </w:r>
            <w:r>
              <w:rPr>
                <w:rFonts w:ascii="Adobe Caslon Pro" w:hAnsi="Adobe Caslon Pro" w:cs="Calibri"/>
                <w:i/>
                <w:color w:val="000000"/>
                <w:sz w:val="20"/>
                <w:lang w:eastAsia="es-MX"/>
              </w:rPr>
              <w:t>Proyecto Estratégico de Seguridad Alimentaria</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6</w:t>
            </w:r>
            <w:r w:rsidRPr="00066E84">
              <w:rPr>
                <w:rFonts w:ascii="Adobe Caslon Pro" w:hAnsi="Adobe Caslon Pro" w:cs="Calibri"/>
                <w:color w:val="000000"/>
                <w:lang w:eastAsia="es-MX"/>
              </w:rPr>
              <w:t xml:space="preserve"> Objetivos específicos de la evaluación</w:t>
            </w:r>
            <w:r>
              <w:rPr>
                <w:rFonts w:ascii="Adobe Caslon Pro" w:hAnsi="Adobe Caslon Pro" w:cs="Calibri"/>
                <w:color w:val="000000"/>
                <w:lang w:eastAsia="es-MX"/>
              </w:rPr>
              <w:t>:</w:t>
            </w:r>
          </w:p>
          <w:p w:rsidR="005C48E8" w:rsidRDefault="005C48E8"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programa en los siguientes aspectos:</w:t>
            </w:r>
          </w:p>
          <w:p w:rsidR="005C48E8" w:rsidRDefault="005C48E8"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Diseño. Es un proceso analítico global que se enfoca en identificar los objetivos del programa, para luego determinar la consistencia de su diseño y los resultados con tales objetivos. </w:t>
            </w:r>
          </w:p>
          <w:p w:rsidR="005C48E8" w:rsidRDefault="005C48E8"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Planeación Estratégica. Implica analizar los instrumentos de planeación del Programa, y corroborar si tal planeación tiene una orientación para resultados. </w:t>
            </w:r>
          </w:p>
          <w:p w:rsidR="005C48E8" w:rsidRDefault="005C48E8"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Cobertura y Focalización. Corresponde cuantificar y determinar la población potencial y la población objetivo que está siendo atendida por el Programa. </w:t>
            </w:r>
          </w:p>
          <w:p w:rsidR="005C48E8" w:rsidRDefault="005C48E8"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Operación. Analiza las principales actividades y procesos establecidos en la normatividad aplicable; la eficiencia, eficacia y economía operativa del Programa; y el cumplimiento y avance en los indicadores estratégicos y de gestión. </w:t>
            </w:r>
          </w:p>
          <w:p w:rsidR="005C48E8" w:rsidRPr="00BC71C7" w:rsidRDefault="005C48E8" w:rsidP="00F075EB">
            <w:pPr>
              <w:numPr>
                <w:ilvl w:val="0"/>
                <w:numId w:val="16"/>
              </w:numPr>
              <w:jc w:val="both"/>
              <w:rPr>
                <w:rFonts w:ascii="Adobe Caslon Pro" w:hAnsi="Adobe Caslon Pro" w:cs="Calibri"/>
                <w:i/>
                <w:color w:val="000000"/>
                <w:sz w:val="20"/>
                <w:szCs w:val="20"/>
                <w:lang w:eastAsia="es-MX"/>
              </w:rPr>
            </w:pPr>
            <w:r w:rsidRPr="00BC71C7">
              <w:rPr>
                <w:rFonts w:ascii="Adobe Caslon Pro" w:hAnsi="Adobe Caslon Pro" w:cs="Calibri"/>
                <w:i/>
                <w:color w:val="000000"/>
                <w:sz w:val="20"/>
                <w:lang w:eastAsia="es-MX"/>
              </w:rPr>
              <w:t xml:space="preserve">Percepción de la Población. Analiza el grado de satisfacción de los beneficiarios de los bienes y servicios que conforman el Programa. </w:t>
            </w:r>
          </w:p>
          <w:p w:rsidR="005C48E8" w:rsidRDefault="005C48E8" w:rsidP="00F075EB">
            <w:pPr>
              <w:numPr>
                <w:ilvl w:val="0"/>
                <w:numId w:val="16"/>
              </w:numPr>
              <w:jc w:val="both"/>
              <w:rPr>
                <w:rFonts w:ascii="Adobe Caslon Pro" w:hAnsi="Adobe Caslon Pro" w:cs="Calibri"/>
                <w:i/>
                <w:color w:val="000000"/>
                <w:sz w:val="20"/>
                <w:lang w:eastAsia="es-MX"/>
              </w:rPr>
            </w:pPr>
            <w:r w:rsidRPr="00BC71C7">
              <w:rPr>
                <w:rFonts w:ascii="Adobe Caslon Pro" w:hAnsi="Adobe Caslon Pro" w:cs="Calibri"/>
                <w:i/>
                <w:color w:val="000000"/>
                <w:sz w:val="20"/>
                <w:lang w:eastAsia="es-MX"/>
              </w:rPr>
              <w:t xml:space="preserve">Resultados. Analiza los resultados intermedios y de impacto alcanzado por el Programa, de acuerdo a la evidencia documentada, para observar si éste ha logrado mejorar o resolver el problema para el cual fue creado. </w:t>
            </w:r>
          </w:p>
          <w:p w:rsidR="005C48E8" w:rsidRPr="00BC71C7" w:rsidRDefault="005C48E8" w:rsidP="00F075EB">
            <w:pPr>
              <w:numPr>
                <w:ilvl w:val="0"/>
                <w:numId w:val="16"/>
              </w:numPr>
              <w:jc w:val="both"/>
              <w:rPr>
                <w:rFonts w:ascii="Adobe Caslon Pro" w:hAnsi="Adobe Caslon Pro" w:cs="Calibri"/>
                <w:i/>
                <w:color w:val="000000"/>
                <w:sz w:val="20"/>
                <w:lang w:eastAsia="es-MX"/>
              </w:rPr>
            </w:pPr>
            <w:r w:rsidRPr="00BC71C7">
              <w:rPr>
                <w:rFonts w:ascii="Adobe Caslon Pro" w:hAnsi="Adobe Caslon Pro" w:cs="Calibri"/>
                <w:i/>
                <w:color w:val="000000"/>
                <w:sz w:val="20"/>
                <w:lang w:eastAsia="es-MX"/>
              </w:rPr>
              <w:t>Ejercicio de los recursos. Analiza el grado de cumplimiento en la aplicación de los recursos en tiempo y forma, de acuerdo a los objetivos para los cuales están destinados.</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7</w:t>
            </w:r>
            <w:r w:rsidRPr="00066E84">
              <w:rPr>
                <w:rFonts w:ascii="Adobe Caslon Pro" w:hAnsi="Adobe Caslon Pro" w:cs="Calibri"/>
                <w:color w:val="000000"/>
                <w:lang w:eastAsia="es-MX"/>
              </w:rPr>
              <w:t xml:space="preserve"> Metodología utilizada en la evaluación</w:t>
            </w:r>
            <w:r>
              <w:rPr>
                <w:rFonts w:ascii="Adobe Caslon Pro" w:hAnsi="Adobe Caslon Pro" w:cs="Calibri"/>
                <w:color w:val="00000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Instrumentos de recolección de información: </w:t>
            </w:r>
          </w:p>
        </w:tc>
      </w:tr>
      <w:tr w:rsidR="005C48E8" w:rsidRPr="004F6AC5"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Pr="00BB2252"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 Cuestionarios</w:t>
            </w:r>
            <w:r>
              <w:rPr>
                <w:rFonts w:ascii="Adobe Caslon Pro" w:hAnsi="Adobe Caslon Pro" w:cs="Calibri"/>
                <w:color w:val="000000"/>
                <w:lang w:eastAsia="es-MX"/>
              </w:rPr>
              <w:t xml:space="preserve">__   Entrevistas__   Formatos__   </w:t>
            </w:r>
            <w:proofErr w:type="spellStart"/>
            <w:r>
              <w:rPr>
                <w:rFonts w:ascii="Adobe Caslon Pro" w:hAnsi="Adobe Caslon Pro" w:cs="Calibri"/>
                <w:color w:val="000000"/>
                <w:lang w:eastAsia="es-MX"/>
              </w:rPr>
              <w:t>Otros_X</w:t>
            </w:r>
            <w:proofErr w:type="spellEnd"/>
            <w:r>
              <w:rPr>
                <w:rFonts w:ascii="Adobe Caslon Pro" w:hAnsi="Adobe Caslon Pro" w:cs="Calibri"/>
                <w:color w:val="000000"/>
                <w:lang w:eastAsia="es-MX"/>
              </w:rPr>
              <w:t>_  Especifique:</w:t>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p>
          <w:p w:rsidR="005C48E8" w:rsidRPr="00F11793" w:rsidRDefault="005C48E8" w:rsidP="00F075EB">
            <w:pPr>
              <w:numPr>
                <w:ilvl w:val="0"/>
                <w:numId w:val="12"/>
              </w:numPr>
              <w:jc w:val="both"/>
              <w:rPr>
                <w:rFonts w:ascii="Adobe Caslon Pro" w:hAnsi="Adobe Caslon Pro" w:cs="Calibri"/>
                <w:i/>
                <w:color w:val="000000"/>
                <w:sz w:val="20"/>
                <w:lang w:eastAsia="es-MX"/>
              </w:rPr>
            </w:pPr>
            <w:r w:rsidRPr="00D073B5">
              <w:rPr>
                <w:rFonts w:ascii="Adobe Caslon Pro" w:hAnsi="Adobe Caslon Pro" w:cs="Calibri"/>
                <w:i/>
                <w:color w:val="000000"/>
                <w:sz w:val="20"/>
                <w:lang w:eastAsia="es-MX"/>
              </w:rPr>
              <w:t xml:space="preserve">Información proporcionada por la dependencia </w:t>
            </w:r>
            <w:r>
              <w:rPr>
                <w:rFonts w:ascii="Adobe Caslon Pro" w:hAnsi="Adobe Caslon Pro" w:cs="Calibri"/>
                <w:i/>
                <w:color w:val="000000"/>
                <w:sz w:val="20"/>
                <w:lang w:eastAsia="es-MX"/>
              </w:rPr>
              <w:t>o entidad responsable del programa.</w:t>
            </w:r>
          </w:p>
        </w:tc>
      </w:tr>
      <w:tr w:rsidR="005C48E8" w:rsidRPr="004F6AC5"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Descripción de las técnicas y modelos utilizados: </w:t>
            </w:r>
          </w:p>
          <w:p w:rsidR="005C48E8" w:rsidRPr="00963A04" w:rsidRDefault="005C48E8" w:rsidP="00A56E05">
            <w:pPr>
              <w:jc w:val="both"/>
              <w:rPr>
                <w:rFonts w:ascii="Adobe Caslon Pro" w:hAnsi="Adobe Caslon Pro" w:cs="Calibri"/>
                <w:i/>
                <w:color w:val="4472C4"/>
                <w:sz w:val="20"/>
                <w:u w:val="single"/>
                <w:lang w:eastAsia="es-MX"/>
              </w:rPr>
            </w:pPr>
            <w:r w:rsidRPr="006F4A63">
              <w:rPr>
                <w:rFonts w:ascii="Adobe Caslon Pro" w:hAnsi="Adobe Caslon Pro" w:cs="Calibri"/>
                <w:i/>
                <w:color w:val="000000"/>
                <w:sz w:val="20"/>
                <w:lang w:eastAsia="es-MX"/>
              </w:rPr>
              <w:t xml:space="preserve">La metodología de Evaluación fue desarrollada por “LA JEFATURA”, quien funge como la Instancia Técnica de </w:t>
            </w:r>
            <w:r w:rsidRPr="006F4A63">
              <w:rPr>
                <w:rFonts w:ascii="Adobe Caslon Pro" w:hAnsi="Adobe Caslon Pro" w:cs="Calibri"/>
                <w:i/>
                <w:color w:val="000000"/>
                <w:sz w:val="20"/>
                <w:lang w:eastAsia="es-MX"/>
              </w:rPr>
              <w:lastRenderedPageBreak/>
              <w:t>Evaluación, con la finalidad de obtener información confiable para mejorar la gestión, la toma de decisi</w:t>
            </w:r>
            <w:r>
              <w:rPr>
                <w:rFonts w:ascii="Adobe Caslon Pro" w:hAnsi="Adobe Caslon Pro" w:cs="Calibri"/>
                <w:i/>
                <w:color w:val="000000"/>
                <w:sz w:val="20"/>
                <w:lang w:eastAsia="es-MX"/>
              </w:rPr>
              <w:t xml:space="preserve">ones y el proceso presupuestario, los cuales se encuentran en los Términos de Referencia en la siguiente liga: </w:t>
            </w:r>
            <w:hyperlink r:id="rId133" w:history="1">
              <w:r w:rsidRPr="00632619">
                <w:rPr>
                  <w:rStyle w:val="Hipervnculo"/>
                  <w:rFonts w:ascii="Adobe Caslon Pro" w:hAnsi="Adobe Caslon Pro" w:cs="Calibri"/>
                  <w:i/>
                  <w:sz w:val="20"/>
                  <w:lang w:eastAsia="es-MX"/>
                </w:rPr>
                <w:t>http://www.jefaturadelagubernatura-evaluacion.oaxaca.gob.mx/index.php/pae-sidepanel/pae-2014</w:t>
              </w:r>
            </w:hyperlink>
          </w:p>
          <w:p w:rsidR="005C48E8" w:rsidRPr="00963A04" w:rsidRDefault="005C48E8" w:rsidP="00A56E05">
            <w:pPr>
              <w:jc w:val="both"/>
              <w:rPr>
                <w:rFonts w:ascii="Adobe Caslon Pro" w:hAnsi="Adobe Caslon Pro" w:cs="Calibri"/>
                <w:i/>
                <w:color w:val="4472C4"/>
                <w:sz w:val="20"/>
                <w:u w:val="single"/>
                <w:lang w:eastAsia="es-MX"/>
              </w:rPr>
            </w:pPr>
          </w:p>
          <w:p w:rsidR="005C48E8" w:rsidRDefault="005C48E8" w:rsidP="00A56E05">
            <w:pPr>
              <w:jc w:val="both"/>
              <w:rPr>
                <w:rFonts w:ascii="Adobe Caslon Pro" w:hAnsi="Adobe Caslon Pro" w:cs="Calibri"/>
                <w:i/>
                <w:sz w:val="20"/>
                <w:lang w:eastAsia="es-MX"/>
              </w:rPr>
            </w:pPr>
            <w:r>
              <w:rPr>
                <w:rFonts w:ascii="Adobe Caslon Pro" w:hAnsi="Adobe Caslon Pro" w:cs="Calibri"/>
                <w:i/>
                <w:sz w:val="20"/>
                <w:lang w:eastAsia="es-MX"/>
              </w:rPr>
              <w:t>Base de datos de gabinete utilizados para el análisis:</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Matriz de Indicadores para Resultados del Programa. </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técnico que incluya el análisis del problema que está siendo atendido con los recursos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Objetivos Estratégicos de la Dependencia coordinadora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Nacional de Desarrollo.</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Estatal de Desarrollo y Plan Sectorial de Desarrollo.</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Diagnóstico situacional del Programa y sus beneficiarios.</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Padrón de beneficiarios. </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Características socioeconómicas de los beneficiarios.</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Reglas de Operación.</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 Programas federales y estatales con características similares</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Estratégico de la Dependencia responsable de la MIR del Programa o Plan Sectorial.</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Manual de programación</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Reporte de Evaluación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Planes de mejora asociados a la evaluación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Potencial.</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Objetivo</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Atendida.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Reporte de seguimiento de metas del sistema de evaluación del desempeño</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 para la selección de beneficiarios.</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Criterios de elegibilidad aplicados</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Avance físico-financiero</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Cierre de ejercicio.</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Recursos no devengados.</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Estructura organizacional de la dependencia, que incluya las áreas operativas relacionadas con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organizacional de la dependencia, que incluya las responsabilidades y funciones asociadas con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técnico que contenga los procesos de la entrega/recepción de componentes.</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contenga el procedimiento a través del cual se proporciona la información sobre estados financieros relacionados con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descriptivo, normativo funcional acerca de los sistemas de información que conforman la administración financiera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estratégicos y de gestión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Costos de Operación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Procedimientos para medir costo-efectividad en la ejecución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resultados de la medición costo-efectividad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de eficiencia.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Aprobado.</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Ejercido.</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Instrumentos de recuperación de Deuda relacionados con el cumplimiento de objetivos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el procedimiento a través del cual se administra y opera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 xml:space="preserve">Documento normativo que describa los sistemas de información que se utilizan en la gestión del </w:t>
            </w:r>
            <w:r>
              <w:rPr>
                <w:rFonts w:ascii="Adobe Caslon Pro" w:hAnsi="Adobe Caslon Pro" w:cs="Calibri"/>
                <w:i/>
                <w:color w:val="000000"/>
                <w:sz w:val="20"/>
                <w:lang w:eastAsia="es-MX"/>
              </w:rPr>
              <w:lastRenderedPageBreak/>
              <w:t>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procedimientos de actualización del padrón de beneficiarios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del Sistema de Rendición de Cuentas y Transparencia para los funcionarios que administran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Transparencia (En donde se transparenten los resultados de la evaluación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la gaceta oficial de difusión (En donde se transparenten los resultados de la evaluación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oficial que indique el monto y la fecha de recepción de recursos destinados a la operación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Calendario de transferencia de recursos para la operación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Reportes de Cuenta Pública.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de Desempeño.</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Guía para usuarios del SED Estatal y Federal.</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de resultados.</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financiero del Programa.</w:t>
            </w:r>
          </w:p>
          <w:p w:rsidR="005C48E8" w:rsidRPr="00B3377B"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Ficha técnica de los indicadores de Resultados del Programa.</w:t>
            </w:r>
          </w:p>
        </w:tc>
      </w:tr>
      <w:tr w:rsidR="005C48E8" w:rsidRPr="004F6AC5" w:rsidTr="00A56E05">
        <w:trPr>
          <w:trHeight w:val="60"/>
          <w:jc w:val="center"/>
        </w:trPr>
        <w:tc>
          <w:tcPr>
            <w:tcW w:w="999" w:type="dxa"/>
            <w:gridSpan w:val="2"/>
            <w:tcBorders>
              <w:top w:val="single" w:sz="4" w:space="0" w:color="auto"/>
              <w:bottom w:val="single" w:sz="4" w:space="0" w:color="auto"/>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5C48E8" w:rsidRPr="00DE6244" w:rsidRDefault="005C48E8" w:rsidP="00A56E05">
            <w:pPr>
              <w:rPr>
                <w:rFonts w:ascii="Adobe Caslon Pro" w:hAnsi="Adobe Caslon Pro" w:cs="Calibri"/>
                <w:color w:val="000000"/>
                <w:sz w:val="10"/>
                <w:szCs w:val="10"/>
                <w:lang w:eastAsia="es-MX"/>
              </w:rPr>
            </w:pPr>
          </w:p>
        </w:tc>
      </w:tr>
      <w:tr w:rsidR="005C48E8"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2.1 Describir los hallazgos más relevantes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tc>
      </w:tr>
      <w:tr w:rsidR="005C48E8" w:rsidRPr="004F6AC5"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2.2 Señalar cuáles son las principales Fortalezas, Oportunidades, Debilidades y Amenazas (FODA), de acuerdo con los</w:t>
            </w:r>
            <w:r>
              <w:rPr>
                <w:rFonts w:ascii="Adobe Caslon Pro" w:hAnsi="Adobe Caslon Pro" w:cs="Calibri"/>
                <w:color w:val="000000"/>
                <w:lang w:eastAsia="es-MX"/>
              </w:rPr>
              <w:t xml:space="preserve"> temas</w:t>
            </w:r>
            <w:r w:rsidRPr="00066E84">
              <w:rPr>
                <w:rFonts w:ascii="Adobe Caslon Pro" w:hAnsi="Adobe Caslon Pro" w:cs="Calibri"/>
                <w:color w:val="000000"/>
                <w:lang w:eastAsia="es-MX"/>
              </w:rPr>
              <w:t xml:space="preserve"> del programa</w:t>
            </w:r>
            <w:r>
              <w:rPr>
                <w:rFonts w:ascii="Adobe Caslon Pro" w:hAnsi="Adobe Caslon Pro" w:cs="Calibri"/>
                <w:color w:val="000000"/>
                <w:lang w:eastAsia="es-MX"/>
              </w:rPr>
              <w:t>, estrategia o instituciones</w:t>
            </w:r>
            <w:r w:rsidRPr="00066E84">
              <w:rPr>
                <w:rFonts w:ascii="Adobe Caslon Pro" w:hAnsi="Adobe Caslon Pro" w:cs="Calibri"/>
                <w:color w:val="000000"/>
                <w:lang w:eastAsia="es-MX"/>
              </w:rPr>
              <w:t>.</w:t>
            </w:r>
          </w:p>
        </w:tc>
      </w:tr>
      <w:tr w:rsidR="005C48E8" w:rsidRPr="004F6AC5"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5C48E8" w:rsidRPr="00066E84" w:rsidRDefault="005C48E8" w:rsidP="00A56E05">
            <w:pPr>
              <w:rPr>
                <w:rFonts w:ascii="Adobe Caslon Pro" w:hAnsi="Adobe Caslon Pro" w:cs="Calibri"/>
                <w:color w:val="000000"/>
                <w:lang w:eastAsia="es-MX"/>
              </w:rPr>
            </w:pP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2.2.1 Fortalezas</w:t>
            </w:r>
            <w:r>
              <w:rPr>
                <w:rFonts w:ascii="Adobe Caslon Pro" w:hAnsi="Adobe Caslon Pro" w:cs="Calibri"/>
                <w:color w:val="000000"/>
                <w:lang w:eastAsia="es-MX"/>
              </w:rPr>
              <w:t>:</w:t>
            </w: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5C48E8" w:rsidRPr="007720FB" w:rsidRDefault="005C48E8" w:rsidP="00F075EB">
            <w:pPr>
              <w:numPr>
                <w:ilvl w:val="0"/>
                <w:numId w:val="12"/>
              </w:numPr>
              <w:jc w:val="both"/>
              <w:rPr>
                <w:rFonts w:ascii="Adobe Caslon Pro" w:hAnsi="Adobe Caslon Pro" w:cs="Calibri"/>
                <w:i/>
                <w:color w:val="000000"/>
                <w:sz w:val="20"/>
                <w:szCs w:val="20"/>
                <w:lang w:eastAsia="es-MX"/>
              </w:rPr>
            </w:pPr>
            <w:r w:rsidRPr="007720FB">
              <w:rPr>
                <w:rFonts w:ascii="Adobe Caslon Pro" w:hAnsi="Adobe Caslon Pro" w:cs="Calibri"/>
                <w:i/>
                <w:color w:val="000000"/>
                <w:sz w:val="20"/>
                <w:szCs w:val="20"/>
                <w:lang w:eastAsia="es-MX"/>
              </w:rPr>
              <w:t>Los “Programas” de cuales el Proyecto Estratégico de Seguridad Alimentaria es componente cuentan con Matrices de Indicadores para Resultados bien definidas, ya que la lógica vertical que se relaciona con los ámbitos de desempeño (Fin, Propósito, Componente y Actividad), llevan una lógica causal de cumplimiento.</w:t>
            </w:r>
          </w:p>
          <w:p w:rsidR="005C48E8" w:rsidRPr="007720FB" w:rsidRDefault="005C48E8" w:rsidP="00F075EB">
            <w:pPr>
              <w:numPr>
                <w:ilvl w:val="0"/>
                <w:numId w:val="12"/>
              </w:numPr>
              <w:jc w:val="both"/>
              <w:rPr>
                <w:rFonts w:ascii="Adobe Caslon Pro" w:hAnsi="Adobe Caslon Pro" w:cs="Calibri"/>
                <w:i/>
                <w:color w:val="000000"/>
                <w:sz w:val="20"/>
                <w:szCs w:val="20"/>
                <w:lang w:eastAsia="es-MX"/>
              </w:rPr>
            </w:pPr>
            <w:r w:rsidRPr="007720FB">
              <w:rPr>
                <w:rFonts w:ascii="Adobe Caslon Pro" w:hAnsi="Adobe Caslon Pro" w:cs="Calibri"/>
                <w:i/>
                <w:color w:val="000000"/>
                <w:sz w:val="20"/>
                <w:szCs w:val="20"/>
                <w:lang w:eastAsia="es-MX"/>
              </w:rPr>
              <w:t xml:space="preserve">Cuenta con los Indicadores suficientes para medir el desempeño de los “Programas”, así como el del Proyecto Estratégico de Seguridad Alimentaria. </w:t>
            </w:r>
          </w:p>
          <w:p w:rsidR="005C48E8" w:rsidRPr="007720FB" w:rsidRDefault="005C48E8" w:rsidP="00F075EB">
            <w:pPr>
              <w:numPr>
                <w:ilvl w:val="0"/>
                <w:numId w:val="12"/>
              </w:numPr>
              <w:jc w:val="both"/>
              <w:rPr>
                <w:rFonts w:ascii="Adobe Caslon Pro" w:hAnsi="Adobe Caslon Pro" w:cs="Calibri"/>
                <w:i/>
                <w:color w:val="000000"/>
                <w:sz w:val="20"/>
                <w:szCs w:val="20"/>
                <w:lang w:eastAsia="es-MX"/>
              </w:rPr>
            </w:pPr>
            <w:r w:rsidRPr="007720FB">
              <w:rPr>
                <w:rFonts w:ascii="Adobe Caslon Pro" w:hAnsi="Adobe Caslon Pro" w:cs="Calibri"/>
                <w:i/>
                <w:color w:val="000000"/>
                <w:sz w:val="20"/>
                <w:szCs w:val="20"/>
                <w:lang w:eastAsia="es-MX"/>
              </w:rPr>
              <w:t xml:space="preserve">Existe una vinculación certera de los objetivos del PESA y de los “Programas” en la Planeación del Estado de Oaxaca y la Nacional, ya que hay objetivos del Plan Estatal de Oaxaca 2011 – 2016, y en el Plan Estratégico Sectorial, Subsector Agrícola 2012 – 2016. </w:t>
            </w:r>
          </w:p>
          <w:p w:rsidR="005C48E8" w:rsidRPr="007720FB" w:rsidRDefault="005C48E8" w:rsidP="00F075EB">
            <w:pPr>
              <w:numPr>
                <w:ilvl w:val="0"/>
                <w:numId w:val="12"/>
              </w:numPr>
              <w:jc w:val="both"/>
              <w:rPr>
                <w:rFonts w:ascii="Adobe Caslon Pro" w:hAnsi="Adobe Caslon Pro" w:cs="Calibri"/>
                <w:i/>
                <w:color w:val="000000"/>
                <w:sz w:val="20"/>
                <w:szCs w:val="20"/>
                <w:lang w:eastAsia="es-MX"/>
              </w:rPr>
            </w:pPr>
            <w:r w:rsidRPr="007720FB">
              <w:rPr>
                <w:rFonts w:ascii="Adobe Caslon Pro" w:hAnsi="Adobe Caslon Pro" w:cs="Calibri"/>
                <w:i/>
                <w:color w:val="000000"/>
                <w:sz w:val="20"/>
                <w:szCs w:val="20"/>
                <w:lang w:eastAsia="es-MX"/>
              </w:rPr>
              <w:t>Definen de manera clara a la población potencial y objetivo, así como los mecanismos de selección de los mismos.</w:t>
            </w:r>
          </w:p>
          <w:p w:rsidR="005C48E8" w:rsidRPr="007720FB" w:rsidRDefault="005C48E8" w:rsidP="00F075EB">
            <w:pPr>
              <w:numPr>
                <w:ilvl w:val="0"/>
                <w:numId w:val="12"/>
              </w:numPr>
              <w:jc w:val="both"/>
              <w:rPr>
                <w:rFonts w:ascii="Adobe Caslon Pro" w:hAnsi="Adobe Caslon Pro" w:cs="Calibri"/>
                <w:i/>
                <w:color w:val="000000"/>
                <w:sz w:val="20"/>
                <w:szCs w:val="20"/>
                <w:lang w:eastAsia="es-MX"/>
              </w:rPr>
            </w:pPr>
            <w:r w:rsidRPr="007720FB">
              <w:rPr>
                <w:rFonts w:ascii="Adobe Caslon Pro" w:hAnsi="Adobe Caslon Pro" w:cs="Calibri"/>
                <w:i/>
                <w:color w:val="000000"/>
                <w:sz w:val="20"/>
                <w:szCs w:val="20"/>
                <w:lang w:eastAsia="es-MX"/>
              </w:rPr>
              <w:t>Se implementan los “Programas “del PESA de acuerdo con los mecanismos normativos “Reglas de Operación”.</w:t>
            </w:r>
          </w:p>
          <w:p w:rsidR="005C48E8" w:rsidRPr="00820925" w:rsidRDefault="005C48E8" w:rsidP="00A56E05">
            <w:pPr>
              <w:ind w:left="360"/>
              <w:jc w:val="both"/>
              <w:rPr>
                <w:rFonts w:ascii="Adobe Caslon Pro" w:hAnsi="Adobe Caslon Pro" w:cs="Calibr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5C48E8" w:rsidRPr="003F6657" w:rsidRDefault="005C48E8" w:rsidP="00F075EB">
            <w:pPr>
              <w:numPr>
                <w:ilvl w:val="0"/>
                <w:numId w:val="46"/>
              </w:numPr>
              <w:jc w:val="both"/>
              <w:rPr>
                <w:rFonts w:ascii="Adobe Caslon Pro" w:hAnsi="Adobe Caslon Pro" w:cs="Calibri"/>
                <w:i/>
                <w:color w:val="000000"/>
                <w:sz w:val="20"/>
                <w:szCs w:val="20"/>
                <w:lang w:eastAsia="es-MX"/>
              </w:rPr>
            </w:pPr>
            <w:r w:rsidRPr="003F6657">
              <w:rPr>
                <w:rFonts w:ascii="Adobe Caslon Pro" w:hAnsi="Adobe Caslon Pro" w:cs="Calibri"/>
                <w:i/>
                <w:color w:val="000000"/>
                <w:sz w:val="20"/>
                <w:szCs w:val="20"/>
                <w:lang w:eastAsia="es-MX"/>
              </w:rPr>
              <w:t>Están definidos estratégicamente y de manera clara los objetivos que buscan alcanzar los “Programas” y con ello el Proyecto Estratégico de Seguridad Alimentaria.</w:t>
            </w:r>
          </w:p>
          <w:p w:rsidR="005C48E8" w:rsidRPr="003F6657" w:rsidRDefault="005C48E8" w:rsidP="00F075EB">
            <w:pPr>
              <w:numPr>
                <w:ilvl w:val="0"/>
                <w:numId w:val="46"/>
              </w:numPr>
              <w:jc w:val="both"/>
              <w:rPr>
                <w:rFonts w:ascii="Adobe Caslon Pro" w:hAnsi="Adobe Caslon Pro" w:cs="Calibri"/>
                <w:i/>
                <w:color w:val="000000"/>
                <w:sz w:val="20"/>
                <w:szCs w:val="20"/>
                <w:lang w:eastAsia="es-MX"/>
              </w:rPr>
            </w:pPr>
            <w:r w:rsidRPr="003F6657">
              <w:rPr>
                <w:rFonts w:ascii="Adobe Caslon Pro" w:hAnsi="Adobe Caslon Pro" w:cs="Calibri"/>
                <w:i/>
                <w:color w:val="000000"/>
                <w:sz w:val="20"/>
                <w:szCs w:val="20"/>
                <w:lang w:eastAsia="es-MX"/>
              </w:rPr>
              <w:t>Se utiliza el Modelo de Gestión para Resultados y es el mecanismo por el cual se establecen las metas y los indicadores para darle seguimiento.</w:t>
            </w:r>
          </w:p>
          <w:p w:rsidR="005C48E8" w:rsidRPr="00F11793" w:rsidRDefault="005C48E8" w:rsidP="00F075EB">
            <w:pPr>
              <w:numPr>
                <w:ilvl w:val="0"/>
                <w:numId w:val="46"/>
              </w:numPr>
              <w:jc w:val="both"/>
              <w:rPr>
                <w:rFonts w:ascii="Adobe Caslon Pro" w:hAnsi="Adobe Caslon Pro" w:cs="Calibri"/>
                <w:color w:val="000000"/>
                <w:sz w:val="20"/>
                <w:szCs w:val="20"/>
                <w:lang w:eastAsia="es-MX"/>
              </w:rPr>
            </w:pPr>
            <w:r w:rsidRPr="003F6657">
              <w:rPr>
                <w:rFonts w:ascii="Adobe Caslon Pro" w:hAnsi="Adobe Caslon Pro" w:cs="Calibri"/>
                <w:i/>
                <w:color w:val="000000"/>
                <w:sz w:val="20"/>
                <w:szCs w:val="20"/>
                <w:lang w:eastAsia="es-MX"/>
              </w:rPr>
              <w:t xml:space="preserve">Se recolecta información necesaria y pertinente sobre la implementación de los “Programas” mediante </w:t>
            </w:r>
            <w:r w:rsidRPr="003F6657">
              <w:rPr>
                <w:rFonts w:ascii="Adobe Caslon Pro" w:hAnsi="Adobe Caslon Pro" w:cs="Calibri"/>
                <w:i/>
                <w:color w:val="000000"/>
                <w:sz w:val="20"/>
                <w:szCs w:val="20"/>
                <w:lang w:eastAsia="es-MX"/>
              </w:rPr>
              <w:lastRenderedPageBreak/>
              <w:t>un sistema de información lo cual coadyuva a medir el desempeño</w:t>
            </w:r>
            <w:r w:rsidRPr="003F6657">
              <w:rPr>
                <w:rFonts w:ascii="Adobe Caslon Pro" w:hAnsi="Adobe Caslon Pro" w:cs="Calibri"/>
                <w:color w:val="000000"/>
                <w:sz w:val="20"/>
                <w:szCs w:val="20"/>
                <w:lang w:eastAsia="es-MX"/>
              </w:rPr>
              <w:t>.</w:t>
            </w:r>
          </w:p>
          <w:p w:rsidR="005C48E8" w:rsidRPr="00813420" w:rsidRDefault="005C48E8" w:rsidP="00A56E05">
            <w:pPr>
              <w:ind w:left="360"/>
              <w:jc w:val="both"/>
              <w:rPr>
                <w:rFonts w:ascii="Adobe Caslon Pro" w:hAnsi="Adobe Caslon Pro" w:cs="Calibri"/>
                <w: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5C48E8" w:rsidRDefault="005C48E8" w:rsidP="00F075EB">
            <w:pPr>
              <w:numPr>
                <w:ilvl w:val="0"/>
                <w:numId w:val="18"/>
              </w:numPr>
              <w:jc w:val="both"/>
              <w:rPr>
                <w:rFonts w:ascii="Adobe Caslon Pro" w:hAnsi="Adobe Caslon Pro" w:cs="Calibri"/>
                <w:i/>
                <w:color w:val="000000"/>
                <w:sz w:val="20"/>
                <w:szCs w:val="20"/>
                <w:lang w:eastAsia="es-MX"/>
              </w:rPr>
            </w:pPr>
            <w:r w:rsidRPr="003F6657">
              <w:rPr>
                <w:rFonts w:ascii="Adobe Caslon Pro" w:hAnsi="Adobe Caslon Pro" w:cs="Calibri"/>
                <w:i/>
                <w:color w:val="000000"/>
                <w:sz w:val="20"/>
                <w:szCs w:val="20"/>
                <w:lang w:eastAsia="es-MX"/>
              </w:rPr>
              <w:t>Se cuenta con dos padrones de beneficiarios para identificar a la población que se le entregan los bienes y servicios de los “Programas” del PESA, sin embargo en uno de ellos no se establece a que programa pertenece.</w:t>
            </w:r>
          </w:p>
          <w:p w:rsidR="005C48E8" w:rsidRPr="003F6657" w:rsidRDefault="005C48E8" w:rsidP="00A56E05">
            <w:pPr>
              <w:ind w:left="720"/>
              <w:jc w:val="both"/>
              <w:rPr>
                <w:rFonts w:ascii="Adobe Caslon Pro" w:hAnsi="Adobe Caslon Pro" w:cs="Calibri"/>
                <w: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5C48E8" w:rsidRPr="00FE46E7" w:rsidRDefault="005C48E8" w:rsidP="00F075EB">
            <w:pPr>
              <w:numPr>
                <w:ilvl w:val="0"/>
                <w:numId w:val="18"/>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Se cuenta con procesos y mecanismos para la selección de los beneficiarios como son las reglas de operación (Criterios de Elegibilidad y de Selección).</w:t>
            </w:r>
          </w:p>
          <w:p w:rsidR="005C48E8" w:rsidRPr="00FE46E7" w:rsidRDefault="005C48E8" w:rsidP="00F075EB">
            <w:pPr>
              <w:numPr>
                <w:ilvl w:val="0"/>
                <w:numId w:val="18"/>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Se cuenta con un sistema de información llamado SURI en él se establecen los registros de los beneficiarios, seguimiento de las metas y la utilización de los recursos.</w:t>
            </w:r>
          </w:p>
          <w:p w:rsidR="005C48E8" w:rsidRPr="00FE46E7" w:rsidRDefault="005C48E8" w:rsidP="00F075EB">
            <w:pPr>
              <w:numPr>
                <w:ilvl w:val="0"/>
                <w:numId w:val="18"/>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Se cuenta con un control administrativo y</w:t>
            </w:r>
            <w:r>
              <w:rPr>
                <w:rFonts w:ascii="Adobe Caslon Pro" w:hAnsi="Adobe Caslon Pro" w:cs="Calibri"/>
                <w:i/>
                <w:color w:val="000000"/>
                <w:sz w:val="20"/>
                <w:szCs w:val="20"/>
                <w:lang w:eastAsia="es-MX"/>
              </w:rPr>
              <w:t xml:space="preserve"> financiero para la operación de </w:t>
            </w:r>
            <w:r w:rsidRPr="00FE46E7">
              <w:rPr>
                <w:rFonts w:ascii="Adobe Caslon Pro" w:hAnsi="Adobe Caslon Pro" w:cs="Calibri"/>
                <w:i/>
                <w:color w:val="000000"/>
                <w:sz w:val="20"/>
                <w:szCs w:val="20"/>
                <w:lang w:eastAsia="es-MX"/>
              </w:rPr>
              <w:t>los “Programas” y del PESA.</w:t>
            </w:r>
          </w:p>
          <w:p w:rsidR="005C48E8" w:rsidRPr="00FE46E7" w:rsidRDefault="005C48E8" w:rsidP="00F075EB">
            <w:pPr>
              <w:numPr>
                <w:ilvl w:val="0"/>
                <w:numId w:val="18"/>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Los procesos utilizados para la operación funcionan de acuerdo con los lineamientos normativos aplicables.</w:t>
            </w:r>
          </w:p>
          <w:p w:rsidR="005C48E8" w:rsidRPr="00FE46E7" w:rsidRDefault="005C48E8" w:rsidP="00F075EB">
            <w:pPr>
              <w:numPr>
                <w:ilvl w:val="0"/>
                <w:numId w:val="18"/>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Los recursos son transferidos en tiempo y forma para poder entregar los bienes y servicios de los “Programas” en el ejercicio fiscal.</w:t>
            </w:r>
          </w:p>
          <w:p w:rsidR="005C48E8" w:rsidRDefault="005C48E8" w:rsidP="00F075EB">
            <w:pPr>
              <w:numPr>
                <w:ilvl w:val="0"/>
                <w:numId w:val="18"/>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Se cuenta con los componentes necesarios para contribuir al Propósito y Fin de las Matrices de Indicador para Resultados de los “Programas”, así como los indicadores pertinentes para medir la relevancia sustantiva del objetivo.</w:t>
            </w:r>
          </w:p>
          <w:p w:rsidR="005C48E8" w:rsidRDefault="005C48E8" w:rsidP="00A56E05">
            <w:pPr>
              <w:jc w:val="both"/>
              <w:rPr>
                <w:rFonts w:ascii="Adobe Caslon Pro" w:hAnsi="Adobe Caslon Pro" w:cs="Calibri"/>
                <w: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5C48E8" w:rsidRPr="00FE46E7" w:rsidRDefault="005C48E8" w:rsidP="00F075EB">
            <w:pPr>
              <w:numPr>
                <w:ilvl w:val="0"/>
                <w:numId w:val="19"/>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La información y los procesos del PESA y los “Programas” permiten la elaboración de una evaluación de impacto para medir los resultados directamente.</w:t>
            </w:r>
          </w:p>
          <w:p w:rsidR="005C48E8" w:rsidRPr="00FE46E7" w:rsidRDefault="005C48E8" w:rsidP="00F075EB">
            <w:pPr>
              <w:numPr>
                <w:ilvl w:val="0"/>
                <w:numId w:val="19"/>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Con base en el SURI se recolecta información referente al desempeño de los “Programas” del PESA.</w:t>
            </w:r>
          </w:p>
          <w:p w:rsidR="005C48E8" w:rsidRDefault="005C48E8" w:rsidP="00A56E05">
            <w:pPr>
              <w:jc w:val="both"/>
              <w:rPr>
                <w:rFonts w:ascii="Adobe Caslon Pro" w:hAnsi="Adobe Caslon Pro" w:cs="Calibr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EJERCICIO</w:t>
            </w:r>
            <w:r w:rsidRPr="00F11793">
              <w:rPr>
                <w:rFonts w:ascii="Adobe Caslon Pro" w:hAnsi="Adobe Caslon Pro" w:cs="Calibri"/>
                <w:color w:val="000000"/>
                <w:sz w:val="20"/>
                <w:szCs w:val="20"/>
                <w:lang w:eastAsia="es-MX"/>
              </w:rPr>
              <w:t xml:space="preserve"> DE LOS RECURSOS</w:t>
            </w:r>
          </w:p>
          <w:p w:rsidR="005C48E8" w:rsidRPr="00FE46E7" w:rsidRDefault="005C48E8" w:rsidP="00F075EB">
            <w:pPr>
              <w:numPr>
                <w:ilvl w:val="0"/>
                <w:numId w:val="20"/>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Los recursos se recibieron en tiempo y forma para la implementación de los “Programas del PESA.</w:t>
            </w:r>
          </w:p>
          <w:p w:rsidR="005C48E8" w:rsidRPr="00FE46E7" w:rsidRDefault="005C48E8" w:rsidP="00F075EB">
            <w:pPr>
              <w:numPr>
                <w:ilvl w:val="0"/>
                <w:numId w:val="20"/>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Se definen en los planes sectoriales los objetivos y las acciones que se van a realizar, así como en las reglas de operación y las Matrices de Indicadores para Resultados de los “Programas”.</w:t>
            </w:r>
          </w:p>
          <w:p w:rsidR="005C48E8" w:rsidRPr="00FE46E7" w:rsidRDefault="005C48E8" w:rsidP="00F075EB">
            <w:pPr>
              <w:numPr>
                <w:ilvl w:val="0"/>
                <w:numId w:val="20"/>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Se cuenta con una Metodología que permite el monitoreo y control de la implementación de los “Programas”.</w:t>
            </w:r>
          </w:p>
          <w:p w:rsidR="005C48E8" w:rsidRPr="00FE46E7" w:rsidRDefault="005C48E8" w:rsidP="00F075EB">
            <w:pPr>
              <w:numPr>
                <w:ilvl w:val="0"/>
                <w:numId w:val="20"/>
              </w:numPr>
              <w:jc w:val="both"/>
              <w:rPr>
                <w:rFonts w:ascii="Adobe Caslon Pro" w:hAnsi="Adobe Caslon Pro" w:cs="Calibri"/>
                <w:i/>
                <w:color w:val="000000"/>
                <w:sz w:val="20"/>
                <w:szCs w:val="20"/>
                <w:lang w:eastAsia="es-MX"/>
              </w:rPr>
            </w:pPr>
            <w:r w:rsidRPr="00FE46E7">
              <w:rPr>
                <w:rFonts w:ascii="Adobe Caslon Pro" w:hAnsi="Adobe Caslon Pro" w:cs="Calibri"/>
                <w:i/>
                <w:color w:val="000000"/>
                <w:sz w:val="20"/>
                <w:szCs w:val="20"/>
                <w:lang w:eastAsia="es-MX"/>
              </w:rPr>
              <w:t>Se cuenta con resultados que demuestran el avance de las metas y la atención a los beneficiaros, así como la contribución a la Cruzada Nacional Contra el Hambre (CNCH).</w:t>
            </w:r>
          </w:p>
          <w:p w:rsidR="005C48E8" w:rsidRPr="000E5651" w:rsidRDefault="005C48E8" w:rsidP="00A56E05">
            <w:pPr>
              <w:ind w:left="720"/>
              <w:jc w:val="both"/>
              <w:rPr>
                <w:rFonts w:ascii="Adobe Caslon Pro" w:hAnsi="Adobe Caslon Pro" w:cs="Calibri"/>
                <w:i/>
                <w:color w:val="000000"/>
                <w:sz w:val="20"/>
                <w:szCs w:val="20"/>
                <w:lang w:eastAsia="es-MX"/>
              </w:rPr>
            </w:pPr>
            <w:r w:rsidRPr="000E5651">
              <w:rPr>
                <w:rFonts w:ascii="Adobe Caslon Pro" w:hAnsi="Adobe Caslon Pro" w:cs="Calibri"/>
                <w:i/>
                <w:color w:val="000000"/>
                <w:sz w:val="20"/>
                <w:szCs w:val="20"/>
                <w:lang w:eastAsia="es-MX"/>
              </w:rPr>
              <w:t xml:space="preserve">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Pr="007B54FC"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2.2.2 Oportunidades</w:t>
            </w:r>
            <w:r>
              <w:rPr>
                <w:rFonts w:ascii="Adobe Caslon Pro" w:hAnsi="Adobe Caslon Pro" w:cs="Calibri"/>
                <w:color w:val="00000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2.2.3 Debilidades</w:t>
            </w:r>
            <w:r>
              <w:rPr>
                <w:rFonts w:ascii="Adobe Caslon Pro" w:hAnsi="Adobe Caslon Pro" w:cs="Calibri"/>
                <w:color w:val="000000"/>
                <w:lang w:eastAsia="es-MX"/>
              </w:rPr>
              <w:t>:</w:t>
            </w: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5C48E8" w:rsidRPr="00537E66" w:rsidRDefault="005C48E8" w:rsidP="00F075EB">
            <w:pPr>
              <w:numPr>
                <w:ilvl w:val="0"/>
                <w:numId w:val="21"/>
              </w:numPr>
              <w:jc w:val="both"/>
              <w:rPr>
                <w:rFonts w:ascii="Adobe Caslon Pro" w:hAnsi="Adobe Caslon Pro" w:cs="Calibri"/>
                <w:i/>
                <w:color w:val="000000"/>
                <w:sz w:val="20"/>
                <w:szCs w:val="20"/>
                <w:lang w:eastAsia="es-MX"/>
              </w:rPr>
            </w:pPr>
            <w:r w:rsidRPr="00537E66">
              <w:rPr>
                <w:rFonts w:ascii="Adobe Caslon Pro" w:hAnsi="Adobe Caslon Pro" w:cs="Calibri"/>
                <w:i/>
                <w:color w:val="000000"/>
                <w:sz w:val="20"/>
                <w:szCs w:val="20"/>
                <w:lang w:eastAsia="es-MX"/>
              </w:rPr>
              <w:t xml:space="preserve">En la lógica horizontal de las Matrices de Indicadores para Resultados de los “Programas”; no se define de manera clara, ya que los medios de verificación no identifican la fuente de información y medio para verificarlo, asimismo para el caso del Programa de apoyo a la Inversión de Equipamiento e Infraestructura no se identifica la lógica de las actividades para entregar los componentes. </w:t>
            </w:r>
          </w:p>
          <w:p w:rsidR="005C48E8" w:rsidRPr="00537E66" w:rsidRDefault="005C48E8" w:rsidP="00F075EB">
            <w:pPr>
              <w:numPr>
                <w:ilvl w:val="0"/>
                <w:numId w:val="21"/>
              </w:numPr>
              <w:jc w:val="both"/>
              <w:rPr>
                <w:rFonts w:ascii="Adobe Caslon Pro" w:hAnsi="Adobe Caslon Pro" w:cs="Calibri"/>
                <w:i/>
                <w:color w:val="000000"/>
                <w:sz w:val="20"/>
                <w:szCs w:val="20"/>
                <w:lang w:eastAsia="es-MX"/>
              </w:rPr>
            </w:pPr>
            <w:r w:rsidRPr="00537E66">
              <w:rPr>
                <w:rFonts w:ascii="Adobe Caslon Pro" w:hAnsi="Adobe Caslon Pro" w:cs="Calibri"/>
                <w:i/>
                <w:color w:val="000000"/>
                <w:sz w:val="20"/>
                <w:szCs w:val="20"/>
                <w:lang w:eastAsia="es-MX"/>
              </w:rPr>
              <w:t>En relación con la Metodología del Marco Lógico se observó que no se utiliza las reglas de redacción para la redacción de los ámbitos de desempeño (Fin, Propósito, Componente y Actividad), lo cual puede cambiar el sentido de la lógica.</w:t>
            </w:r>
          </w:p>
          <w:p w:rsidR="005C48E8" w:rsidRDefault="005C48E8" w:rsidP="00F075EB">
            <w:pPr>
              <w:numPr>
                <w:ilvl w:val="0"/>
                <w:numId w:val="21"/>
              </w:numPr>
              <w:jc w:val="both"/>
              <w:rPr>
                <w:rFonts w:ascii="Adobe Caslon Pro" w:hAnsi="Adobe Caslon Pro" w:cs="Calibri"/>
                <w:color w:val="000000"/>
                <w:sz w:val="20"/>
                <w:szCs w:val="20"/>
                <w:lang w:eastAsia="es-MX"/>
              </w:rPr>
            </w:pPr>
            <w:r w:rsidRPr="00537E66">
              <w:rPr>
                <w:rFonts w:ascii="Adobe Caslon Pro" w:hAnsi="Adobe Caslon Pro" w:cs="Calibri"/>
                <w:i/>
                <w:color w:val="000000"/>
                <w:sz w:val="20"/>
                <w:szCs w:val="20"/>
                <w:lang w:eastAsia="es-MX"/>
              </w:rPr>
              <w:t>No se identifica la línea base para comparación de los resultados y medir el desempeño en una serie de tiempo</w:t>
            </w:r>
            <w:r w:rsidRPr="00537E66">
              <w:rPr>
                <w:rFonts w:ascii="Adobe Caslon Pro" w:hAnsi="Adobe Caslon Pro" w:cs="Calibri"/>
                <w:color w:val="000000"/>
                <w:sz w:val="20"/>
                <w:szCs w:val="20"/>
                <w:lang w:eastAsia="es-MX"/>
              </w:rPr>
              <w:t>.</w:t>
            </w:r>
          </w:p>
          <w:p w:rsidR="005C48E8" w:rsidRDefault="005C48E8" w:rsidP="00A56E05">
            <w:pPr>
              <w:ind w:left="720"/>
              <w:jc w:val="both"/>
              <w:rPr>
                <w:rFonts w:ascii="Adobe Caslon Pro" w:hAnsi="Adobe Caslon Pro" w:cs="Calibr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COBERTURA Y FOCALIZACIÓN</w:t>
            </w:r>
          </w:p>
          <w:p w:rsidR="005C48E8" w:rsidRPr="00537E66" w:rsidRDefault="005C48E8" w:rsidP="00F075EB">
            <w:pPr>
              <w:numPr>
                <w:ilvl w:val="0"/>
                <w:numId w:val="22"/>
              </w:numPr>
              <w:jc w:val="both"/>
              <w:rPr>
                <w:rFonts w:ascii="Adobe Caslon Pro" w:hAnsi="Adobe Caslon Pro" w:cs="Calibri"/>
                <w:i/>
                <w:color w:val="000000"/>
                <w:sz w:val="20"/>
                <w:szCs w:val="20"/>
                <w:lang w:eastAsia="es-MX"/>
              </w:rPr>
            </w:pPr>
            <w:r w:rsidRPr="00537E66">
              <w:rPr>
                <w:rFonts w:ascii="Adobe Caslon Pro" w:hAnsi="Adobe Caslon Pro" w:cs="Calibri"/>
                <w:i/>
                <w:color w:val="000000"/>
                <w:sz w:val="20"/>
                <w:szCs w:val="20"/>
                <w:lang w:eastAsia="es-MX"/>
              </w:rPr>
              <w:t>No se definen en su totalidad padrones de beneficiarios para los “Programas”, así como la pertenencia a un programa.</w:t>
            </w:r>
          </w:p>
          <w:p w:rsidR="005C48E8" w:rsidRPr="00537E66" w:rsidRDefault="005C48E8" w:rsidP="00A56E05">
            <w:pPr>
              <w:jc w:val="both"/>
              <w:rPr>
                <w:rFonts w:ascii="Adobe Caslon Pro" w:hAnsi="Adobe Caslon Pro" w:cs="Calibr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5C48E8" w:rsidRPr="00C56BF3" w:rsidRDefault="005C48E8" w:rsidP="00F075EB">
            <w:pPr>
              <w:numPr>
                <w:ilvl w:val="0"/>
                <w:numId w:val="22"/>
              </w:numPr>
              <w:jc w:val="both"/>
              <w:rPr>
                <w:rFonts w:ascii="Adobe Caslon Pro" w:hAnsi="Adobe Caslon Pro" w:cs="Calibri"/>
                <w:i/>
                <w:color w:val="000000"/>
                <w:sz w:val="20"/>
                <w:szCs w:val="20"/>
                <w:lang w:eastAsia="es-MX"/>
              </w:rPr>
            </w:pPr>
            <w:r w:rsidRPr="00C56BF3">
              <w:rPr>
                <w:rFonts w:ascii="Adobe Caslon Pro" w:hAnsi="Adobe Caslon Pro" w:cs="Calibri"/>
                <w:i/>
                <w:color w:val="000000"/>
                <w:sz w:val="20"/>
                <w:szCs w:val="20"/>
                <w:lang w:eastAsia="es-MX"/>
              </w:rPr>
              <w:t>La evidencia que muestre el seguimiento de los indicadores y así los resultados nos establece, lo cual no permite la visualización de los posibles impactos generados en la población</w:t>
            </w:r>
            <w:r>
              <w:rPr>
                <w:rFonts w:ascii="Adobe Caslon Pro" w:hAnsi="Adobe Caslon Pro" w:cs="Calibri"/>
                <w:i/>
                <w:color w:val="000000"/>
                <w:sz w:val="20"/>
                <w:szCs w:val="20"/>
                <w:lang w:eastAsia="es-MX"/>
              </w:rPr>
              <w:t>.</w:t>
            </w:r>
          </w:p>
          <w:p w:rsidR="005C48E8" w:rsidRPr="00F11793" w:rsidRDefault="005C48E8" w:rsidP="00A56E05">
            <w:pPr>
              <w:ind w:left="360"/>
              <w:jc w:val="both"/>
              <w:rPr>
                <w:rFonts w:ascii="Adobe Caslon Pro" w:hAnsi="Adobe Caslon Pro" w:cs="Calibri"/>
                <w: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PERCEPCIÓN DE LA POBLACIÓN OBJETIVO</w:t>
            </w:r>
          </w:p>
          <w:p w:rsidR="005C48E8" w:rsidRDefault="005C48E8" w:rsidP="00F075EB">
            <w:pPr>
              <w:numPr>
                <w:ilvl w:val="0"/>
                <w:numId w:val="22"/>
              </w:numPr>
              <w:jc w:val="both"/>
              <w:rPr>
                <w:rFonts w:ascii="Adobe Caslon Pro" w:hAnsi="Adobe Caslon Pro" w:cs="Calibri"/>
                <w:i/>
                <w:color w:val="000000"/>
                <w:sz w:val="20"/>
                <w:szCs w:val="20"/>
                <w:lang w:eastAsia="es-MX"/>
              </w:rPr>
            </w:pPr>
            <w:r w:rsidRPr="00C56BF3">
              <w:rPr>
                <w:rFonts w:ascii="Adobe Caslon Pro" w:hAnsi="Adobe Caslon Pro" w:cs="Calibri"/>
                <w:i/>
                <w:color w:val="000000"/>
                <w:sz w:val="20"/>
                <w:szCs w:val="20"/>
                <w:lang w:eastAsia="es-MX"/>
              </w:rPr>
              <w:t>No se cuenta con instrumentos para medir el grado de satisfacción de la población que se atiende de los “Programas”.</w:t>
            </w:r>
          </w:p>
          <w:p w:rsidR="005C48E8" w:rsidRPr="00C56BF3" w:rsidRDefault="005C48E8" w:rsidP="00A56E05">
            <w:pPr>
              <w:jc w:val="both"/>
              <w:rPr>
                <w:rFonts w:ascii="Adobe Caslon Pro" w:hAnsi="Adobe Caslon Pro" w:cs="Calibri"/>
                <w: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5C48E8" w:rsidRDefault="005C48E8" w:rsidP="00F075EB">
            <w:pPr>
              <w:numPr>
                <w:ilvl w:val="0"/>
                <w:numId w:val="13"/>
              </w:numPr>
              <w:jc w:val="both"/>
              <w:rPr>
                <w:rFonts w:ascii="Adobe Caslon Pro" w:hAnsi="Adobe Caslon Pro" w:cs="Calibri"/>
                <w:i/>
                <w:color w:val="000000"/>
                <w:sz w:val="20"/>
                <w:szCs w:val="20"/>
                <w:lang w:eastAsia="es-MX"/>
              </w:rPr>
            </w:pPr>
            <w:r w:rsidRPr="009B6423">
              <w:rPr>
                <w:rFonts w:ascii="Adobe Caslon Pro" w:hAnsi="Adobe Caslon Pro" w:cs="Calibri"/>
                <w:i/>
                <w:color w:val="000000"/>
                <w:sz w:val="20"/>
                <w:szCs w:val="20"/>
                <w:lang w:eastAsia="es-MX"/>
              </w:rPr>
              <w:t>No se han realizado evaluaciones con anterioridad, por el cual no permite una comparación de los resultados obtenidos en otros ejercicios fiscales.</w:t>
            </w:r>
            <w:r w:rsidRPr="00A67C34">
              <w:rPr>
                <w:rFonts w:ascii="Adobe Caslon Pro" w:hAnsi="Adobe Caslon Pro" w:cs="Calibri"/>
                <w:i/>
                <w:color w:val="000000"/>
                <w:sz w:val="20"/>
                <w:szCs w:val="20"/>
                <w:lang w:eastAsia="es-MX"/>
              </w:rPr>
              <w:t xml:space="preserve"> </w:t>
            </w:r>
          </w:p>
          <w:p w:rsidR="005C48E8" w:rsidRPr="00414B7F" w:rsidRDefault="005C48E8" w:rsidP="00A56E05">
            <w:pPr>
              <w:ind w:left="720"/>
              <w:jc w:val="both"/>
              <w:rPr>
                <w:rFonts w:ascii="Adobe Caslon Pro" w:hAnsi="Adobe Caslon Pro" w:cs="Calibri"/>
                <w:i/>
                <w:color w:val="000000"/>
                <w:sz w:val="20"/>
                <w:szCs w:val="20"/>
                <w:lang w:eastAsia="es-MX"/>
              </w:rPr>
            </w:pP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2.2.4 Amenazas</w:t>
            </w:r>
            <w:r>
              <w:rPr>
                <w:rFonts w:ascii="Adobe Caslon Pro" w:hAnsi="Adobe Caslon Pro" w:cs="Calibri"/>
                <w:color w:val="000000"/>
                <w:lang w:eastAsia="es-MX"/>
              </w:rPr>
              <w:t>:</w:t>
            </w:r>
          </w:p>
        </w:tc>
      </w:tr>
      <w:tr w:rsidR="005C48E8" w:rsidRPr="004F6AC5"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5C48E8" w:rsidRPr="00066E84" w:rsidRDefault="005C48E8" w:rsidP="00A56E05">
            <w:pPr>
              <w:jc w:val="center"/>
              <w:rPr>
                <w:rFonts w:ascii="Adobe Caslon Pro" w:hAnsi="Adobe Caslon Pro" w:cs="Calibri"/>
                <w:color w:val="000000"/>
                <w:lang w:eastAsia="es-MX"/>
              </w:rPr>
            </w:pP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3. Conclusiones y recomendaciones de la evaluación</w:t>
            </w:r>
          </w:p>
        </w:tc>
      </w:tr>
      <w:tr w:rsidR="005C48E8" w:rsidRPr="004F6AC5" w:rsidTr="00A56E05">
        <w:trPr>
          <w:trHeight w:val="110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Default="005C48E8" w:rsidP="00F075EB">
            <w:pPr>
              <w:numPr>
                <w:ilvl w:val="1"/>
                <w:numId w:val="15"/>
              </w:numPr>
              <w:rPr>
                <w:rFonts w:ascii="Adobe Caslon Pro" w:hAnsi="Adobe Caslon Pro" w:cs="Calibri"/>
                <w:color w:val="000000"/>
                <w:lang w:eastAsia="es-MX"/>
              </w:rPr>
            </w:pPr>
            <w:r w:rsidRPr="00066E84">
              <w:rPr>
                <w:rFonts w:ascii="Adobe Caslon Pro" w:hAnsi="Adobe Caslon Pro" w:cs="Calibri"/>
                <w:color w:val="000000"/>
                <w:lang w:eastAsia="es-MX"/>
              </w:rPr>
              <w:t>Describir brevemente las conclusiones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B87B9E">
              <w:rPr>
                <w:rFonts w:ascii="Adobe Caslon Pro" w:hAnsi="Adobe Caslon Pro" w:cs="Calibri"/>
                <w:i/>
                <w:color w:val="000000"/>
                <w:sz w:val="20"/>
                <w:szCs w:val="20"/>
                <w:lang w:eastAsia="es-MX"/>
              </w:rPr>
              <w:t>En la parte del Diseño se utilizaron las Matrices de Indicadores para Resultados de los tres “Programas”, dichas matrices son de origen federal, ya que el Estado de Oaxaca con la coordinación de la Secretaría de Desarrollo Agropecuario, Forestal, Pesca y Acuacultura (SEDAFPA) se basó en las acciones establecidas en ellas para el ejercicio fiscal 2013.</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45212C">
              <w:rPr>
                <w:rFonts w:ascii="Adobe Caslon Pro" w:hAnsi="Adobe Caslon Pro" w:cs="Calibri"/>
                <w:i/>
                <w:color w:val="000000"/>
                <w:sz w:val="20"/>
                <w:szCs w:val="20"/>
                <w:lang w:eastAsia="es-MX"/>
              </w:rPr>
              <w:t>La evaluación de las lógicas demostró que en la lógica vertical se validan en su totalidad los ámbitos de desempeño, por la causalidad de las Actividades y Componentes para contribuir en el Propósito y Fin, en esta línea el enfoque se distorsiona por la redacción de los objetivos, así como el orden de las actividades para entregar los bienes y servicios, lo que es recomendable utilizar las reglas de redacción de la guía para la construcción de las MIR</w:t>
            </w:r>
            <w:r>
              <w:rPr>
                <w:rFonts w:ascii="Adobe Caslon Pro" w:hAnsi="Adobe Caslon Pro" w:cs="Calibri"/>
                <w:i/>
                <w:color w:val="000000"/>
                <w:sz w:val="20"/>
                <w:szCs w:val="20"/>
                <w:lang w:eastAsia="es-MX"/>
              </w:rPr>
              <w:t>.</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45212C">
              <w:rPr>
                <w:rFonts w:ascii="Adobe Caslon Pro" w:hAnsi="Adobe Caslon Pro" w:cs="Calibri"/>
                <w:i/>
                <w:color w:val="000000"/>
                <w:sz w:val="20"/>
                <w:szCs w:val="20"/>
                <w:lang w:eastAsia="es-MX"/>
              </w:rPr>
              <w:t>La Planeación Estratégica es clara, y se relaciona con el Plan Nacional y el Estatal, esto mediante el mejoramiento de las condiciones de los productores rurales, así mismo se relaciona con la estrategia nacional llamada Cruzada Nacional Contra el Hambre (CNCH).</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45212C">
              <w:rPr>
                <w:rFonts w:ascii="Adobe Caslon Pro" w:hAnsi="Adobe Caslon Pro" w:cs="Calibri"/>
                <w:i/>
                <w:color w:val="000000"/>
                <w:sz w:val="20"/>
                <w:szCs w:val="20"/>
                <w:lang w:eastAsia="es-MX"/>
              </w:rPr>
              <w:t>Para la Cobertura y Focalización, así como la percepción de la población objetivo, se identificó que se cuenta en su totalidad con un padrón de beneficiarios y con otros documentos que demuestran la entrega los bienes y servicios de cada uno de los “Programas” a los productores rurales</w:t>
            </w:r>
            <w:r>
              <w:rPr>
                <w:rFonts w:ascii="Adobe Caslon Pro" w:hAnsi="Adobe Caslon Pro" w:cs="Calibri"/>
                <w:i/>
                <w:color w:val="000000"/>
                <w:sz w:val="20"/>
                <w:szCs w:val="20"/>
                <w:lang w:eastAsia="es-MX"/>
              </w:rPr>
              <w:t>.</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45212C">
              <w:rPr>
                <w:rFonts w:ascii="Adobe Caslon Pro" w:hAnsi="Adobe Caslon Pro" w:cs="Calibri"/>
                <w:i/>
                <w:color w:val="000000"/>
                <w:sz w:val="20"/>
                <w:szCs w:val="20"/>
                <w:lang w:eastAsia="es-MX"/>
              </w:rPr>
              <w:t xml:space="preserve">La Operación de los “Programas” del PESA se basa en la Metodología PESA que busca sistematizar con tres momentos los objetivos de seguridad alimentaria e incremento del ingreso estos procesos son: I) Promocional II) Producción de alimentos y III) Generación de Ingresos.  </w:t>
            </w:r>
          </w:p>
          <w:p w:rsidR="005C48E8" w:rsidRDefault="005C48E8" w:rsidP="00F075EB">
            <w:pPr>
              <w:numPr>
                <w:ilvl w:val="0"/>
                <w:numId w:val="24"/>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w:t>
            </w:r>
            <w:r w:rsidRPr="00A31F49">
              <w:rPr>
                <w:rFonts w:ascii="Adobe Caslon Pro" w:hAnsi="Adobe Caslon Pro" w:cs="Calibri"/>
                <w:i/>
                <w:color w:val="000000"/>
                <w:sz w:val="20"/>
                <w:szCs w:val="20"/>
                <w:lang w:eastAsia="es-MX"/>
              </w:rPr>
              <w:t>n cuestión del seguimiento para el desempeño de los “Programas” en las Matrices de Indicadores para Resultados; no se observó evidencia del seguimiento de metas e indicadores de los mismos, cabe señalar que se encuentra un documento llamado “Finiquito de Cierre” del ejercicio fiscal 2013, en él se establecen las metas, el total de beneficiarios y la contribución con la Cruzada Nacional Contra el Hambre como Resultados de los “Programas” del PESA.</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A31F49">
              <w:rPr>
                <w:rFonts w:ascii="Adobe Caslon Pro" w:hAnsi="Adobe Caslon Pro" w:cs="Calibri"/>
                <w:i/>
                <w:color w:val="000000"/>
                <w:sz w:val="20"/>
                <w:szCs w:val="20"/>
                <w:lang w:eastAsia="es-MX"/>
              </w:rPr>
              <w:t>Los recursos se estiman en el Presupuesto de Egresos de la Federación, en base a lo anterior la SEDAFPA recibe en tiempo y forma los recursos para la implementación del PESA en Oaxaca, donde se realiza un convenio de colaboración administrativa de los programas de la SAGARPA / SEDAFPA.</w:t>
            </w:r>
          </w:p>
          <w:p w:rsidR="005C48E8" w:rsidRPr="00100831" w:rsidRDefault="005C48E8" w:rsidP="00A56E05">
            <w:pPr>
              <w:ind w:left="1080"/>
              <w:jc w:val="both"/>
              <w:rPr>
                <w:rFonts w:ascii="Adobe Caslon Pro" w:hAnsi="Adobe Caslon Pro" w:cs="Calibri"/>
                <w:i/>
                <w:color w:val="000000"/>
                <w:sz w:val="20"/>
                <w:szCs w:val="20"/>
                <w:lang w:eastAsia="es-MX"/>
              </w:rPr>
            </w:pPr>
          </w:p>
        </w:tc>
      </w:tr>
      <w:tr w:rsidR="005C48E8" w:rsidRPr="004F6AC5" w:rsidTr="00A56E05">
        <w:trPr>
          <w:trHeight w:val="525"/>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5C48E8" w:rsidRPr="00066E84" w:rsidRDefault="005C48E8" w:rsidP="00F075EB">
            <w:pPr>
              <w:numPr>
                <w:ilvl w:val="1"/>
                <w:numId w:val="14"/>
              </w:numPr>
              <w:rPr>
                <w:rFonts w:ascii="Adobe Caslon Pro" w:hAnsi="Adobe Caslon Pro" w:cs="Calibri"/>
                <w:color w:val="000000"/>
                <w:lang w:eastAsia="es-MX"/>
              </w:rPr>
            </w:pPr>
            <w:r>
              <w:rPr>
                <w:rFonts w:ascii="Adobe Caslon Pro" w:hAnsi="Adobe Caslon Pro" w:cs="Calibri"/>
                <w:color w:val="000000"/>
                <w:lang w:eastAsia="es-MX"/>
              </w:rPr>
              <w:lastRenderedPageBreak/>
              <w:t>Describir</w:t>
            </w:r>
            <w:r w:rsidRPr="00066E84">
              <w:rPr>
                <w:rFonts w:ascii="Adobe Caslon Pro" w:hAnsi="Adobe Caslon Pro" w:cs="Calibri"/>
                <w:color w:val="000000"/>
                <w:lang w:eastAsia="es-MX"/>
              </w:rPr>
              <w:t xml:space="preserve"> las recomendaciones de acuerdo a su relevancia:</w:t>
            </w:r>
          </w:p>
        </w:tc>
      </w:tr>
      <w:tr w:rsidR="005C48E8" w:rsidRPr="004F6AC5"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5C48E8" w:rsidRDefault="005C48E8"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DISEÑO</w:t>
            </w:r>
          </w:p>
          <w:p w:rsidR="005C48E8" w:rsidRPr="00755905" w:rsidRDefault="005C48E8" w:rsidP="00F075EB">
            <w:pPr>
              <w:numPr>
                <w:ilvl w:val="0"/>
                <w:numId w:val="13"/>
              </w:numPr>
              <w:jc w:val="both"/>
              <w:rPr>
                <w:rFonts w:ascii="Adobe Caslon Pro" w:hAnsi="Adobe Caslon Pro" w:cs="Calibri"/>
                <w:i/>
                <w:color w:val="000000"/>
                <w:sz w:val="20"/>
                <w:szCs w:val="20"/>
                <w:lang w:eastAsia="es-MX"/>
              </w:rPr>
            </w:pPr>
            <w:r w:rsidRPr="00755905">
              <w:rPr>
                <w:rFonts w:ascii="Adobe Caslon Pro" w:hAnsi="Adobe Caslon Pro" w:cs="Calibri"/>
                <w:i/>
                <w:color w:val="000000"/>
                <w:sz w:val="20"/>
                <w:szCs w:val="20"/>
                <w:lang w:eastAsia="es-MX"/>
              </w:rPr>
              <w:t>Utilizar Matrices de Indicadores para Resultados adaptadas al Estado de Oaxaca, ya que se utilizaron en esta evaluación las propuestas por la federación. Asimismo mejorar los puntos de la lógica vertical en los ámbitos de desempeño y la lógica horizontal en los medios de verificación y los supuestos, así como la relación de las actividades para entregar componentes, es decir, que actividad</w:t>
            </w:r>
            <w:r>
              <w:rPr>
                <w:rFonts w:ascii="Adobe Caslon Pro" w:hAnsi="Adobe Caslon Pro" w:cs="Calibri"/>
                <w:i/>
                <w:color w:val="000000"/>
                <w:sz w:val="20"/>
                <w:szCs w:val="20"/>
                <w:lang w:eastAsia="es-MX"/>
              </w:rPr>
              <w:t xml:space="preserve"> </w:t>
            </w:r>
            <w:r w:rsidRPr="00755905">
              <w:rPr>
                <w:rFonts w:ascii="Adobe Caslon Pro" w:hAnsi="Adobe Caslon Pro" w:cs="Calibri"/>
                <w:i/>
                <w:color w:val="000000"/>
                <w:sz w:val="20"/>
                <w:szCs w:val="20"/>
                <w:lang w:eastAsia="es-MX"/>
              </w:rPr>
              <w:t>es de cada componente.</w:t>
            </w:r>
          </w:p>
          <w:p w:rsidR="005C48E8" w:rsidRPr="00755905" w:rsidRDefault="005C48E8" w:rsidP="00F075EB">
            <w:pPr>
              <w:numPr>
                <w:ilvl w:val="0"/>
                <w:numId w:val="13"/>
              </w:numPr>
              <w:jc w:val="both"/>
              <w:rPr>
                <w:rFonts w:ascii="Adobe Caslon Pro" w:hAnsi="Adobe Caslon Pro" w:cs="Calibri"/>
                <w:i/>
                <w:color w:val="000000"/>
                <w:sz w:val="20"/>
                <w:szCs w:val="20"/>
                <w:lang w:eastAsia="es-MX"/>
              </w:rPr>
            </w:pPr>
            <w:r w:rsidRPr="00755905">
              <w:rPr>
                <w:rFonts w:ascii="Adobe Caslon Pro" w:hAnsi="Adobe Caslon Pro" w:cs="Calibri"/>
                <w:i/>
                <w:color w:val="000000"/>
                <w:sz w:val="20"/>
                <w:szCs w:val="20"/>
                <w:lang w:eastAsia="es-MX"/>
              </w:rPr>
              <w:t>Adecuar para la utilización de las Matrices de Indicadores para Resultados por parte del Estado de Oaxaca, los objetivos de los ámbitos de desempeño en base a las reglas de redacción establecidas en la Metodología del Marco Lógico.</w:t>
            </w:r>
          </w:p>
          <w:p w:rsidR="005C48E8" w:rsidRDefault="005C48E8" w:rsidP="00F075EB">
            <w:pPr>
              <w:numPr>
                <w:ilvl w:val="0"/>
                <w:numId w:val="13"/>
              </w:numPr>
              <w:jc w:val="both"/>
              <w:rPr>
                <w:rFonts w:ascii="Adobe Caslon Pro" w:hAnsi="Adobe Caslon Pro" w:cs="Calibri"/>
                <w:i/>
                <w:color w:val="000000"/>
                <w:sz w:val="20"/>
                <w:szCs w:val="20"/>
                <w:lang w:eastAsia="es-MX"/>
              </w:rPr>
            </w:pPr>
            <w:r w:rsidRPr="00755905">
              <w:rPr>
                <w:rFonts w:ascii="Adobe Caslon Pro" w:hAnsi="Adobe Caslon Pro" w:cs="Calibri"/>
                <w:i/>
                <w:color w:val="000000"/>
                <w:sz w:val="20"/>
                <w:szCs w:val="20"/>
                <w:lang w:eastAsia="es-MX"/>
              </w:rPr>
              <w:t>Se recomienda establecer los puntos de comparación llamado líneas bases para los “Programas” del PESA, y así tener una mejor referencia para los resultados.</w:t>
            </w:r>
          </w:p>
          <w:p w:rsidR="005C48E8" w:rsidRDefault="005C48E8" w:rsidP="00A56E05">
            <w:pPr>
              <w:ind w:left="720"/>
              <w:jc w:val="both"/>
              <w:rPr>
                <w:rFonts w:ascii="Adobe Caslon Pro" w:hAnsi="Adobe Caslon Pro" w:cs="Calibri"/>
                <w: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5C48E8" w:rsidRPr="00755905" w:rsidRDefault="005C48E8" w:rsidP="00F075EB">
            <w:pPr>
              <w:numPr>
                <w:ilvl w:val="0"/>
                <w:numId w:val="23"/>
              </w:numPr>
              <w:jc w:val="both"/>
              <w:rPr>
                <w:rFonts w:ascii="Adobe Caslon Pro" w:hAnsi="Adobe Caslon Pro" w:cs="Calibri"/>
                <w:i/>
                <w:color w:val="000000"/>
                <w:sz w:val="20"/>
                <w:szCs w:val="20"/>
                <w:lang w:eastAsia="es-MX"/>
              </w:rPr>
            </w:pPr>
            <w:r w:rsidRPr="00755905">
              <w:rPr>
                <w:rFonts w:ascii="Adobe Caslon Pro" w:hAnsi="Adobe Caslon Pro" w:cs="Calibri"/>
                <w:i/>
                <w:color w:val="000000"/>
                <w:sz w:val="20"/>
                <w:szCs w:val="20"/>
                <w:lang w:eastAsia="es-MX"/>
              </w:rPr>
              <w:t>Establecer los padrones de beneficiarios faltantes para un mejor control interno del Estado de Oaxaca con relación a los bienes y servicios que se entregan, así como la adaptación de los ya existente para poder identificar a que programa pertenece.</w:t>
            </w:r>
          </w:p>
          <w:p w:rsidR="005C48E8" w:rsidRDefault="005C48E8" w:rsidP="00A56E05">
            <w:pPr>
              <w:jc w:val="both"/>
              <w:rPr>
                <w:rFonts w:ascii="Adobe Caslon Pro" w:hAnsi="Adobe Caslon Pro" w:cs="Calibr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5C48E8" w:rsidRPr="00755905" w:rsidRDefault="005C48E8" w:rsidP="00F075EB">
            <w:pPr>
              <w:numPr>
                <w:ilvl w:val="0"/>
                <w:numId w:val="23"/>
              </w:numPr>
              <w:jc w:val="both"/>
              <w:rPr>
                <w:rFonts w:ascii="Adobe Caslon Pro" w:hAnsi="Adobe Caslon Pro" w:cs="Calibri"/>
                <w:i/>
                <w:color w:val="000000"/>
                <w:sz w:val="20"/>
                <w:szCs w:val="20"/>
                <w:lang w:eastAsia="es-MX"/>
              </w:rPr>
            </w:pPr>
            <w:r w:rsidRPr="00755905">
              <w:rPr>
                <w:rFonts w:ascii="Adobe Caslon Pro" w:hAnsi="Adobe Caslon Pro" w:cs="Calibri"/>
                <w:i/>
                <w:color w:val="000000"/>
                <w:sz w:val="20"/>
                <w:szCs w:val="20"/>
                <w:lang w:eastAsia="es-MX"/>
              </w:rPr>
              <w:t>Se recomienda transparentar los resultados relacionados con los “Programas” del PESA, en las páginas oficiales, en el caso de que no se les dé seguimiento, es de gran importancia hacerlo.</w:t>
            </w:r>
          </w:p>
          <w:p w:rsidR="005C48E8" w:rsidRPr="00755905" w:rsidRDefault="005C48E8" w:rsidP="00A56E05">
            <w:pPr>
              <w:ind w:left="720"/>
              <w:jc w:val="both"/>
              <w:rPr>
                <w:rFonts w:ascii="Adobe Caslon Pro" w:hAnsi="Adobe Caslon Pro" w:cs="Calibri"/>
                <w:color w:val="000000"/>
                <w:sz w:val="20"/>
                <w:szCs w:val="20"/>
                <w:lang w:eastAsia="es-MX"/>
              </w:rPr>
            </w:pPr>
          </w:p>
          <w:p w:rsidR="005C48E8" w:rsidRPr="00755905" w:rsidRDefault="005C48E8" w:rsidP="00A56E05">
            <w:pPr>
              <w:jc w:val="both"/>
              <w:rPr>
                <w:rFonts w:ascii="Adobe Caslon Pro" w:hAnsi="Adobe Caslon Pro" w:cs="Calibri"/>
                <w:color w:val="000000"/>
                <w:sz w:val="20"/>
                <w:szCs w:val="20"/>
                <w:lang w:eastAsia="es-MX"/>
              </w:rPr>
            </w:pPr>
            <w:r w:rsidRPr="00755905">
              <w:rPr>
                <w:rFonts w:ascii="Adobe Caslon Pro" w:hAnsi="Adobe Caslon Pro" w:cs="Calibri"/>
                <w:color w:val="000000"/>
                <w:sz w:val="20"/>
                <w:szCs w:val="20"/>
                <w:lang w:eastAsia="es-MX"/>
              </w:rPr>
              <w:t>PERCEPCIÓN DE LA POBLACIÓN OBJETIVO</w:t>
            </w:r>
          </w:p>
          <w:p w:rsidR="005C48E8" w:rsidRDefault="005C48E8" w:rsidP="00F075EB">
            <w:pPr>
              <w:numPr>
                <w:ilvl w:val="0"/>
                <w:numId w:val="23"/>
              </w:numPr>
              <w:jc w:val="both"/>
              <w:rPr>
                <w:rFonts w:ascii="Adobe Caslon Pro" w:hAnsi="Adobe Caslon Pro" w:cs="Calibri"/>
                <w:i/>
                <w:color w:val="000000"/>
                <w:sz w:val="20"/>
                <w:szCs w:val="20"/>
                <w:lang w:eastAsia="es-MX"/>
              </w:rPr>
            </w:pPr>
            <w:r w:rsidRPr="00755905">
              <w:rPr>
                <w:rFonts w:ascii="Adobe Caslon Pro" w:hAnsi="Adobe Caslon Pro" w:cs="Calibri"/>
                <w:i/>
                <w:color w:val="000000"/>
                <w:sz w:val="20"/>
                <w:szCs w:val="20"/>
                <w:lang w:eastAsia="es-MX"/>
              </w:rPr>
              <w:t>Se recomienda aplicar un cuestionario, encuesta o entrevistas, que den fe de la satisfacción de los usuarios de los bienes y servicios que se otorgan a través del programa, con la finalidad de obtener información que permita mejorar la operación del programa, y con ello,  la percepción de los beneficiarios.</w:t>
            </w:r>
          </w:p>
          <w:p w:rsidR="005C48E8" w:rsidRPr="00755905" w:rsidRDefault="005C48E8" w:rsidP="00A56E05">
            <w:pPr>
              <w:jc w:val="both"/>
              <w:rPr>
                <w:rFonts w:ascii="Adobe Caslon Pro" w:hAnsi="Adobe Caslon Pro" w:cs="Calibri"/>
                <w: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5C48E8" w:rsidRDefault="005C48E8" w:rsidP="00F075EB">
            <w:pPr>
              <w:numPr>
                <w:ilvl w:val="0"/>
                <w:numId w:val="23"/>
              </w:numPr>
              <w:jc w:val="both"/>
              <w:rPr>
                <w:rFonts w:ascii="Adobe Caslon Pro" w:hAnsi="Adobe Caslon Pro" w:cs="Calibri"/>
                <w:i/>
                <w:color w:val="000000"/>
                <w:sz w:val="20"/>
                <w:szCs w:val="20"/>
                <w:lang w:eastAsia="es-MX"/>
              </w:rPr>
            </w:pPr>
            <w:r w:rsidRPr="00755905">
              <w:rPr>
                <w:rFonts w:ascii="Adobe Caslon Pro" w:hAnsi="Adobe Caslon Pro" w:cs="Calibri"/>
                <w:i/>
                <w:color w:val="000000"/>
                <w:sz w:val="20"/>
                <w:szCs w:val="20"/>
                <w:lang w:eastAsia="es-MX"/>
              </w:rPr>
              <w:t>Dar seguimiento a las evaluaciones del Proyecto Estratégico de Seguridad Alimentaria, y así mejorar la implementación de los “Programas”.</w:t>
            </w:r>
          </w:p>
          <w:p w:rsidR="005C48E8" w:rsidRPr="00755905" w:rsidRDefault="005C48E8" w:rsidP="00A56E05">
            <w:pPr>
              <w:ind w:left="720"/>
              <w:jc w:val="both"/>
              <w:rPr>
                <w:rFonts w:ascii="Adobe Caslon Pro" w:hAnsi="Adobe Caslon Pro" w:cs="Calibri"/>
                <w:i/>
                <w:color w:val="000000"/>
                <w:sz w:val="20"/>
                <w:szCs w:val="20"/>
                <w:lang w:eastAsia="es-MX"/>
              </w:rPr>
            </w:pPr>
          </w:p>
        </w:tc>
      </w:tr>
      <w:tr w:rsidR="005C48E8" w:rsidRPr="004F6AC5" w:rsidTr="00A56E05">
        <w:trPr>
          <w:trHeight w:val="105"/>
          <w:jc w:val="center"/>
        </w:trPr>
        <w:tc>
          <w:tcPr>
            <w:tcW w:w="579"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2375"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r>
      <w:tr w:rsidR="005C48E8" w:rsidRPr="004F6AC5"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4.1 Nombre del coordinador de la evaluación</w:t>
            </w:r>
            <w:r>
              <w:rPr>
                <w:rFonts w:ascii="Adobe Caslon Pro" w:hAnsi="Adobe Caslon Pro" w:cs="Calibri"/>
                <w:color w:val="000000"/>
                <w:lang w:eastAsia="es-MX"/>
              </w:rPr>
              <w:t>:</w:t>
            </w:r>
          </w:p>
          <w:p w:rsidR="005C48E8" w:rsidRPr="005C31CA" w:rsidRDefault="005C48E8"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Dra. Luz Elvia Rascón </w:t>
            </w:r>
            <w:proofErr w:type="spellStart"/>
            <w:r>
              <w:rPr>
                <w:rFonts w:ascii="Adobe Caslon Pro" w:hAnsi="Adobe Caslon Pro" w:cs="Calibri"/>
                <w:i/>
                <w:color w:val="000000"/>
                <w:sz w:val="20"/>
                <w:lang w:eastAsia="es-MX"/>
              </w:rPr>
              <w:t>Manquero</w:t>
            </w:r>
            <w:proofErr w:type="spellEnd"/>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4.2 Cargo</w:t>
            </w:r>
            <w:r>
              <w:rPr>
                <w:rFonts w:ascii="Adobe Caslon Pro" w:hAnsi="Adobe Caslon Pro" w:cs="Calibri"/>
                <w:color w:val="000000"/>
                <w:lang w:eastAsia="es-MX"/>
              </w:rPr>
              <w:t>:</w:t>
            </w:r>
          </w:p>
          <w:p w:rsidR="005C48E8" w:rsidRPr="005C31CA" w:rsidRDefault="005C48E8" w:rsidP="00A56E05">
            <w:pPr>
              <w:rPr>
                <w:rFonts w:ascii="Adobe Caslon Pro" w:hAnsi="Adobe Caslon Pro" w:cs="Calibri"/>
                <w:i/>
                <w:color w:val="000000"/>
                <w:lang w:eastAsia="es-MX"/>
              </w:rPr>
            </w:pPr>
            <w:r>
              <w:rPr>
                <w:rFonts w:ascii="Adobe Caslon Pro" w:hAnsi="Adobe Caslon Pro" w:cs="Calibri"/>
                <w:i/>
                <w:color w:val="000000"/>
                <w:sz w:val="20"/>
                <w:lang w:eastAsia="es-MX"/>
              </w:rPr>
              <w:t>Directora del Sistema Integral de Información</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4.3 Institución a la que pertenece</w:t>
            </w:r>
            <w:r>
              <w:rPr>
                <w:rFonts w:ascii="Adobe Caslon Pro" w:hAnsi="Adobe Caslon Pro" w:cs="Calibri"/>
                <w:color w:val="000000"/>
                <w:lang w:eastAsia="es-MX"/>
              </w:rPr>
              <w:t>:</w:t>
            </w:r>
            <w:r w:rsidRPr="00066E84">
              <w:rPr>
                <w:rFonts w:ascii="Adobe Caslon Pro" w:hAnsi="Adobe Caslon Pro" w:cs="Calibri"/>
                <w:color w:val="000000"/>
                <w:lang w:eastAsia="es-MX"/>
              </w:rPr>
              <w:t xml:space="preserve">  </w:t>
            </w:r>
          </w:p>
          <w:p w:rsidR="005C48E8" w:rsidRPr="00DF7C94" w:rsidRDefault="005C48E8" w:rsidP="00A56E05">
            <w:pPr>
              <w:rPr>
                <w:rFonts w:ascii="Adobe Caslon Pro" w:hAnsi="Adobe Caslon Pro" w:cs="Calibri"/>
                <w:i/>
                <w:color w:val="000000"/>
                <w:lang w:eastAsia="es-MX"/>
              </w:rPr>
            </w:pPr>
            <w:r w:rsidRPr="00DF7C94">
              <w:rPr>
                <w:rFonts w:ascii="Adobe Caslon Pro" w:hAnsi="Adobe Caslon Pro" w:cs="Calibri"/>
                <w:i/>
                <w:color w:val="000000"/>
                <w:sz w:val="20"/>
                <w:lang w:eastAsia="es-MX"/>
              </w:rPr>
              <w:t>Instituto para el Desarrollo Técnico de las Haciendas Públicas (INDETEC)</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4.4 Principales colaboradores</w:t>
            </w:r>
            <w:r>
              <w:rPr>
                <w:rFonts w:ascii="Adobe Caslon Pro" w:hAnsi="Adobe Caslon Pro" w:cs="Calibri"/>
                <w:color w:val="000000"/>
                <w:lang w:eastAsia="es-MX"/>
              </w:rPr>
              <w:t>:</w:t>
            </w:r>
          </w:p>
          <w:p w:rsidR="005C48E8" w:rsidRPr="00DF7C94" w:rsidRDefault="005C48E8" w:rsidP="00A56E05">
            <w:pPr>
              <w:rPr>
                <w:rFonts w:ascii="Adobe Caslon Pro" w:hAnsi="Adobe Caslon Pro" w:cs="Calibri"/>
                <w:i/>
                <w:color w:val="000000"/>
                <w:lang w:eastAsia="es-MX"/>
              </w:rPr>
            </w:pPr>
            <w:r w:rsidRPr="0025249F">
              <w:rPr>
                <w:rFonts w:ascii="Adobe Caslon Pro" w:hAnsi="Adobe Caslon Pro" w:cs="Calibri"/>
                <w:i/>
                <w:color w:val="000000"/>
                <w:sz w:val="20"/>
                <w:lang w:eastAsia="es-MX"/>
              </w:rPr>
              <w:t>Lic. Arturo Alejandro Preciado Marín</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4.5 Correo electrónico del coordinador de la evaluación</w:t>
            </w:r>
            <w:r>
              <w:rPr>
                <w:rFonts w:ascii="Adobe Caslon Pro" w:hAnsi="Adobe Caslon Pro" w:cs="Calibri"/>
                <w:color w:val="000000"/>
                <w:lang w:eastAsia="es-MX"/>
              </w:rPr>
              <w:t>:</w:t>
            </w:r>
          </w:p>
          <w:p w:rsidR="005C48E8" w:rsidRPr="00335A49" w:rsidRDefault="005C48E8" w:rsidP="00A56E05">
            <w:pPr>
              <w:rPr>
                <w:rFonts w:ascii="Adobe Caslon Pro" w:hAnsi="Adobe Caslon Pro" w:cs="Calibri"/>
                <w:color w:val="000000"/>
                <w:lang w:eastAsia="es-MX"/>
              </w:rPr>
            </w:pPr>
            <w:r w:rsidRPr="00335A49">
              <w:rPr>
                <w:rFonts w:ascii="Adobe Caslon Pro" w:hAnsi="Adobe Caslon Pro" w:cs="Calibri"/>
                <w:i/>
                <w:color w:val="000000"/>
                <w:sz w:val="20"/>
                <w:u w:val="single"/>
                <w:lang w:eastAsia="es-MX"/>
              </w:rPr>
              <w:t>lrasconm@indetec.gob.mx</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4.6 Teléfono (con clave lada)</w:t>
            </w:r>
            <w:r>
              <w:rPr>
                <w:rFonts w:ascii="Adobe Caslon Pro" w:hAnsi="Adobe Caslon Pro" w:cs="Calibri"/>
                <w:color w:val="000000"/>
                <w:lang w:eastAsia="es-MX"/>
              </w:rPr>
              <w:t>:</w:t>
            </w:r>
          </w:p>
          <w:p w:rsidR="005C48E8" w:rsidRPr="00DF7C94" w:rsidRDefault="005C48E8" w:rsidP="00A56E05">
            <w:pPr>
              <w:rPr>
                <w:rFonts w:ascii="Adobe Caslon Pro" w:hAnsi="Adobe Caslon Pro" w:cs="Calibri"/>
                <w:i/>
                <w:color w:val="000000"/>
                <w:lang w:eastAsia="es-MX"/>
              </w:rPr>
            </w:pPr>
            <w:r>
              <w:rPr>
                <w:rFonts w:ascii="Adobe Caslon Pro" w:hAnsi="Adobe Caslon Pro" w:cs="Calibri"/>
                <w:i/>
                <w:color w:val="000000"/>
                <w:sz w:val="20"/>
                <w:lang w:eastAsia="es-MX"/>
              </w:rPr>
              <w:t>01 (33) 36695550 Ext. 123</w:t>
            </w:r>
          </w:p>
        </w:tc>
      </w:tr>
      <w:tr w:rsidR="005C48E8" w:rsidRPr="004F6AC5" w:rsidTr="00A56E05">
        <w:trPr>
          <w:trHeight w:val="75"/>
          <w:jc w:val="center"/>
        </w:trPr>
        <w:tc>
          <w:tcPr>
            <w:tcW w:w="999"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r>
      <w:tr w:rsidR="005C48E8" w:rsidRPr="004F6AC5"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lastRenderedPageBreak/>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5.1 Nombre de</w:t>
            </w:r>
            <w:r>
              <w:rPr>
                <w:rFonts w:ascii="Adobe Caslon Pro" w:hAnsi="Adobe Caslon Pro" w:cs="Calibri"/>
                <w:color w:val="000000"/>
                <w:lang w:eastAsia="es-MX"/>
              </w:rPr>
              <w:t>l (los) programa(s) evaluado(s):</w:t>
            </w:r>
          </w:p>
          <w:p w:rsidR="005C48E8" w:rsidRPr="009B0D97" w:rsidRDefault="005C48E8" w:rsidP="00A56E05">
            <w:pPr>
              <w:jc w:val="both"/>
              <w:rPr>
                <w:rFonts w:ascii="Adobe Caslon Pro" w:hAnsi="Adobe Caslon Pro" w:cs="Calibri"/>
                <w:i/>
                <w:color w:val="000000"/>
                <w:sz w:val="20"/>
                <w:lang w:eastAsia="es-MX"/>
              </w:rPr>
            </w:pPr>
            <w:r w:rsidRPr="00755905">
              <w:rPr>
                <w:rFonts w:ascii="Adobe Caslon Pro" w:hAnsi="Adobe Caslon Pro" w:cs="Calibri"/>
                <w:i/>
                <w:color w:val="000000"/>
                <w:sz w:val="20"/>
                <w:szCs w:val="20"/>
                <w:lang w:eastAsia="es-MX"/>
              </w:rPr>
              <w:t>Proyecto Estratégico de Seguridad Alimentaria</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5.2 Siglas</w:t>
            </w:r>
          </w:p>
          <w:p w:rsidR="005C48E8" w:rsidRPr="0025249F" w:rsidRDefault="005C48E8" w:rsidP="00A56E05">
            <w:pPr>
              <w:rPr>
                <w:rFonts w:ascii="Adobe Caslon Pro" w:hAnsi="Adobe Caslon Pro" w:cs="Calibri"/>
                <w:i/>
                <w:color w:val="000000"/>
                <w:lang w:eastAsia="es-MX"/>
              </w:rPr>
            </w:pPr>
            <w:r w:rsidRPr="0025249F">
              <w:rPr>
                <w:rFonts w:ascii="Adobe Caslon Pro" w:hAnsi="Adobe Caslon Pro" w:cs="Calibri"/>
                <w:i/>
                <w:color w:val="000000"/>
                <w:lang w:eastAsia="es-MX"/>
              </w:rPr>
              <w:t>(PESA)</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5.3 Ente público coordinador del (los) programa(s)</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5C48E8" w:rsidRPr="00B33A80" w:rsidRDefault="005C48E8" w:rsidP="00A56E05">
            <w:pPr>
              <w:rPr>
                <w:rFonts w:ascii="Adobe Caslon Pro" w:hAnsi="Adobe Caslon Pro" w:cs="Calibri"/>
                <w:i/>
                <w:color w:val="000000"/>
                <w:sz w:val="20"/>
                <w:szCs w:val="20"/>
                <w:lang w:eastAsia="es-MX"/>
              </w:rPr>
            </w:pPr>
            <w:r w:rsidRPr="0025249F">
              <w:rPr>
                <w:rFonts w:ascii="Adobe Caslon Pro" w:hAnsi="Adobe Caslon Pro" w:cs="Calibri"/>
                <w:i/>
                <w:color w:val="000000"/>
                <w:sz w:val="20"/>
                <w:lang w:eastAsia="es-MX"/>
              </w:rPr>
              <w:t>Secretaría de Desarrollo Agropecuario, Forestal, Pesca y Acuacultura (SEDAFPA).</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5.4 Poder público al que pertenece(n) el(los) programa(s)</w:t>
            </w:r>
            <w:r>
              <w:rPr>
                <w:rFonts w:ascii="Adobe Caslon Pro" w:hAnsi="Adobe Caslon Pro" w:cs="Calibri"/>
                <w:color w:val="00000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Pr>
                <w:rFonts w:ascii="Adobe Caslon Pro" w:hAnsi="Adobe Caslon Pro" w:cs="Calibri"/>
                <w:color w:val="000000"/>
                <w:lang w:eastAsia="es-MX"/>
              </w:rPr>
              <w:t xml:space="preserve">Poder </w:t>
            </w:r>
            <w:proofErr w:type="spellStart"/>
            <w:r>
              <w:rPr>
                <w:rFonts w:ascii="Adobe Caslon Pro" w:hAnsi="Adobe Caslon Pro" w:cs="Calibri"/>
                <w:color w:val="000000"/>
                <w:lang w:eastAsia="es-MX"/>
              </w:rPr>
              <w:t>Ejecutivo_X</w:t>
            </w:r>
            <w:proofErr w:type="spellEnd"/>
            <w:r>
              <w:rPr>
                <w:rFonts w:ascii="Adobe Caslon Pro" w:hAnsi="Adobe Caslon Pro" w:cs="Calibri"/>
                <w:color w:val="000000"/>
                <w:lang w:eastAsia="es-MX"/>
              </w:rPr>
              <w:t>__   Poder Legislativo___   Poder Judicial___  Ente Autónomo___</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5.5 Ámbito gubernamental al que pertenece(n) el(los) programa(s)</w:t>
            </w:r>
            <w:r>
              <w:rPr>
                <w:rFonts w:ascii="Adobe Caslon Pro" w:hAnsi="Adobe Caslon Pro" w:cs="Calibri"/>
                <w:color w:val="00000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Pr>
                <w:rFonts w:ascii="Adobe Caslon Pro" w:hAnsi="Adobe Caslon Pro" w:cs="Calibri"/>
                <w:color w:val="000000"/>
                <w:lang w:eastAsia="es-MX"/>
              </w:rPr>
              <w:t>Federal_</w:t>
            </w:r>
            <w:r>
              <w:rPr>
                <w:rFonts w:ascii="Adobe Caslon Pro" w:hAnsi="Adobe Caslon Pro" w:cs="Calibri"/>
                <w:color w:val="000000"/>
                <w:u w:val="single"/>
                <w:lang w:eastAsia="es-MX"/>
              </w:rPr>
              <w:t>_</w:t>
            </w:r>
            <w:r>
              <w:rPr>
                <w:rFonts w:ascii="Adobe Caslon Pro" w:hAnsi="Adobe Caslon Pro" w:cs="Calibri"/>
                <w:color w:val="000000"/>
                <w:lang w:eastAsia="es-MX"/>
              </w:rPr>
              <w:t xml:space="preserve">_       </w:t>
            </w:r>
            <w:proofErr w:type="spellStart"/>
            <w:r>
              <w:rPr>
                <w:rFonts w:ascii="Adobe Caslon Pro" w:hAnsi="Adobe Caslon Pro" w:cs="Calibri"/>
                <w:color w:val="000000"/>
                <w:lang w:eastAsia="es-MX"/>
              </w:rPr>
              <w:t>Estatal_X</w:t>
            </w:r>
            <w:proofErr w:type="spellEnd"/>
            <w:r>
              <w:rPr>
                <w:rFonts w:ascii="Adobe Caslon Pro" w:hAnsi="Adobe Caslon Pro" w:cs="Calibri"/>
                <w:color w:val="000000"/>
                <w:lang w:eastAsia="es-MX"/>
              </w:rPr>
              <w:t>__     Local___</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A6AC6">
              <w:rPr>
                <w:rFonts w:ascii="Adobe Caslon Pro" w:hAnsi="Adobe Caslon Pro" w:cs="Calibri"/>
                <w:color w:val="000000"/>
                <w:lang w:eastAsia="es-MX"/>
              </w:rPr>
              <w:t>5.6 Nombre de la(s) unidad(es) administrativa(s) y de (los) titular(es) a cargo del (los) programa(s):</w:t>
            </w:r>
          </w:p>
        </w:tc>
      </w:tr>
      <w:tr w:rsidR="005C48E8" w:rsidRPr="004F6AC5"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5C48E8" w:rsidRPr="00066E84" w:rsidRDefault="005C48E8" w:rsidP="00A56E05">
            <w:pPr>
              <w:rPr>
                <w:rFonts w:ascii="Adobe Caslon Pro" w:hAnsi="Adobe Caslon Pro" w:cs="Calibri"/>
                <w:color w:val="000000"/>
                <w:lang w:eastAsia="es-MX"/>
              </w:rPr>
            </w:pPr>
            <w:r w:rsidRPr="007C224C">
              <w:rPr>
                <w:rFonts w:ascii="Adobe Caslon Pro" w:hAnsi="Adobe Caslon Pro" w:cs="Calibri"/>
                <w:color w:val="000000"/>
                <w:lang w:eastAsia="es-MX"/>
              </w:rPr>
              <w:t>5.6.1 Nombre(s) de la(s) unidad(es) administrativa(s) a cargo de (los) programa(s):</w:t>
            </w:r>
          </w:p>
        </w:tc>
      </w:tr>
      <w:tr w:rsidR="005C48E8"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5C48E8" w:rsidRPr="00385F2B" w:rsidRDefault="005C48E8" w:rsidP="00A56E05">
            <w:pPr>
              <w:rPr>
                <w:rFonts w:ascii="Adobe Caslon Pro" w:hAnsi="Adobe Caslon Pro" w:cs="Calibri"/>
                <w:i/>
                <w:color w:val="000000"/>
                <w:sz w:val="20"/>
                <w:szCs w:val="20"/>
                <w:lang w:eastAsia="es-MX"/>
              </w:rPr>
            </w:pPr>
            <w:r w:rsidRPr="0025249F">
              <w:rPr>
                <w:rFonts w:ascii="Adobe Caslon Pro" w:hAnsi="Adobe Caslon Pro" w:cs="Calibri"/>
                <w:i/>
                <w:color w:val="000000"/>
                <w:sz w:val="20"/>
                <w:szCs w:val="20"/>
                <w:lang w:eastAsia="es-MX"/>
              </w:rPr>
              <w:t>Secretaría de Desarrollo Agropecuario, Forestal, Pesca y Acuacultura (SEDAFPA).</w:t>
            </w:r>
          </w:p>
        </w:tc>
      </w:tr>
      <w:tr w:rsidR="005C48E8"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5C48E8" w:rsidRPr="00066E84" w:rsidRDefault="005C48E8" w:rsidP="00A56E05">
            <w:pPr>
              <w:rPr>
                <w:rFonts w:ascii="Adobe Caslon Pro" w:hAnsi="Adobe Caslon Pro" w:cs="Calibri"/>
                <w:color w:val="000000"/>
                <w:lang w:eastAsia="es-MX"/>
              </w:rPr>
            </w:pPr>
            <w:r w:rsidRPr="000A6AC6">
              <w:rPr>
                <w:rFonts w:ascii="Adobe Caslon Pro" w:hAnsi="Adobe Caslon Pro" w:cs="Calibri"/>
                <w:color w:val="000000"/>
                <w:lang w:eastAsia="es-MX"/>
              </w:rPr>
              <w:t>5.6.2 Nombre(s) de (los) titular(es) de la(s) unidad(es) administrativa(s) a cargo de (los) programa(s) (nombre completo, correo electrónico y teléfono con clave lada):</w:t>
            </w:r>
          </w:p>
        </w:tc>
      </w:tr>
      <w:tr w:rsidR="005C48E8" w:rsidRPr="004F6AC5"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Nombre:</w:t>
            </w:r>
          </w:p>
          <w:p w:rsidR="005C48E8" w:rsidRPr="0025249F" w:rsidRDefault="005C48E8" w:rsidP="00A56E05">
            <w:pPr>
              <w:rPr>
                <w:rFonts w:ascii="Adobe Caslon Pro" w:hAnsi="Adobe Caslon Pro" w:cs="Calibri"/>
                <w:i/>
                <w:color w:val="000000"/>
                <w:sz w:val="20"/>
                <w:lang w:eastAsia="es-MX"/>
              </w:rPr>
            </w:pPr>
            <w:r w:rsidRPr="0025249F">
              <w:rPr>
                <w:rFonts w:ascii="Adobe Caslon Pro" w:hAnsi="Adobe Caslon Pro" w:cs="Calibri"/>
                <w:i/>
                <w:color w:val="000000"/>
                <w:sz w:val="20"/>
                <w:lang w:eastAsia="es-MX"/>
              </w:rPr>
              <w:t>Ing. Jorge Carrasco Altamirano</w:t>
            </w:r>
          </w:p>
          <w:p w:rsidR="005C48E8" w:rsidRPr="0025249F" w:rsidRDefault="005C48E8" w:rsidP="00A56E05">
            <w:pPr>
              <w:rPr>
                <w:rFonts w:ascii="Adobe Caslon Pro" w:hAnsi="Adobe Caslon Pro" w:cs="Calibri"/>
                <w:i/>
                <w:color w:val="000000"/>
                <w:sz w:val="20"/>
                <w:lang w:eastAsia="es-MX"/>
              </w:rPr>
            </w:pPr>
            <w:r w:rsidRPr="0025249F">
              <w:rPr>
                <w:rFonts w:ascii="Adobe Caslon Pro" w:hAnsi="Adobe Caslon Pro" w:cs="Calibri"/>
                <w:i/>
                <w:color w:val="000000"/>
                <w:sz w:val="20"/>
                <w:lang w:eastAsia="es-MX"/>
              </w:rPr>
              <w:t>Tel: (951) 5016900 ext. 25758/ 25250</w:t>
            </w:r>
          </w:p>
          <w:p w:rsidR="005C48E8" w:rsidRPr="00066E84" w:rsidRDefault="005C48E8" w:rsidP="00A56E05">
            <w:pPr>
              <w:rPr>
                <w:rFonts w:ascii="Adobe Caslon Pro" w:hAnsi="Adobe Caslon Pro" w:cs="Calibri"/>
                <w:color w:val="000000"/>
                <w:lang w:eastAsia="es-MX"/>
              </w:rPr>
            </w:pPr>
            <w:r w:rsidRPr="0025249F">
              <w:rPr>
                <w:rFonts w:ascii="Adobe Caslon Pro" w:hAnsi="Adobe Caslon Pro" w:cs="Calibri"/>
                <w:i/>
                <w:color w:val="000000"/>
                <w:sz w:val="20"/>
                <w:lang w:eastAsia="es-MX"/>
              </w:rPr>
              <w:t>jorgecarrasco@oaxaca.gob.mx</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Unidad administrativa:</w:t>
            </w:r>
          </w:p>
          <w:p w:rsidR="005C48E8" w:rsidRPr="00066E84" w:rsidRDefault="005C48E8" w:rsidP="00A56E05">
            <w:pPr>
              <w:rPr>
                <w:rFonts w:ascii="Adobe Caslon Pro" w:hAnsi="Adobe Caslon Pro" w:cs="Calibri"/>
                <w:color w:val="000000"/>
                <w:lang w:eastAsia="es-MX"/>
              </w:rPr>
            </w:pPr>
            <w:r w:rsidRPr="0025249F">
              <w:rPr>
                <w:rFonts w:ascii="Adobe Caslon Pro" w:hAnsi="Adobe Caslon Pro" w:cs="Calibri"/>
                <w:i/>
                <w:color w:val="000000"/>
                <w:sz w:val="20"/>
                <w:szCs w:val="20"/>
                <w:lang w:eastAsia="es-MX"/>
              </w:rPr>
              <w:t>Secretaría de Desarrollo Agropecuario, Forestal, Pesca y Acuacultura (SEDAFPA).</w:t>
            </w:r>
          </w:p>
        </w:tc>
      </w:tr>
      <w:tr w:rsidR="005C48E8" w:rsidRPr="004F6AC5" w:rsidTr="00A56E05">
        <w:trPr>
          <w:trHeight w:val="165"/>
          <w:jc w:val="center"/>
        </w:trPr>
        <w:tc>
          <w:tcPr>
            <w:tcW w:w="999" w:type="dxa"/>
            <w:gridSpan w:val="2"/>
            <w:tcBorders>
              <w:top w:val="nil"/>
              <w:left w:val="nil"/>
              <w:bottom w:val="nil"/>
              <w:right w:val="nil"/>
            </w:tcBorders>
            <w:shd w:val="clear" w:color="auto" w:fill="auto"/>
            <w:hideMark/>
          </w:tcPr>
          <w:p w:rsidR="005C48E8" w:rsidRPr="00066E84" w:rsidRDefault="005C48E8" w:rsidP="00A56E05">
            <w:pPr>
              <w:jc w:val="right"/>
              <w:rPr>
                <w:rFonts w:ascii="Adobe Caslon Pro" w:hAnsi="Adobe Caslon Pro" w:cs="Calibri"/>
                <w:color w:val="000000"/>
                <w:lang w:eastAsia="es-MX"/>
              </w:rPr>
            </w:pPr>
          </w:p>
        </w:tc>
        <w:tc>
          <w:tcPr>
            <w:tcW w:w="3266" w:type="dxa"/>
            <w:gridSpan w:val="2"/>
            <w:tcBorders>
              <w:top w:val="nil"/>
              <w:left w:val="nil"/>
              <w:bottom w:val="nil"/>
              <w:right w:val="nil"/>
            </w:tcBorders>
            <w:shd w:val="clear" w:color="auto" w:fill="auto"/>
            <w:hideMark/>
          </w:tcPr>
          <w:p w:rsidR="005C48E8" w:rsidRPr="00066E84" w:rsidRDefault="005C48E8" w:rsidP="00A56E05">
            <w:pPr>
              <w:jc w:val="right"/>
              <w:rPr>
                <w:rFonts w:ascii="Adobe Caslon Pro" w:hAnsi="Adobe Caslon Pro" w:cs="Calibri"/>
                <w:color w:val="000000"/>
                <w:lang w:eastAsia="es-MX"/>
              </w:rPr>
            </w:pPr>
          </w:p>
        </w:tc>
        <w:tc>
          <w:tcPr>
            <w:tcW w:w="160" w:type="dxa"/>
            <w:tcBorders>
              <w:top w:val="nil"/>
              <w:left w:val="nil"/>
              <w:bottom w:val="nil"/>
              <w:right w:val="nil"/>
            </w:tcBorders>
            <w:shd w:val="clear" w:color="auto" w:fill="auto"/>
            <w:hideMark/>
          </w:tcPr>
          <w:p w:rsidR="005C48E8" w:rsidRPr="00066E84" w:rsidRDefault="005C48E8" w:rsidP="00A56E05">
            <w:pPr>
              <w:rPr>
                <w:rFonts w:ascii="Adobe Caslon Pro" w:hAnsi="Adobe Caslon Pro" w:cs="Calibri"/>
                <w:color w:val="000000"/>
                <w:lang w:eastAsia="es-MX"/>
              </w:rPr>
            </w:pPr>
          </w:p>
        </w:tc>
        <w:tc>
          <w:tcPr>
            <w:tcW w:w="2526" w:type="dxa"/>
            <w:gridSpan w:val="4"/>
            <w:tcBorders>
              <w:top w:val="nil"/>
              <w:left w:val="nil"/>
              <w:bottom w:val="nil"/>
              <w:right w:val="nil"/>
            </w:tcBorders>
            <w:shd w:val="clear" w:color="auto" w:fill="auto"/>
            <w:hideMark/>
          </w:tcPr>
          <w:p w:rsidR="005C48E8" w:rsidRPr="00066E84" w:rsidRDefault="005C48E8" w:rsidP="00A56E05">
            <w:pPr>
              <w:jc w:val="center"/>
              <w:rPr>
                <w:rFonts w:ascii="Adobe Caslon Pro" w:hAnsi="Adobe Caslon Pro" w:cs="Calibri"/>
                <w:color w:val="000000"/>
                <w:lang w:eastAsia="es-MX"/>
              </w:rPr>
            </w:pPr>
          </w:p>
        </w:tc>
        <w:tc>
          <w:tcPr>
            <w:tcW w:w="1325" w:type="dxa"/>
            <w:gridSpan w:val="3"/>
            <w:tcBorders>
              <w:top w:val="nil"/>
              <w:left w:val="nil"/>
              <w:bottom w:val="nil"/>
              <w:right w:val="nil"/>
            </w:tcBorders>
            <w:shd w:val="clear" w:color="auto" w:fill="auto"/>
            <w:hideMark/>
          </w:tcPr>
          <w:p w:rsidR="005C48E8" w:rsidRPr="00066E84" w:rsidRDefault="005C48E8" w:rsidP="00A56E05">
            <w:pPr>
              <w:jc w:val="center"/>
              <w:rPr>
                <w:rFonts w:ascii="Adobe Caslon Pro" w:hAnsi="Adobe Caslon Pro" w:cs="Calibri"/>
                <w:color w:val="000000"/>
                <w:lang w:eastAsia="es-MX"/>
              </w:rPr>
            </w:pPr>
          </w:p>
        </w:tc>
        <w:tc>
          <w:tcPr>
            <w:tcW w:w="1160" w:type="dxa"/>
            <w:tcBorders>
              <w:top w:val="nil"/>
              <w:left w:val="nil"/>
              <w:bottom w:val="nil"/>
              <w:right w:val="nil"/>
            </w:tcBorders>
            <w:shd w:val="clear" w:color="auto" w:fill="auto"/>
            <w:hideMark/>
          </w:tcPr>
          <w:p w:rsidR="005C48E8" w:rsidRPr="00066E84" w:rsidRDefault="005C48E8" w:rsidP="00A56E05">
            <w:pPr>
              <w:jc w:val="center"/>
              <w:rPr>
                <w:rFonts w:ascii="Adobe Caslon Pro" w:hAnsi="Adobe Caslon Pro" w:cs="Calibri"/>
                <w:color w:val="000000"/>
                <w:lang w:eastAsia="es-MX"/>
              </w:rPr>
            </w:pPr>
          </w:p>
        </w:tc>
      </w:tr>
      <w:tr w:rsidR="005C48E8"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6.1 Tipo de contratación:</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6561A1">
              <w:rPr>
                <w:rFonts w:ascii="Adobe Caslon Pro" w:hAnsi="Adobe Caslon Pro" w:cs="Calibri"/>
                <w:color w:val="000000"/>
                <w:lang w:eastAsia="es-MX"/>
              </w:rPr>
              <w:t>6.1.1 Adjudicación Directa</w:t>
            </w:r>
            <w:r>
              <w:rPr>
                <w:rFonts w:ascii="Adobe Caslon Pro" w:hAnsi="Adobe Caslon Pro" w:cs="Calibri"/>
                <w:color w:val="000000"/>
                <w:lang w:eastAsia="es-MX"/>
              </w:rPr>
              <w:t xml:space="preserve">__  </w:t>
            </w:r>
            <w:r w:rsidRPr="006561A1">
              <w:rPr>
                <w:rFonts w:ascii="Adobe Caslon Pro" w:hAnsi="Adobe Caslon Pro" w:cs="Calibri"/>
                <w:color w:val="000000"/>
                <w:lang w:eastAsia="es-MX"/>
              </w:rPr>
              <w:t>6.1.2 Invitación a tres</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6.1.3 Licitación Pública Nacional</w:t>
            </w:r>
            <w:r>
              <w:rPr>
                <w:rFonts w:ascii="Adobe Caslon Pro" w:hAnsi="Adobe Caslon Pro" w:cs="Calibri"/>
                <w:color w:val="000000"/>
                <w:lang w:eastAsia="es-MX"/>
              </w:rPr>
              <w:t>___</w:t>
            </w:r>
          </w:p>
          <w:p w:rsidR="005C48E8" w:rsidRPr="00066E84" w:rsidRDefault="005C48E8" w:rsidP="00A56E05">
            <w:pPr>
              <w:rPr>
                <w:rFonts w:ascii="Adobe Caslon Pro" w:hAnsi="Adobe Caslon Pro" w:cs="Calibri"/>
                <w:color w:val="000000"/>
                <w:lang w:eastAsia="es-MX"/>
              </w:rPr>
            </w:pPr>
            <w:r w:rsidRPr="006561A1">
              <w:rPr>
                <w:rFonts w:ascii="Adobe Caslon Pro" w:hAnsi="Adobe Caslon Pro" w:cs="Calibri"/>
                <w:color w:val="000000"/>
                <w:lang w:eastAsia="es-MX"/>
              </w:rPr>
              <w:t>6.1.4 Licitación Pública Internacional</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6.1.5 Otro: (Señalar)</w:t>
            </w:r>
            <w:r w:rsidRPr="009C27B5">
              <w:rPr>
                <w:rFonts w:ascii="Adobe Caslon Pro" w:hAnsi="Adobe Caslon Pro" w:cs="Calibri"/>
                <w:i/>
                <w:color w:val="000000"/>
                <w:u w:val="single"/>
                <w:lang w:eastAsia="es-MX"/>
              </w:rPr>
              <w:t xml:space="preserve"> </w:t>
            </w:r>
            <w:r w:rsidRPr="009C27B5">
              <w:rPr>
                <w:rFonts w:ascii="Adobe Caslon Pro" w:hAnsi="Adobe Caslon Pro" w:cs="Calibri"/>
                <w:i/>
                <w:color w:val="000000"/>
                <w:sz w:val="20"/>
                <w:szCs w:val="20"/>
                <w:u w:val="single"/>
                <w:lang w:eastAsia="es-MX"/>
              </w:rPr>
              <w:t>Convenio de colaboración institucional.</w:t>
            </w:r>
          </w:p>
        </w:tc>
      </w:tr>
      <w:tr w:rsidR="005C48E8" w:rsidRPr="004F6AC5"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6.2</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Unidad administrativa responsable de contratar la evaluación</w:t>
            </w:r>
            <w:r>
              <w:rPr>
                <w:rFonts w:ascii="Adobe Caslon Pro" w:hAnsi="Adobe Caslon Pro" w:cs="Calibri"/>
                <w:color w:val="000000"/>
                <w:lang w:eastAsia="es-MX"/>
              </w:rPr>
              <w:t>:</w:t>
            </w:r>
          </w:p>
          <w:p w:rsidR="005C48E8" w:rsidRPr="009053D3" w:rsidRDefault="005C48E8" w:rsidP="00A56E05">
            <w:pPr>
              <w:rPr>
                <w:rFonts w:ascii="Adobe Caslon Pro" w:hAnsi="Adobe Caslon Pro" w:cs="Calibri"/>
                <w:i/>
                <w:color w:val="000000"/>
                <w:lang w:eastAsia="es-MX"/>
              </w:rPr>
            </w:pPr>
            <w:r w:rsidRPr="009053D3">
              <w:rPr>
                <w:rFonts w:ascii="Adobe Caslon Pro" w:hAnsi="Adobe Caslon Pro" w:cs="Calibri"/>
                <w:i/>
                <w:color w:val="000000"/>
                <w:sz w:val="20"/>
                <w:lang w:eastAsia="es-MX"/>
              </w:rPr>
              <w:t>Jefatura de la Gubernatura</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6.3</w:t>
            </w:r>
            <w:r>
              <w:rPr>
                <w:rFonts w:ascii="Times New Roman" w:hAnsi="Times New Roman"/>
                <w:color w:val="000000"/>
                <w:sz w:val="14"/>
                <w:szCs w:val="14"/>
                <w:lang w:eastAsia="es-MX"/>
              </w:rPr>
              <w:t> </w:t>
            </w:r>
            <w:r w:rsidRPr="00066E84">
              <w:rPr>
                <w:rFonts w:ascii="Adobe Caslon Pro" w:hAnsi="Adobe Caslon Pro" w:cs="Calibri"/>
                <w:color w:val="000000"/>
                <w:lang w:eastAsia="es-MX"/>
              </w:rPr>
              <w:t>Costo total de la evaluación</w:t>
            </w:r>
            <w:r>
              <w:rPr>
                <w:rFonts w:ascii="Adobe Caslon Pro" w:hAnsi="Adobe Caslon Pro" w:cs="Calibri"/>
                <w:color w:val="000000"/>
                <w:lang w:eastAsia="es-MX"/>
              </w:rPr>
              <w:t xml:space="preserve">: </w:t>
            </w:r>
            <w:r w:rsidRPr="00B54BD0">
              <w:rPr>
                <w:rFonts w:ascii="Adobe Caslon Pro" w:hAnsi="Adobe Caslon Pro" w:cs="Calibri"/>
                <w:i/>
                <w:color w:val="000000"/>
                <w:sz w:val="20"/>
                <w:szCs w:val="20"/>
                <w:lang w:eastAsia="es-MX"/>
              </w:rPr>
              <w:t>$1,</w:t>
            </w:r>
            <w:r>
              <w:rPr>
                <w:rFonts w:ascii="Adobe Caslon Pro" w:hAnsi="Adobe Caslon Pro" w:cs="Calibri"/>
                <w:i/>
                <w:color w:val="000000"/>
                <w:sz w:val="20"/>
                <w:szCs w:val="20"/>
                <w:lang w:eastAsia="es-MX"/>
              </w:rPr>
              <w:t xml:space="preserve"> </w:t>
            </w:r>
            <w:r w:rsidRPr="00B54BD0">
              <w:rPr>
                <w:rFonts w:ascii="Adobe Caslon Pro" w:hAnsi="Adobe Caslon Pro" w:cs="Calibri"/>
                <w:i/>
                <w:color w:val="000000"/>
                <w:sz w:val="20"/>
                <w:szCs w:val="20"/>
                <w:lang w:eastAsia="es-MX"/>
              </w:rPr>
              <w:t xml:space="preserve">310,00.00 (Un millón trescientos diez mil pesos 00/100 M.N.) </w:t>
            </w:r>
            <w:r>
              <w:rPr>
                <w:rFonts w:ascii="Adobe Caslon Pro" w:hAnsi="Adobe Caslon Pro" w:cs="Calibri"/>
                <w:i/>
                <w:color w:val="000000"/>
                <w:sz w:val="20"/>
                <w:szCs w:val="20"/>
                <w:lang w:eastAsia="es-MX"/>
              </w:rPr>
              <w:t>Incluye</w:t>
            </w:r>
            <w:r w:rsidRPr="00E7741C">
              <w:rPr>
                <w:rFonts w:ascii="Adobe Caslon Pro" w:hAnsi="Adobe Caslon Pro" w:cs="Calibri"/>
                <w:i/>
                <w:color w:val="000000"/>
                <w:sz w:val="20"/>
                <w:szCs w:val="20"/>
                <w:lang w:eastAsia="es-MX"/>
              </w:rPr>
              <w:t xml:space="preserve"> IVA. El costo </w:t>
            </w:r>
            <w:r>
              <w:rPr>
                <w:rFonts w:ascii="Adobe Caslon Pro" w:hAnsi="Adobe Caslon Pro" w:cs="Calibri"/>
                <w:i/>
                <w:color w:val="000000"/>
                <w:sz w:val="20"/>
                <w:szCs w:val="20"/>
                <w:lang w:eastAsia="es-MX"/>
              </w:rPr>
              <w:t>corresponde a</w:t>
            </w:r>
            <w:r w:rsidRPr="00E7741C">
              <w:rPr>
                <w:rFonts w:ascii="Adobe Caslon Pro" w:hAnsi="Adobe Caslon Pro" w:cs="Calibri"/>
                <w:i/>
                <w:color w:val="000000"/>
                <w:sz w:val="20"/>
                <w:szCs w:val="20"/>
                <w:lang w:eastAsia="es-MX"/>
              </w:rPr>
              <w:t xml:space="preserve"> la evaluación </w:t>
            </w:r>
            <w:r>
              <w:rPr>
                <w:rFonts w:ascii="Adobe Caslon Pro" w:hAnsi="Adobe Caslon Pro" w:cs="Calibri"/>
                <w:i/>
                <w:color w:val="000000"/>
                <w:sz w:val="20"/>
                <w:szCs w:val="20"/>
                <w:lang w:eastAsia="es-MX"/>
              </w:rPr>
              <w:t>de diez programas estatales</w:t>
            </w:r>
            <w:r w:rsidRPr="00B54BD0">
              <w:rPr>
                <w:rFonts w:ascii="Adobe Caslon Pro" w:hAnsi="Adobe Caslon Pro" w:cs="Calibri"/>
                <w:i/>
                <w:color w:val="000000"/>
                <w:sz w:val="20"/>
                <w:szCs w:val="2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6.4</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 xml:space="preserve">Fuente de Financiamiento </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5C48E8" w:rsidRPr="00385154" w:rsidRDefault="005C48E8" w:rsidP="00A56E05">
            <w:pPr>
              <w:rPr>
                <w:rFonts w:ascii="Adobe Caslon Pro" w:hAnsi="Adobe Caslon Pro" w:cs="Calibri"/>
                <w:i/>
                <w:color w:val="000000"/>
                <w:lang w:eastAsia="es-MX"/>
              </w:rPr>
            </w:pPr>
            <w:r w:rsidRPr="00385154">
              <w:rPr>
                <w:rFonts w:ascii="Adobe Caslon Pro" w:hAnsi="Adobe Caslon Pro" w:cs="Calibri"/>
                <w:i/>
                <w:color w:val="000000"/>
                <w:sz w:val="20"/>
                <w:lang w:eastAsia="es-MX"/>
              </w:rPr>
              <w:t>Recursos Fiscales</w:t>
            </w:r>
          </w:p>
        </w:tc>
      </w:tr>
      <w:tr w:rsidR="005C48E8" w:rsidRPr="004F6AC5" w:rsidTr="00A56E05">
        <w:trPr>
          <w:trHeight w:val="162"/>
          <w:jc w:val="center"/>
        </w:trPr>
        <w:tc>
          <w:tcPr>
            <w:tcW w:w="999"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r>
      <w:tr w:rsidR="005C48E8" w:rsidRPr="004F6AC5"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7.1  Difusión en internet de la evaluación:</w:t>
            </w:r>
            <w:r>
              <w:rPr>
                <w:rFonts w:ascii="Adobe Caslon Pro" w:hAnsi="Adobe Caslon Pro" w:cs="Calibri"/>
                <w:color w:val="000000"/>
                <w:lang w:eastAsia="es-MX"/>
              </w:rPr>
              <w:t xml:space="preserve"> </w:t>
            </w:r>
          </w:p>
          <w:p w:rsidR="005C48E8" w:rsidRDefault="009B1A50" w:rsidP="00A56E05">
            <w:pPr>
              <w:rPr>
                <w:rFonts w:ascii="Adobe Caslon Pro" w:hAnsi="Adobe Caslon Pro" w:cs="Calibri"/>
                <w:i/>
                <w:color w:val="000000"/>
                <w:sz w:val="20"/>
                <w:szCs w:val="20"/>
                <w:lang w:eastAsia="es-MX"/>
              </w:rPr>
            </w:pPr>
            <w:hyperlink r:id="rId134" w:history="1">
              <w:r w:rsidR="005C48E8" w:rsidRPr="00197EB9">
                <w:rPr>
                  <w:rStyle w:val="Hipervnculo"/>
                  <w:rFonts w:ascii="Adobe Caslon Pro" w:hAnsi="Adobe Caslon Pro" w:cs="Calibri"/>
                  <w:i/>
                  <w:sz w:val="20"/>
                  <w:szCs w:val="20"/>
                  <w:lang w:eastAsia="es-MX"/>
                </w:rPr>
                <w:t>http://www.jefaturadelagubernatura-evaluacion.oaxaca.gob.mx/index.php/pae-sidepanel/pae-2014</w:t>
              </w:r>
            </w:hyperlink>
          </w:p>
          <w:p w:rsidR="005C48E8" w:rsidRDefault="009B1A50" w:rsidP="00A56E05">
            <w:pPr>
              <w:rPr>
                <w:rStyle w:val="Hipervnculo"/>
                <w:rFonts w:ascii="Adobe Caslon Pro" w:hAnsi="Adobe Caslon Pro" w:cs="Calibri"/>
                <w:i/>
                <w:sz w:val="20"/>
                <w:szCs w:val="20"/>
                <w:lang w:eastAsia="es-MX"/>
              </w:rPr>
            </w:pPr>
            <w:hyperlink r:id="rId135" w:history="1">
              <w:r w:rsidR="005C48E8" w:rsidRPr="00F60714">
                <w:rPr>
                  <w:rStyle w:val="Hipervnculo"/>
                  <w:rFonts w:ascii="Adobe Caslon Pro" w:hAnsi="Adobe Caslon Pro" w:cs="Calibri"/>
                  <w:i/>
                  <w:sz w:val="20"/>
                  <w:szCs w:val="20"/>
                  <w:lang w:eastAsia="es-MX"/>
                </w:rPr>
                <w:t>http://www.transparenciapresupuestaria.oaxaca.gob.mx/05_ev1_eprogramas.php</w:t>
              </w:r>
            </w:hyperlink>
          </w:p>
          <w:p w:rsidR="005C48E8" w:rsidRPr="004B23C3" w:rsidRDefault="005C48E8" w:rsidP="00A56E05">
            <w:pPr>
              <w:rPr>
                <w:rFonts w:ascii="Adobe Caslon Pro" w:hAnsi="Adobe Caslon Pro" w:cs="Calibri"/>
                <w:i/>
                <w:color w:val="000000"/>
                <w:sz w:val="20"/>
                <w:szCs w:val="20"/>
                <w:lang w:eastAsia="es-MX"/>
              </w:rPr>
            </w:pP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7.2  Difusión en internet del formato:</w:t>
            </w:r>
          </w:p>
          <w:p w:rsidR="005C48E8" w:rsidRDefault="009B1A50" w:rsidP="00A56E05">
            <w:pPr>
              <w:rPr>
                <w:rStyle w:val="Hipervnculo"/>
                <w:rFonts w:ascii="Adobe Caslon Pro" w:hAnsi="Adobe Caslon Pro" w:cs="Calibri"/>
                <w:i/>
                <w:sz w:val="20"/>
                <w:szCs w:val="20"/>
                <w:lang w:eastAsia="es-MX"/>
              </w:rPr>
            </w:pPr>
            <w:hyperlink r:id="rId136" w:history="1">
              <w:r w:rsidR="005C48E8" w:rsidRPr="00F60714">
                <w:rPr>
                  <w:rStyle w:val="Hipervnculo"/>
                  <w:rFonts w:ascii="Adobe Caslon Pro" w:hAnsi="Adobe Caslon Pro" w:cs="Calibri"/>
                  <w:i/>
                  <w:sz w:val="20"/>
                  <w:szCs w:val="20"/>
                  <w:lang w:eastAsia="es-MX"/>
                </w:rPr>
                <w:t>http://www.jefaturadelagubernatura-evaluacion.oaxaca.gob.mx/index.php/pae-sidepanel/pae-2014</w:t>
              </w:r>
            </w:hyperlink>
          </w:p>
          <w:p w:rsidR="005C48E8" w:rsidRPr="00066E84" w:rsidRDefault="005C48E8" w:rsidP="00A56E05">
            <w:pPr>
              <w:rPr>
                <w:rFonts w:ascii="Adobe Caslon Pro" w:hAnsi="Adobe Caslon Pro" w:cs="Calibri"/>
                <w:color w:val="000000"/>
                <w:lang w:eastAsia="es-MX"/>
              </w:rPr>
            </w:pPr>
          </w:p>
        </w:tc>
      </w:tr>
    </w:tbl>
    <w:p w:rsidR="005C48E8" w:rsidRPr="00066E84" w:rsidRDefault="005C48E8" w:rsidP="005C48E8">
      <w:pPr>
        <w:rPr>
          <w:rFonts w:ascii="Adobe Caslon Pro" w:hAnsi="Adobe Caslon Pro"/>
          <w:b/>
          <w:sz w:val="20"/>
          <w:szCs w:val="20"/>
          <w:lang w:eastAsia="es-MX"/>
        </w:rPr>
      </w:pPr>
    </w:p>
    <w:p w:rsidR="005C48E8" w:rsidRDefault="005C48E8" w:rsidP="005C48E8">
      <w:pPr>
        <w:autoSpaceDE w:val="0"/>
        <w:autoSpaceDN w:val="0"/>
        <w:adjustRightInd w:val="0"/>
        <w:jc w:val="both"/>
        <w:rPr>
          <w:rFonts w:cs="Calibri"/>
          <w:sz w:val="16"/>
          <w:szCs w:val="16"/>
        </w:rPr>
      </w:pPr>
    </w:p>
    <w:p w:rsidR="005C48E8" w:rsidRDefault="005C48E8">
      <w:pPr>
        <w:rPr>
          <w:rFonts w:ascii="Arial" w:hAnsi="Arial" w:cs="Arial"/>
          <w:b/>
        </w:rPr>
      </w:pPr>
      <w:r>
        <w:rPr>
          <w:rFonts w:ascii="Arial" w:hAnsi="Arial" w:cs="Arial"/>
          <w:b/>
        </w:rPr>
        <w:br w:type="page"/>
      </w:r>
    </w:p>
    <w:p w:rsidR="005C48E8" w:rsidRPr="005C48E8" w:rsidRDefault="005C48E8" w:rsidP="005C48E8">
      <w:pPr>
        <w:rPr>
          <w:rFonts w:ascii="Arial" w:hAnsi="Arial" w:cs="Arial"/>
          <w:b/>
        </w:rPr>
      </w:pPr>
      <w:r w:rsidRPr="005C48E8">
        <w:rPr>
          <w:rFonts w:ascii="Arial" w:hAnsi="Arial" w:cs="Arial"/>
          <w:b/>
        </w:rPr>
        <w:lastRenderedPageBreak/>
        <w:t>14.</w:t>
      </w:r>
      <w:r w:rsidR="0072684E">
        <w:rPr>
          <w:rFonts w:ascii="Arial" w:hAnsi="Arial" w:cs="Arial"/>
          <w:b/>
        </w:rPr>
        <w:t>2</w:t>
      </w:r>
      <w:r w:rsidRPr="005C48E8">
        <w:rPr>
          <w:rFonts w:ascii="Arial" w:hAnsi="Arial" w:cs="Arial"/>
          <w:b/>
        </w:rPr>
        <w:t>.6.- MEJORAMIENTO D</w:t>
      </w:r>
      <w:r>
        <w:rPr>
          <w:rFonts w:ascii="Arial" w:hAnsi="Arial" w:cs="Arial"/>
          <w:b/>
        </w:rPr>
        <w:t>E LA RED CARRETERA EN EL ESTADO</w:t>
      </w:r>
    </w:p>
    <w:p w:rsidR="005C48E8" w:rsidRDefault="005C48E8" w:rsidP="005C48E8">
      <w:pPr>
        <w:pStyle w:val="Prrafodelista"/>
        <w:ind w:left="0"/>
        <w:jc w:val="center"/>
        <w:rPr>
          <w:rFonts w:ascii="Adobe Caslon Pro" w:hAnsi="Adobe Caslon Pro" w:cs="Calibri"/>
          <w:i/>
          <w:color w:val="000000"/>
          <w:szCs w:val="24"/>
          <w:lang w:eastAsia="es-MX"/>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5C48E8" w:rsidRPr="004F6AC5"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1.1 Nombre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5C48E8" w:rsidRPr="00636B64" w:rsidRDefault="005C48E8" w:rsidP="00A56E05">
            <w:pPr>
              <w:rPr>
                <w:rFonts w:ascii="Adobe Caslon Pro" w:hAnsi="Adobe Caslon Pro" w:cs="Calibri"/>
                <w:i/>
                <w:color w:val="000000"/>
                <w:sz w:val="20"/>
                <w:lang w:eastAsia="es-MX"/>
              </w:rPr>
            </w:pPr>
            <w:r w:rsidRPr="00EC23B2">
              <w:rPr>
                <w:rFonts w:ascii="Adobe Caslon Pro" w:hAnsi="Adobe Caslon Pro" w:cs="Calibri"/>
                <w:i/>
                <w:color w:val="000000"/>
                <w:sz w:val="20"/>
                <w:lang w:eastAsia="es-MX"/>
              </w:rPr>
              <w:t>Evaluación Es</w:t>
            </w:r>
            <w:r>
              <w:rPr>
                <w:rFonts w:ascii="Adobe Caslon Pro" w:hAnsi="Adobe Caslon Pro" w:cs="Calibri"/>
                <w:i/>
                <w:color w:val="000000"/>
                <w:sz w:val="20"/>
                <w:lang w:eastAsia="es-MX"/>
              </w:rPr>
              <w:t>pecífica sobre la Orientación de los Recursos del Programa Mejoramiento de la Red Carretera en el Estado.</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1.2 Fecha de inicio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22/09/2014</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1.3 Fecha de término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24/02/2015</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1.4 Nombre de la persona responsable de darle seguimiento a la evaluación y  nombre de la unidad administrativa a la que pertenece:</w:t>
            </w:r>
          </w:p>
        </w:tc>
      </w:tr>
      <w:tr w:rsidR="005C48E8" w:rsidRPr="004F6AC5"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48E8"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Nombre:</w:t>
            </w:r>
          </w:p>
          <w:p w:rsidR="005C48E8" w:rsidRPr="00D02D2B" w:rsidRDefault="005C48E8" w:rsidP="00A56E05">
            <w:pPr>
              <w:rPr>
                <w:rFonts w:ascii="Adobe Caslon Pro" w:hAnsi="Adobe Caslon Pro" w:cs="Calibri"/>
                <w:color w:val="000000"/>
                <w:sz w:val="16"/>
                <w:szCs w:val="16"/>
                <w:lang w:eastAsia="es-MX"/>
              </w:rPr>
            </w:pPr>
          </w:p>
          <w:p w:rsidR="005C48E8" w:rsidRPr="002C3B4D" w:rsidRDefault="005C48E8" w:rsidP="00A56E05">
            <w:pPr>
              <w:rPr>
                <w:rFonts w:ascii="Adobe Caslon Pro" w:hAnsi="Adobe Caslon Pro" w:cs="Calibri"/>
                <w:i/>
                <w:color w:val="000000"/>
                <w:lang w:eastAsia="es-MX"/>
              </w:rPr>
            </w:pPr>
            <w:r w:rsidRPr="002C3B4D">
              <w:rPr>
                <w:rFonts w:ascii="Adobe Caslon Pro" w:hAnsi="Adobe Caslon Pro" w:cs="Calibri"/>
                <w:i/>
                <w:color w:val="000000"/>
                <w:sz w:val="20"/>
                <w:lang w:eastAsia="es-MX"/>
              </w:rPr>
              <w:t>Mtro. Gonzalo Lapuente Sastre</w:t>
            </w: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5C48E8" w:rsidRDefault="005C48E8" w:rsidP="00A56E05">
            <w:pPr>
              <w:rPr>
                <w:rFonts w:ascii="Adobe Caslon Pro" w:hAnsi="Adobe Caslon Pro" w:cs="Calibri"/>
                <w:color w:val="000000"/>
                <w:lang w:eastAsia="es-MX"/>
              </w:rPr>
            </w:pPr>
            <w:r w:rsidRPr="00AC127B">
              <w:rPr>
                <w:rFonts w:ascii="Adobe Caslon Pro" w:hAnsi="Adobe Caslon Pro" w:cs="Calibri"/>
                <w:color w:val="000000"/>
                <w:lang w:eastAsia="es-MX"/>
              </w:rPr>
              <w:t>Unidad administrativa:</w:t>
            </w:r>
            <w:r>
              <w:rPr>
                <w:rFonts w:ascii="Adobe Caslon Pro" w:hAnsi="Adobe Caslon Pro" w:cs="Calibri"/>
                <w:color w:val="000000"/>
                <w:lang w:eastAsia="es-MX"/>
              </w:rPr>
              <w:t xml:space="preserve"> </w:t>
            </w:r>
          </w:p>
          <w:p w:rsidR="005C48E8" w:rsidRPr="00AC127B" w:rsidRDefault="005C48E8" w:rsidP="00A56E05">
            <w:pPr>
              <w:rPr>
                <w:rFonts w:ascii="Adobe Caslon Pro" w:hAnsi="Adobe Caslon Pro" w:cs="Calibri"/>
                <w:color w:val="000000"/>
                <w:lang w:eastAsia="es-MX"/>
              </w:rPr>
            </w:pPr>
            <w:r w:rsidRPr="00B17671">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 </w:t>
            </w:r>
            <w:r w:rsidRPr="00B17671">
              <w:rPr>
                <w:rFonts w:ascii="Adobe Caslon Pro" w:hAnsi="Adobe Caslon Pro" w:cs="Calibri"/>
                <w:i/>
                <w:color w:val="000000"/>
                <w:sz w:val="20"/>
                <w:szCs w:val="20"/>
                <w:lang w:eastAsia="es-MX"/>
              </w:rPr>
              <w:t>de la Jefatura de la Gubernatura del Gobierno del estado de Oaxaca.</w:t>
            </w:r>
          </w:p>
        </w:tc>
      </w:tr>
      <w:tr w:rsidR="005C48E8" w:rsidRPr="004F6AC5" w:rsidTr="00A56E05">
        <w:trPr>
          <w:trHeight w:val="1131"/>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614B76"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5</w:t>
            </w:r>
            <w:r w:rsidRPr="00066E84">
              <w:rPr>
                <w:rFonts w:ascii="Adobe Caslon Pro" w:hAnsi="Adobe Caslon Pro" w:cs="Calibri"/>
                <w:color w:val="000000"/>
                <w:lang w:eastAsia="es-MX"/>
              </w:rPr>
              <w:t xml:space="preserve"> Objetivo general de la evaluación</w:t>
            </w:r>
            <w:r>
              <w:rPr>
                <w:rFonts w:ascii="Adobe Caslon Pro" w:hAnsi="Adobe Caslon Pro" w:cs="Calibri"/>
                <w:color w:val="000000"/>
                <w:lang w:eastAsia="es-MX"/>
              </w:rPr>
              <w:t>:</w:t>
            </w:r>
          </w:p>
          <w:p w:rsidR="005C48E8" w:rsidRPr="00841C10" w:rsidRDefault="005C48E8" w:rsidP="00A56E05">
            <w:pPr>
              <w:jc w:val="both"/>
              <w:rPr>
                <w:rFonts w:ascii="Adobe Caslon Pro" w:hAnsi="Adobe Caslon Pro" w:cs="Calibri"/>
                <w:i/>
                <w:color w:val="000000"/>
                <w:sz w:val="20"/>
                <w:lang w:eastAsia="es-MX"/>
              </w:rPr>
            </w:pPr>
            <w:r w:rsidRPr="00113C6E">
              <w:rPr>
                <w:rFonts w:ascii="Adobe Caslon Pro" w:hAnsi="Adobe Caslon Pro" w:cs="Calibri"/>
                <w:i/>
                <w:color w:val="000000"/>
                <w:sz w:val="20"/>
                <w:szCs w:val="20"/>
                <w:lang w:eastAsia="es-MX"/>
              </w:rPr>
              <w:t>Coadyuvar en la Consolidación del Sistema de Evaluación del Desempeño en el Estado de Oaxaca, a través</w:t>
            </w:r>
            <w:r w:rsidRPr="00BE4199">
              <w:rPr>
                <w:rFonts w:ascii="Adobe Caslon Pro" w:hAnsi="Adobe Caslon Pro" w:cs="Calibri"/>
                <w:i/>
                <w:color w:val="000000"/>
                <w:sz w:val="20"/>
                <w:szCs w:val="20"/>
                <w:lang w:eastAsia="es-MX"/>
              </w:rPr>
              <w:t xml:space="preserve"> de identificar y analizar </w:t>
            </w:r>
            <w:r w:rsidRPr="008E2DAA">
              <w:rPr>
                <w:rFonts w:ascii="Adobe Caslon Pro" w:hAnsi="Adobe Caslon Pro" w:cs="Calibri"/>
                <w:i/>
                <w:color w:val="000000"/>
                <w:sz w:val="20"/>
                <w:szCs w:val="20"/>
                <w:lang w:eastAsia="es-MX"/>
              </w:rPr>
              <w:t>el grado de cumplimiento en la aplicación de los recursos de</w:t>
            </w:r>
            <w:r>
              <w:rPr>
                <w:rFonts w:ascii="Adobe Caslon Pro" w:hAnsi="Adobe Caslon Pro" w:cs="Calibri"/>
                <w:i/>
                <w:color w:val="000000"/>
                <w:sz w:val="20"/>
                <w:szCs w:val="20"/>
                <w:lang w:eastAsia="es-MX"/>
              </w:rPr>
              <w:t xml:space="preserve"> </w:t>
            </w:r>
            <w:r w:rsidRPr="008E2DAA">
              <w:rPr>
                <w:rFonts w:ascii="Adobe Caslon Pro" w:hAnsi="Adobe Caslon Pro" w:cs="Calibri"/>
                <w:i/>
                <w:color w:val="000000"/>
                <w:sz w:val="20"/>
                <w:szCs w:val="20"/>
                <w:lang w:eastAsia="es-MX"/>
              </w:rPr>
              <w:t>acuerdo a los objetivos para los cu</w:t>
            </w:r>
            <w:r>
              <w:rPr>
                <w:rFonts w:ascii="Adobe Caslon Pro" w:hAnsi="Adobe Caslon Pro" w:cs="Calibri"/>
                <w:i/>
                <w:color w:val="000000"/>
                <w:sz w:val="20"/>
                <w:szCs w:val="20"/>
                <w:lang w:eastAsia="es-MX"/>
              </w:rPr>
              <w:t>ales está destinado el Programa</w:t>
            </w:r>
            <w:r>
              <w:rPr>
                <w:rFonts w:ascii="Adobe Caslon Pro" w:hAnsi="Adobe Caslon Pro" w:cs="Calibri"/>
                <w:i/>
                <w:color w:val="000000"/>
                <w:sz w:val="20"/>
                <w:lang w:eastAsia="es-MX"/>
              </w:rPr>
              <w:t xml:space="preserve"> Mejoramiento de la Red Carretera en el Estado</w:t>
            </w:r>
            <w:r>
              <w:rPr>
                <w:rFonts w:ascii="Adobe Caslon Pro" w:hAnsi="Adobe Caslon Pro" w:cs="Calibri"/>
                <w:i/>
                <w:color w:val="000000"/>
                <w:sz w:val="20"/>
                <w:szCs w:val="20"/>
                <w:lang w:eastAsia="es-MX"/>
              </w:rPr>
              <w:t xml:space="preserve">, en cuanto a la </w:t>
            </w:r>
            <w:r w:rsidRPr="00E42683">
              <w:rPr>
                <w:rFonts w:ascii="Adobe Caslon Pro" w:hAnsi="Adobe Caslon Pro" w:cs="Calibri"/>
                <w:i/>
                <w:color w:val="000000"/>
                <w:sz w:val="20"/>
                <w:lang w:eastAsia="es-MX"/>
              </w:rPr>
              <w:t>Descripción de la Operación del Programa</w:t>
            </w:r>
            <w:r>
              <w:rPr>
                <w:rFonts w:ascii="Adobe Caslon Pro" w:hAnsi="Adobe Caslon Pro" w:cs="Calibri"/>
                <w:i/>
                <w:color w:val="000000"/>
                <w:sz w:val="20"/>
                <w:lang w:eastAsia="es-MX"/>
              </w:rPr>
              <w:t>,</w:t>
            </w:r>
            <w:r w:rsidRPr="00841C10">
              <w:rPr>
                <w:rFonts w:ascii="Adobe Caslon Pro" w:hAnsi="Adobe Caslon Pro" w:cs="Calibri"/>
                <w:i/>
                <w:color w:val="000000"/>
                <w:sz w:val="20"/>
                <w:szCs w:val="20"/>
                <w:lang w:eastAsia="es-MX"/>
              </w:rPr>
              <w:t xml:space="preserve"> la Orientación para Resultados, la Administración Financiera y el Ejercicio de los Recursos; con el fin de que las recomendaciones de este análisis retroalimenten el desempeño de los programas y el ejercicio de los recursos, con base en indicadores estratégicos y de gestión para el cumplimiento de los objetivos para los que están destinados.</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6</w:t>
            </w:r>
            <w:r w:rsidRPr="00066E84">
              <w:rPr>
                <w:rFonts w:ascii="Adobe Caslon Pro" w:hAnsi="Adobe Caslon Pro" w:cs="Calibri"/>
                <w:color w:val="000000"/>
                <w:lang w:eastAsia="es-MX"/>
              </w:rPr>
              <w:t xml:space="preserve"> Objetivos específicos de la evaluación</w:t>
            </w:r>
            <w:r>
              <w:rPr>
                <w:rFonts w:ascii="Adobe Caslon Pro" w:hAnsi="Adobe Caslon Pro" w:cs="Calibri"/>
                <w:color w:val="000000"/>
                <w:lang w:eastAsia="es-MX"/>
              </w:rPr>
              <w:t>:</w:t>
            </w:r>
          </w:p>
          <w:p w:rsidR="005C48E8" w:rsidRDefault="005C48E8"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programa en los siguientes aspectos:</w:t>
            </w:r>
          </w:p>
          <w:p w:rsidR="005C48E8" w:rsidRPr="00E42683" w:rsidRDefault="005C48E8" w:rsidP="00F075EB">
            <w:pPr>
              <w:numPr>
                <w:ilvl w:val="0"/>
                <w:numId w:val="16"/>
              </w:numPr>
              <w:jc w:val="both"/>
              <w:rPr>
                <w:rFonts w:ascii="Adobe Caslon Pro" w:hAnsi="Adobe Caslon Pro" w:cs="Calibri"/>
                <w:i/>
                <w:color w:val="000000"/>
                <w:sz w:val="20"/>
                <w:lang w:eastAsia="es-MX"/>
              </w:rPr>
            </w:pPr>
            <w:r w:rsidRPr="00E42683">
              <w:rPr>
                <w:rFonts w:ascii="Adobe Caslon Pro" w:hAnsi="Adobe Caslon Pro" w:cs="Calibri"/>
                <w:i/>
                <w:color w:val="000000"/>
                <w:sz w:val="20"/>
                <w:lang w:eastAsia="es-MX"/>
              </w:rPr>
              <w:t>Descripción de la Operación del Programa</w:t>
            </w:r>
            <w:r>
              <w:rPr>
                <w:rFonts w:ascii="Adobe Caslon Pro" w:hAnsi="Adobe Caslon Pro" w:cs="Calibri"/>
                <w:i/>
                <w:color w:val="000000"/>
                <w:sz w:val="20"/>
                <w:lang w:eastAsia="es-MX"/>
              </w:rPr>
              <w:t>.</w:t>
            </w:r>
          </w:p>
          <w:p w:rsidR="005C48E8" w:rsidRPr="00E42683" w:rsidRDefault="005C48E8" w:rsidP="00F075EB">
            <w:pPr>
              <w:numPr>
                <w:ilvl w:val="0"/>
                <w:numId w:val="16"/>
              </w:numPr>
              <w:jc w:val="both"/>
              <w:rPr>
                <w:rFonts w:ascii="Adobe Caslon Pro" w:hAnsi="Adobe Caslon Pro" w:cs="Calibri"/>
                <w:i/>
                <w:color w:val="000000"/>
                <w:sz w:val="20"/>
                <w:lang w:eastAsia="es-MX"/>
              </w:rPr>
            </w:pPr>
            <w:r w:rsidRPr="00E42683">
              <w:rPr>
                <w:rFonts w:ascii="Adobe Caslon Pro" w:hAnsi="Adobe Caslon Pro" w:cs="Calibri"/>
                <w:i/>
                <w:color w:val="000000"/>
                <w:sz w:val="20"/>
                <w:lang w:eastAsia="es-MX"/>
              </w:rPr>
              <w:t>Orientación para Resultados</w:t>
            </w:r>
            <w:r>
              <w:rPr>
                <w:rFonts w:ascii="Adobe Caslon Pro" w:hAnsi="Adobe Caslon Pro" w:cs="Calibri"/>
                <w:i/>
                <w:color w:val="000000"/>
                <w:sz w:val="20"/>
                <w:lang w:eastAsia="es-MX"/>
              </w:rPr>
              <w:t>.</w:t>
            </w:r>
          </w:p>
          <w:p w:rsidR="005C48E8" w:rsidRPr="00E42683" w:rsidRDefault="005C48E8" w:rsidP="00F075EB">
            <w:pPr>
              <w:numPr>
                <w:ilvl w:val="0"/>
                <w:numId w:val="16"/>
              </w:numPr>
              <w:jc w:val="both"/>
              <w:rPr>
                <w:rFonts w:ascii="Adobe Caslon Pro" w:hAnsi="Adobe Caslon Pro" w:cs="Calibri"/>
                <w:i/>
                <w:color w:val="000000"/>
                <w:sz w:val="20"/>
                <w:lang w:eastAsia="es-MX"/>
              </w:rPr>
            </w:pPr>
            <w:r w:rsidRPr="00E42683">
              <w:rPr>
                <w:rFonts w:ascii="Adobe Caslon Pro" w:hAnsi="Adobe Caslon Pro" w:cs="Calibri"/>
                <w:i/>
                <w:color w:val="000000"/>
                <w:sz w:val="20"/>
                <w:lang w:eastAsia="es-MX"/>
              </w:rPr>
              <w:t>Administración Financiera</w:t>
            </w:r>
            <w:r>
              <w:rPr>
                <w:rFonts w:ascii="Adobe Caslon Pro" w:hAnsi="Adobe Caslon Pro" w:cs="Calibri"/>
                <w:i/>
                <w:color w:val="000000"/>
                <w:sz w:val="20"/>
                <w:lang w:eastAsia="es-MX"/>
              </w:rPr>
              <w:t>.</w:t>
            </w:r>
          </w:p>
          <w:p w:rsidR="005C48E8" w:rsidRPr="00E42683" w:rsidRDefault="005C48E8" w:rsidP="00F075EB">
            <w:pPr>
              <w:numPr>
                <w:ilvl w:val="0"/>
                <w:numId w:val="16"/>
              </w:numPr>
              <w:jc w:val="both"/>
              <w:rPr>
                <w:rFonts w:ascii="Adobe Caslon Pro" w:hAnsi="Adobe Caslon Pro" w:cs="Calibri"/>
                <w:i/>
                <w:color w:val="000000"/>
                <w:sz w:val="20"/>
                <w:lang w:eastAsia="es-MX"/>
              </w:rPr>
            </w:pPr>
            <w:r w:rsidRPr="00E42683">
              <w:rPr>
                <w:rFonts w:ascii="Adobe Caslon Pro" w:hAnsi="Adobe Caslon Pro" w:cs="Calibri"/>
                <w:i/>
                <w:color w:val="000000"/>
                <w:sz w:val="20"/>
                <w:lang w:eastAsia="es-MX"/>
              </w:rPr>
              <w:t>Ejercicio de los Recursos</w:t>
            </w:r>
            <w:r>
              <w:rPr>
                <w:rFonts w:ascii="Adobe Caslon Pro" w:hAnsi="Adobe Caslon Pro" w:cs="Calibri"/>
                <w:i/>
                <w:color w:val="000000"/>
                <w:sz w:val="2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7</w:t>
            </w:r>
            <w:r w:rsidRPr="00066E84">
              <w:rPr>
                <w:rFonts w:ascii="Adobe Caslon Pro" w:hAnsi="Adobe Caslon Pro" w:cs="Calibri"/>
                <w:color w:val="000000"/>
                <w:lang w:eastAsia="es-MX"/>
              </w:rPr>
              <w:t xml:space="preserve"> Metodología utilizada en la evaluación</w:t>
            </w:r>
            <w:r>
              <w:rPr>
                <w:rFonts w:ascii="Adobe Caslon Pro" w:hAnsi="Adobe Caslon Pro" w:cs="Calibri"/>
                <w:color w:val="00000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Instrumentos de recolección de información: </w:t>
            </w:r>
          </w:p>
        </w:tc>
      </w:tr>
      <w:tr w:rsidR="005C48E8" w:rsidRPr="004F6AC5"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Pr="00BB2252"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 Cuestionarios</w:t>
            </w:r>
            <w:r>
              <w:rPr>
                <w:rFonts w:ascii="Adobe Caslon Pro" w:hAnsi="Adobe Caslon Pro" w:cs="Calibri"/>
                <w:color w:val="000000"/>
                <w:lang w:eastAsia="es-MX"/>
              </w:rPr>
              <w:t xml:space="preserve">__   Entrevistas__   Formatos__   </w:t>
            </w:r>
            <w:proofErr w:type="spellStart"/>
            <w:r>
              <w:rPr>
                <w:rFonts w:ascii="Adobe Caslon Pro" w:hAnsi="Adobe Caslon Pro" w:cs="Calibri"/>
                <w:color w:val="000000"/>
                <w:lang w:eastAsia="es-MX"/>
              </w:rPr>
              <w:t>Otros_X</w:t>
            </w:r>
            <w:proofErr w:type="spellEnd"/>
            <w:r>
              <w:rPr>
                <w:rFonts w:ascii="Adobe Caslon Pro" w:hAnsi="Adobe Caslon Pro" w:cs="Calibri"/>
                <w:color w:val="000000"/>
                <w:lang w:eastAsia="es-MX"/>
              </w:rPr>
              <w:t>_  Especifique:</w:t>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p>
          <w:p w:rsidR="005C48E8" w:rsidRPr="00F11793" w:rsidRDefault="005C48E8" w:rsidP="00F075EB">
            <w:pPr>
              <w:numPr>
                <w:ilvl w:val="0"/>
                <w:numId w:val="12"/>
              </w:numPr>
              <w:jc w:val="both"/>
              <w:rPr>
                <w:rFonts w:ascii="Adobe Caslon Pro" w:hAnsi="Adobe Caslon Pro" w:cs="Calibri"/>
                <w:i/>
                <w:color w:val="000000"/>
                <w:sz w:val="20"/>
                <w:lang w:eastAsia="es-MX"/>
              </w:rPr>
            </w:pPr>
            <w:r w:rsidRPr="00D073B5">
              <w:rPr>
                <w:rFonts w:ascii="Adobe Caslon Pro" w:hAnsi="Adobe Caslon Pro" w:cs="Calibri"/>
                <w:i/>
                <w:color w:val="000000"/>
                <w:sz w:val="20"/>
                <w:lang w:eastAsia="es-MX"/>
              </w:rPr>
              <w:t xml:space="preserve">Información proporcionada por la dependencia </w:t>
            </w:r>
            <w:r>
              <w:rPr>
                <w:rFonts w:ascii="Adobe Caslon Pro" w:hAnsi="Adobe Caslon Pro" w:cs="Calibri"/>
                <w:i/>
                <w:color w:val="000000"/>
                <w:sz w:val="20"/>
                <w:lang w:eastAsia="es-MX"/>
              </w:rPr>
              <w:t>o entidad responsable del programa.</w:t>
            </w:r>
          </w:p>
        </w:tc>
      </w:tr>
      <w:tr w:rsidR="005C48E8" w:rsidRPr="004F6AC5"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Descripción de las técnicas y modelos utilizados: </w:t>
            </w:r>
          </w:p>
          <w:p w:rsidR="005C48E8" w:rsidRPr="00963A04" w:rsidRDefault="005C48E8" w:rsidP="00A56E05">
            <w:pPr>
              <w:jc w:val="both"/>
              <w:rPr>
                <w:rFonts w:ascii="Adobe Caslon Pro" w:hAnsi="Adobe Caslon Pro" w:cs="Calibri"/>
                <w:i/>
                <w:color w:val="4472C4"/>
                <w:sz w:val="20"/>
                <w:u w:val="single"/>
                <w:lang w:eastAsia="es-MX"/>
              </w:rPr>
            </w:pPr>
            <w:r w:rsidRPr="006F4A63">
              <w:rPr>
                <w:rFonts w:ascii="Adobe Caslon Pro" w:hAnsi="Adobe Caslon Pro" w:cs="Calibri"/>
                <w:i/>
                <w:color w:val="000000"/>
                <w:sz w:val="20"/>
                <w:lang w:eastAsia="es-MX"/>
              </w:rPr>
              <w:t>La metodología de Evaluación fue desarrollada por “LA JEFATURA”, quien funge como la Instancia Técnica de Evaluación, con la finalidad de obtener información confiable para mejorar la gestión, la toma de decisi</w:t>
            </w:r>
            <w:r>
              <w:rPr>
                <w:rFonts w:ascii="Adobe Caslon Pro" w:hAnsi="Adobe Caslon Pro" w:cs="Calibri"/>
                <w:i/>
                <w:color w:val="000000"/>
                <w:sz w:val="20"/>
                <w:lang w:eastAsia="es-MX"/>
              </w:rPr>
              <w:t xml:space="preserve">ones y el proceso presupuestario, los cuales se encuentran en los Términos de Referencia en la siguiente liga: </w:t>
            </w:r>
            <w:hyperlink r:id="rId137" w:history="1">
              <w:r w:rsidRPr="00632619">
                <w:rPr>
                  <w:rStyle w:val="Hipervnculo"/>
                  <w:rFonts w:ascii="Adobe Caslon Pro" w:hAnsi="Adobe Caslon Pro" w:cs="Calibri"/>
                  <w:i/>
                  <w:sz w:val="20"/>
                  <w:lang w:eastAsia="es-MX"/>
                </w:rPr>
                <w:t>http://www.jefaturadelagubernatura-evaluacion.oaxaca.gob.mx/index.php/pae-sidepanel/pae-2014</w:t>
              </w:r>
            </w:hyperlink>
          </w:p>
          <w:p w:rsidR="005C48E8" w:rsidRPr="00963A04" w:rsidRDefault="005C48E8" w:rsidP="00A56E05">
            <w:pPr>
              <w:jc w:val="both"/>
              <w:rPr>
                <w:rFonts w:ascii="Adobe Caslon Pro" w:hAnsi="Adobe Caslon Pro" w:cs="Calibri"/>
                <w:i/>
                <w:color w:val="4472C4"/>
                <w:sz w:val="20"/>
                <w:u w:val="single"/>
                <w:lang w:eastAsia="es-MX"/>
              </w:rPr>
            </w:pPr>
          </w:p>
          <w:p w:rsidR="005C48E8" w:rsidRDefault="005C48E8" w:rsidP="00A56E05">
            <w:pPr>
              <w:jc w:val="both"/>
              <w:rPr>
                <w:rFonts w:ascii="Adobe Caslon Pro" w:hAnsi="Adobe Caslon Pro" w:cs="Calibri"/>
                <w:i/>
                <w:sz w:val="20"/>
                <w:lang w:eastAsia="es-MX"/>
              </w:rPr>
            </w:pPr>
            <w:r w:rsidRPr="00A42027">
              <w:rPr>
                <w:rFonts w:ascii="Adobe Caslon Pro" w:hAnsi="Adobe Caslon Pro" w:cs="Calibri"/>
                <w:i/>
                <w:sz w:val="20"/>
                <w:lang w:eastAsia="es-MX"/>
              </w:rPr>
              <w:t>Base de datos de gabinete utilizados para el análisis:</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Ficha Técnica descriptiva del Programa.</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Matriz de Resultados del Programa.</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Evaluación de costo beneficio de los proyectos y sus resultados.</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Calendarios de ejecución.</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Listado de indicadores de eficacia, eficiencia, calidad y economía.</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lastRenderedPageBreak/>
              <w:t>Bases de datos de donde se obtuvieron cada uno de los indicadores de la Matriz.</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Metas asociadas a los indicadores listados en el punto anterior y su línea base.</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Presupuesto aprobado y presupuesto ejercido.</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Recursos no devengados.</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Resultados del Programa reportados en el Sistema de Monitoreo y Seguimiento de las Matrices de Indicadores.</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Normatividad aplicable en el ejercicio de los recursos federales relacionados con el Programa.</w:t>
            </w:r>
          </w:p>
          <w:p w:rsidR="005C48E8" w:rsidRDefault="005C48E8" w:rsidP="00F075EB">
            <w:pPr>
              <w:numPr>
                <w:ilvl w:val="0"/>
                <w:numId w:val="48"/>
              </w:numPr>
              <w:jc w:val="both"/>
              <w:rPr>
                <w:rFonts w:ascii="Adobe Caslon Pro" w:hAnsi="Adobe Caslon Pro" w:cs="Calibri"/>
                <w:i/>
                <w:sz w:val="20"/>
                <w:lang w:eastAsia="es-MX"/>
              </w:rPr>
            </w:pPr>
            <w:r>
              <w:rPr>
                <w:rFonts w:ascii="Adobe Caslon Pro" w:hAnsi="Adobe Caslon Pro" w:cs="Calibri"/>
                <w:i/>
                <w:sz w:val="20"/>
                <w:lang w:eastAsia="es-MX"/>
              </w:rPr>
              <w:t>Plan Sectorial de Desarrollo.</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Formato del reporte del avance físico financiero.</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Actas de entrega recepción de los bienes producidos.</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Reglas de operación.</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Do</w:t>
            </w:r>
            <w:r>
              <w:rPr>
                <w:rFonts w:ascii="Adobe Caslon Pro" w:hAnsi="Adobe Caslon Pro" w:cs="Calibri"/>
                <w:i/>
                <w:sz w:val="20"/>
                <w:lang w:eastAsia="es-MX"/>
              </w:rPr>
              <w:t xml:space="preserve">cumento descriptivo, normativo </w:t>
            </w:r>
            <w:r w:rsidRPr="00AE3694">
              <w:rPr>
                <w:rFonts w:ascii="Adobe Caslon Pro" w:hAnsi="Adobe Caslon Pro" w:cs="Calibri"/>
                <w:i/>
                <w:sz w:val="20"/>
                <w:lang w:eastAsia="es-MX"/>
              </w:rPr>
              <w:t>funcional acerca de los sistemas de información que conforman la administración financiera del Programa.</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Documento oficial que indique el monto y la fecha de recepción de recursos destinados a la operación del Programa.</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Calendario de transferencia de recursos para la operación del Programa.</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Documento que comprueba la entrega de recursos en tiempo y forma a las instancias ejecutoras.</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Reportes de Cuenta Pública y Estados Financieros asociados al Programa.</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Pl</w:t>
            </w:r>
            <w:r>
              <w:rPr>
                <w:rFonts w:ascii="Adobe Caslon Pro" w:hAnsi="Adobe Caslon Pro" w:cs="Calibri"/>
                <w:i/>
                <w:sz w:val="20"/>
                <w:lang w:eastAsia="es-MX"/>
              </w:rPr>
              <w:t>an Estatal de Desarrollo.</w:t>
            </w:r>
          </w:p>
          <w:p w:rsidR="005C48E8"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Plan Sectorial y/o Regional de Desarrollo.</w:t>
            </w:r>
          </w:p>
          <w:p w:rsidR="005C48E8" w:rsidRPr="00AE3694" w:rsidRDefault="005C48E8" w:rsidP="00F075EB">
            <w:pPr>
              <w:numPr>
                <w:ilvl w:val="0"/>
                <w:numId w:val="48"/>
              </w:numPr>
              <w:jc w:val="both"/>
              <w:rPr>
                <w:rFonts w:ascii="Adobe Caslon Pro" w:hAnsi="Adobe Caslon Pro" w:cs="Calibri"/>
                <w:i/>
                <w:sz w:val="20"/>
                <w:lang w:eastAsia="es-MX"/>
              </w:rPr>
            </w:pPr>
            <w:r w:rsidRPr="00AE3694">
              <w:rPr>
                <w:rFonts w:ascii="Adobe Caslon Pro" w:hAnsi="Adobe Caslon Pro" w:cs="Calibri"/>
                <w:i/>
                <w:sz w:val="20"/>
                <w:lang w:eastAsia="es-MX"/>
              </w:rPr>
              <w:t>Ficha Técnica de Indicadores de Resultados del Programa.</w:t>
            </w:r>
          </w:p>
          <w:p w:rsidR="005C48E8" w:rsidRPr="00B3377B" w:rsidRDefault="005C48E8" w:rsidP="00A56E05">
            <w:pPr>
              <w:ind w:left="720"/>
              <w:jc w:val="both"/>
              <w:rPr>
                <w:rFonts w:ascii="Adobe Caslon Pro" w:hAnsi="Adobe Caslon Pro" w:cs="Calibri"/>
                <w:i/>
                <w:color w:val="000000"/>
                <w:sz w:val="20"/>
                <w:lang w:eastAsia="es-MX"/>
              </w:rPr>
            </w:pPr>
          </w:p>
        </w:tc>
      </w:tr>
      <w:tr w:rsidR="005C48E8" w:rsidRPr="004F6AC5" w:rsidTr="00A56E05">
        <w:trPr>
          <w:trHeight w:val="60"/>
          <w:jc w:val="center"/>
        </w:trPr>
        <w:tc>
          <w:tcPr>
            <w:tcW w:w="999" w:type="dxa"/>
            <w:gridSpan w:val="2"/>
            <w:tcBorders>
              <w:top w:val="single" w:sz="4" w:space="0" w:color="auto"/>
              <w:bottom w:val="single" w:sz="4" w:space="0" w:color="auto"/>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5C48E8" w:rsidRPr="00DE6244" w:rsidRDefault="005C48E8" w:rsidP="00A56E05">
            <w:pPr>
              <w:rPr>
                <w:rFonts w:ascii="Adobe Caslon Pro" w:hAnsi="Adobe Caslon Pro" w:cs="Calibri"/>
                <w:color w:val="000000"/>
                <w:sz w:val="10"/>
                <w:szCs w:val="10"/>
                <w:lang w:eastAsia="es-MX"/>
              </w:rPr>
            </w:pPr>
          </w:p>
        </w:tc>
      </w:tr>
      <w:tr w:rsidR="005C48E8"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2.1 Describir los hallazgos más relevantes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tc>
      </w:tr>
      <w:tr w:rsidR="005C48E8" w:rsidRPr="004F6AC5"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2.2 Señalar cuáles son las principales Fortalezas, Oportunidades, Debilidades y Amenazas (FODA), de acuerdo con los</w:t>
            </w:r>
            <w:r>
              <w:rPr>
                <w:rFonts w:ascii="Adobe Caslon Pro" w:hAnsi="Adobe Caslon Pro" w:cs="Calibri"/>
                <w:color w:val="000000"/>
                <w:lang w:eastAsia="es-MX"/>
              </w:rPr>
              <w:t xml:space="preserve"> temas</w:t>
            </w:r>
            <w:r w:rsidRPr="00066E84">
              <w:rPr>
                <w:rFonts w:ascii="Adobe Caslon Pro" w:hAnsi="Adobe Caslon Pro" w:cs="Calibri"/>
                <w:color w:val="000000"/>
                <w:lang w:eastAsia="es-MX"/>
              </w:rPr>
              <w:t xml:space="preserve"> del programa</w:t>
            </w:r>
            <w:r>
              <w:rPr>
                <w:rFonts w:ascii="Adobe Caslon Pro" w:hAnsi="Adobe Caslon Pro" w:cs="Calibri"/>
                <w:color w:val="000000"/>
                <w:lang w:eastAsia="es-MX"/>
              </w:rPr>
              <w:t>, estrategia o instituciones</w:t>
            </w:r>
            <w:r w:rsidRPr="00066E84">
              <w:rPr>
                <w:rFonts w:ascii="Adobe Caslon Pro" w:hAnsi="Adobe Caslon Pro" w:cs="Calibri"/>
                <w:color w:val="000000"/>
                <w:lang w:eastAsia="es-MX"/>
              </w:rPr>
              <w:t>.</w:t>
            </w:r>
          </w:p>
        </w:tc>
      </w:tr>
      <w:tr w:rsidR="005C48E8" w:rsidRPr="004F6AC5"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5C48E8" w:rsidRPr="00066E84" w:rsidRDefault="005C48E8" w:rsidP="00A56E05">
            <w:pPr>
              <w:rPr>
                <w:rFonts w:ascii="Adobe Caslon Pro" w:hAnsi="Adobe Caslon Pro" w:cs="Calibri"/>
                <w:color w:val="000000"/>
                <w:lang w:eastAsia="es-MX"/>
              </w:rPr>
            </w:pP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2.2.1 Fortalezas</w:t>
            </w:r>
            <w:r>
              <w:rPr>
                <w:rFonts w:ascii="Adobe Caslon Pro" w:hAnsi="Adobe Caslon Pro" w:cs="Calibri"/>
                <w:color w:val="000000"/>
                <w:lang w:eastAsia="es-MX"/>
              </w:rPr>
              <w:t>:</w:t>
            </w:r>
          </w:p>
          <w:p w:rsidR="005C48E8" w:rsidRPr="0009262C" w:rsidRDefault="005C48E8" w:rsidP="00A56E05">
            <w:pPr>
              <w:jc w:val="both"/>
              <w:rPr>
                <w:rFonts w:ascii="Adobe Caslon Pro" w:hAnsi="Adobe Caslon Pro" w:cs="Calibri"/>
                <w:sz w:val="20"/>
                <w:szCs w:val="20"/>
                <w:lang w:eastAsia="es-MX"/>
              </w:rPr>
            </w:pPr>
            <w:r w:rsidRPr="0009262C">
              <w:rPr>
                <w:rFonts w:ascii="Adobe Caslon Pro" w:hAnsi="Adobe Caslon Pro" w:cs="Calibri"/>
                <w:sz w:val="20"/>
                <w:szCs w:val="20"/>
                <w:lang w:eastAsia="es-MX"/>
              </w:rPr>
              <w:t>ORIENTACIÓN PARA RESULTADOS</w:t>
            </w:r>
          </w:p>
          <w:p w:rsidR="005C48E8" w:rsidRPr="0009262C" w:rsidRDefault="005C48E8" w:rsidP="00F075EB">
            <w:pPr>
              <w:numPr>
                <w:ilvl w:val="0"/>
                <w:numId w:val="12"/>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Se recolecta información oportuna y veraz de gabinete, así como en las páginas oficiales, que permiten darle seguimiento, monitoreo y evaluación a las acciones realizadas para generar resultados e impactos en la población.</w:t>
            </w:r>
          </w:p>
          <w:p w:rsidR="005C48E8" w:rsidRPr="0009262C" w:rsidRDefault="005C48E8" w:rsidP="00F075EB">
            <w:pPr>
              <w:numPr>
                <w:ilvl w:val="0"/>
                <w:numId w:val="12"/>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En Plan Estatal de Desarrollo se establecen indicadores para medir el desempeño de las obras y/o proyectos mediante el Plan Indicativo Sectorial, Sector Caminos donde se le da seguimiento.</w:t>
            </w:r>
          </w:p>
          <w:p w:rsidR="005C48E8" w:rsidRPr="0009262C" w:rsidRDefault="005C48E8" w:rsidP="00F075EB">
            <w:pPr>
              <w:numPr>
                <w:ilvl w:val="0"/>
                <w:numId w:val="12"/>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Se cumplen con los procesos de establecidos en la normatividad, avance físico financiero, actas de entrega recepción y los estados financieros.</w:t>
            </w:r>
          </w:p>
          <w:p w:rsidR="005C48E8" w:rsidRPr="0009262C" w:rsidRDefault="005C48E8" w:rsidP="00F075EB">
            <w:pPr>
              <w:numPr>
                <w:ilvl w:val="0"/>
                <w:numId w:val="12"/>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Se establecen las metas adecuadas para cada indicador de acuerdo con la Planeación del Desarrollo, y con ello, dar seguimiento a las acciones en el Plan Indicativo Sectorial, Sector Caminos y medir el desempeño. Asimismo, se cuenta con un año de referencia para realizar el análisis comparativo permitente sobre las situaciones a través del tiempo.</w:t>
            </w:r>
          </w:p>
          <w:p w:rsidR="005C48E8" w:rsidRPr="0009262C" w:rsidRDefault="005C48E8" w:rsidP="00F075EB">
            <w:pPr>
              <w:numPr>
                <w:ilvl w:val="0"/>
                <w:numId w:val="12"/>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Existe una vinculación entre las obras y/o proyectos que se realizan, ya que la información esta sistematizada de manera presupuestal para medir el avance físico y financiero. De igual manera, con el Plan Indicativo Sectorial, Sector Caminos de la Planeación del Desarrollo.</w:t>
            </w:r>
          </w:p>
          <w:p w:rsidR="005C48E8" w:rsidRPr="0009262C" w:rsidRDefault="005C48E8" w:rsidP="00A56E05">
            <w:pPr>
              <w:ind w:left="720"/>
              <w:jc w:val="both"/>
              <w:rPr>
                <w:rFonts w:ascii="Adobe Caslon Pro" w:hAnsi="Adobe Caslon Pro" w:cs="Calibri"/>
                <w:i/>
                <w:sz w:val="20"/>
                <w:szCs w:val="20"/>
                <w:lang w:eastAsia="es-MX"/>
              </w:rPr>
            </w:pPr>
          </w:p>
          <w:p w:rsidR="005C48E8" w:rsidRPr="0009262C" w:rsidRDefault="005C48E8" w:rsidP="00A56E05">
            <w:pPr>
              <w:jc w:val="both"/>
              <w:rPr>
                <w:rFonts w:ascii="Adobe Caslon Pro" w:hAnsi="Adobe Caslon Pro" w:cs="Calibri"/>
                <w:sz w:val="20"/>
                <w:szCs w:val="20"/>
                <w:lang w:eastAsia="es-MX"/>
              </w:rPr>
            </w:pPr>
            <w:r w:rsidRPr="0009262C">
              <w:rPr>
                <w:rFonts w:ascii="Adobe Caslon Pro" w:hAnsi="Adobe Caslon Pro" w:cs="Calibri"/>
                <w:sz w:val="20"/>
                <w:szCs w:val="20"/>
                <w:lang w:eastAsia="es-MX"/>
              </w:rPr>
              <w:t>ADMINISTRACIÓN FINANCIERA</w:t>
            </w:r>
          </w:p>
          <w:p w:rsidR="005C48E8" w:rsidRPr="0009262C" w:rsidRDefault="005C48E8" w:rsidP="00F075EB">
            <w:pPr>
              <w:numPr>
                <w:ilvl w:val="0"/>
                <w:numId w:val="12"/>
              </w:numPr>
              <w:jc w:val="both"/>
              <w:rPr>
                <w:rFonts w:ascii="Adobe Caslon Pro" w:hAnsi="Adobe Caslon Pro" w:cs="Calibri"/>
                <w:sz w:val="20"/>
                <w:szCs w:val="20"/>
                <w:lang w:eastAsia="es-MX"/>
              </w:rPr>
            </w:pPr>
            <w:r w:rsidRPr="0009262C">
              <w:rPr>
                <w:rFonts w:ascii="Adobe Caslon Pro" w:hAnsi="Adobe Caslon Pro" w:cs="Calibri"/>
                <w:i/>
                <w:sz w:val="20"/>
                <w:szCs w:val="20"/>
                <w:lang w:eastAsia="es-MX"/>
              </w:rPr>
              <w:lastRenderedPageBreak/>
              <w:t>Se utilizan prácticas para sistematizar la información financiera de las acciones y/o proyectos y el ejercicio de los recursos del Programa, y se cumple con los lineamentos normativos sobre la recepción, destino y ejercicio de los recursos tanto federales como estatales.</w:t>
            </w:r>
          </w:p>
          <w:p w:rsidR="005C48E8" w:rsidRPr="0009262C" w:rsidRDefault="005C48E8" w:rsidP="00A56E05">
            <w:pPr>
              <w:ind w:left="360"/>
              <w:jc w:val="both"/>
              <w:rPr>
                <w:rFonts w:ascii="Adobe Caslon Pro" w:hAnsi="Adobe Caslon Pro" w:cs="Calibri"/>
                <w:i/>
                <w:sz w:val="20"/>
                <w:szCs w:val="20"/>
                <w:lang w:eastAsia="es-MX"/>
              </w:rPr>
            </w:pPr>
          </w:p>
          <w:p w:rsidR="005C48E8" w:rsidRPr="0009262C" w:rsidRDefault="005C48E8" w:rsidP="00A56E05">
            <w:pPr>
              <w:jc w:val="both"/>
              <w:rPr>
                <w:rFonts w:ascii="Adobe Caslon Pro" w:hAnsi="Adobe Caslon Pro" w:cs="Calibri"/>
                <w:sz w:val="20"/>
                <w:szCs w:val="20"/>
                <w:lang w:eastAsia="es-MX"/>
              </w:rPr>
            </w:pPr>
            <w:r w:rsidRPr="0009262C">
              <w:rPr>
                <w:rFonts w:ascii="Adobe Caslon Pro" w:hAnsi="Adobe Caslon Pro" w:cs="Calibri"/>
                <w:sz w:val="20"/>
                <w:szCs w:val="20"/>
                <w:lang w:eastAsia="es-MX"/>
              </w:rPr>
              <w:t>EJERCICIO DE LOS RECURSOS</w:t>
            </w:r>
          </w:p>
          <w:p w:rsidR="005C48E8" w:rsidRPr="0009262C" w:rsidRDefault="005C48E8" w:rsidP="00F075EB">
            <w:pPr>
              <w:numPr>
                <w:ilvl w:val="0"/>
                <w:numId w:val="18"/>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Se cuenta con una calendarización para la ejecución de las obras y/o proyectos, así como los oficios de autorización de los recursos.</w:t>
            </w:r>
          </w:p>
          <w:p w:rsidR="005C48E8" w:rsidRPr="0009262C" w:rsidRDefault="005C48E8" w:rsidP="00F075EB">
            <w:pPr>
              <w:numPr>
                <w:ilvl w:val="0"/>
                <w:numId w:val="18"/>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Se cuenta con el Plan Estatal de Desarrollo 2011-2016, así como de la instancia ejecutora con el Plan Estratégico Sectorial Transporte, Subsector Caminos. En ambos se observa una coordinación interinstitucional para lograr las metas y generar resultados e impactos.</w:t>
            </w:r>
          </w:p>
          <w:p w:rsidR="005C48E8" w:rsidRPr="0009262C" w:rsidRDefault="005C48E8" w:rsidP="00F075EB">
            <w:pPr>
              <w:numPr>
                <w:ilvl w:val="0"/>
                <w:numId w:val="18"/>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Se realiza el avance pertinente de las acciones correlacionando la información que se recolecta a través del tiempo. Esto se hace de manera anual, desde el 2012, con una prospectiva estratégica al 2016.</w:t>
            </w:r>
          </w:p>
          <w:p w:rsidR="005C48E8" w:rsidRPr="00284471" w:rsidRDefault="005C48E8" w:rsidP="00A56E05">
            <w:pPr>
              <w:ind w:left="360"/>
              <w:jc w:val="both"/>
              <w:rPr>
                <w:rFonts w:ascii="Adobe Caslon Pro" w:hAnsi="Adobe Caslon Pro" w:cs="Calibri"/>
                <w:color w:val="000000"/>
                <w:sz w:val="20"/>
                <w:szCs w:val="20"/>
                <w:lang w:eastAsia="es-MX"/>
              </w:rPr>
            </w:pP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Pr="007B54FC"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2.2.2 Oportunidades</w:t>
            </w:r>
            <w:r>
              <w:rPr>
                <w:rFonts w:ascii="Adobe Caslon Pro" w:hAnsi="Adobe Caslon Pro" w:cs="Calibri"/>
                <w:color w:val="00000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2.2.3 Debilidades</w:t>
            </w:r>
            <w:r>
              <w:rPr>
                <w:rFonts w:ascii="Adobe Caslon Pro" w:hAnsi="Adobe Caslon Pro" w:cs="Calibri"/>
                <w:color w:val="000000"/>
                <w:lang w:eastAsia="es-MX"/>
              </w:rPr>
              <w:t>:</w:t>
            </w:r>
          </w:p>
          <w:p w:rsidR="005C48E8" w:rsidRPr="0009262C" w:rsidRDefault="005C48E8" w:rsidP="00A56E05">
            <w:pPr>
              <w:jc w:val="both"/>
              <w:rPr>
                <w:rFonts w:ascii="Adobe Caslon Pro" w:hAnsi="Adobe Caslon Pro" w:cs="Calibri"/>
                <w:sz w:val="20"/>
                <w:szCs w:val="20"/>
                <w:lang w:eastAsia="es-MX"/>
              </w:rPr>
            </w:pPr>
            <w:r w:rsidRPr="0009262C">
              <w:rPr>
                <w:rFonts w:ascii="Adobe Caslon Pro" w:hAnsi="Adobe Caslon Pro" w:cs="Calibri"/>
                <w:sz w:val="20"/>
                <w:szCs w:val="20"/>
                <w:lang w:eastAsia="es-MX"/>
              </w:rPr>
              <w:t>ORIENTACIÓN PARA RESULTADOS</w:t>
            </w:r>
          </w:p>
          <w:p w:rsidR="005C48E8" w:rsidRPr="0009262C" w:rsidRDefault="005C48E8" w:rsidP="00F075EB">
            <w:pPr>
              <w:numPr>
                <w:ilvl w:val="0"/>
                <w:numId w:val="21"/>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No se determina en los indicadores cual es la dimensión que se pretende medir de los objetivos, ya sea eficacia, eficiencia, economía o calidad.</w:t>
            </w:r>
          </w:p>
          <w:p w:rsidR="005C48E8" w:rsidRPr="0009262C" w:rsidRDefault="005C48E8" w:rsidP="00F075EB">
            <w:pPr>
              <w:numPr>
                <w:ilvl w:val="0"/>
                <w:numId w:val="21"/>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De acuerdo con la metodología, es necesario adecuar la redacción de los indicadores para identificar de manera clara lo que se quiere medir, así como cuál será la unidad de medida y el método de cálculo.</w:t>
            </w:r>
          </w:p>
          <w:p w:rsidR="005C48E8" w:rsidRPr="0009262C" w:rsidRDefault="005C48E8" w:rsidP="00F075EB">
            <w:pPr>
              <w:numPr>
                <w:ilvl w:val="0"/>
                <w:numId w:val="21"/>
              </w:numPr>
              <w:jc w:val="both"/>
              <w:rPr>
                <w:rFonts w:ascii="Adobe Caslon Pro" w:hAnsi="Adobe Caslon Pro" w:cs="Calibri"/>
                <w:i/>
                <w:sz w:val="20"/>
                <w:szCs w:val="20"/>
                <w:lang w:eastAsia="es-MX"/>
              </w:rPr>
            </w:pPr>
            <w:r w:rsidRPr="0009262C">
              <w:rPr>
                <w:rFonts w:ascii="Adobe Caslon Pro" w:hAnsi="Adobe Caslon Pro" w:cs="Calibri"/>
                <w:i/>
                <w:sz w:val="20"/>
                <w:szCs w:val="20"/>
                <w:lang w:eastAsia="es-MX"/>
              </w:rPr>
              <w:t>Los recursos no fueron ejercidos en su totalidad, lo que manifiesta un subejercicio; y con la información proporcionada, no es posible identificar las causas.</w:t>
            </w:r>
          </w:p>
          <w:p w:rsidR="005C48E8" w:rsidRPr="0009262C" w:rsidRDefault="005C48E8" w:rsidP="00A56E05">
            <w:pPr>
              <w:ind w:left="720"/>
              <w:jc w:val="both"/>
              <w:rPr>
                <w:rFonts w:ascii="Adobe Caslon Pro" w:hAnsi="Adobe Caslon Pro" w:cs="Calibri"/>
                <w:i/>
                <w:sz w:val="20"/>
                <w:szCs w:val="20"/>
                <w:lang w:eastAsia="es-MX"/>
              </w:rPr>
            </w:pPr>
          </w:p>
          <w:p w:rsidR="005C48E8" w:rsidRPr="0009262C" w:rsidRDefault="005C48E8" w:rsidP="00A56E05">
            <w:pPr>
              <w:jc w:val="both"/>
              <w:rPr>
                <w:rFonts w:ascii="Adobe Caslon Pro" w:hAnsi="Adobe Caslon Pro" w:cs="Calibri"/>
                <w:sz w:val="20"/>
                <w:szCs w:val="20"/>
                <w:lang w:eastAsia="es-MX"/>
              </w:rPr>
            </w:pPr>
            <w:r w:rsidRPr="0009262C">
              <w:rPr>
                <w:rFonts w:ascii="Adobe Caslon Pro" w:hAnsi="Adobe Caslon Pro" w:cs="Calibri"/>
                <w:sz w:val="20"/>
                <w:szCs w:val="20"/>
                <w:lang w:eastAsia="es-MX"/>
              </w:rPr>
              <w:t>EJERCICIO DE LOS RECURSOS</w:t>
            </w:r>
          </w:p>
          <w:p w:rsidR="005C48E8" w:rsidRPr="000462EC" w:rsidRDefault="005C48E8" w:rsidP="00F075EB">
            <w:pPr>
              <w:pStyle w:val="Default"/>
              <w:numPr>
                <w:ilvl w:val="0"/>
                <w:numId w:val="49"/>
              </w:numPr>
            </w:pPr>
            <w:r w:rsidRPr="0009262C">
              <w:rPr>
                <w:rFonts w:ascii="Adobe Caslon Pro" w:hAnsi="Adobe Caslon Pro" w:cs="Calibri"/>
                <w:i/>
                <w:color w:val="auto"/>
                <w:sz w:val="20"/>
                <w:szCs w:val="20"/>
              </w:rPr>
              <w:t>No se ejercieron en su totalidad los recursos, y se desconocen los motivos del subejercicio.</w:t>
            </w:r>
            <w:r>
              <w:rPr>
                <w:color w:val="221E1F"/>
                <w:sz w:val="23"/>
                <w:szCs w:val="23"/>
              </w:rPr>
              <w:t xml:space="preserve">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2.2.4 Amenazas</w:t>
            </w:r>
            <w:r>
              <w:rPr>
                <w:rFonts w:ascii="Adobe Caslon Pro" w:hAnsi="Adobe Caslon Pro" w:cs="Calibri"/>
                <w:color w:val="000000"/>
                <w:lang w:eastAsia="es-MX"/>
              </w:rPr>
              <w:t>:</w:t>
            </w:r>
          </w:p>
        </w:tc>
      </w:tr>
      <w:tr w:rsidR="005C48E8" w:rsidRPr="004F6AC5"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5C48E8" w:rsidRPr="00066E84" w:rsidRDefault="005C48E8" w:rsidP="00A56E05">
            <w:pPr>
              <w:jc w:val="center"/>
              <w:rPr>
                <w:rFonts w:ascii="Adobe Caslon Pro" w:hAnsi="Adobe Caslon Pro" w:cs="Calibri"/>
                <w:color w:val="000000"/>
                <w:lang w:eastAsia="es-MX"/>
              </w:rPr>
            </w:pP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3. Conclusiones y recomendaciones de la evaluación</w:t>
            </w:r>
          </w:p>
        </w:tc>
      </w:tr>
      <w:tr w:rsidR="005C48E8" w:rsidRPr="004F6AC5" w:rsidTr="00A56E05">
        <w:trPr>
          <w:trHeight w:val="110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Default="005C48E8" w:rsidP="00F075EB">
            <w:pPr>
              <w:numPr>
                <w:ilvl w:val="1"/>
                <w:numId w:val="15"/>
              </w:numPr>
              <w:rPr>
                <w:rFonts w:ascii="Adobe Caslon Pro" w:hAnsi="Adobe Caslon Pro" w:cs="Calibri"/>
                <w:color w:val="000000"/>
                <w:lang w:eastAsia="es-MX"/>
              </w:rPr>
            </w:pPr>
            <w:r w:rsidRPr="00066E84">
              <w:rPr>
                <w:rFonts w:ascii="Adobe Caslon Pro" w:hAnsi="Adobe Caslon Pro" w:cs="Calibri"/>
                <w:color w:val="000000"/>
                <w:lang w:eastAsia="es-MX"/>
              </w:rPr>
              <w:t>Describir brevemente las conclusiones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5C48E8" w:rsidRDefault="005C48E8" w:rsidP="00F075EB">
            <w:pPr>
              <w:numPr>
                <w:ilvl w:val="0"/>
                <w:numId w:val="24"/>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w:t>
            </w:r>
            <w:r w:rsidRPr="00627C83">
              <w:rPr>
                <w:rFonts w:ascii="Adobe Caslon Pro" w:hAnsi="Adobe Caslon Pro" w:cs="Calibri"/>
                <w:i/>
                <w:color w:val="000000"/>
                <w:sz w:val="20"/>
                <w:szCs w:val="20"/>
                <w:lang w:eastAsia="es-MX"/>
              </w:rPr>
              <w:t>os mecanismos para recolectar inf</w:t>
            </w:r>
            <w:r>
              <w:rPr>
                <w:rFonts w:ascii="Adobe Caslon Pro" w:hAnsi="Adobe Caslon Pro" w:cs="Calibri"/>
                <w:i/>
                <w:color w:val="000000"/>
                <w:sz w:val="20"/>
                <w:szCs w:val="20"/>
                <w:lang w:eastAsia="es-MX"/>
              </w:rPr>
              <w:t xml:space="preserve">ormación oportuna y veraz, </w:t>
            </w:r>
            <w:r w:rsidRPr="00627C83">
              <w:rPr>
                <w:rFonts w:ascii="Adobe Caslon Pro" w:hAnsi="Adobe Caslon Pro" w:cs="Calibri"/>
                <w:i/>
                <w:color w:val="000000"/>
                <w:sz w:val="20"/>
                <w:szCs w:val="20"/>
                <w:lang w:eastAsia="es-MX"/>
              </w:rPr>
              <w:t xml:space="preserve">se encuentran vinculados con los lineamientos normativos sobre la información programática y presupuestal, y se realizan mediante </w:t>
            </w:r>
            <w:r>
              <w:rPr>
                <w:rFonts w:ascii="Adobe Caslon Pro" w:hAnsi="Adobe Caslon Pro" w:cs="Calibri"/>
                <w:i/>
                <w:color w:val="000000"/>
                <w:sz w:val="20"/>
                <w:szCs w:val="20"/>
                <w:lang w:eastAsia="es-MX"/>
              </w:rPr>
              <w:t>procesos de control interno;</w:t>
            </w:r>
            <w:r w:rsidRPr="00627C83">
              <w:rPr>
                <w:rFonts w:ascii="Adobe Caslon Pro" w:hAnsi="Adobe Caslon Pro" w:cs="Calibri"/>
                <w:i/>
                <w:color w:val="000000"/>
                <w:sz w:val="20"/>
                <w:szCs w:val="20"/>
                <w:lang w:eastAsia="es-MX"/>
              </w:rPr>
              <w:t xml:space="preserve"> así como en las páginas oficiales de transparencia presupuestaria de Oaxaca, lo que permite darle seguimiento, monitoreo y evaluación a las acciones realizadas para generar resultados e impactos en la población.</w:t>
            </w:r>
          </w:p>
          <w:p w:rsidR="005C48E8" w:rsidRPr="007D131A" w:rsidRDefault="005C48E8" w:rsidP="00F075EB">
            <w:pPr>
              <w:numPr>
                <w:ilvl w:val="0"/>
                <w:numId w:val="24"/>
              </w:numPr>
              <w:jc w:val="both"/>
              <w:rPr>
                <w:rFonts w:ascii="Adobe Caslon Pro" w:hAnsi="Adobe Caslon Pro" w:cs="Calibri"/>
                <w:i/>
                <w:color w:val="000000"/>
                <w:sz w:val="20"/>
                <w:szCs w:val="20"/>
                <w:lang w:eastAsia="es-MX"/>
              </w:rPr>
            </w:pPr>
            <w:r w:rsidRPr="007D131A">
              <w:rPr>
                <w:rFonts w:ascii="Adobe Caslon Pro" w:hAnsi="Adobe Caslon Pro" w:cs="Calibri"/>
                <w:i/>
                <w:color w:val="000000"/>
                <w:sz w:val="20"/>
                <w:szCs w:val="20"/>
                <w:lang w:eastAsia="es-MX"/>
              </w:rPr>
              <w:t>Se cumplen con los procesos de establecidos en la normatividad, avance físico finan</w:t>
            </w:r>
            <w:r w:rsidRPr="007D131A">
              <w:rPr>
                <w:rFonts w:ascii="Adobe Caslon Pro" w:hAnsi="Adobe Caslon Pro" w:cs="Calibri"/>
                <w:i/>
                <w:color w:val="000000"/>
                <w:sz w:val="20"/>
                <w:szCs w:val="20"/>
                <w:lang w:eastAsia="es-MX"/>
              </w:rPr>
              <w:softHyphen/>
              <w:t>ciero, actas de entrega recepción y los estados financieros.</w:t>
            </w:r>
            <w:r>
              <w:rPr>
                <w:rFonts w:cs="Myriad Pro"/>
                <w:color w:val="221E1F"/>
                <w:sz w:val="23"/>
                <w:szCs w:val="23"/>
              </w:rPr>
              <w:t xml:space="preserve"> </w:t>
            </w:r>
          </w:p>
          <w:p w:rsidR="005C48E8" w:rsidRPr="007D131A" w:rsidRDefault="005C48E8" w:rsidP="00F075EB">
            <w:pPr>
              <w:numPr>
                <w:ilvl w:val="0"/>
                <w:numId w:val="24"/>
              </w:numPr>
              <w:jc w:val="both"/>
              <w:rPr>
                <w:rFonts w:ascii="Adobe Caslon Pro" w:hAnsi="Adobe Caslon Pro" w:cs="Calibri"/>
                <w:i/>
                <w:color w:val="000000"/>
                <w:sz w:val="20"/>
                <w:szCs w:val="20"/>
                <w:lang w:eastAsia="es-MX"/>
              </w:rPr>
            </w:pPr>
            <w:r w:rsidRPr="00971584">
              <w:rPr>
                <w:rFonts w:ascii="Adobe Caslon Pro" w:hAnsi="Adobe Caslon Pro" w:cs="Calibri"/>
                <w:i/>
                <w:color w:val="000000"/>
                <w:sz w:val="20"/>
                <w:szCs w:val="20"/>
                <w:lang w:eastAsia="es-MX"/>
              </w:rPr>
              <w:t>Se establecen las metas adecuadas para cada indicador con un año de referencia para realizar el análisis comparativo permitente sobre las situaciones encontradas a través del tiempo.</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971584">
              <w:rPr>
                <w:rFonts w:ascii="Adobe Caslon Pro" w:hAnsi="Adobe Caslon Pro" w:cs="Calibri"/>
                <w:i/>
                <w:color w:val="000000"/>
                <w:sz w:val="20"/>
                <w:szCs w:val="20"/>
                <w:lang w:eastAsia="es-MX"/>
              </w:rPr>
              <w:t>Existe una vincu</w:t>
            </w:r>
            <w:r w:rsidRPr="00971584">
              <w:rPr>
                <w:rFonts w:ascii="Adobe Caslon Pro" w:hAnsi="Adobe Caslon Pro" w:cs="Calibri"/>
                <w:i/>
                <w:color w:val="000000"/>
                <w:sz w:val="20"/>
                <w:szCs w:val="20"/>
                <w:lang w:eastAsia="es-MX"/>
              </w:rPr>
              <w:softHyphen/>
              <w:t>lación entre las obras y/o proyectos que se realizan, ya que la información esta sistematizada de manera programática y presupuestal para medir el avance físico y financiero, y de igual manera, con el Plan Indicativo Sectorial, Sector Caminos de la Planeación del Desarrollo.</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6110C7">
              <w:rPr>
                <w:rFonts w:ascii="Adobe Caslon Pro" w:hAnsi="Adobe Caslon Pro" w:cs="Calibri"/>
                <w:i/>
                <w:color w:val="000000"/>
                <w:sz w:val="20"/>
                <w:szCs w:val="20"/>
                <w:lang w:eastAsia="es-MX"/>
              </w:rPr>
              <w:t>Con respecto al tema de Administración Financiera, se utilizan prácticas para sistematizar la informa</w:t>
            </w:r>
            <w:r w:rsidRPr="006110C7">
              <w:rPr>
                <w:rFonts w:ascii="Adobe Caslon Pro" w:hAnsi="Adobe Caslon Pro" w:cs="Calibri"/>
                <w:i/>
                <w:color w:val="000000"/>
                <w:sz w:val="20"/>
                <w:szCs w:val="20"/>
                <w:lang w:eastAsia="es-MX"/>
              </w:rPr>
              <w:softHyphen/>
              <w:t>ción financiera de las acciones y/o proyectos y el ejercicio de los recursos del Pro</w:t>
            </w:r>
            <w:r w:rsidRPr="006110C7">
              <w:rPr>
                <w:rFonts w:ascii="Adobe Caslon Pro" w:hAnsi="Adobe Caslon Pro" w:cs="Calibri"/>
                <w:i/>
                <w:color w:val="000000"/>
                <w:sz w:val="20"/>
                <w:szCs w:val="20"/>
                <w:lang w:eastAsia="es-MX"/>
              </w:rPr>
              <w:softHyphen/>
              <w:t>grama. Asimismo, se cumple con los lineamentos normativos sobre la recepción, destino y ejercicio de los recursos por parte de la Federación y el Estado, ya que cuenta con ambos para el financiamiento</w:t>
            </w:r>
            <w:r>
              <w:rPr>
                <w:rFonts w:ascii="Adobe Caslon Pro" w:hAnsi="Adobe Caslon Pro" w:cs="Calibri"/>
                <w:i/>
                <w:color w:val="000000"/>
                <w:sz w:val="20"/>
                <w:szCs w:val="20"/>
                <w:lang w:eastAsia="es-MX"/>
              </w:rPr>
              <w:t>.</w:t>
            </w:r>
          </w:p>
          <w:p w:rsidR="005C48E8" w:rsidRDefault="005C48E8" w:rsidP="00F075EB">
            <w:pPr>
              <w:numPr>
                <w:ilvl w:val="0"/>
                <w:numId w:val="24"/>
              </w:numPr>
              <w:jc w:val="both"/>
              <w:rPr>
                <w:rFonts w:ascii="Adobe Caslon Pro" w:hAnsi="Adobe Caslon Pro" w:cs="Calibri"/>
                <w:i/>
                <w:color w:val="000000"/>
                <w:sz w:val="20"/>
                <w:szCs w:val="20"/>
                <w:lang w:eastAsia="es-MX"/>
              </w:rPr>
            </w:pPr>
            <w:r w:rsidRPr="00330991">
              <w:rPr>
                <w:rFonts w:ascii="Adobe Caslon Pro" w:hAnsi="Adobe Caslon Pro" w:cs="Calibri"/>
                <w:i/>
                <w:color w:val="000000"/>
                <w:sz w:val="20"/>
                <w:szCs w:val="20"/>
                <w:lang w:eastAsia="es-MX"/>
              </w:rPr>
              <w:t xml:space="preserve">Se cuenta con una buena coordinación interinstitucional para poder lograr las metas y generar </w:t>
            </w:r>
            <w:r w:rsidRPr="00330991">
              <w:rPr>
                <w:rFonts w:ascii="Adobe Caslon Pro" w:hAnsi="Adobe Caslon Pro" w:cs="Calibri"/>
                <w:i/>
                <w:color w:val="000000"/>
                <w:sz w:val="20"/>
                <w:szCs w:val="20"/>
                <w:lang w:eastAsia="es-MX"/>
              </w:rPr>
              <w:lastRenderedPageBreak/>
              <w:t>resultados e impactos.</w:t>
            </w:r>
          </w:p>
          <w:p w:rsidR="005C48E8" w:rsidRPr="007D131A" w:rsidRDefault="005C48E8" w:rsidP="00F075EB">
            <w:pPr>
              <w:numPr>
                <w:ilvl w:val="0"/>
                <w:numId w:val="24"/>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Se </w:t>
            </w:r>
            <w:r w:rsidRPr="00330991">
              <w:rPr>
                <w:rFonts w:ascii="Adobe Caslon Pro" w:hAnsi="Adobe Caslon Pro" w:cs="Calibri"/>
                <w:i/>
                <w:color w:val="000000"/>
                <w:sz w:val="20"/>
                <w:szCs w:val="20"/>
                <w:lang w:eastAsia="es-MX"/>
              </w:rPr>
              <w:t>realiza un seguimiento de avance pertinente de las acciones</w:t>
            </w:r>
            <w:r>
              <w:rPr>
                <w:rFonts w:ascii="Adobe Caslon Pro" w:hAnsi="Adobe Caslon Pro" w:cs="Calibri"/>
                <w:i/>
                <w:color w:val="000000"/>
                <w:sz w:val="20"/>
                <w:szCs w:val="20"/>
                <w:lang w:eastAsia="es-MX"/>
              </w:rPr>
              <w:t>.</w:t>
            </w:r>
          </w:p>
        </w:tc>
      </w:tr>
      <w:tr w:rsidR="005C48E8" w:rsidRPr="004F6AC5" w:rsidTr="00A56E05">
        <w:trPr>
          <w:trHeight w:val="525"/>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5C48E8" w:rsidRPr="00066E84" w:rsidRDefault="005C48E8" w:rsidP="00F075EB">
            <w:pPr>
              <w:numPr>
                <w:ilvl w:val="1"/>
                <w:numId w:val="14"/>
              </w:numPr>
              <w:rPr>
                <w:rFonts w:ascii="Adobe Caslon Pro" w:hAnsi="Adobe Caslon Pro" w:cs="Calibri"/>
                <w:color w:val="000000"/>
                <w:lang w:eastAsia="es-MX"/>
              </w:rPr>
            </w:pPr>
            <w:r>
              <w:rPr>
                <w:rFonts w:ascii="Adobe Caslon Pro" w:hAnsi="Adobe Caslon Pro" w:cs="Calibri"/>
                <w:color w:val="000000"/>
                <w:lang w:eastAsia="es-MX"/>
              </w:rPr>
              <w:lastRenderedPageBreak/>
              <w:t>Describir</w:t>
            </w:r>
            <w:r w:rsidRPr="00066E84">
              <w:rPr>
                <w:rFonts w:ascii="Adobe Caslon Pro" w:hAnsi="Adobe Caslon Pro" w:cs="Calibri"/>
                <w:color w:val="000000"/>
                <w:lang w:eastAsia="es-MX"/>
              </w:rPr>
              <w:t xml:space="preserve"> las recomendaciones de acuerdo a su relevancia:</w:t>
            </w:r>
          </w:p>
        </w:tc>
      </w:tr>
      <w:tr w:rsidR="005C48E8" w:rsidRPr="004F6AC5"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ORIENTACIÓN PARA RESULTADOS</w:t>
            </w:r>
          </w:p>
          <w:p w:rsidR="005C48E8" w:rsidRPr="00BD01AE" w:rsidRDefault="005C48E8" w:rsidP="00F075EB">
            <w:pPr>
              <w:numPr>
                <w:ilvl w:val="0"/>
                <w:numId w:val="13"/>
              </w:numPr>
              <w:jc w:val="both"/>
              <w:rPr>
                <w:rFonts w:ascii="Adobe Caslon Pro" w:hAnsi="Adobe Caslon Pro" w:cs="Calibri"/>
                <w:i/>
                <w:color w:val="000000"/>
                <w:sz w:val="20"/>
                <w:szCs w:val="20"/>
                <w:lang w:eastAsia="es-MX"/>
              </w:rPr>
            </w:pPr>
            <w:r w:rsidRPr="00BD01AE">
              <w:rPr>
                <w:rFonts w:ascii="Adobe Caslon Pro" w:hAnsi="Adobe Caslon Pro" w:cs="Calibri"/>
                <w:i/>
                <w:color w:val="000000"/>
                <w:sz w:val="20"/>
                <w:szCs w:val="20"/>
                <w:lang w:eastAsia="es-MX"/>
              </w:rPr>
              <w:t xml:space="preserve">Como recomendación para mejorar el seguimiento, monitoreo y evaluación, se recomienda adicionar la dimensión que </w:t>
            </w:r>
            <w:r>
              <w:rPr>
                <w:rFonts w:ascii="Adobe Caslon Pro" w:hAnsi="Adobe Caslon Pro" w:cs="Calibri"/>
                <w:i/>
                <w:color w:val="000000"/>
                <w:sz w:val="20"/>
                <w:szCs w:val="20"/>
                <w:lang w:eastAsia="es-MX"/>
              </w:rPr>
              <w:t>se pretende medir de los objeti</w:t>
            </w:r>
            <w:r w:rsidRPr="00BD01AE">
              <w:rPr>
                <w:rFonts w:ascii="Adobe Caslon Pro" w:hAnsi="Adobe Caslon Pro" w:cs="Calibri"/>
                <w:i/>
                <w:color w:val="000000"/>
                <w:sz w:val="20"/>
                <w:szCs w:val="20"/>
                <w:lang w:eastAsia="es-MX"/>
              </w:rPr>
              <w:t xml:space="preserve">vos, e identificar y adicionar indicadores de eficiencia a consideración de las instancia ejecutoras para mejorar la gestión. </w:t>
            </w:r>
          </w:p>
          <w:p w:rsidR="005C48E8" w:rsidRPr="00BD01AE" w:rsidRDefault="005C48E8" w:rsidP="00F075EB">
            <w:pPr>
              <w:numPr>
                <w:ilvl w:val="0"/>
                <w:numId w:val="13"/>
              </w:numPr>
              <w:jc w:val="both"/>
              <w:rPr>
                <w:rFonts w:ascii="Adobe Caslon Pro" w:hAnsi="Adobe Caslon Pro" w:cs="Calibri"/>
                <w:i/>
                <w:color w:val="000000"/>
                <w:sz w:val="20"/>
                <w:szCs w:val="20"/>
                <w:lang w:eastAsia="es-MX"/>
              </w:rPr>
            </w:pPr>
            <w:r w:rsidRPr="00BD01AE">
              <w:rPr>
                <w:rFonts w:ascii="Adobe Caslon Pro" w:hAnsi="Adobe Caslon Pro" w:cs="Calibri"/>
                <w:i/>
                <w:color w:val="000000"/>
                <w:sz w:val="20"/>
                <w:szCs w:val="20"/>
                <w:lang w:eastAsia="es-MX"/>
              </w:rPr>
              <w:t xml:space="preserve">Se recomienda para cada indicador identificar: </w:t>
            </w:r>
          </w:p>
          <w:p w:rsidR="005C48E8" w:rsidRPr="00BD01AE" w:rsidRDefault="005C48E8" w:rsidP="00A56E05">
            <w:pPr>
              <w:ind w:left="720"/>
              <w:jc w:val="both"/>
              <w:rPr>
                <w:rFonts w:ascii="Adobe Caslon Pro" w:hAnsi="Adobe Caslon Pro" w:cs="Calibri"/>
                <w:i/>
                <w:color w:val="000000"/>
                <w:sz w:val="20"/>
                <w:szCs w:val="20"/>
                <w:lang w:eastAsia="es-MX"/>
              </w:rPr>
            </w:pPr>
            <w:r w:rsidRPr="00BD01AE">
              <w:rPr>
                <w:rFonts w:ascii="Adobe Caslon Pro" w:hAnsi="Adobe Caslon Pro" w:cs="Calibri"/>
                <w:i/>
                <w:color w:val="000000"/>
                <w:sz w:val="20"/>
                <w:szCs w:val="20"/>
                <w:lang w:eastAsia="es-MX"/>
              </w:rPr>
              <w:t xml:space="preserve">1. Nombre del Indicador </w:t>
            </w:r>
          </w:p>
          <w:p w:rsidR="005C48E8" w:rsidRPr="00BD01AE" w:rsidRDefault="005C48E8" w:rsidP="00A56E05">
            <w:pPr>
              <w:ind w:left="720"/>
              <w:jc w:val="both"/>
              <w:rPr>
                <w:rFonts w:ascii="Adobe Caslon Pro" w:hAnsi="Adobe Caslon Pro" w:cs="Calibri"/>
                <w:i/>
                <w:color w:val="000000"/>
                <w:sz w:val="20"/>
                <w:szCs w:val="20"/>
                <w:lang w:eastAsia="es-MX"/>
              </w:rPr>
            </w:pPr>
            <w:r w:rsidRPr="00BD01AE">
              <w:rPr>
                <w:rFonts w:ascii="Adobe Caslon Pro" w:hAnsi="Adobe Caslon Pro" w:cs="Calibri"/>
                <w:i/>
                <w:color w:val="000000"/>
                <w:sz w:val="20"/>
                <w:szCs w:val="20"/>
                <w:lang w:eastAsia="es-MX"/>
              </w:rPr>
              <w:t xml:space="preserve">2. Lo que se quiere medir </w:t>
            </w:r>
          </w:p>
          <w:p w:rsidR="005C48E8" w:rsidRPr="00BD01AE" w:rsidRDefault="005C48E8" w:rsidP="00A56E05">
            <w:pPr>
              <w:ind w:left="720"/>
              <w:jc w:val="both"/>
              <w:rPr>
                <w:rFonts w:ascii="Adobe Caslon Pro" w:hAnsi="Adobe Caslon Pro" w:cs="Calibri"/>
                <w:i/>
                <w:color w:val="000000"/>
                <w:sz w:val="20"/>
                <w:szCs w:val="20"/>
                <w:lang w:eastAsia="es-MX"/>
              </w:rPr>
            </w:pPr>
            <w:r w:rsidRPr="00BD01AE">
              <w:rPr>
                <w:rFonts w:ascii="Adobe Caslon Pro" w:hAnsi="Adobe Caslon Pro" w:cs="Calibri"/>
                <w:i/>
                <w:color w:val="000000"/>
                <w:sz w:val="20"/>
                <w:szCs w:val="20"/>
                <w:lang w:eastAsia="es-MX"/>
              </w:rPr>
              <w:t xml:space="preserve">3. La unidad de medida </w:t>
            </w:r>
          </w:p>
          <w:p w:rsidR="005C48E8" w:rsidRPr="00BD01AE" w:rsidRDefault="005C48E8" w:rsidP="00F075EB">
            <w:pPr>
              <w:numPr>
                <w:ilvl w:val="0"/>
                <w:numId w:val="13"/>
              </w:numPr>
              <w:jc w:val="both"/>
              <w:rPr>
                <w:rFonts w:ascii="Adobe Caslon Pro" w:hAnsi="Adobe Caslon Pro" w:cs="Calibri"/>
                <w:i/>
                <w:color w:val="000000"/>
                <w:sz w:val="20"/>
                <w:szCs w:val="20"/>
                <w:lang w:eastAsia="es-MX"/>
              </w:rPr>
            </w:pPr>
            <w:r w:rsidRPr="00BD01AE">
              <w:rPr>
                <w:rFonts w:ascii="Adobe Caslon Pro" w:hAnsi="Adobe Caslon Pro" w:cs="Calibri"/>
                <w:i/>
                <w:color w:val="000000"/>
                <w:sz w:val="20"/>
                <w:szCs w:val="20"/>
                <w:lang w:eastAsia="es-MX"/>
              </w:rPr>
              <w:t>Realizar el ejercicio de los recursos conforme lo establece la Planeación del Desarrollo, y en el caso de que no se ejerzan</w:t>
            </w:r>
            <w:r>
              <w:rPr>
                <w:rFonts w:ascii="Adobe Caslon Pro" w:hAnsi="Adobe Caslon Pro" w:cs="Calibri"/>
                <w:i/>
                <w:color w:val="000000"/>
                <w:sz w:val="20"/>
                <w:szCs w:val="20"/>
                <w:lang w:eastAsia="es-MX"/>
              </w:rPr>
              <w:t xml:space="preserve"> los recursos por cuestiones ex</w:t>
            </w:r>
            <w:r w:rsidRPr="00BD01AE">
              <w:rPr>
                <w:rFonts w:ascii="Adobe Caslon Pro" w:hAnsi="Adobe Caslon Pro" w:cs="Calibri"/>
                <w:i/>
                <w:color w:val="000000"/>
                <w:sz w:val="20"/>
                <w:szCs w:val="20"/>
                <w:lang w:eastAsia="es-MX"/>
              </w:rPr>
              <w:t xml:space="preserve">traordinarias, documentar las causas. </w:t>
            </w:r>
          </w:p>
          <w:p w:rsidR="005C48E8" w:rsidRDefault="005C48E8" w:rsidP="00A56E05">
            <w:pPr>
              <w:jc w:val="both"/>
              <w:rPr>
                <w:rFonts w:ascii="Adobe Caslon Pro" w:hAnsi="Adobe Caslon Pro" w:cs="Calibri"/>
                <w:i/>
                <w:color w:val="000000"/>
                <w:sz w:val="20"/>
                <w:szCs w:val="20"/>
                <w:lang w:eastAsia="es-MX"/>
              </w:rPr>
            </w:pPr>
          </w:p>
          <w:p w:rsidR="005C48E8" w:rsidRDefault="005C48E8"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EJERCICIO DE LOS RECURSOS</w:t>
            </w:r>
          </w:p>
          <w:p w:rsidR="005C48E8" w:rsidRPr="00957DCD" w:rsidRDefault="005C48E8" w:rsidP="00F075EB">
            <w:pPr>
              <w:numPr>
                <w:ilvl w:val="0"/>
                <w:numId w:val="47"/>
              </w:numPr>
              <w:jc w:val="both"/>
              <w:rPr>
                <w:rFonts w:ascii="Adobe Caslon Pro" w:hAnsi="Adobe Caslon Pro" w:cs="Calibri"/>
                <w:i/>
                <w:color w:val="000000"/>
                <w:sz w:val="20"/>
                <w:szCs w:val="20"/>
                <w:lang w:eastAsia="es-MX"/>
              </w:rPr>
            </w:pPr>
            <w:r w:rsidRPr="00957DCD">
              <w:rPr>
                <w:rFonts w:ascii="Adobe Caslon Pro" w:hAnsi="Adobe Caslon Pro" w:cs="Calibri"/>
                <w:i/>
                <w:color w:val="000000"/>
                <w:sz w:val="20"/>
                <w:szCs w:val="20"/>
                <w:lang w:eastAsia="es-MX"/>
              </w:rPr>
              <w:t>Se recomienda, con base en la Planeación del Desarrollo, dar seguimiento y</w:t>
            </w:r>
            <w:r>
              <w:rPr>
                <w:rFonts w:ascii="Adobe Caslon Pro" w:hAnsi="Adobe Caslon Pro" w:cs="Calibri"/>
                <w:i/>
                <w:color w:val="000000"/>
                <w:sz w:val="20"/>
                <w:szCs w:val="20"/>
                <w:lang w:eastAsia="es-MX"/>
              </w:rPr>
              <w:t xml:space="preserve"> </w:t>
            </w:r>
            <w:r w:rsidRPr="00957DCD">
              <w:rPr>
                <w:rFonts w:ascii="Adobe Caslon Pro" w:hAnsi="Adobe Caslon Pro" w:cs="Calibri"/>
                <w:i/>
                <w:color w:val="000000"/>
                <w:sz w:val="20"/>
                <w:szCs w:val="20"/>
                <w:lang w:eastAsia="es-MX"/>
              </w:rPr>
              <w:t>ejercer en tiempo y forma los recursos. De igual manera, es necesario sistematizar</w:t>
            </w:r>
            <w:r>
              <w:rPr>
                <w:rFonts w:ascii="Adobe Caslon Pro" w:hAnsi="Adobe Caslon Pro" w:cs="Calibri"/>
                <w:i/>
                <w:color w:val="000000"/>
                <w:sz w:val="20"/>
                <w:szCs w:val="20"/>
                <w:lang w:eastAsia="es-MX"/>
              </w:rPr>
              <w:t xml:space="preserve"> </w:t>
            </w:r>
            <w:r w:rsidRPr="00957DCD">
              <w:rPr>
                <w:rFonts w:ascii="Adobe Caslon Pro" w:hAnsi="Adobe Caslon Pro" w:cs="Calibri"/>
                <w:i/>
                <w:color w:val="000000"/>
                <w:sz w:val="20"/>
                <w:szCs w:val="20"/>
                <w:lang w:eastAsia="es-MX"/>
              </w:rPr>
              <w:t>la información con base en la Metodología del Marco Lógico con la</w:t>
            </w:r>
            <w:r>
              <w:rPr>
                <w:rFonts w:ascii="Adobe Caslon Pro" w:hAnsi="Adobe Caslon Pro" w:cs="Calibri"/>
                <w:i/>
                <w:color w:val="000000"/>
                <w:sz w:val="20"/>
                <w:szCs w:val="20"/>
                <w:lang w:eastAsia="es-MX"/>
              </w:rPr>
              <w:t xml:space="preserve"> </w:t>
            </w:r>
            <w:r w:rsidRPr="00957DCD">
              <w:rPr>
                <w:rFonts w:ascii="Adobe Caslon Pro" w:hAnsi="Adobe Caslon Pro" w:cs="Calibri"/>
                <w:i/>
                <w:color w:val="000000"/>
                <w:sz w:val="20"/>
                <w:szCs w:val="20"/>
                <w:lang w:eastAsia="es-MX"/>
              </w:rPr>
              <w:t>finalidad de elaborar una Matriz de Indicadores para Resultados.</w:t>
            </w:r>
          </w:p>
          <w:p w:rsidR="005C48E8" w:rsidRDefault="005C48E8" w:rsidP="00F075EB">
            <w:pPr>
              <w:numPr>
                <w:ilvl w:val="0"/>
                <w:numId w:val="47"/>
              </w:numPr>
              <w:jc w:val="both"/>
              <w:rPr>
                <w:rFonts w:ascii="Adobe Caslon Pro" w:hAnsi="Adobe Caslon Pro" w:cs="Calibri"/>
                <w:i/>
                <w:color w:val="000000"/>
                <w:sz w:val="20"/>
                <w:szCs w:val="20"/>
                <w:lang w:eastAsia="es-MX"/>
              </w:rPr>
            </w:pPr>
            <w:r w:rsidRPr="00957DCD">
              <w:rPr>
                <w:rFonts w:ascii="Adobe Caslon Pro" w:hAnsi="Adobe Caslon Pro" w:cs="Calibri"/>
                <w:i/>
                <w:color w:val="000000"/>
                <w:sz w:val="20"/>
                <w:szCs w:val="20"/>
                <w:lang w:eastAsia="es-MX"/>
              </w:rPr>
              <w:t>Mejorar los tiempos en la gestión de los proyectos y agilizar la firma de los</w:t>
            </w:r>
            <w:r>
              <w:rPr>
                <w:rFonts w:ascii="Adobe Caslon Pro" w:hAnsi="Adobe Caslon Pro" w:cs="Calibri"/>
                <w:i/>
                <w:color w:val="000000"/>
                <w:sz w:val="20"/>
                <w:szCs w:val="20"/>
                <w:lang w:eastAsia="es-MX"/>
              </w:rPr>
              <w:t xml:space="preserve"> </w:t>
            </w:r>
            <w:r w:rsidRPr="00957DCD">
              <w:rPr>
                <w:rFonts w:ascii="Adobe Caslon Pro" w:hAnsi="Adobe Caslon Pro" w:cs="Calibri"/>
                <w:i/>
                <w:color w:val="000000"/>
                <w:sz w:val="20"/>
                <w:szCs w:val="20"/>
                <w:lang w:eastAsia="es-MX"/>
              </w:rPr>
              <w:t>convenios.</w:t>
            </w:r>
          </w:p>
          <w:p w:rsidR="005C48E8" w:rsidRPr="004A7FE3" w:rsidRDefault="005C48E8" w:rsidP="00A56E05">
            <w:pPr>
              <w:tabs>
                <w:tab w:val="left" w:pos="5685"/>
              </w:tabs>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ab/>
            </w:r>
          </w:p>
        </w:tc>
      </w:tr>
      <w:tr w:rsidR="005C48E8" w:rsidRPr="004F6AC5" w:rsidTr="00A56E05">
        <w:trPr>
          <w:trHeight w:val="105"/>
          <w:jc w:val="center"/>
        </w:trPr>
        <w:tc>
          <w:tcPr>
            <w:tcW w:w="579"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2375"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r>
      <w:tr w:rsidR="005C48E8" w:rsidRPr="004F6AC5"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4.1 Nombre del coordinador de la evaluación</w:t>
            </w:r>
            <w:r>
              <w:rPr>
                <w:rFonts w:ascii="Adobe Caslon Pro" w:hAnsi="Adobe Caslon Pro" w:cs="Calibri"/>
                <w:color w:val="000000"/>
                <w:lang w:eastAsia="es-MX"/>
              </w:rPr>
              <w:t>:</w:t>
            </w:r>
          </w:p>
          <w:p w:rsidR="005C48E8" w:rsidRPr="005C31CA" w:rsidRDefault="005C48E8"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Dra. Luz Elvia Rascón </w:t>
            </w:r>
            <w:proofErr w:type="spellStart"/>
            <w:r>
              <w:rPr>
                <w:rFonts w:ascii="Adobe Caslon Pro" w:hAnsi="Adobe Caslon Pro" w:cs="Calibri"/>
                <w:i/>
                <w:color w:val="000000"/>
                <w:sz w:val="20"/>
                <w:lang w:eastAsia="es-MX"/>
              </w:rPr>
              <w:t>Manquero</w:t>
            </w:r>
            <w:proofErr w:type="spellEnd"/>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4.2 Cargo</w:t>
            </w:r>
            <w:r>
              <w:rPr>
                <w:rFonts w:ascii="Adobe Caslon Pro" w:hAnsi="Adobe Caslon Pro" w:cs="Calibri"/>
                <w:color w:val="000000"/>
                <w:lang w:eastAsia="es-MX"/>
              </w:rPr>
              <w:t>:</w:t>
            </w:r>
          </w:p>
          <w:p w:rsidR="005C48E8" w:rsidRPr="005C31CA" w:rsidRDefault="005C48E8" w:rsidP="00A56E05">
            <w:pPr>
              <w:rPr>
                <w:rFonts w:ascii="Adobe Caslon Pro" w:hAnsi="Adobe Caslon Pro" w:cs="Calibri"/>
                <w:i/>
                <w:color w:val="000000"/>
                <w:lang w:eastAsia="es-MX"/>
              </w:rPr>
            </w:pPr>
            <w:r>
              <w:rPr>
                <w:rFonts w:ascii="Adobe Caslon Pro" w:hAnsi="Adobe Caslon Pro" w:cs="Calibri"/>
                <w:i/>
                <w:color w:val="000000"/>
                <w:sz w:val="20"/>
                <w:lang w:eastAsia="es-MX"/>
              </w:rPr>
              <w:t>Directora del Sistema Integral de Información</w:t>
            </w:r>
            <w:r>
              <w:t xml:space="preserve"> </w:t>
            </w:r>
            <w:r w:rsidRPr="00C2589E">
              <w:rPr>
                <w:rFonts w:ascii="Adobe Caslon Pro" w:hAnsi="Adobe Caslon Pro" w:cs="Calibri"/>
                <w:i/>
                <w:color w:val="000000"/>
                <w:sz w:val="20"/>
                <w:lang w:eastAsia="es-MX"/>
              </w:rPr>
              <w:t xml:space="preserve">y Líder del proyecto de </w:t>
            </w:r>
            <w:proofErr w:type="spellStart"/>
            <w:r w:rsidRPr="00C2589E">
              <w:rPr>
                <w:rFonts w:ascii="Adobe Caslon Pro" w:hAnsi="Adobe Caslon Pro" w:cs="Calibri"/>
                <w:i/>
                <w:color w:val="000000"/>
                <w:sz w:val="20"/>
                <w:lang w:eastAsia="es-MX"/>
              </w:rPr>
              <w:t>PbR</w:t>
            </w:r>
            <w:proofErr w:type="spellEnd"/>
            <w:r w:rsidRPr="00C2589E">
              <w:rPr>
                <w:rFonts w:ascii="Adobe Caslon Pro" w:hAnsi="Adobe Caslon Pro" w:cs="Calibri"/>
                <w:i/>
                <w:color w:val="000000"/>
                <w:sz w:val="20"/>
                <w:lang w:eastAsia="es-MX"/>
              </w:rPr>
              <w:t xml:space="preserve"> y Evaluación</w:t>
            </w:r>
            <w:r>
              <w:rPr>
                <w:rFonts w:ascii="Adobe Caslon Pro" w:hAnsi="Adobe Caslon Pro" w:cs="Calibri"/>
                <w:i/>
                <w:color w:val="000000"/>
                <w:sz w:val="20"/>
                <w:lang w:eastAsia="es-MX"/>
              </w:rPr>
              <w:t xml:space="preserve"> </w:t>
            </w:r>
            <w:r w:rsidRPr="00C2589E">
              <w:rPr>
                <w:rFonts w:ascii="Adobe Caslon Pro" w:hAnsi="Adobe Caslon Pro" w:cs="Calibri"/>
                <w:i/>
                <w:color w:val="000000"/>
                <w:sz w:val="20"/>
                <w:lang w:eastAsia="es-MX"/>
              </w:rPr>
              <w:t>del Desempeño.</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4.3 Institución a la que pertenece</w:t>
            </w:r>
            <w:r>
              <w:rPr>
                <w:rFonts w:ascii="Adobe Caslon Pro" w:hAnsi="Adobe Caslon Pro" w:cs="Calibri"/>
                <w:color w:val="000000"/>
                <w:lang w:eastAsia="es-MX"/>
              </w:rPr>
              <w:t>:</w:t>
            </w:r>
            <w:r w:rsidRPr="00066E84">
              <w:rPr>
                <w:rFonts w:ascii="Adobe Caslon Pro" w:hAnsi="Adobe Caslon Pro" w:cs="Calibri"/>
                <w:color w:val="000000"/>
                <w:lang w:eastAsia="es-MX"/>
              </w:rPr>
              <w:t xml:space="preserve">  </w:t>
            </w:r>
          </w:p>
          <w:p w:rsidR="005C48E8" w:rsidRPr="00DF7C94" w:rsidRDefault="005C48E8" w:rsidP="00A56E05">
            <w:pPr>
              <w:rPr>
                <w:rFonts w:ascii="Adobe Caslon Pro" w:hAnsi="Adobe Caslon Pro" w:cs="Calibri"/>
                <w:i/>
                <w:color w:val="000000"/>
                <w:lang w:eastAsia="es-MX"/>
              </w:rPr>
            </w:pPr>
            <w:r w:rsidRPr="00DF7C94">
              <w:rPr>
                <w:rFonts w:ascii="Adobe Caslon Pro" w:hAnsi="Adobe Caslon Pro" w:cs="Calibri"/>
                <w:i/>
                <w:color w:val="000000"/>
                <w:sz w:val="20"/>
                <w:lang w:eastAsia="es-MX"/>
              </w:rPr>
              <w:t>Instituto para el Desarrollo Técnico de las Haciendas Públicas (INDETEC)</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4.4 Principales colaboradores</w:t>
            </w:r>
            <w:r>
              <w:rPr>
                <w:rFonts w:ascii="Adobe Caslon Pro" w:hAnsi="Adobe Caslon Pro" w:cs="Calibri"/>
                <w:color w:val="000000"/>
                <w:lang w:eastAsia="es-MX"/>
              </w:rPr>
              <w:t>:</w:t>
            </w:r>
          </w:p>
          <w:p w:rsidR="005C48E8" w:rsidRPr="002C6455" w:rsidRDefault="005C48E8" w:rsidP="00A56E05">
            <w:pPr>
              <w:rPr>
                <w:rFonts w:ascii="Adobe Caslon Pro" w:hAnsi="Adobe Caslon Pro" w:cs="Calibri"/>
                <w:i/>
                <w:color w:val="000000"/>
                <w:sz w:val="20"/>
                <w:lang w:eastAsia="es-MX"/>
              </w:rPr>
            </w:pPr>
            <w:r w:rsidRPr="002C6455">
              <w:rPr>
                <w:rFonts w:ascii="Adobe Caslon Pro" w:hAnsi="Adobe Caslon Pro" w:cs="Calibri"/>
                <w:i/>
                <w:color w:val="000000"/>
                <w:sz w:val="20"/>
                <w:lang w:eastAsia="es-MX"/>
              </w:rPr>
              <w:t>Viridiana García Roque</w:t>
            </w:r>
            <w:r>
              <w:rPr>
                <w:rFonts w:ascii="Adobe Caslon Pro" w:hAnsi="Adobe Caslon Pro" w:cs="Calibri"/>
                <w:i/>
                <w:color w:val="000000"/>
                <w:sz w:val="20"/>
                <w:lang w:eastAsia="es-MX"/>
              </w:rPr>
              <w:t>.</w:t>
            </w:r>
          </w:p>
          <w:p w:rsidR="005C48E8" w:rsidRPr="002C6455" w:rsidRDefault="005C48E8" w:rsidP="00A56E05">
            <w:pPr>
              <w:rPr>
                <w:rFonts w:ascii="Adobe Caslon Pro" w:hAnsi="Adobe Caslon Pro" w:cs="Calibri"/>
                <w:i/>
                <w:color w:val="000000"/>
                <w:sz w:val="20"/>
                <w:lang w:eastAsia="es-MX"/>
              </w:rPr>
            </w:pPr>
            <w:r w:rsidRPr="002C6455">
              <w:rPr>
                <w:rFonts w:ascii="Adobe Caslon Pro" w:hAnsi="Adobe Caslon Pro" w:cs="Calibri"/>
                <w:i/>
                <w:color w:val="000000"/>
                <w:sz w:val="20"/>
                <w:lang w:eastAsia="es-MX"/>
              </w:rPr>
              <w:t>María Dolores Buenrostro Bermúdez</w:t>
            </w:r>
            <w:r>
              <w:rPr>
                <w:rFonts w:ascii="Adobe Caslon Pro" w:hAnsi="Adobe Caslon Pro" w:cs="Calibri"/>
                <w:i/>
                <w:color w:val="000000"/>
                <w:sz w:val="20"/>
                <w:lang w:eastAsia="es-MX"/>
              </w:rPr>
              <w:t>.</w:t>
            </w:r>
          </w:p>
          <w:p w:rsidR="005C48E8" w:rsidRPr="002C6455" w:rsidRDefault="005C48E8" w:rsidP="00A56E05">
            <w:pPr>
              <w:rPr>
                <w:rFonts w:ascii="Adobe Caslon Pro" w:hAnsi="Adobe Caslon Pro" w:cs="Calibri"/>
                <w:i/>
                <w:color w:val="000000"/>
                <w:sz w:val="20"/>
                <w:lang w:eastAsia="es-MX"/>
              </w:rPr>
            </w:pPr>
            <w:r w:rsidRPr="002C6455">
              <w:rPr>
                <w:rFonts w:ascii="Adobe Caslon Pro" w:hAnsi="Adobe Caslon Pro" w:cs="Calibri"/>
                <w:i/>
                <w:color w:val="000000"/>
                <w:sz w:val="20"/>
                <w:lang w:eastAsia="es-MX"/>
              </w:rPr>
              <w:t>Arturo Alejandro Preciado Marín</w:t>
            </w:r>
            <w:r>
              <w:rPr>
                <w:rFonts w:ascii="Adobe Caslon Pro" w:hAnsi="Adobe Caslon Pro" w:cs="Calibri"/>
                <w:i/>
                <w:color w:val="000000"/>
                <w:sz w:val="20"/>
                <w:lang w:eastAsia="es-MX"/>
              </w:rPr>
              <w:t>.</w:t>
            </w:r>
          </w:p>
          <w:p w:rsidR="005C48E8" w:rsidRPr="002C6455" w:rsidRDefault="005C48E8" w:rsidP="00A56E05">
            <w:pPr>
              <w:rPr>
                <w:rFonts w:ascii="Adobe Caslon Pro" w:hAnsi="Adobe Caslon Pro" w:cs="Calibri"/>
                <w:i/>
                <w:color w:val="000000"/>
                <w:sz w:val="20"/>
                <w:lang w:eastAsia="es-MX"/>
              </w:rPr>
            </w:pPr>
            <w:r w:rsidRPr="002C6455">
              <w:rPr>
                <w:rFonts w:ascii="Adobe Caslon Pro" w:hAnsi="Adobe Caslon Pro" w:cs="Calibri"/>
                <w:i/>
                <w:color w:val="000000"/>
                <w:sz w:val="20"/>
                <w:lang w:eastAsia="es-MX"/>
              </w:rPr>
              <w:t>Camilo García Carmona</w:t>
            </w:r>
            <w:r>
              <w:rPr>
                <w:rFonts w:ascii="Adobe Caslon Pro" w:hAnsi="Adobe Caslon Pro" w:cs="Calibri"/>
                <w:i/>
                <w:color w:val="000000"/>
                <w:sz w:val="20"/>
                <w:lang w:eastAsia="es-MX"/>
              </w:rPr>
              <w:t>.</w:t>
            </w:r>
          </w:p>
          <w:p w:rsidR="005C48E8" w:rsidRPr="002C6455" w:rsidRDefault="005C48E8" w:rsidP="00A56E05">
            <w:pPr>
              <w:rPr>
                <w:rFonts w:ascii="Adobe Caslon Pro" w:hAnsi="Adobe Caslon Pro" w:cs="Calibri"/>
                <w:i/>
                <w:color w:val="000000"/>
                <w:sz w:val="20"/>
                <w:lang w:eastAsia="es-MX"/>
              </w:rPr>
            </w:pPr>
            <w:r w:rsidRPr="002C6455">
              <w:rPr>
                <w:rFonts w:ascii="Adobe Caslon Pro" w:hAnsi="Adobe Caslon Pro" w:cs="Calibri"/>
                <w:i/>
                <w:color w:val="000000"/>
                <w:sz w:val="20"/>
                <w:lang w:eastAsia="es-MX"/>
              </w:rPr>
              <w:t>Angélica Méndez Magaña</w:t>
            </w:r>
            <w:r>
              <w:rPr>
                <w:rFonts w:ascii="Adobe Caslon Pro" w:hAnsi="Adobe Caslon Pro" w:cs="Calibri"/>
                <w:i/>
                <w:color w:val="000000"/>
                <w:sz w:val="20"/>
                <w:lang w:eastAsia="es-MX"/>
              </w:rPr>
              <w:t>.</w:t>
            </w:r>
          </w:p>
          <w:p w:rsidR="005C48E8" w:rsidRPr="00DF7C94" w:rsidRDefault="005C48E8" w:rsidP="00A56E05">
            <w:pPr>
              <w:rPr>
                <w:rFonts w:ascii="Adobe Caslon Pro" w:hAnsi="Adobe Caslon Pro" w:cs="Calibri"/>
                <w:i/>
                <w:color w:val="000000"/>
                <w:lang w:eastAsia="es-MX"/>
              </w:rPr>
            </w:pPr>
            <w:r w:rsidRPr="002C6455">
              <w:rPr>
                <w:rFonts w:ascii="Adobe Caslon Pro" w:hAnsi="Adobe Caslon Pro" w:cs="Calibri"/>
                <w:i/>
                <w:color w:val="000000"/>
                <w:sz w:val="20"/>
                <w:lang w:eastAsia="es-MX"/>
              </w:rPr>
              <w:t>Mónica Buenrostro Bermúdez</w:t>
            </w:r>
            <w:r>
              <w:rPr>
                <w:rFonts w:ascii="Adobe Caslon Pro" w:hAnsi="Adobe Caslon Pro" w:cs="Calibri"/>
                <w:i/>
                <w:color w:val="000000"/>
                <w:sz w:val="2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4.5 Correo electrónico del coordinador de la evaluación</w:t>
            </w:r>
            <w:r>
              <w:rPr>
                <w:rFonts w:ascii="Adobe Caslon Pro" w:hAnsi="Adobe Caslon Pro" w:cs="Calibri"/>
                <w:color w:val="000000"/>
                <w:lang w:eastAsia="es-MX"/>
              </w:rPr>
              <w:t>:</w:t>
            </w:r>
          </w:p>
          <w:p w:rsidR="005C48E8" w:rsidRPr="00335A49" w:rsidRDefault="005C48E8" w:rsidP="00A56E05">
            <w:pPr>
              <w:rPr>
                <w:rFonts w:ascii="Adobe Caslon Pro" w:hAnsi="Adobe Caslon Pro" w:cs="Calibri"/>
                <w:color w:val="000000"/>
                <w:lang w:eastAsia="es-MX"/>
              </w:rPr>
            </w:pPr>
            <w:r w:rsidRPr="00335A49">
              <w:rPr>
                <w:rFonts w:ascii="Adobe Caslon Pro" w:hAnsi="Adobe Caslon Pro" w:cs="Calibri"/>
                <w:i/>
                <w:color w:val="000000"/>
                <w:sz w:val="20"/>
                <w:u w:val="single"/>
                <w:lang w:eastAsia="es-MX"/>
              </w:rPr>
              <w:t>lrasconm@indetec.gob.mx</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4.6 Teléfono (con clave lada)</w:t>
            </w:r>
            <w:r>
              <w:rPr>
                <w:rFonts w:ascii="Adobe Caslon Pro" w:hAnsi="Adobe Caslon Pro" w:cs="Calibri"/>
                <w:color w:val="000000"/>
                <w:lang w:eastAsia="es-MX"/>
              </w:rPr>
              <w:t>:</w:t>
            </w:r>
          </w:p>
          <w:p w:rsidR="005C48E8" w:rsidRPr="00DF7C94" w:rsidRDefault="005C48E8" w:rsidP="00A56E05">
            <w:pPr>
              <w:rPr>
                <w:rFonts w:ascii="Adobe Caslon Pro" w:hAnsi="Adobe Caslon Pro" w:cs="Calibri"/>
                <w:i/>
                <w:color w:val="000000"/>
                <w:lang w:eastAsia="es-MX"/>
              </w:rPr>
            </w:pPr>
            <w:r>
              <w:rPr>
                <w:rFonts w:ascii="Adobe Caslon Pro" w:hAnsi="Adobe Caslon Pro" w:cs="Calibri"/>
                <w:i/>
                <w:color w:val="000000"/>
                <w:sz w:val="20"/>
                <w:lang w:eastAsia="es-MX"/>
              </w:rPr>
              <w:t>01 (33) 36695550 al 55 Ext. 136</w:t>
            </w:r>
          </w:p>
        </w:tc>
      </w:tr>
      <w:tr w:rsidR="005C48E8" w:rsidRPr="004F6AC5" w:rsidTr="00A56E05">
        <w:trPr>
          <w:trHeight w:val="75"/>
          <w:jc w:val="center"/>
        </w:trPr>
        <w:tc>
          <w:tcPr>
            <w:tcW w:w="999"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r>
      <w:tr w:rsidR="005C48E8" w:rsidRPr="004F6AC5"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5.1 Nombre de</w:t>
            </w:r>
            <w:r>
              <w:rPr>
                <w:rFonts w:ascii="Adobe Caslon Pro" w:hAnsi="Adobe Caslon Pro" w:cs="Calibri"/>
                <w:color w:val="000000"/>
                <w:lang w:eastAsia="es-MX"/>
              </w:rPr>
              <w:t>l (los) programa(s) evaluado(s):</w:t>
            </w:r>
          </w:p>
          <w:p w:rsidR="005C48E8" w:rsidRPr="009B0D97" w:rsidRDefault="005C48E8" w:rsidP="00A56E05">
            <w:p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Programa Mejoramiento de la Red Carretera en el Estado.</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9A7D2D"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5.2 Siglas</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5.3 Ente público coordinador del (los) programa(s)</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5C48E8" w:rsidRPr="00B33A80" w:rsidRDefault="005C48E8" w:rsidP="00A56E05">
            <w:pPr>
              <w:rPr>
                <w:rFonts w:ascii="Adobe Caslon Pro" w:hAnsi="Adobe Caslon Pro" w:cs="Calibri"/>
                <w:i/>
                <w:color w:val="000000"/>
                <w:sz w:val="20"/>
                <w:szCs w:val="20"/>
                <w:lang w:eastAsia="es-MX"/>
              </w:rPr>
            </w:pPr>
            <w:r w:rsidRPr="009A7D2D">
              <w:rPr>
                <w:rFonts w:ascii="Adobe Caslon Pro" w:hAnsi="Adobe Caslon Pro" w:cs="Calibri"/>
                <w:i/>
                <w:color w:val="000000"/>
                <w:sz w:val="20"/>
                <w:lang w:eastAsia="es-MX"/>
              </w:rPr>
              <w:t>Caminos y Aeropistas de Oaxaca (CAO)</w:t>
            </w:r>
            <w:r>
              <w:rPr>
                <w:rFonts w:ascii="Adobe Caslon Pro" w:hAnsi="Adobe Caslon Pro" w:cs="Calibri"/>
                <w:i/>
                <w:color w:val="000000"/>
                <w:sz w:val="2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5.4 Poder público al que pertenece(n) el(los) programa(s)</w:t>
            </w:r>
            <w:r>
              <w:rPr>
                <w:rFonts w:ascii="Adobe Caslon Pro" w:hAnsi="Adobe Caslon Pro" w:cs="Calibri"/>
                <w:color w:val="00000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Pr>
                <w:rFonts w:ascii="Adobe Caslon Pro" w:hAnsi="Adobe Caslon Pro" w:cs="Calibri"/>
                <w:color w:val="000000"/>
                <w:lang w:eastAsia="es-MX"/>
              </w:rPr>
              <w:t xml:space="preserve">Poder </w:t>
            </w:r>
            <w:proofErr w:type="spellStart"/>
            <w:r>
              <w:rPr>
                <w:rFonts w:ascii="Adobe Caslon Pro" w:hAnsi="Adobe Caslon Pro" w:cs="Calibri"/>
                <w:color w:val="000000"/>
                <w:lang w:eastAsia="es-MX"/>
              </w:rPr>
              <w:t>Ejecutivo_X</w:t>
            </w:r>
            <w:proofErr w:type="spellEnd"/>
            <w:r>
              <w:rPr>
                <w:rFonts w:ascii="Adobe Caslon Pro" w:hAnsi="Adobe Caslon Pro" w:cs="Calibri"/>
                <w:color w:val="000000"/>
                <w:lang w:eastAsia="es-MX"/>
              </w:rPr>
              <w:t>__   Poder Legislativo___   Poder Judicial___  Ente Autónomo___</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5.5 Ámbito gubernamental al que pertenece(n) el(los) programa(s)</w:t>
            </w:r>
            <w:r>
              <w:rPr>
                <w:rFonts w:ascii="Adobe Caslon Pro" w:hAnsi="Adobe Caslon Pro" w:cs="Calibri"/>
                <w:color w:val="00000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Pr>
                <w:rFonts w:ascii="Adobe Caslon Pro" w:hAnsi="Adobe Caslon Pro" w:cs="Calibri"/>
                <w:color w:val="000000"/>
                <w:lang w:eastAsia="es-MX"/>
              </w:rPr>
              <w:t>Federal_</w:t>
            </w:r>
            <w:r>
              <w:rPr>
                <w:rFonts w:ascii="Adobe Caslon Pro" w:hAnsi="Adobe Caslon Pro" w:cs="Calibri"/>
                <w:color w:val="000000"/>
                <w:u w:val="single"/>
                <w:lang w:eastAsia="es-MX"/>
              </w:rPr>
              <w:t>_</w:t>
            </w:r>
            <w:r>
              <w:rPr>
                <w:rFonts w:ascii="Adobe Caslon Pro" w:hAnsi="Adobe Caslon Pro" w:cs="Calibri"/>
                <w:color w:val="000000"/>
                <w:lang w:eastAsia="es-MX"/>
              </w:rPr>
              <w:t xml:space="preserve">_       </w:t>
            </w:r>
            <w:proofErr w:type="spellStart"/>
            <w:r>
              <w:rPr>
                <w:rFonts w:ascii="Adobe Caslon Pro" w:hAnsi="Adobe Caslon Pro" w:cs="Calibri"/>
                <w:color w:val="000000"/>
                <w:lang w:eastAsia="es-MX"/>
              </w:rPr>
              <w:t>Estatal_X</w:t>
            </w:r>
            <w:proofErr w:type="spellEnd"/>
            <w:r>
              <w:rPr>
                <w:rFonts w:ascii="Adobe Caslon Pro" w:hAnsi="Adobe Caslon Pro" w:cs="Calibri"/>
                <w:color w:val="000000"/>
                <w:lang w:eastAsia="es-MX"/>
              </w:rPr>
              <w:t>__     Local___</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A6AC6">
              <w:rPr>
                <w:rFonts w:ascii="Adobe Caslon Pro" w:hAnsi="Adobe Caslon Pro" w:cs="Calibri"/>
                <w:color w:val="000000"/>
                <w:lang w:eastAsia="es-MX"/>
              </w:rPr>
              <w:t>5.6 Nombre de la(s) unidad(es) administrativa(s) y de (los) titular(es) a cargo del (los) programa(s):</w:t>
            </w:r>
          </w:p>
        </w:tc>
      </w:tr>
      <w:tr w:rsidR="005C48E8" w:rsidRPr="004F6AC5"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5C48E8" w:rsidRPr="00066E84" w:rsidRDefault="005C48E8" w:rsidP="00A56E05">
            <w:pPr>
              <w:rPr>
                <w:rFonts w:ascii="Adobe Caslon Pro" w:hAnsi="Adobe Caslon Pro" w:cs="Calibri"/>
                <w:color w:val="000000"/>
                <w:lang w:eastAsia="es-MX"/>
              </w:rPr>
            </w:pPr>
            <w:r w:rsidRPr="007C224C">
              <w:rPr>
                <w:rFonts w:ascii="Adobe Caslon Pro" w:hAnsi="Adobe Caslon Pro" w:cs="Calibri"/>
                <w:color w:val="000000"/>
                <w:lang w:eastAsia="es-MX"/>
              </w:rPr>
              <w:t>5.6.1 Nombre(s) de la(s) unidad(es) administrativa(s) a cargo de (los) programa(s):</w:t>
            </w:r>
          </w:p>
        </w:tc>
      </w:tr>
      <w:tr w:rsidR="005C48E8"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5C48E8" w:rsidRPr="00385F2B" w:rsidRDefault="005C48E8" w:rsidP="00A56E05">
            <w:pPr>
              <w:rPr>
                <w:rFonts w:ascii="Adobe Caslon Pro" w:hAnsi="Adobe Caslon Pro" w:cs="Calibri"/>
                <w:i/>
                <w:color w:val="000000"/>
                <w:sz w:val="20"/>
                <w:szCs w:val="20"/>
                <w:lang w:eastAsia="es-MX"/>
              </w:rPr>
            </w:pPr>
            <w:r w:rsidRPr="009A7D2D">
              <w:rPr>
                <w:rFonts w:ascii="Adobe Caslon Pro" w:hAnsi="Adobe Caslon Pro" w:cs="Calibri"/>
                <w:i/>
                <w:color w:val="000000"/>
                <w:sz w:val="20"/>
                <w:lang w:eastAsia="es-MX"/>
              </w:rPr>
              <w:t>Caminos y Aeropistas de Oaxaca (CAO)</w:t>
            </w:r>
            <w:r>
              <w:rPr>
                <w:rFonts w:ascii="Adobe Caslon Pro" w:hAnsi="Adobe Caslon Pro" w:cs="Calibri"/>
                <w:i/>
                <w:color w:val="000000"/>
                <w:sz w:val="20"/>
                <w:lang w:eastAsia="es-MX"/>
              </w:rPr>
              <w:t>.</w:t>
            </w:r>
          </w:p>
        </w:tc>
      </w:tr>
      <w:tr w:rsidR="005C48E8"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5C48E8" w:rsidRPr="00066E84" w:rsidRDefault="005C48E8" w:rsidP="00A56E05">
            <w:pPr>
              <w:rPr>
                <w:rFonts w:ascii="Adobe Caslon Pro" w:hAnsi="Adobe Caslon Pro" w:cs="Calibri"/>
                <w:color w:val="000000"/>
                <w:lang w:eastAsia="es-MX"/>
              </w:rPr>
            </w:pPr>
            <w:r w:rsidRPr="000A6AC6">
              <w:rPr>
                <w:rFonts w:ascii="Adobe Caslon Pro" w:hAnsi="Adobe Caslon Pro" w:cs="Calibri"/>
                <w:color w:val="000000"/>
                <w:lang w:eastAsia="es-MX"/>
              </w:rPr>
              <w:t>5.6.2 Nombre(s) de (los) titular(es) de la(s) unidad(es) administrativa(s) a cargo de (los) programa(s) (nombre completo, correo electrónico y teléfono con clave lada):</w:t>
            </w:r>
          </w:p>
        </w:tc>
      </w:tr>
      <w:tr w:rsidR="005C48E8" w:rsidRPr="004F6AC5"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Nombre:</w:t>
            </w:r>
          </w:p>
          <w:p w:rsidR="005C48E8" w:rsidRDefault="005C48E8" w:rsidP="00A56E05">
            <w:pPr>
              <w:rPr>
                <w:rFonts w:ascii="Adobe Caslon Pro" w:hAnsi="Adobe Caslon Pro" w:cs="Calibri"/>
                <w:i/>
                <w:color w:val="000000"/>
                <w:sz w:val="20"/>
                <w:lang w:eastAsia="es-MX"/>
              </w:rPr>
            </w:pPr>
            <w:r w:rsidRPr="00D24968">
              <w:rPr>
                <w:rFonts w:ascii="Adobe Caslon Pro" w:hAnsi="Adobe Caslon Pro" w:cs="Calibri"/>
                <w:i/>
                <w:color w:val="000000"/>
                <w:sz w:val="20"/>
                <w:lang w:eastAsia="es-MX"/>
              </w:rPr>
              <w:t>Arq. Guillermo Martínez Gómez</w:t>
            </w:r>
          </w:p>
          <w:p w:rsidR="005C48E8" w:rsidRPr="0025249F" w:rsidRDefault="005C48E8" w:rsidP="00A56E05">
            <w:pPr>
              <w:rPr>
                <w:rFonts w:ascii="Adobe Caslon Pro" w:hAnsi="Adobe Caslon Pro" w:cs="Calibri"/>
                <w:i/>
                <w:color w:val="000000"/>
                <w:sz w:val="20"/>
                <w:lang w:eastAsia="es-MX"/>
              </w:rPr>
            </w:pPr>
            <w:r w:rsidRPr="0025249F">
              <w:rPr>
                <w:rFonts w:ascii="Adobe Caslon Pro" w:hAnsi="Adobe Caslon Pro" w:cs="Calibri"/>
                <w:i/>
                <w:color w:val="000000"/>
                <w:sz w:val="20"/>
                <w:lang w:eastAsia="es-MX"/>
              </w:rPr>
              <w:t>Tel: (951</w:t>
            </w:r>
            <w:r>
              <w:rPr>
                <w:rFonts w:ascii="Adobe Caslon Pro" w:hAnsi="Adobe Caslon Pro" w:cs="Calibri"/>
                <w:i/>
                <w:color w:val="000000"/>
                <w:sz w:val="20"/>
                <w:lang w:eastAsia="es-MX"/>
              </w:rPr>
              <w:t xml:space="preserve">) </w:t>
            </w:r>
            <w:r w:rsidRPr="00D24968">
              <w:rPr>
                <w:rFonts w:ascii="Adobe Caslon Pro" w:hAnsi="Adobe Caslon Pro" w:cs="Calibri"/>
                <w:i/>
                <w:color w:val="000000"/>
                <w:sz w:val="20"/>
                <w:lang w:eastAsia="es-MX"/>
              </w:rPr>
              <w:t>501-69-00 Ext. 24376, 24390</w:t>
            </w:r>
          </w:p>
          <w:p w:rsidR="005C48E8" w:rsidRPr="00066E84" w:rsidRDefault="005C48E8" w:rsidP="00A56E05">
            <w:pPr>
              <w:rPr>
                <w:rFonts w:ascii="Adobe Caslon Pro" w:hAnsi="Adobe Caslon Pro" w:cs="Calibri"/>
                <w:color w:val="000000"/>
                <w:lang w:eastAsia="es-MX"/>
              </w:rPr>
            </w:pPr>
            <w:r w:rsidRPr="00623222">
              <w:rPr>
                <w:rFonts w:ascii="Adobe Caslon Pro" w:hAnsi="Adobe Caslon Pro" w:cs="Calibri"/>
                <w:i/>
                <w:color w:val="000000"/>
                <w:sz w:val="20"/>
                <w:lang w:eastAsia="es-MX"/>
              </w:rPr>
              <w:t>guillermomartinez.cao@oaxaca.gob.mx</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Unidad administrativa:</w:t>
            </w:r>
          </w:p>
          <w:p w:rsidR="005C48E8" w:rsidRPr="00066E84" w:rsidRDefault="005C48E8" w:rsidP="00A56E05">
            <w:pPr>
              <w:rPr>
                <w:rFonts w:ascii="Adobe Caslon Pro" w:hAnsi="Adobe Caslon Pro" w:cs="Calibri"/>
                <w:color w:val="000000"/>
                <w:lang w:eastAsia="es-MX"/>
              </w:rPr>
            </w:pPr>
            <w:r>
              <w:rPr>
                <w:rFonts w:ascii="Adobe Caslon Pro" w:hAnsi="Adobe Caslon Pro" w:cs="Calibri"/>
                <w:i/>
                <w:color w:val="000000"/>
                <w:sz w:val="20"/>
                <w:szCs w:val="20"/>
                <w:lang w:eastAsia="es-MX"/>
              </w:rPr>
              <w:t xml:space="preserve">Director General de </w:t>
            </w:r>
            <w:r w:rsidRPr="00AC60F6">
              <w:rPr>
                <w:rFonts w:ascii="Adobe Caslon Pro" w:hAnsi="Adobe Caslon Pro" w:cs="Calibri"/>
                <w:i/>
                <w:color w:val="000000"/>
                <w:sz w:val="20"/>
                <w:szCs w:val="20"/>
                <w:lang w:eastAsia="es-MX"/>
              </w:rPr>
              <w:t>Caminos y Aeropistas de Oaxaca (CAO)</w:t>
            </w:r>
            <w:r>
              <w:rPr>
                <w:rFonts w:ascii="Adobe Caslon Pro" w:hAnsi="Adobe Caslon Pro" w:cs="Calibri"/>
                <w:i/>
                <w:color w:val="000000"/>
                <w:sz w:val="20"/>
                <w:szCs w:val="20"/>
                <w:lang w:eastAsia="es-MX"/>
              </w:rPr>
              <w:t>.</w:t>
            </w:r>
          </w:p>
        </w:tc>
      </w:tr>
      <w:tr w:rsidR="005C48E8" w:rsidRPr="004F6AC5" w:rsidTr="00A56E05">
        <w:trPr>
          <w:trHeight w:val="165"/>
          <w:jc w:val="center"/>
        </w:trPr>
        <w:tc>
          <w:tcPr>
            <w:tcW w:w="999" w:type="dxa"/>
            <w:gridSpan w:val="2"/>
            <w:tcBorders>
              <w:top w:val="nil"/>
              <w:left w:val="nil"/>
              <w:bottom w:val="nil"/>
              <w:right w:val="nil"/>
            </w:tcBorders>
            <w:shd w:val="clear" w:color="auto" w:fill="auto"/>
            <w:hideMark/>
          </w:tcPr>
          <w:p w:rsidR="005C48E8" w:rsidRPr="00066E84" w:rsidRDefault="005C48E8" w:rsidP="00A56E05">
            <w:pPr>
              <w:jc w:val="right"/>
              <w:rPr>
                <w:rFonts w:ascii="Adobe Caslon Pro" w:hAnsi="Adobe Caslon Pro" w:cs="Calibri"/>
                <w:color w:val="000000"/>
                <w:lang w:eastAsia="es-MX"/>
              </w:rPr>
            </w:pPr>
          </w:p>
        </w:tc>
        <w:tc>
          <w:tcPr>
            <w:tcW w:w="3266" w:type="dxa"/>
            <w:gridSpan w:val="2"/>
            <w:tcBorders>
              <w:top w:val="nil"/>
              <w:left w:val="nil"/>
              <w:bottom w:val="nil"/>
              <w:right w:val="nil"/>
            </w:tcBorders>
            <w:shd w:val="clear" w:color="auto" w:fill="auto"/>
            <w:hideMark/>
          </w:tcPr>
          <w:p w:rsidR="005C48E8" w:rsidRPr="00066E84" w:rsidRDefault="005C48E8" w:rsidP="00A56E05">
            <w:pPr>
              <w:jc w:val="right"/>
              <w:rPr>
                <w:rFonts w:ascii="Adobe Caslon Pro" w:hAnsi="Adobe Caslon Pro" w:cs="Calibri"/>
                <w:color w:val="000000"/>
                <w:lang w:eastAsia="es-MX"/>
              </w:rPr>
            </w:pPr>
          </w:p>
        </w:tc>
        <w:tc>
          <w:tcPr>
            <w:tcW w:w="160" w:type="dxa"/>
            <w:tcBorders>
              <w:top w:val="nil"/>
              <w:left w:val="nil"/>
              <w:bottom w:val="nil"/>
              <w:right w:val="nil"/>
            </w:tcBorders>
            <w:shd w:val="clear" w:color="auto" w:fill="auto"/>
            <w:hideMark/>
          </w:tcPr>
          <w:p w:rsidR="005C48E8" w:rsidRPr="00066E84" w:rsidRDefault="005C48E8" w:rsidP="00A56E05">
            <w:pPr>
              <w:rPr>
                <w:rFonts w:ascii="Adobe Caslon Pro" w:hAnsi="Adobe Caslon Pro" w:cs="Calibri"/>
                <w:color w:val="000000"/>
                <w:lang w:eastAsia="es-MX"/>
              </w:rPr>
            </w:pPr>
          </w:p>
        </w:tc>
        <w:tc>
          <w:tcPr>
            <w:tcW w:w="2526" w:type="dxa"/>
            <w:gridSpan w:val="4"/>
            <w:tcBorders>
              <w:top w:val="nil"/>
              <w:left w:val="nil"/>
              <w:bottom w:val="nil"/>
              <w:right w:val="nil"/>
            </w:tcBorders>
            <w:shd w:val="clear" w:color="auto" w:fill="auto"/>
            <w:hideMark/>
          </w:tcPr>
          <w:p w:rsidR="005C48E8" w:rsidRPr="00066E84" w:rsidRDefault="005C48E8" w:rsidP="00A56E05">
            <w:pPr>
              <w:jc w:val="center"/>
              <w:rPr>
                <w:rFonts w:ascii="Adobe Caslon Pro" w:hAnsi="Adobe Caslon Pro" w:cs="Calibri"/>
                <w:color w:val="000000"/>
                <w:lang w:eastAsia="es-MX"/>
              </w:rPr>
            </w:pPr>
          </w:p>
        </w:tc>
        <w:tc>
          <w:tcPr>
            <w:tcW w:w="1325" w:type="dxa"/>
            <w:gridSpan w:val="3"/>
            <w:tcBorders>
              <w:top w:val="nil"/>
              <w:left w:val="nil"/>
              <w:bottom w:val="nil"/>
              <w:right w:val="nil"/>
            </w:tcBorders>
            <w:shd w:val="clear" w:color="auto" w:fill="auto"/>
            <w:hideMark/>
          </w:tcPr>
          <w:p w:rsidR="005C48E8" w:rsidRPr="00066E84" w:rsidRDefault="005C48E8" w:rsidP="00A56E05">
            <w:pPr>
              <w:jc w:val="center"/>
              <w:rPr>
                <w:rFonts w:ascii="Adobe Caslon Pro" w:hAnsi="Adobe Caslon Pro" w:cs="Calibri"/>
                <w:color w:val="000000"/>
                <w:lang w:eastAsia="es-MX"/>
              </w:rPr>
            </w:pPr>
          </w:p>
        </w:tc>
        <w:tc>
          <w:tcPr>
            <w:tcW w:w="1160" w:type="dxa"/>
            <w:tcBorders>
              <w:top w:val="nil"/>
              <w:left w:val="nil"/>
              <w:bottom w:val="nil"/>
              <w:right w:val="nil"/>
            </w:tcBorders>
            <w:shd w:val="clear" w:color="auto" w:fill="auto"/>
            <w:hideMark/>
          </w:tcPr>
          <w:p w:rsidR="005C48E8" w:rsidRPr="00066E84" w:rsidRDefault="005C48E8" w:rsidP="00A56E05">
            <w:pPr>
              <w:jc w:val="center"/>
              <w:rPr>
                <w:rFonts w:ascii="Adobe Caslon Pro" w:hAnsi="Adobe Caslon Pro" w:cs="Calibri"/>
                <w:color w:val="000000"/>
                <w:lang w:eastAsia="es-MX"/>
              </w:rPr>
            </w:pPr>
          </w:p>
        </w:tc>
      </w:tr>
      <w:tr w:rsidR="005C48E8"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6.1 Tipo de contratación:</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6561A1">
              <w:rPr>
                <w:rFonts w:ascii="Adobe Caslon Pro" w:hAnsi="Adobe Caslon Pro" w:cs="Calibri"/>
                <w:color w:val="000000"/>
                <w:lang w:eastAsia="es-MX"/>
              </w:rPr>
              <w:t>6.1.1 Adjudicación Directa</w:t>
            </w:r>
            <w:r>
              <w:rPr>
                <w:rFonts w:ascii="Adobe Caslon Pro" w:hAnsi="Adobe Caslon Pro" w:cs="Calibri"/>
                <w:color w:val="000000"/>
                <w:lang w:eastAsia="es-MX"/>
              </w:rPr>
              <w:t xml:space="preserve">__  </w:t>
            </w:r>
            <w:r w:rsidRPr="006561A1">
              <w:rPr>
                <w:rFonts w:ascii="Adobe Caslon Pro" w:hAnsi="Adobe Caslon Pro" w:cs="Calibri"/>
                <w:color w:val="000000"/>
                <w:lang w:eastAsia="es-MX"/>
              </w:rPr>
              <w:t>6.1.2 Invitación a tres</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6.1.3 Licitación Pública Nacional</w:t>
            </w:r>
            <w:r>
              <w:rPr>
                <w:rFonts w:ascii="Adobe Caslon Pro" w:hAnsi="Adobe Caslon Pro" w:cs="Calibri"/>
                <w:color w:val="000000"/>
                <w:lang w:eastAsia="es-MX"/>
              </w:rPr>
              <w:t>___</w:t>
            </w:r>
          </w:p>
          <w:p w:rsidR="005C48E8" w:rsidRPr="00066E84" w:rsidRDefault="005C48E8" w:rsidP="00A56E05">
            <w:pPr>
              <w:rPr>
                <w:rFonts w:ascii="Adobe Caslon Pro" w:hAnsi="Adobe Caslon Pro" w:cs="Calibri"/>
                <w:color w:val="000000"/>
                <w:lang w:eastAsia="es-MX"/>
              </w:rPr>
            </w:pPr>
            <w:r w:rsidRPr="006561A1">
              <w:rPr>
                <w:rFonts w:ascii="Adobe Caslon Pro" w:hAnsi="Adobe Caslon Pro" w:cs="Calibri"/>
                <w:color w:val="000000"/>
                <w:lang w:eastAsia="es-MX"/>
              </w:rPr>
              <w:t>6.1.4 Licitación Pública Internacional</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6.1.5 Otro: (Señalar)</w:t>
            </w:r>
            <w:r w:rsidRPr="009C27B5">
              <w:rPr>
                <w:rFonts w:ascii="Adobe Caslon Pro" w:hAnsi="Adobe Caslon Pro" w:cs="Calibri"/>
                <w:i/>
                <w:color w:val="000000"/>
                <w:u w:val="single"/>
                <w:lang w:eastAsia="es-MX"/>
              </w:rPr>
              <w:t xml:space="preserve"> </w:t>
            </w:r>
            <w:r w:rsidRPr="009C27B5">
              <w:rPr>
                <w:rFonts w:ascii="Adobe Caslon Pro" w:hAnsi="Adobe Caslon Pro" w:cs="Calibri"/>
                <w:i/>
                <w:color w:val="000000"/>
                <w:sz w:val="20"/>
                <w:szCs w:val="20"/>
                <w:u w:val="single"/>
                <w:lang w:eastAsia="es-MX"/>
              </w:rPr>
              <w:t>Convenio de colaboración institucional.</w:t>
            </w:r>
          </w:p>
        </w:tc>
      </w:tr>
      <w:tr w:rsidR="005C48E8" w:rsidRPr="004F6AC5"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6.2</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Unidad administrativa responsable de contratar la evaluación</w:t>
            </w:r>
            <w:r>
              <w:rPr>
                <w:rFonts w:ascii="Adobe Caslon Pro" w:hAnsi="Adobe Caslon Pro" w:cs="Calibri"/>
                <w:color w:val="000000"/>
                <w:lang w:eastAsia="es-MX"/>
              </w:rPr>
              <w:t>:</w:t>
            </w:r>
          </w:p>
          <w:p w:rsidR="005C48E8" w:rsidRPr="009053D3" w:rsidRDefault="005C48E8" w:rsidP="00A56E05">
            <w:pPr>
              <w:rPr>
                <w:rFonts w:ascii="Adobe Caslon Pro" w:hAnsi="Adobe Caslon Pro" w:cs="Calibri"/>
                <w:i/>
                <w:color w:val="000000"/>
                <w:lang w:eastAsia="es-MX"/>
              </w:rPr>
            </w:pPr>
            <w:r w:rsidRPr="009053D3">
              <w:rPr>
                <w:rFonts w:ascii="Adobe Caslon Pro" w:hAnsi="Adobe Caslon Pro" w:cs="Calibri"/>
                <w:i/>
                <w:color w:val="000000"/>
                <w:sz w:val="20"/>
                <w:lang w:eastAsia="es-MX"/>
              </w:rPr>
              <w:t>Jefatura de la Gubernatura</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6.3</w:t>
            </w:r>
            <w:r>
              <w:rPr>
                <w:rFonts w:ascii="Times New Roman" w:hAnsi="Times New Roman"/>
                <w:color w:val="000000"/>
                <w:sz w:val="14"/>
                <w:szCs w:val="14"/>
                <w:lang w:eastAsia="es-MX"/>
              </w:rPr>
              <w:t> </w:t>
            </w:r>
            <w:r w:rsidRPr="00066E84">
              <w:rPr>
                <w:rFonts w:ascii="Adobe Caslon Pro" w:hAnsi="Adobe Caslon Pro" w:cs="Calibri"/>
                <w:color w:val="000000"/>
                <w:lang w:eastAsia="es-MX"/>
              </w:rPr>
              <w:t>Costo total de la evaluación</w:t>
            </w:r>
            <w:r>
              <w:rPr>
                <w:rFonts w:ascii="Adobe Caslon Pro" w:hAnsi="Adobe Caslon Pro" w:cs="Calibri"/>
                <w:color w:val="000000"/>
                <w:lang w:eastAsia="es-MX"/>
              </w:rPr>
              <w:t xml:space="preserve">: </w:t>
            </w:r>
            <w:r w:rsidRPr="00B54BD0">
              <w:rPr>
                <w:rFonts w:ascii="Adobe Caslon Pro" w:hAnsi="Adobe Caslon Pro" w:cs="Calibri"/>
                <w:i/>
                <w:color w:val="000000"/>
                <w:sz w:val="20"/>
                <w:szCs w:val="20"/>
                <w:lang w:eastAsia="es-MX"/>
              </w:rPr>
              <w:t>$1,</w:t>
            </w:r>
            <w:r>
              <w:rPr>
                <w:rFonts w:ascii="Adobe Caslon Pro" w:hAnsi="Adobe Caslon Pro" w:cs="Calibri"/>
                <w:i/>
                <w:color w:val="000000"/>
                <w:sz w:val="20"/>
                <w:szCs w:val="20"/>
                <w:lang w:eastAsia="es-MX"/>
              </w:rPr>
              <w:t xml:space="preserve"> </w:t>
            </w:r>
            <w:r w:rsidRPr="00B54BD0">
              <w:rPr>
                <w:rFonts w:ascii="Adobe Caslon Pro" w:hAnsi="Adobe Caslon Pro" w:cs="Calibri"/>
                <w:i/>
                <w:color w:val="000000"/>
                <w:sz w:val="20"/>
                <w:szCs w:val="20"/>
                <w:lang w:eastAsia="es-MX"/>
              </w:rPr>
              <w:t xml:space="preserve">310,00.00 (Un millón trescientos diez mil pesos 00/100 M.N.) </w:t>
            </w:r>
            <w:r>
              <w:rPr>
                <w:rFonts w:ascii="Adobe Caslon Pro" w:hAnsi="Adobe Caslon Pro" w:cs="Calibri"/>
                <w:i/>
                <w:color w:val="000000"/>
                <w:sz w:val="20"/>
                <w:szCs w:val="20"/>
                <w:lang w:eastAsia="es-MX"/>
              </w:rPr>
              <w:t>Incluye</w:t>
            </w:r>
            <w:r w:rsidRPr="00E7741C">
              <w:rPr>
                <w:rFonts w:ascii="Adobe Caslon Pro" w:hAnsi="Adobe Caslon Pro" w:cs="Calibri"/>
                <w:i/>
                <w:color w:val="000000"/>
                <w:sz w:val="20"/>
                <w:szCs w:val="20"/>
                <w:lang w:eastAsia="es-MX"/>
              </w:rPr>
              <w:t xml:space="preserve"> IVA. El costo </w:t>
            </w:r>
            <w:r>
              <w:rPr>
                <w:rFonts w:ascii="Adobe Caslon Pro" w:hAnsi="Adobe Caslon Pro" w:cs="Calibri"/>
                <w:i/>
                <w:color w:val="000000"/>
                <w:sz w:val="20"/>
                <w:szCs w:val="20"/>
                <w:lang w:eastAsia="es-MX"/>
              </w:rPr>
              <w:t>corresponde a</w:t>
            </w:r>
            <w:r w:rsidRPr="00E7741C">
              <w:rPr>
                <w:rFonts w:ascii="Adobe Caslon Pro" w:hAnsi="Adobe Caslon Pro" w:cs="Calibri"/>
                <w:i/>
                <w:color w:val="000000"/>
                <w:sz w:val="20"/>
                <w:szCs w:val="20"/>
                <w:lang w:eastAsia="es-MX"/>
              </w:rPr>
              <w:t xml:space="preserve"> la evaluación </w:t>
            </w:r>
            <w:r>
              <w:rPr>
                <w:rFonts w:ascii="Adobe Caslon Pro" w:hAnsi="Adobe Caslon Pro" w:cs="Calibri"/>
                <w:i/>
                <w:color w:val="000000"/>
                <w:sz w:val="20"/>
                <w:szCs w:val="20"/>
                <w:lang w:eastAsia="es-MX"/>
              </w:rPr>
              <w:t>de diez programas estatales</w:t>
            </w:r>
            <w:r w:rsidRPr="00B54BD0">
              <w:rPr>
                <w:rFonts w:ascii="Adobe Caslon Pro" w:hAnsi="Adobe Caslon Pro" w:cs="Calibri"/>
                <w:i/>
                <w:color w:val="000000"/>
                <w:sz w:val="20"/>
                <w:szCs w:val="20"/>
                <w:lang w:eastAsia="es-MX"/>
              </w:rPr>
              <w:t>.</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6.4</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 xml:space="preserve">Fuente de Financiamiento </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5C48E8" w:rsidRPr="00385154" w:rsidRDefault="005C48E8" w:rsidP="00A56E05">
            <w:pPr>
              <w:rPr>
                <w:rFonts w:ascii="Adobe Caslon Pro" w:hAnsi="Adobe Caslon Pro" w:cs="Calibri"/>
                <w:i/>
                <w:color w:val="000000"/>
                <w:lang w:eastAsia="es-MX"/>
              </w:rPr>
            </w:pPr>
            <w:r w:rsidRPr="00385154">
              <w:rPr>
                <w:rFonts w:ascii="Adobe Caslon Pro" w:hAnsi="Adobe Caslon Pro" w:cs="Calibri"/>
                <w:i/>
                <w:color w:val="000000"/>
                <w:sz w:val="20"/>
                <w:lang w:eastAsia="es-MX"/>
              </w:rPr>
              <w:t>Recursos Fiscales</w:t>
            </w:r>
          </w:p>
        </w:tc>
      </w:tr>
      <w:tr w:rsidR="005C48E8" w:rsidRPr="004F6AC5" w:rsidTr="00A56E05">
        <w:trPr>
          <w:trHeight w:val="162"/>
          <w:jc w:val="center"/>
        </w:trPr>
        <w:tc>
          <w:tcPr>
            <w:tcW w:w="999"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066E84" w:rsidRDefault="005C48E8" w:rsidP="00A56E05">
            <w:pPr>
              <w:rPr>
                <w:rFonts w:ascii="Adobe Caslon Pro" w:hAnsi="Adobe Caslon Pro" w:cs="Calibri"/>
                <w:color w:val="000000"/>
                <w:lang w:eastAsia="es-MX"/>
              </w:rPr>
            </w:pPr>
          </w:p>
        </w:tc>
      </w:tr>
      <w:tr w:rsidR="005C48E8" w:rsidRPr="004F6AC5"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5C48E8" w:rsidRPr="00066E84" w:rsidRDefault="005C48E8" w:rsidP="00A56E05">
            <w:pPr>
              <w:rPr>
                <w:rFonts w:ascii="Trajan Pro" w:hAnsi="Trajan Pro" w:cs="Calibri"/>
                <w:b/>
                <w:bCs/>
                <w:color w:val="000000"/>
                <w:lang w:eastAsia="es-MX"/>
              </w:rPr>
            </w:pPr>
            <w:r w:rsidRPr="00066E84">
              <w:rPr>
                <w:rFonts w:ascii="Trajan Pro" w:hAnsi="Trajan Pro" w:cs="Calibri"/>
                <w:b/>
                <w:bCs/>
                <w:color w:val="00000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066E84" w:rsidRDefault="005C48E8"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7.1  Difusión en internet de la evaluación:</w:t>
            </w:r>
            <w:r>
              <w:rPr>
                <w:rFonts w:ascii="Adobe Caslon Pro" w:hAnsi="Adobe Caslon Pro" w:cs="Calibri"/>
                <w:color w:val="000000"/>
                <w:lang w:eastAsia="es-MX"/>
              </w:rPr>
              <w:t xml:space="preserve"> </w:t>
            </w:r>
          </w:p>
          <w:p w:rsidR="005C48E8" w:rsidRDefault="009B1A50" w:rsidP="00A56E05">
            <w:pPr>
              <w:rPr>
                <w:rFonts w:ascii="Adobe Caslon Pro" w:hAnsi="Adobe Caslon Pro" w:cs="Calibri"/>
                <w:i/>
                <w:color w:val="000000"/>
                <w:sz w:val="20"/>
                <w:szCs w:val="20"/>
                <w:lang w:eastAsia="es-MX"/>
              </w:rPr>
            </w:pPr>
            <w:hyperlink r:id="rId138" w:history="1">
              <w:r w:rsidR="005C48E8" w:rsidRPr="00197EB9">
                <w:rPr>
                  <w:rStyle w:val="Hipervnculo"/>
                  <w:rFonts w:ascii="Adobe Caslon Pro" w:hAnsi="Adobe Caslon Pro" w:cs="Calibri"/>
                  <w:i/>
                  <w:sz w:val="20"/>
                  <w:szCs w:val="20"/>
                  <w:lang w:eastAsia="es-MX"/>
                </w:rPr>
                <w:t>http://www.jefaturadelagubernatura-evaluacion.oaxaca.gob.mx/index.php/pae-sidepanel/pae-2014</w:t>
              </w:r>
            </w:hyperlink>
          </w:p>
          <w:p w:rsidR="005C48E8" w:rsidRDefault="009B1A50" w:rsidP="00A56E05">
            <w:pPr>
              <w:rPr>
                <w:rStyle w:val="Hipervnculo"/>
                <w:rFonts w:ascii="Adobe Caslon Pro" w:hAnsi="Adobe Caslon Pro" w:cs="Calibri"/>
                <w:i/>
                <w:sz w:val="20"/>
                <w:szCs w:val="20"/>
                <w:lang w:eastAsia="es-MX"/>
              </w:rPr>
            </w:pPr>
            <w:hyperlink r:id="rId139" w:history="1">
              <w:r w:rsidR="005C48E8" w:rsidRPr="00F60714">
                <w:rPr>
                  <w:rStyle w:val="Hipervnculo"/>
                  <w:rFonts w:ascii="Adobe Caslon Pro" w:hAnsi="Adobe Caslon Pro" w:cs="Calibri"/>
                  <w:i/>
                  <w:sz w:val="20"/>
                  <w:szCs w:val="20"/>
                  <w:lang w:eastAsia="es-MX"/>
                </w:rPr>
                <w:t>http://www.transparenciapresupuestaria.oaxaca.gob.mx/05_ev1_eprogramas.php</w:t>
              </w:r>
            </w:hyperlink>
          </w:p>
          <w:p w:rsidR="005C48E8" w:rsidRPr="004B23C3" w:rsidRDefault="005C48E8" w:rsidP="00A56E05">
            <w:pPr>
              <w:rPr>
                <w:rFonts w:ascii="Adobe Caslon Pro" w:hAnsi="Adobe Caslon Pro" w:cs="Calibri"/>
                <w:i/>
                <w:color w:val="000000"/>
                <w:sz w:val="20"/>
                <w:szCs w:val="20"/>
                <w:lang w:eastAsia="es-MX"/>
              </w:rPr>
            </w:pPr>
          </w:p>
        </w:tc>
      </w:tr>
      <w:tr w:rsidR="005C48E8"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Default="005C48E8" w:rsidP="00A56E05">
            <w:pPr>
              <w:rPr>
                <w:rFonts w:ascii="Adobe Caslon Pro" w:hAnsi="Adobe Caslon Pro" w:cs="Calibri"/>
                <w:color w:val="000000"/>
                <w:lang w:eastAsia="es-MX"/>
              </w:rPr>
            </w:pPr>
            <w:r w:rsidRPr="00066E84">
              <w:rPr>
                <w:rFonts w:ascii="Adobe Caslon Pro" w:hAnsi="Adobe Caslon Pro" w:cs="Calibri"/>
                <w:color w:val="000000"/>
                <w:lang w:eastAsia="es-MX"/>
              </w:rPr>
              <w:t>7.2  Difusión en internet del formato:</w:t>
            </w:r>
          </w:p>
          <w:p w:rsidR="005C48E8" w:rsidRDefault="009B1A50" w:rsidP="00A56E05">
            <w:pPr>
              <w:rPr>
                <w:rStyle w:val="Hipervnculo"/>
                <w:rFonts w:ascii="Adobe Caslon Pro" w:hAnsi="Adobe Caslon Pro" w:cs="Calibri"/>
                <w:i/>
                <w:sz w:val="20"/>
                <w:szCs w:val="20"/>
                <w:lang w:eastAsia="es-MX"/>
              </w:rPr>
            </w:pPr>
            <w:hyperlink r:id="rId140" w:history="1">
              <w:r w:rsidR="005C48E8" w:rsidRPr="00F60714">
                <w:rPr>
                  <w:rStyle w:val="Hipervnculo"/>
                  <w:rFonts w:ascii="Adobe Caslon Pro" w:hAnsi="Adobe Caslon Pro" w:cs="Calibri"/>
                  <w:i/>
                  <w:sz w:val="20"/>
                  <w:szCs w:val="20"/>
                  <w:lang w:eastAsia="es-MX"/>
                </w:rPr>
                <w:t>http://www.jefaturadelagubernatura-evaluacion.oaxaca.gob.mx/index.php/pae-sidepanel/pae-2014</w:t>
              </w:r>
            </w:hyperlink>
          </w:p>
          <w:p w:rsidR="005C48E8" w:rsidRPr="00066E84" w:rsidRDefault="005C48E8" w:rsidP="00A56E05">
            <w:pPr>
              <w:rPr>
                <w:rFonts w:ascii="Adobe Caslon Pro" w:hAnsi="Adobe Caslon Pro" w:cs="Calibri"/>
                <w:color w:val="000000"/>
                <w:lang w:eastAsia="es-MX"/>
              </w:rPr>
            </w:pPr>
          </w:p>
        </w:tc>
      </w:tr>
    </w:tbl>
    <w:p w:rsidR="005C48E8" w:rsidRPr="005C48E8" w:rsidRDefault="005C48E8" w:rsidP="005C48E8">
      <w:pPr>
        <w:rPr>
          <w:rFonts w:ascii="Arial" w:hAnsi="Arial" w:cs="Arial"/>
          <w:b/>
        </w:rPr>
      </w:pPr>
      <w:r w:rsidRPr="005C48E8">
        <w:rPr>
          <w:rFonts w:ascii="Arial" w:hAnsi="Arial" w:cs="Arial"/>
          <w:b/>
        </w:rPr>
        <w:lastRenderedPageBreak/>
        <w:t>14.</w:t>
      </w:r>
      <w:r w:rsidR="0072684E">
        <w:rPr>
          <w:rFonts w:ascii="Arial" w:hAnsi="Arial" w:cs="Arial"/>
          <w:b/>
        </w:rPr>
        <w:t>2</w:t>
      </w:r>
      <w:r w:rsidRPr="005C48E8">
        <w:rPr>
          <w:rFonts w:ascii="Arial" w:hAnsi="Arial" w:cs="Arial"/>
          <w:b/>
        </w:rPr>
        <w:t xml:space="preserve">.7.- RESTAURACIÓN DE ECOSISTEMAS FORESTALES </w:t>
      </w:r>
    </w:p>
    <w:p w:rsidR="005C48E8" w:rsidRPr="005C48E8" w:rsidRDefault="005C48E8" w:rsidP="005C48E8">
      <w:pPr>
        <w:rPr>
          <w:rFonts w:ascii="Arial" w:hAnsi="Arial" w:cs="Arial"/>
          <w:b/>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5C48E8" w:rsidRPr="002D644F"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5C48E8" w:rsidRPr="002D644F" w:rsidRDefault="005C48E8" w:rsidP="00A56E05">
            <w:pPr>
              <w:rPr>
                <w:rFonts w:ascii="Adobe Caslon Pro" w:eastAsia="Calibri" w:hAnsi="Adobe Caslon Pro" w:cs="Arial"/>
                <w:b/>
                <w:sz w:val="20"/>
                <w:szCs w:val="20"/>
              </w:rPr>
            </w:pPr>
            <w:r w:rsidRPr="002D644F">
              <w:rPr>
                <w:rFonts w:ascii="Adobe Caslon Pro" w:hAnsi="Adobe Caslon Pro" w:cs="Calibri"/>
                <w:b/>
                <w:bCs/>
                <w:color w:val="00000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5C48E8" w:rsidRPr="002D644F" w:rsidRDefault="005C48E8" w:rsidP="00A56E05">
            <w:pPr>
              <w:jc w:val="center"/>
              <w:rPr>
                <w:rFonts w:ascii="Adobe Caslon Pro" w:eastAsia="Calibri" w:hAnsi="Adobe Caslon Pro" w:cs="Arial"/>
                <w:b/>
                <w:sz w:val="20"/>
                <w:szCs w:val="20"/>
              </w:rPr>
            </w:pPr>
            <w:r w:rsidRPr="002D644F">
              <w:rPr>
                <w:rFonts w:ascii="Adobe Caslon Pro" w:eastAsia="Calibri" w:hAnsi="Adobe Caslon Pro" w:cs="Arial"/>
                <w:b/>
                <w:sz w:val="20"/>
                <w:szCs w:val="20"/>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2D644F" w:rsidRDefault="005C48E8" w:rsidP="00A56E05">
            <w:pPr>
              <w:jc w:val="center"/>
              <w:rPr>
                <w:rFonts w:ascii="Adobe Caslon Pro" w:eastAsia="Calibri" w:hAnsi="Adobe Caslon Pro" w:cs="Arial"/>
                <w:b/>
                <w:sz w:val="20"/>
                <w:szCs w:val="20"/>
              </w:rPr>
            </w:pPr>
            <w:r w:rsidRPr="002D644F">
              <w:rPr>
                <w:rFonts w:ascii="Adobe Caslon Pro" w:eastAsia="Calibri" w:hAnsi="Adobe Caslon Pro" w:cs="Arial"/>
                <w:b/>
                <w:sz w:val="20"/>
                <w:szCs w:val="20"/>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2D644F" w:rsidRDefault="005C48E8" w:rsidP="00A56E05">
            <w:pPr>
              <w:jc w:val="center"/>
              <w:rPr>
                <w:rFonts w:ascii="Adobe Caslon Pro" w:eastAsia="Calibri" w:hAnsi="Adobe Caslon Pro" w:cs="Arial"/>
                <w:b/>
                <w:sz w:val="20"/>
                <w:szCs w:val="20"/>
              </w:rPr>
            </w:pPr>
            <w:r w:rsidRPr="002D644F">
              <w:rPr>
                <w:rFonts w:ascii="Adobe Caslon Pro" w:eastAsia="Calibri" w:hAnsi="Adobe Caslon Pro" w:cs="Arial"/>
                <w:b/>
                <w:sz w:val="20"/>
                <w:szCs w:val="20"/>
              </w:rPr>
              <w:t> </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2D644F" w:rsidRDefault="005C48E8" w:rsidP="00A56E05">
            <w:pPr>
              <w:rPr>
                <w:rFonts w:ascii="Adobe Caslon Pro" w:hAnsi="Adobe Caslon Pro" w:cs="Calibri"/>
                <w:color w:val="000000"/>
                <w:lang w:eastAsia="es-MX"/>
              </w:rPr>
            </w:pPr>
            <w:r w:rsidRPr="002D644F">
              <w:rPr>
                <w:rFonts w:ascii="Adobe Caslon Pro" w:hAnsi="Adobe Caslon Pro" w:cs="Calibri"/>
                <w:color w:val="000000"/>
                <w:lang w:eastAsia="es-MX"/>
              </w:rPr>
              <w:t>1.1 Nombre de la evaluación: </w:t>
            </w:r>
          </w:p>
          <w:p w:rsidR="005C48E8" w:rsidRPr="002D644F" w:rsidRDefault="005C48E8" w:rsidP="00A56E05">
            <w:pPr>
              <w:rPr>
                <w:rFonts w:ascii="Adobe Caslon Pro" w:hAnsi="Adobe Caslon Pro" w:cs="Calibri"/>
                <w:i/>
                <w:color w:val="000000"/>
                <w:sz w:val="20"/>
                <w:szCs w:val="20"/>
                <w:lang w:eastAsia="es-MX"/>
              </w:rPr>
            </w:pPr>
            <w:r w:rsidRPr="002D644F">
              <w:rPr>
                <w:rFonts w:ascii="Adobe Caslon Pro" w:hAnsi="Adobe Caslon Pro" w:cs="Calibri"/>
                <w:i/>
                <w:color w:val="000000"/>
                <w:sz w:val="20"/>
                <w:szCs w:val="20"/>
                <w:lang w:eastAsia="es-MX"/>
              </w:rPr>
              <w:t>Evaluación Estratégica de Consistencia y Resultados del Programa de Restauración de Ecosistemas Forestales.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1.2 Fecha de inicio de la evaluación (</w:t>
            </w:r>
            <w:proofErr w:type="spellStart"/>
            <w:r w:rsidRPr="002D644F">
              <w:rPr>
                <w:rFonts w:ascii="Adobe Caslon Pro" w:hAnsi="Adobe Caslon Pro" w:cs="Wingdings"/>
                <w:color w:val="000000"/>
                <w:lang w:eastAsia="es-MX"/>
              </w:rPr>
              <w:t>dd</w:t>
            </w:r>
            <w:proofErr w:type="spellEnd"/>
            <w:r w:rsidRPr="002D644F">
              <w:rPr>
                <w:rFonts w:ascii="Adobe Caslon Pro" w:hAnsi="Adobe Caslon Pro" w:cs="Wingdings"/>
                <w:color w:val="000000"/>
                <w:lang w:eastAsia="es-MX"/>
              </w:rPr>
              <w:t>/mm/</w:t>
            </w:r>
            <w:proofErr w:type="spellStart"/>
            <w:r w:rsidRPr="002D644F">
              <w:rPr>
                <w:rFonts w:ascii="Adobe Caslon Pro" w:hAnsi="Adobe Caslon Pro" w:cs="Wingdings"/>
                <w:color w:val="000000"/>
                <w:lang w:eastAsia="es-MX"/>
              </w:rPr>
              <w:t>aaaa</w:t>
            </w:r>
            <w:proofErr w:type="spellEnd"/>
            <w:r w:rsidRPr="002D644F">
              <w:rPr>
                <w:rFonts w:ascii="Adobe Caslon Pro" w:hAnsi="Adobe Caslon Pro" w:cs="Wingdings"/>
                <w:color w:val="000000"/>
                <w:lang w:eastAsia="es-MX"/>
              </w:rPr>
              <w:t xml:space="preserve">): </w:t>
            </w:r>
            <w:r>
              <w:rPr>
                <w:rFonts w:ascii="Adobe Caslon Pro" w:hAnsi="Adobe Caslon Pro" w:cs="Wingdings"/>
                <w:i/>
                <w:color w:val="000000"/>
                <w:sz w:val="20"/>
                <w:lang w:eastAsia="es-MX"/>
              </w:rPr>
              <w:t>22/09</w:t>
            </w:r>
            <w:r w:rsidRPr="002D644F">
              <w:rPr>
                <w:rFonts w:ascii="Adobe Caslon Pro" w:hAnsi="Adobe Caslon Pro" w:cs="Wingdings"/>
                <w:i/>
                <w:color w:val="000000"/>
                <w:sz w:val="20"/>
                <w:lang w:eastAsia="es-MX"/>
              </w:rPr>
              <w:t>/2014</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1.3 Fecha de término de la evaluación (</w:t>
            </w:r>
            <w:proofErr w:type="spellStart"/>
            <w:r w:rsidRPr="002D644F">
              <w:rPr>
                <w:rFonts w:ascii="Adobe Caslon Pro" w:hAnsi="Adobe Caslon Pro" w:cs="Wingdings"/>
                <w:color w:val="000000"/>
                <w:lang w:eastAsia="es-MX"/>
              </w:rPr>
              <w:t>dd</w:t>
            </w:r>
            <w:proofErr w:type="spellEnd"/>
            <w:r w:rsidRPr="002D644F">
              <w:rPr>
                <w:rFonts w:ascii="Adobe Caslon Pro" w:hAnsi="Adobe Caslon Pro" w:cs="Wingdings"/>
                <w:color w:val="000000"/>
                <w:lang w:eastAsia="es-MX"/>
              </w:rPr>
              <w:t>/mm/</w:t>
            </w:r>
            <w:proofErr w:type="spellStart"/>
            <w:r w:rsidRPr="002D644F">
              <w:rPr>
                <w:rFonts w:ascii="Adobe Caslon Pro" w:hAnsi="Adobe Caslon Pro" w:cs="Wingdings"/>
                <w:color w:val="000000"/>
                <w:lang w:eastAsia="es-MX"/>
              </w:rPr>
              <w:t>aaaa</w:t>
            </w:r>
            <w:proofErr w:type="spellEnd"/>
            <w:r w:rsidRPr="002D644F">
              <w:rPr>
                <w:rFonts w:ascii="Adobe Caslon Pro" w:hAnsi="Adobe Caslon Pro" w:cs="Wingdings"/>
                <w:color w:val="000000"/>
                <w:lang w:eastAsia="es-MX"/>
              </w:rPr>
              <w:t xml:space="preserve">): </w:t>
            </w:r>
            <w:r w:rsidRPr="002D644F">
              <w:rPr>
                <w:rFonts w:ascii="Adobe Caslon Pro" w:hAnsi="Adobe Caslon Pro" w:cs="Wingdings"/>
                <w:i/>
                <w:color w:val="000000"/>
                <w:sz w:val="20"/>
                <w:lang w:eastAsia="es-MX"/>
              </w:rPr>
              <w:t>13/04/2015</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1.4 Nombre de la persona responsable de darle seguimiento a la evaluación y  nombre de la unidad administrativa a la que pertenece:</w:t>
            </w:r>
          </w:p>
        </w:tc>
      </w:tr>
      <w:tr w:rsidR="005C48E8" w:rsidRPr="002D644F"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Nombre:</w:t>
            </w:r>
          </w:p>
          <w:p w:rsidR="005C48E8" w:rsidRPr="002D644F" w:rsidRDefault="005C48E8" w:rsidP="00A56E05">
            <w:pPr>
              <w:rPr>
                <w:rFonts w:ascii="Adobe Caslon Pro" w:hAnsi="Adobe Caslon Pro" w:cs="Wingdings"/>
                <w:color w:val="000000"/>
                <w:sz w:val="16"/>
                <w:szCs w:val="16"/>
                <w:lang w:eastAsia="es-MX"/>
              </w:rPr>
            </w:pPr>
          </w:p>
          <w:p w:rsidR="005C48E8" w:rsidRPr="002D644F" w:rsidRDefault="005C48E8" w:rsidP="00A56E05">
            <w:pPr>
              <w:rPr>
                <w:rFonts w:ascii="Adobe Caslon Pro" w:hAnsi="Adobe Caslon Pro" w:cs="Wingdings"/>
                <w:i/>
                <w:color w:val="000000"/>
                <w:lang w:eastAsia="es-MX"/>
              </w:rPr>
            </w:pPr>
            <w:r w:rsidRPr="002D644F">
              <w:rPr>
                <w:rFonts w:ascii="Adobe Caslon Pro" w:hAnsi="Adobe Caslon Pro" w:cs="Wingdings"/>
                <w:i/>
                <w:color w:val="000000"/>
                <w:sz w:val="20"/>
                <w:lang w:eastAsia="es-MX"/>
              </w:rPr>
              <w:t>Mtro. Gonzalo Lapuente Sastre</w:t>
            </w: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 xml:space="preserve">Unidad administrativa: </w:t>
            </w:r>
          </w:p>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i/>
                <w:color w:val="000000"/>
                <w:sz w:val="20"/>
                <w:szCs w:val="20"/>
                <w:lang w:eastAsia="es-MX"/>
              </w:rPr>
              <w:t>Coordinación de Evaluación e Informes de la Jefatura de la Gubernatura del Gobierno del estado de Oaxaca.</w:t>
            </w:r>
          </w:p>
        </w:tc>
      </w:tr>
      <w:tr w:rsidR="005C48E8" w:rsidRPr="002D644F" w:rsidTr="00A56E05">
        <w:trPr>
          <w:trHeight w:val="1131"/>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1.5 Objetivo general de la evaluación:</w:t>
            </w:r>
          </w:p>
          <w:p w:rsidR="005C48E8" w:rsidRPr="002D644F" w:rsidRDefault="005C48E8" w:rsidP="00A56E05">
            <w:pPr>
              <w:jc w:val="both"/>
              <w:rPr>
                <w:rFonts w:ascii="Adobe Caslon Pro" w:hAnsi="Adobe Caslon Pro" w:cs="Wingdings"/>
                <w:i/>
                <w:color w:val="000000"/>
                <w:sz w:val="20"/>
                <w:szCs w:val="20"/>
                <w:lang w:eastAsia="es-MX"/>
              </w:rPr>
            </w:pPr>
            <w:r w:rsidRPr="002D644F">
              <w:rPr>
                <w:rFonts w:ascii="Adobe Caslon Pro" w:hAnsi="Adobe Caslon Pro" w:cs="Wingdings"/>
                <w:i/>
                <w:color w:val="000000"/>
                <w:sz w:val="20"/>
                <w:szCs w:val="20"/>
                <w:lang w:eastAsia="es-MX"/>
              </w:rPr>
              <w:t xml:space="preserve">Coadyuvar en la Consolidación del Sistema de Evaluación del Desempeño en el Estado de Oaxaca, a través de identificar y analizar la consistencia y resultados del </w:t>
            </w:r>
            <w:r w:rsidRPr="002D644F">
              <w:rPr>
                <w:rFonts w:ascii="Adobe Caslon Pro" w:hAnsi="Adobe Caslon Pro" w:cs="Wingdings"/>
                <w:i/>
                <w:color w:val="000000"/>
                <w:sz w:val="20"/>
                <w:lang w:eastAsia="es-MX"/>
              </w:rPr>
              <w:t>Programa de Restauración de Ecosistemas Forestales</w:t>
            </w:r>
            <w:r>
              <w:rPr>
                <w:rFonts w:ascii="Adobe Caslon Pro" w:hAnsi="Adobe Caslon Pro" w:cs="Wingdings"/>
                <w:i/>
                <w:color w:val="000000"/>
                <w:sz w:val="20"/>
                <w:lang w:eastAsia="es-MX"/>
              </w:rPr>
              <w:t>,</w:t>
            </w:r>
            <w:r w:rsidRPr="002D644F">
              <w:rPr>
                <w:rFonts w:ascii="Adobe Caslon Pro" w:hAnsi="Adobe Caslon Pro" w:cs="Wingdings"/>
                <w:i/>
                <w:color w:val="000000"/>
                <w:sz w:val="20"/>
                <w:szCs w:val="20"/>
                <w:lang w:eastAsia="es-MX"/>
              </w:rPr>
              <w:t xml:space="preserve"> en cuanto al Diseño de la Matriz de Indicadores, la Planeación Estratégica, Cobertura y Focalización, Operación, Percepción de la Población Objetivo, Resultados y Ejercicio de los Recursos, con el fin de que las recomendaciones de este análisis retroalimenten el desempeño de los programas y el ejercicio de los recursos, con base en indicadores estratégicos y de gestión para el cumplimiento de los objetivos para los que están destinados.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1.6 Objetivos específicos de la evaluación:</w:t>
            </w:r>
          </w:p>
          <w:p w:rsidR="005C48E8" w:rsidRPr="002D644F" w:rsidRDefault="005C48E8" w:rsidP="00A56E05">
            <w:pPr>
              <w:jc w:val="both"/>
              <w:rPr>
                <w:rFonts w:ascii="Adobe Caslon Pro" w:hAnsi="Adobe Caslon Pro" w:cs="Wingdings"/>
                <w:i/>
                <w:color w:val="000000"/>
                <w:sz w:val="20"/>
                <w:szCs w:val="20"/>
                <w:lang w:eastAsia="es-MX"/>
              </w:rPr>
            </w:pPr>
            <w:r w:rsidRPr="002D644F">
              <w:rPr>
                <w:rFonts w:ascii="Adobe Caslon Pro" w:hAnsi="Adobe Caslon Pro" w:cs="Wingdings"/>
                <w:i/>
                <w:color w:val="000000"/>
                <w:sz w:val="20"/>
                <w:szCs w:val="20"/>
                <w:lang w:eastAsia="es-MX"/>
              </w:rPr>
              <w:t>Evaluar el programa en los siguientes aspectos:</w:t>
            </w:r>
          </w:p>
          <w:p w:rsidR="005C48E8" w:rsidRPr="002D644F" w:rsidRDefault="005C48E8" w:rsidP="00F075EB">
            <w:pPr>
              <w:numPr>
                <w:ilvl w:val="0"/>
                <w:numId w:val="16"/>
              </w:numPr>
              <w:jc w:val="both"/>
              <w:rPr>
                <w:rFonts w:ascii="Adobe Caslon Pro" w:hAnsi="Adobe Caslon Pro" w:cs="Wingdings"/>
                <w:i/>
                <w:color w:val="000000"/>
                <w:sz w:val="20"/>
                <w:szCs w:val="20"/>
                <w:lang w:eastAsia="es-MX"/>
              </w:rPr>
            </w:pPr>
            <w:r w:rsidRPr="002D644F">
              <w:rPr>
                <w:rFonts w:ascii="Adobe Caslon Pro" w:hAnsi="Adobe Caslon Pro" w:cs="Wingdings"/>
                <w:i/>
                <w:color w:val="000000"/>
                <w:sz w:val="20"/>
                <w:lang w:eastAsia="es-MX"/>
              </w:rPr>
              <w:t xml:space="preserve">Diseño. Es un proceso analítico global que se enfoca en identificar los objetivos del programa, para luego determinar la consistencia de su diseño y los resultados con tales objetivos. </w:t>
            </w:r>
          </w:p>
          <w:p w:rsidR="005C48E8" w:rsidRPr="002D644F" w:rsidRDefault="005C48E8" w:rsidP="00F075EB">
            <w:pPr>
              <w:numPr>
                <w:ilvl w:val="0"/>
                <w:numId w:val="16"/>
              </w:numPr>
              <w:jc w:val="both"/>
              <w:rPr>
                <w:rFonts w:ascii="Adobe Caslon Pro" w:hAnsi="Adobe Caslon Pro" w:cs="Wingdings"/>
                <w:i/>
                <w:color w:val="000000"/>
                <w:sz w:val="20"/>
                <w:szCs w:val="20"/>
                <w:lang w:eastAsia="es-MX"/>
              </w:rPr>
            </w:pPr>
            <w:r w:rsidRPr="002D644F">
              <w:rPr>
                <w:rFonts w:ascii="Adobe Caslon Pro" w:hAnsi="Adobe Caslon Pro" w:cs="Wingdings"/>
                <w:i/>
                <w:color w:val="000000"/>
                <w:sz w:val="20"/>
                <w:lang w:eastAsia="es-MX"/>
              </w:rPr>
              <w:t xml:space="preserve">Planeación Estratégica. Implica analizar los instrumentos de planeación del Programa, y corroborar si tal planeación tiene una orientación para resultados. </w:t>
            </w:r>
          </w:p>
          <w:p w:rsidR="005C48E8" w:rsidRPr="002D644F" w:rsidRDefault="005C48E8" w:rsidP="00F075EB">
            <w:pPr>
              <w:numPr>
                <w:ilvl w:val="0"/>
                <w:numId w:val="16"/>
              </w:numPr>
              <w:jc w:val="both"/>
              <w:rPr>
                <w:rFonts w:ascii="Adobe Caslon Pro" w:hAnsi="Adobe Caslon Pro" w:cs="Wingdings"/>
                <w:i/>
                <w:color w:val="000000"/>
                <w:sz w:val="20"/>
                <w:szCs w:val="20"/>
                <w:lang w:eastAsia="es-MX"/>
              </w:rPr>
            </w:pPr>
            <w:r w:rsidRPr="002D644F">
              <w:rPr>
                <w:rFonts w:ascii="Adobe Caslon Pro" w:hAnsi="Adobe Caslon Pro" w:cs="Wingdings"/>
                <w:i/>
                <w:color w:val="000000"/>
                <w:sz w:val="20"/>
                <w:lang w:eastAsia="es-MX"/>
              </w:rPr>
              <w:t xml:space="preserve">Cobertura y Focalización. Corresponde cuantificar y determinar la población potencial y la población objetivo que está siendo atendida por el Programa. </w:t>
            </w:r>
          </w:p>
          <w:p w:rsidR="005C48E8" w:rsidRPr="002D644F" w:rsidRDefault="005C48E8" w:rsidP="00F075EB">
            <w:pPr>
              <w:numPr>
                <w:ilvl w:val="0"/>
                <w:numId w:val="16"/>
              </w:numPr>
              <w:jc w:val="both"/>
              <w:rPr>
                <w:rFonts w:ascii="Adobe Caslon Pro" w:hAnsi="Adobe Caslon Pro" w:cs="Wingdings"/>
                <w:i/>
                <w:color w:val="000000"/>
                <w:sz w:val="20"/>
                <w:szCs w:val="20"/>
                <w:lang w:eastAsia="es-MX"/>
              </w:rPr>
            </w:pPr>
            <w:r w:rsidRPr="002D644F">
              <w:rPr>
                <w:rFonts w:ascii="Adobe Caslon Pro" w:hAnsi="Adobe Caslon Pro" w:cs="Wingdings"/>
                <w:i/>
                <w:color w:val="000000"/>
                <w:sz w:val="20"/>
                <w:lang w:eastAsia="es-MX"/>
              </w:rPr>
              <w:t xml:space="preserve">Operación. Analiza las principales actividades y procesos establecidos en la normatividad aplicable; la eficiencia, eficacia y economía operativa del Programa; y el cumplimiento y avance en los indicadores estratégicos y de gestión. </w:t>
            </w:r>
          </w:p>
          <w:p w:rsidR="005C48E8" w:rsidRPr="002D644F" w:rsidRDefault="005C48E8" w:rsidP="00F075EB">
            <w:pPr>
              <w:numPr>
                <w:ilvl w:val="0"/>
                <w:numId w:val="16"/>
              </w:numPr>
              <w:jc w:val="both"/>
              <w:rPr>
                <w:rFonts w:ascii="Adobe Caslon Pro" w:hAnsi="Adobe Caslon Pro" w:cs="Wingdings"/>
                <w:i/>
                <w:color w:val="000000"/>
                <w:sz w:val="20"/>
                <w:szCs w:val="20"/>
                <w:lang w:eastAsia="es-MX"/>
              </w:rPr>
            </w:pPr>
            <w:r w:rsidRPr="002D644F">
              <w:rPr>
                <w:rFonts w:ascii="Adobe Caslon Pro" w:hAnsi="Adobe Caslon Pro" w:cs="Wingdings"/>
                <w:i/>
                <w:color w:val="000000"/>
                <w:sz w:val="20"/>
                <w:lang w:eastAsia="es-MX"/>
              </w:rPr>
              <w:t xml:space="preserve">Percepción de la Población. Analiza el grado de satisfacción de los beneficiarios de los bienes y servicios que conforman el Programa. </w:t>
            </w:r>
          </w:p>
          <w:p w:rsidR="005C48E8" w:rsidRPr="002D644F" w:rsidRDefault="005C48E8" w:rsidP="00F075EB">
            <w:pPr>
              <w:numPr>
                <w:ilvl w:val="0"/>
                <w:numId w:val="16"/>
              </w:numPr>
              <w:jc w:val="both"/>
              <w:rPr>
                <w:rFonts w:ascii="Adobe Caslon Pro" w:hAnsi="Adobe Caslon Pro" w:cs="Wingdings"/>
                <w:i/>
                <w:color w:val="000000"/>
                <w:sz w:val="20"/>
                <w:lang w:eastAsia="es-MX"/>
              </w:rPr>
            </w:pPr>
            <w:r w:rsidRPr="002D644F">
              <w:rPr>
                <w:rFonts w:ascii="Adobe Caslon Pro" w:hAnsi="Adobe Caslon Pro" w:cs="Wingdings"/>
                <w:i/>
                <w:color w:val="000000"/>
                <w:sz w:val="20"/>
                <w:lang w:eastAsia="es-MX"/>
              </w:rPr>
              <w:t xml:space="preserve">Resultados. Analiza los resultados intermedios y de impacto alcanzado por el Programa, de acuerdo a la evidencia documentada, para observar si éste ha logrado mejorar o resolver el problema para el cual fue creado. </w:t>
            </w:r>
          </w:p>
          <w:p w:rsidR="005C48E8" w:rsidRPr="002D644F" w:rsidRDefault="005C48E8" w:rsidP="00F075EB">
            <w:pPr>
              <w:numPr>
                <w:ilvl w:val="0"/>
                <w:numId w:val="16"/>
              </w:numPr>
              <w:jc w:val="both"/>
              <w:rPr>
                <w:rFonts w:ascii="Adobe Caslon Pro" w:hAnsi="Adobe Caslon Pro" w:cs="Wingdings"/>
                <w:i/>
                <w:color w:val="000000"/>
                <w:sz w:val="20"/>
                <w:lang w:eastAsia="es-MX"/>
              </w:rPr>
            </w:pPr>
            <w:r w:rsidRPr="002D644F">
              <w:rPr>
                <w:rFonts w:ascii="Adobe Caslon Pro" w:hAnsi="Adobe Caslon Pro" w:cs="Wingdings"/>
                <w:i/>
                <w:color w:val="000000"/>
                <w:sz w:val="20"/>
                <w:lang w:eastAsia="es-MX"/>
              </w:rPr>
              <w:t>Ejercicio de los recursos. Analiza el grado de cumplimiento en la aplicación de los recursos en tiempo y forma, de acuerdo a los objetivos para los cuales están destinados.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1.7 Metodología utilizada en la evaluación:</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Instrumentos de recolección de información: </w:t>
            </w:r>
          </w:p>
        </w:tc>
      </w:tr>
      <w:tr w:rsidR="005C48E8" w:rsidRPr="002D644F"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 xml:space="preserve">Cuestionarios__   Entrevistas__   Formatos__   </w:t>
            </w:r>
            <w:proofErr w:type="spellStart"/>
            <w:r w:rsidRPr="002D644F">
              <w:rPr>
                <w:rFonts w:ascii="Adobe Caslon Pro" w:hAnsi="Adobe Caslon Pro" w:cs="Wingdings"/>
                <w:color w:val="000000"/>
                <w:lang w:eastAsia="es-MX"/>
              </w:rPr>
              <w:t>Otros_X</w:t>
            </w:r>
            <w:proofErr w:type="spellEnd"/>
            <w:r w:rsidRPr="002D644F">
              <w:rPr>
                <w:rFonts w:ascii="Adobe Caslon Pro" w:hAnsi="Adobe Caslon Pro" w:cs="Wingdings"/>
                <w:color w:val="000000"/>
                <w:lang w:eastAsia="es-MX"/>
              </w:rPr>
              <w:t>_  Especifique:</w:t>
            </w:r>
            <w:r w:rsidRPr="002D644F">
              <w:rPr>
                <w:rFonts w:ascii="Adobe Caslon Pro" w:hAnsi="Adobe Caslon Pro" w:cs="Wingdings"/>
                <w:color w:val="000000"/>
                <w:lang w:eastAsia="es-MX"/>
              </w:rPr>
              <w:softHyphen/>
            </w:r>
            <w:r w:rsidRPr="002D644F">
              <w:rPr>
                <w:rFonts w:ascii="Adobe Caslon Pro" w:hAnsi="Adobe Caslon Pro" w:cs="Wingdings"/>
                <w:color w:val="000000"/>
                <w:lang w:eastAsia="es-MX"/>
              </w:rPr>
              <w:softHyphen/>
            </w:r>
            <w:r w:rsidRPr="002D644F">
              <w:rPr>
                <w:rFonts w:ascii="Adobe Caslon Pro" w:hAnsi="Adobe Caslon Pro" w:cs="Wingdings"/>
                <w:color w:val="000000"/>
                <w:lang w:eastAsia="es-MX"/>
              </w:rPr>
              <w:softHyphen/>
            </w:r>
            <w:r w:rsidRPr="002D644F">
              <w:rPr>
                <w:rFonts w:ascii="Adobe Caslon Pro" w:hAnsi="Adobe Caslon Pro" w:cs="Wingdings"/>
                <w:color w:val="000000"/>
                <w:lang w:eastAsia="es-MX"/>
              </w:rPr>
              <w:softHyphen/>
            </w:r>
            <w:r w:rsidRPr="002D644F">
              <w:rPr>
                <w:rFonts w:ascii="Adobe Caslon Pro" w:hAnsi="Adobe Caslon Pro" w:cs="Wingdings"/>
                <w:color w:val="000000"/>
                <w:lang w:eastAsia="es-MX"/>
              </w:rPr>
              <w:softHyphen/>
            </w:r>
            <w:r w:rsidRPr="002D644F">
              <w:rPr>
                <w:rFonts w:ascii="Adobe Caslon Pro" w:hAnsi="Adobe Caslon Pro" w:cs="Wingdings"/>
                <w:color w:val="000000"/>
                <w:lang w:eastAsia="es-MX"/>
              </w:rPr>
              <w:softHyphen/>
            </w:r>
          </w:p>
          <w:p w:rsidR="005C48E8" w:rsidRPr="002D644F" w:rsidRDefault="005C48E8" w:rsidP="00F075EB">
            <w:pPr>
              <w:numPr>
                <w:ilvl w:val="0"/>
                <w:numId w:val="50"/>
              </w:numPr>
              <w:jc w:val="both"/>
              <w:rPr>
                <w:rFonts w:ascii="Adobe Caslon Pro" w:hAnsi="Adobe Caslon Pro" w:cs="Wingdings"/>
                <w:i/>
                <w:color w:val="000000"/>
                <w:sz w:val="20"/>
                <w:lang w:eastAsia="es-MX"/>
              </w:rPr>
            </w:pPr>
            <w:r w:rsidRPr="002D644F">
              <w:rPr>
                <w:rFonts w:ascii="Adobe Caslon Pro" w:hAnsi="Adobe Caslon Pro" w:cs="Wingdings"/>
                <w:i/>
                <w:color w:val="000000"/>
                <w:sz w:val="20"/>
                <w:lang w:eastAsia="es-MX"/>
              </w:rPr>
              <w:t xml:space="preserve">Información proporcionada por la dependencia </w:t>
            </w:r>
            <w:r>
              <w:rPr>
                <w:rFonts w:ascii="Adobe Caslon Pro" w:hAnsi="Adobe Caslon Pro" w:cs="Wingdings"/>
                <w:i/>
                <w:color w:val="000000"/>
                <w:sz w:val="20"/>
                <w:lang w:eastAsia="es-MX"/>
              </w:rPr>
              <w:t>o entidad responsable del programa.</w:t>
            </w:r>
          </w:p>
        </w:tc>
      </w:tr>
      <w:tr w:rsidR="005C48E8" w:rsidRPr="002D644F"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5C48E8" w:rsidRPr="002D644F" w:rsidRDefault="005C48E8" w:rsidP="00A56E05">
            <w:pPr>
              <w:rPr>
                <w:rFonts w:ascii="Adobe Caslon Pro" w:hAnsi="Adobe Caslon Pro" w:cs="Wingdings"/>
                <w:color w:val="000000"/>
                <w:lang w:eastAsia="es-MX"/>
              </w:rPr>
            </w:pPr>
            <w:r w:rsidRPr="002D644F">
              <w:rPr>
                <w:rFonts w:ascii="Adobe Caslon Pro" w:hAnsi="Adobe Caslon Pro" w:cs="Wingdings"/>
                <w:color w:val="000000"/>
                <w:lang w:eastAsia="es-MX"/>
              </w:rPr>
              <w:t>Descripción de las técnicas y modelos utilizados: </w:t>
            </w:r>
          </w:p>
          <w:p w:rsidR="005C48E8" w:rsidRPr="002D644F" w:rsidRDefault="005C48E8" w:rsidP="00A56E05">
            <w:pPr>
              <w:jc w:val="both"/>
              <w:rPr>
                <w:rFonts w:ascii="Adobe Caslon Pro" w:hAnsi="Adobe Caslon Pro" w:cs="Wingdings"/>
                <w:i/>
                <w:color w:val="4472C4"/>
                <w:sz w:val="20"/>
                <w:u w:val="single"/>
                <w:lang w:eastAsia="es-MX"/>
              </w:rPr>
            </w:pPr>
            <w:r w:rsidRPr="002D644F">
              <w:rPr>
                <w:rFonts w:ascii="Adobe Caslon Pro" w:hAnsi="Adobe Caslon Pro" w:cs="Wingdings"/>
                <w:i/>
                <w:color w:val="000000"/>
                <w:sz w:val="20"/>
                <w:lang w:eastAsia="es-MX"/>
              </w:rPr>
              <w:t xml:space="preserve">La metodología de Evaluación fue desarrollada por “LA JEFATURA”, quien funge como la Instancia Técnica de </w:t>
            </w:r>
            <w:r w:rsidRPr="002D644F">
              <w:rPr>
                <w:rFonts w:ascii="Adobe Caslon Pro" w:hAnsi="Adobe Caslon Pro" w:cs="Wingdings"/>
                <w:i/>
                <w:color w:val="000000"/>
                <w:sz w:val="20"/>
                <w:lang w:eastAsia="es-MX"/>
              </w:rPr>
              <w:lastRenderedPageBreak/>
              <w:t xml:space="preserve">Evaluación, con la finalidad de obtener información confiable para mejorar la gestión, la toma de decisiones y el proceso presupuestario, los cuales se encuentran en los Términos de Referencia en la siguiente liga: </w:t>
            </w:r>
            <w:hyperlink r:id="rId141" w:history="1">
              <w:r w:rsidRPr="002D644F">
                <w:rPr>
                  <w:rStyle w:val="Hipervnculo"/>
                  <w:rFonts w:ascii="Adobe Caslon Pro" w:hAnsi="Adobe Caslon Pro" w:cs="Wingdings"/>
                  <w:i/>
                  <w:sz w:val="20"/>
                  <w:lang w:eastAsia="es-MX"/>
                </w:rPr>
                <w:t>http://www.jefaturadelagubernatura-evaluacion.oaxaca.gob.mx/index.php/pae-sidepanel/pae-2014</w:t>
              </w:r>
            </w:hyperlink>
          </w:p>
          <w:p w:rsidR="005C48E8" w:rsidRPr="002D644F" w:rsidRDefault="005C48E8" w:rsidP="00A56E05">
            <w:pPr>
              <w:jc w:val="both"/>
              <w:rPr>
                <w:rFonts w:ascii="Adobe Caslon Pro" w:hAnsi="Adobe Caslon Pro" w:cs="Wingdings"/>
                <w:i/>
                <w:color w:val="4472C4"/>
                <w:sz w:val="20"/>
                <w:u w:val="single"/>
                <w:lang w:eastAsia="es-MX"/>
              </w:rPr>
            </w:pPr>
          </w:p>
          <w:p w:rsidR="005C48E8" w:rsidRPr="002D644F" w:rsidRDefault="005C48E8" w:rsidP="00A56E05">
            <w:pPr>
              <w:jc w:val="both"/>
              <w:rPr>
                <w:rFonts w:ascii="Adobe Caslon Pro" w:hAnsi="Adobe Caslon Pro" w:cs="Wingdings"/>
                <w:i/>
                <w:sz w:val="20"/>
                <w:lang w:eastAsia="es-MX"/>
              </w:rPr>
            </w:pPr>
            <w:r w:rsidRPr="002D644F">
              <w:rPr>
                <w:rFonts w:ascii="Adobe Caslon Pro" w:hAnsi="Adobe Caslon Pro" w:cs="Wingdings"/>
                <w:i/>
                <w:sz w:val="20"/>
                <w:lang w:eastAsia="es-MX"/>
              </w:rPr>
              <w:t>Base de datos de gabinete utilizados para el análisis:</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Matriz de Indicadores para Resultados del Programa. </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técnico que incluya el análisis del problema que está siendo atendido con los recursos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Objetivos Estratégicos de la Dependencia coordinadora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Nacional de Desarrollo.</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Estatal de Desarrollo y Plan Sectorial de Desarrollo.</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Diagnóstico situacional del Programa y sus beneficiarios.</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Padrón de beneficiarios. </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Características socioeconómicas de los beneficiarios.</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Reglas de Operación.</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 Programas federales y estatales con características similares</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 Estratégico de la Dependencia responsable de la MIR del Programa o Plan Sectorial.</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Manual de programación</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Reporte de Evaluación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Planes de mejora asociados a la evaluación del Programa.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Potencial.</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Objetivo</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Población Atendida.</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Reporte de seguimiento de metas del sistema de evaluación del desempeño</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 para la selección de beneficiarios.</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Criterios de elegibilidad aplicados</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Avance físico-financiero</w:t>
            </w:r>
            <w:r>
              <w:rPr>
                <w:rFonts w:ascii="Adobe Caslon Pro" w:hAnsi="Adobe Caslon Pro" w:cs="Calibri"/>
                <w:i/>
                <w:sz w:val="20"/>
                <w:lang w:eastAsia="es-MX"/>
              </w:rPr>
              <w:t>.</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Cierre de ejercicio.</w:t>
            </w:r>
          </w:p>
          <w:p w:rsidR="005C48E8" w:rsidRDefault="005C48E8" w:rsidP="00F075EB">
            <w:pPr>
              <w:numPr>
                <w:ilvl w:val="0"/>
                <w:numId w:val="17"/>
              </w:numPr>
              <w:jc w:val="both"/>
              <w:rPr>
                <w:rFonts w:ascii="Adobe Caslon Pro" w:hAnsi="Adobe Caslon Pro" w:cs="Calibri"/>
                <w:i/>
                <w:sz w:val="20"/>
                <w:lang w:eastAsia="es-MX"/>
              </w:rPr>
            </w:pPr>
            <w:r>
              <w:rPr>
                <w:rFonts w:ascii="Adobe Caslon Pro" w:hAnsi="Adobe Caslon Pro" w:cs="Calibri"/>
                <w:i/>
                <w:color w:val="000000"/>
                <w:sz w:val="20"/>
                <w:lang w:eastAsia="es-MX"/>
              </w:rPr>
              <w:t>Recursos no devengados.</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Estructura organizacional de la dependencia, que incluya las áreas operativas relacionadas con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organizacional de la dependencia, que incluya las responsabilidades y funciones asociadas con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técnico que contenga los procesos de la entrega/recepción de componentes.</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contenga el procedimiento a través del cual se proporciona la información sobre estados financieros relacionados con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descriptivo, normativo funcional acerca de los sistemas de información que conforman la administración financiera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estratégicos y de gestión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Costos de Operación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Procedimientos para medir costo-efectividad en la ejecución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resultados de la medición costo-efectividad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de eficiencia.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Aprobado.</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Ejercido.</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Instrumentos de recuperación de Deuda relacionados con el cumplimiento de objetivos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el procedimiento a través del cual se administra y opera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 xml:space="preserve">Documento normativo que describa los sistemas de información que se utilizan en la gestión del </w:t>
            </w:r>
            <w:r>
              <w:rPr>
                <w:rFonts w:ascii="Adobe Caslon Pro" w:hAnsi="Adobe Caslon Pro" w:cs="Calibri"/>
                <w:i/>
                <w:color w:val="000000"/>
                <w:sz w:val="20"/>
                <w:lang w:eastAsia="es-MX"/>
              </w:rPr>
              <w:lastRenderedPageBreak/>
              <w:t>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procedimientos de actualización del padrón de beneficiarios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del Sistema de Rendición de Cuentas y Transparencia para los funcionarios que administran 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Transparencia (En donde se transparenten los resultados de la evaluación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la gaceta oficial de difusión (En donde se transparenten los resultados de la evaluación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oficial que indique el monto y la fecha de recepción de recursos destinados a la operación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Calendario de transferencia de recursos para la operación del Programa.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Reportes de Cuenta Pública.</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de Desempeño.</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Guía para usuarios del SED Estatal y Federal.</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de resultados.</w:t>
            </w:r>
          </w:p>
          <w:p w:rsidR="005C48E8" w:rsidRDefault="005C48E8" w:rsidP="00F075EB">
            <w:pPr>
              <w:numPr>
                <w:ilvl w:val="0"/>
                <w:numId w:val="17"/>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financiero del Programa.</w:t>
            </w:r>
          </w:p>
          <w:p w:rsidR="005C48E8" w:rsidRPr="002D644F" w:rsidRDefault="005C48E8" w:rsidP="00F075EB">
            <w:pPr>
              <w:numPr>
                <w:ilvl w:val="0"/>
                <w:numId w:val="17"/>
              </w:numPr>
              <w:jc w:val="both"/>
              <w:rPr>
                <w:rFonts w:ascii="Adobe Caslon Pro" w:eastAsia="Symbol" w:hAnsi="Adobe Caslon Pro" w:cs="Cambria Math"/>
                <w:i/>
                <w:color w:val="000000"/>
                <w:sz w:val="20"/>
                <w:lang w:eastAsia="es-MX"/>
              </w:rPr>
            </w:pPr>
            <w:r>
              <w:rPr>
                <w:rFonts w:ascii="Adobe Caslon Pro" w:hAnsi="Adobe Caslon Pro" w:cs="Calibri"/>
                <w:i/>
                <w:color w:val="000000"/>
                <w:sz w:val="20"/>
                <w:lang w:eastAsia="es-MX"/>
              </w:rPr>
              <w:t>Ficha técnica de los indicadores de Resultados del Programa.</w:t>
            </w:r>
          </w:p>
        </w:tc>
      </w:tr>
      <w:tr w:rsidR="005C48E8" w:rsidRPr="002D644F" w:rsidTr="00A56E05">
        <w:trPr>
          <w:trHeight w:val="60"/>
          <w:jc w:val="center"/>
        </w:trPr>
        <w:tc>
          <w:tcPr>
            <w:tcW w:w="999" w:type="dxa"/>
            <w:gridSpan w:val="2"/>
            <w:tcBorders>
              <w:top w:val="single" w:sz="4" w:space="0" w:color="auto"/>
              <w:bottom w:val="single" w:sz="4" w:space="0" w:color="auto"/>
            </w:tcBorders>
            <w:shd w:val="clear" w:color="auto" w:fill="auto"/>
            <w:noWrap/>
            <w:vAlign w:val="bottom"/>
            <w:hideMark/>
          </w:tcPr>
          <w:p w:rsidR="005C48E8" w:rsidRPr="002D644F" w:rsidRDefault="005C48E8" w:rsidP="00A56E05">
            <w:pPr>
              <w:rPr>
                <w:rFonts w:ascii="Adobe Caslon Pro" w:eastAsia="Symbol" w:hAnsi="Adobe Caslon Pro" w:cs="Cambria Math"/>
                <w:color w:val="000000"/>
                <w:lang w:eastAsia="es-MX"/>
              </w:rPr>
            </w:pPr>
            <w:r w:rsidRPr="002D644F">
              <w:rPr>
                <w:rFonts w:ascii="Adobe Caslon Pro" w:eastAsia="Symbol" w:hAnsi="Adobe Caslon Pro" w:cs="Cambria Math"/>
                <w:color w:val="00000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5C48E8" w:rsidRPr="002D644F" w:rsidRDefault="005C48E8" w:rsidP="00A56E05">
            <w:pPr>
              <w:rPr>
                <w:rFonts w:ascii="Adobe Caslon Pro" w:eastAsia="Symbol" w:hAnsi="Adobe Caslon Pro" w:cs="Cambria Math"/>
                <w:color w:val="000000"/>
                <w:sz w:val="10"/>
                <w:szCs w:val="10"/>
                <w:lang w:eastAsia="es-MX"/>
              </w:rPr>
            </w:pPr>
          </w:p>
        </w:tc>
      </w:tr>
      <w:tr w:rsidR="005C48E8" w:rsidRPr="002D644F"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5C48E8" w:rsidRPr="002D644F" w:rsidRDefault="005C48E8" w:rsidP="00A56E05">
            <w:pPr>
              <w:rPr>
                <w:rFonts w:ascii="Adobe Caslon Pro" w:eastAsia="Symbol" w:hAnsi="Adobe Caslon Pro" w:cs="Cambria Math"/>
                <w:b/>
                <w:bCs/>
                <w:color w:val="000000"/>
                <w:lang w:eastAsia="es-MX"/>
              </w:rPr>
            </w:pPr>
            <w:r w:rsidRPr="001D49DC">
              <w:rPr>
                <w:rFonts w:ascii="Adobe Caslon Pro" w:hAnsi="Adobe Caslon Pro" w:cs="Calibri"/>
                <w:b/>
                <w:bCs/>
                <w:color w:val="00000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2D644F" w:rsidRDefault="005C48E8" w:rsidP="00A56E05">
            <w:pPr>
              <w:rPr>
                <w:rFonts w:ascii="Adobe Caslon Pro" w:eastAsia="Symbol" w:hAnsi="Adobe Caslon Pro" w:cs="Cambria Math"/>
                <w:b/>
                <w:bCs/>
                <w:color w:val="000000"/>
                <w:lang w:eastAsia="es-MX"/>
              </w:rPr>
            </w:pPr>
            <w:r w:rsidRPr="002D644F">
              <w:rPr>
                <w:rFonts w:ascii="Adobe Caslon Pro" w:eastAsia="Symbol" w:hAnsi="Adobe Caslon Pro" w:cs="Cambria Math"/>
                <w:b/>
                <w:bCs/>
                <w:color w:val="000000"/>
                <w:lang w:eastAsia="es-MX"/>
              </w:rPr>
              <w:t> </w:t>
            </w:r>
          </w:p>
        </w:tc>
      </w:tr>
      <w:tr w:rsidR="005C48E8" w:rsidRPr="002D644F"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Pr="002D644F" w:rsidRDefault="005C48E8" w:rsidP="00A56E05">
            <w:pPr>
              <w:rPr>
                <w:rFonts w:ascii="Adobe Caslon Pro" w:eastAsia="Symbol" w:hAnsi="Adobe Caslon Pro" w:cs="Cambria Math"/>
                <w:color w:val="000000"/>
                <w:lang w:eastAsia="es-MX"/>
              </w:rPr>
            </w:pPr>
            <w:r w:rsidRPr="002D644F">
              <w:rPr>
                <w:rFonts w:ascii="Adobe Caslon Pro" w:eastAsia="Symbol" w:hAnsi="Adobe Caslon Pro" w:cs="Cambria Math"/>
                <w:color w:val="000000"/>
                <w:lang w:eastAsia="es-MX"/>
              </w:rPr>
              <w:t>2.1 Describir los hallazgos más relevantes de la evaluación: </w:t>
            </w:r>
          </w:p>
        </w:tc>
      </w:tr>
      <w:tr w:rsidR="005C48E8" w:rsidRPr="002D644F"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5C48E8" w:rsidRPr="002D644F" w:rsidRDefault="005C48E8" w:rsidP="00A56E05">
            <w:pPr>
              <w:rPr>
                <w:rFonts w:ascii="Adobe Caslon Pro" w:eastAsia="Symbol" w:hAnsi="Adobe Caslon Pro" w:cs="Cambria Math"/>
                <w:color w:val="000000"/>
                <w:lang w:eastAsia="es-MX"/>
              </w:rPr>
            </w:pPr>
            <w:r w:rsidRPr="002D644F">
              <w:rPr>
                <w:rFonts w:ascii="Adobe Caslon Pro" w:eastAsia="Symbol" w:hAnsi="Adobe Caslon Pro" w:cs="Cambria Math"/>
                <w:color w:val="000000"/>
                <w:lang w:eastAsia="es-MX"/>
              </w:rPr>
              <w:t>2.2 Señalar cuáles son las principales Fortalezas, Oportunidades, Debilidades y Amenazas (FODA), de acuerdo con los temas del programa, estrategia o instituciones.</w:t>
            </w:r>
          </w:p>
        </w:tc>
      </w:tr>
      <w:tr w:rsidR="005C48E8" w:rsidRPr="002D644F"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5C48E8" w:rsidRPr="002D644F" w:rsidRDefault="005C48E8" w:rsidP="00A56E05">
            <w:pPr>
              <w:rPr>
                <w:rFonts w:ascii="Adobe Caslon Pro" w:eastAsia="Symbol" w:hAnsi="Adobe Caslon Pro" w:cs="Cambria Math"/>
                <w:color w:val="000000"/>
                <w:lang w:eastAsia="es-MX"/>
              </w:rPr>
            </w:pP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2.2.1 Fortalezas:</w:t>
            </w: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DISEÑO</w:t>
            </w:r>
          </w:p>
          <w:p w:rsidR="005C48E8" w:rsidRDefault="005C48E8" w:rsidP="00F075EB">
            <w:pPr>
              <w:numPr>
                <w:ilvl w:val="0"/>
                <w:numId w:val="50"/>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Existe una relación lógica entre los objetivos del Programa los cuales se encuentran alineados correctamente al Plan Estatal de Desarrollo y éste a su vez al Plan Nacional de Desarrollo.</w:t>
            </w:r>
          </w:p>
          <w:p w:rsidR="005C48E8" w:rsidRDefault="005C48E8" w:rsidP="00F075EB">
            <w:pPr>
              <w:numPr>
                <w:ilvl w:val="0"/>
                <w:numId w:val="50"/>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Se valida correctamente la lógica vertical en la Matriz de Indicadores para Resultados.</w:t>
            </w:r>
          </w:p>
          <w:p w:rsidR="005C48E8" w:rsidRDefault="005C48E8" w:rsidP="00F075EB">
            <w:pPr>
              <w:numPr>
                <w:ilvl w:val="0"/>
                <w:numId w:val="50"/>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Se cuenta con indicadores para medir el desempeño del programa, con los cuales se verificará el avance en el cumplimiento de las metas del Programa.</w:t>
            </w:r>
          </w:p>
          <w:p w:rsidR="005C48E8" w:rsidRPr="001D49DC" w:rsidRDefault="005C48E8" w:rsidP="00F075EB">
            <w:pPr>
              <w:numPr>
                <w:ilvl w:val="0"/>
                <w:numId w:val="50"/>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Se tiene una congruencia entre la normatividad aplicable del programa, la lógica interna y las acciones que se llevan a cabo.</w:t>
            </w:r>
          </w:p>
          <w:p w:rsidR="005C48E8" w:rsidRPr="001D49DC" w:rsidRDefault="005C48E8" w:rsidP="00A56E05">
            <w:pPr>
              <w:ind w:left="360"/>
              <w:jc w:val="both"/>
              <w:rPr>
                <w:rFonts w:ascii="Adobe Caslon Pro" w:eastAsia="Symbol" w:hAnsi="Adobe Caslon Pro" w:cs="Cambria Math"/>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PLANEACIÓN ESTRATÉGICA</w:t>
            </w:r>
          </w:p>
          <w:p w:rsidR="005C48E8" w:rsidRDefault="005C48E8" w:rsidP="00F075EB">
            <w:pPr>
              <w:numPr>
                <w:ilvl w:val="0"/>
                <w:numId w:val="51"/>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Se encuentran claramente definidos los objetivos estratégicos y líneas de acción en los Planes institucionales de los entes responsables del Programa.</w:t>
            </w:r>
          </w:p>
          <w:p w:rsidR="005C48E8" w:rsidRPr="001D49DC" w:rsidRDefault="005C48E8" w:rsidP="00F075EB">
            <w:pPr>
              <w:numPr>
                <w:ilvl w:val="0"/>
                <w:numId w:val="51"/>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En el Plan Sectorial se estipulan los plazos de las metas programadas de cada una de las acciones que se realizarán.</w:t>
            </w:r>
          </w:p>
          <w:p w:rsidR="005C48E8" w:rsidRPr="001D49DC" w:rsidRDefault="005C48E8" w:rsidP="00A56E05">
            <w:pPr>
              <w:ind w:left="360"/>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COBERTURA Y FOCALIZACIÓN</w:t>
            </w:r>
          </w:p>
          <w:p w:rsidR="005C48E8" w:rsidRDefault="005C48E8" w:rsidP="00F075EB">
            <w:pPr>
              <w:numPr>
                <w:ilvl w:val="0"/>
                <w:numId w:val="52"/>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Se encuentra cuanti</w:t>
            </w:r>
            <w:r>
              <w:rPr>
                <w:rFonts w:ascii="Adobe Caslon Pro" w:eastAsia="Symbol" w:hAnsi="Adobe Caslon Pro" w:cs="Cambria Math"/>
                <w:i/>
                <w:color w:val="000000"/>
                <w:sz w:val="20"/>
                <w:szCs w:val="20"/>
                <w:lang w:eastAsia="es-MX"/>
              </w:rPr>
              <w:t>ficada la población potencial, p</w:t>
            </w:r>
            <w:r w:rsidRPr="001D49DC">
              <w:rPr>
                <w:rFonts w:ascii="Adobe Caslon Pro" w:eastAsia="Symbol" w:hAnsi="Adobe Caslon Pro" w:cs="Cambria Math"/>
                <w:i/>
                <w:color w:val="000000"/>
                <w:sz w:val="20"/>
                <w:szCs w:val="20"/>
                <w:lang w:eastAsia="es-MX"/>
              </w:rPr>
              <w:t>oblación objetivo y la población atendida.</w:t>
            </w:r>
          </w:p>
          <w:p w:rsidR="005C48E8" w:rsidRPr="00625A7A" w:rsidRDefault="005C48E8" w:rsidP="00F075EB">
            <w:pPr>
              <w:numPr>
                <w:ilvl w:val="0"/>
                <w:numId w:val="52"/>
              </w:numPr>
              <w:jc w:val="both"/>
              <w:rPr>
                <w:rFonts w:ascii="Adobe Caslon Pro" w:eastAsia="Symbol" w:hAnsi="Adobe Caslon Pro" w:cs="Cambria Math"/>
                <w:i/>
                <w:color w:val="000000"/>
                <w:sz w:val="20"/>
                <w:szCs w:val="20"/>
                <w:lang w:eastAsia="es-MX"/>
              </w:rPr>
            </w:pPr>
            <w:r w:rsidRPr="00625A7A">
              <w:rPr>
                <w:rFonts w:ascii="Adobe Caslon Pro" w:eastAsia="Symbol" w:hAnsi="Adobe Caslon Pro" w:cs="Cambria Math"/>
                <w:i/>
                <w:color w:val="000000"/>
                <w:sz w:val="20"/>
                <w:szCs w:val="20"/>
                <w:lang w:eastAsia="es-MX"/>
              </w:rPr>
              <w:t>Se cuenta con el padrón de beneficiarios a los cuales se les entregan los apoyos por parte del Estado y de la CONAFOR, asimismo, se cuenta con mecanismos de actualización del padrón de beneficiarios.</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OPERACIÓN</w:t>
            </w:r>
          </w:p>
          <w:p w:rsidR="005C48E8" w:rsidRDefault="005C48E8" w:rsidP="00F075EB">
            <w:pPr>
              <w:numPr>
                <w:ilvl w:val="0"/>
                <w:numId w:val="53"/>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lastRenderedPageBreak/>
              <w:t>La selección de los beneficiarios es estandarizada de acuerdo a las Reglas de operación, por lo que se cumple con la normatividad.</w:t>
            </w:r>
          </w:p>
          <w:p w:rsidR="005C48E8" w:rsidRDefault="005C48E8" w:rsidP="00F075EB">
            <w:pPr>
              <w:numPr>
                <w:ilvl w:val="0"/>
                <w:numId w:val="53"/>
              </w:numPr>
              <w:jc w:val="both"/>
              <w:rPr>
                <w:rFonts w:ascii="Adobe Caslon Pro" w:eastAsia="Symbol" w:hAnsi="Adobe Caslon Pro" w:cs="Cambria Math"/>
                <w:i/>
                <w:color w:val="000000"/>
                <w:sz w:val="20"/>
                <w:szCs w:val="20"/>
                <w:lang w:eastAsia="es-MX"/>
              </w:rPr>
            </w:pPr>
            <w:r w:rsidRPr="00D02EA4">
              <w:rPr>
                <w:rFonts w:ascii="Adobe Caslon Pro" w:eastAsia="Symbol" w:hAnsi="Adobe Caslon Pro" w:cs="Cambria Math"/>
                <w:i/>
                <w:color w:val="000000"/>
                <w:sz w:val="20"/>
                <w:szCs w:val="20"/>
                <w:lang w:eastAsia="es-MX"/>
              </w:rPr>
              <w:t>Los procesos de e</w:t>
            </w:r>
            <w:r>
              <w:rPr>
                <w:rFonts w:ascii="Adobe Caslon Pro" w:eastAsia="Symbol" w:hAnsi="Adobe Caslon Pro" w:cs="Cambria Math"/>
                <w:i/>
                <w:color w:val="000000"/>
                <w:sz w:val="20"/>
                <w:szCs w:val="20"/>
                <w:lang w:eastAsia="es-MX"/>
              </w:rPr>
              <w:t xml:space="preserve">jecución se cumplen de acuerdo </w:t>
            </w:r>
            <w:r w:rsidRPr="00D02EA4">
              <w:rPr>
                <w:rFonts w:ascii="Adobe Caslon Pro" w:eastAsia="Symbol" w:hAnsi="Adobe Caslon Pro" w:cs="Cambria Math"/>
                <w:i/>
                <w:color w:val="000000"/>
                <w:sz w:val="20"/>
                <w:szCs w:val="20"/>
                <w:lang w:eastAsia="es-MX"/>
              </w:rPr>
              <w:t>a la normatividad mediante los cierres de ejercicio y actas de entrega-recepción.</w:t>
            </w:r>
          </w:p>
          <w:p w:rsidR="005C48E8" w:rsidRDefault="005C48E8" w:rsidP="00F075EB">
            <w:pPr>
              <w:numPr>
                <w:ilvl w:val="0"/>
                <w:numId w:val="53"/>
              </w:numPr>
              <w:jc w:val="both"/>
              <w:rPr>
                <w:rFonts w:ascii="Adobe Caslon Pro" w:eastAsia="Symbol" w:hAnsi="Adobe Caslon Pro" w:cs="Cambria Math"/>
                <w:i/>
                <w:color w:val="000000"/>
                <w:sz w:val="20"/>
                <w:szCs w:val="20"/>
                <w:lang w:eastAsia="es-MX"/>
              </w:rPr>
            </w:pPr>
            <w:r w:rsidRPr="00D02EA4">
              <w:rPr>
                <w:rFonts w:ascii="Adobe Caslon Pro" w:eastAsia="Symbol" w:hAnsi="Adobe Caslon Pro" w:cs="Cambria Math"/>
                <w:i/>
                <w:color w:val="000000"/>
                <w:sz w:val="20"/>
                <w:szCs w:val="20"/>
                <w:lang w:eastAsia="es-MX"/>
              </w:rPr>
              <w:t>Relativo a la administración financiera, se identifican sistemas de integración financiera lo que permite proporcionar información de manera oportuna y confiable para la toma de decisiones de los responsables del Programa.</w:t>
            </w:r>
          </w:p>
          <w:p w:rsidR="005C48E8" w:rsidRPr="00D02EA4" w:rsidRDefault="005C48E8" w:rsidP="00F075EB">
            <w:pPr>
              <w:numPr>
                <w:ilvl w:val="0"/>
                <w:numId w:val="53"/>
              </w:numPr>
              <w:jc w:val="both"/>
              <w:rPr>
                <w:rFonts w:ascii="Adobe Caslon Pro" w:eastAsia="Symbol" w:hAnsi="Adobe Caslon Pro" w:cs="Cambria Math"/>
                <w:i/>
                <w:color w:val="000000"/>
                <w:sz w:val="20"/>
                <w:szCs w:val="20"/>
                <w:lang w:eastAsia="es-MX"/>
              </w:rPr>
            </w:pPr>
            <w:r w:rsidRPr="00D02EA4">
              <w:rPr>
                <w:rFonts w:ascii="Adobe Caslon Pro" w:eastAsia="Symbol" w:hAnsi="Adobe Caslon Pro" w:cs="Cambria Math"/>
                <w:i/>
                <w:color w:val="000000"/>
                <w:sz w:val="20"/>
                <w:szCs w:val="20"/>
                <w:lang w:eastAsia="es-MX"/>
              </w:rPr>
              <w:t>En el tema de transparencia y rendición de cuentas, se cuentan con mecanismos normativos que funcionan adecuadamente. Así también, se difunde la información de las evaluaciones y resultados en las páginas oficiales del Gobierno del Estado de Oaxaca.</w:t>
            </w:r>
          </w:p>
          <w:p w:rsidR="005C48E8" w:rsidRPr="001D49DC" w:rsidRDefault="005C48E8" w:rsidP="00A56E05">
            <w:pPr>
              <w:jc w:val="both"/>
              <w:rPr>
                <w:rFonts w:ascii="Adobe Caslon Pro" w:eastAsia="Symbol" w:hAnsi="Adobe Caslon Pro" w:cs="Cambria Math"/>
                <w:color w:val="000000"/>
                <w:sz w:val="20"/>
                <w:szCs w:val="20"/>
                <w:lang w:eastAsia="es-MX"/>
              </w:rPr>
            </w:pPr>
          </w:p>
          <w:p w:rsidR="005C48E8"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RESULTADOS</w:t>
            </w:r>
          </w:p>
          <w:p w:rsidR="005C48E8" w:rsidRDefault="005C48E8" w:rsidP="00F075EB">
            <w:pPr>
              <w:numPr>
                <w:ilvl w:val="0"/>
                <w:numId w:val="54"/>
              </w:num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i/>
                <w:color w:val="000000"/>
                <w:sz w:val="20"/>
                <w:szCs w:val="20"/>
                <w:lang w:eastAsia="es-MX"/>
              </w:rPr>
              <w:t>Se recolecta información oportunamente referente a los resultados de los indicadores del Propósito y Fin, lo cual permite el adecuado monitoreo para los ejecutores del Programa</w:t>
            </w:r>
            <w:r w:rsidRPr="001D49DC">
              <w:rPr>
                <w:rFonts w:ascii="Adobe Caslon Pro" w:eastAsia="Symbol" w:hAnsi="Adobe Caslon Pro" w:cs="Cambria Math"/>
                <w:color w:val="000000"/>
                <w:sz w:val="20"/>
                <w:szCs w:val="20"/>
                <w:lang w:eastAsia="es-MX"/>
              </w:rPr>
              <w:t>.</w:t>
            </w:r>
          </w:p>
          <w:p w:rsidR="005C48E8" w:rsidRPr="00D02EA4" w:rsidRDefault="005C48E8" w:rsidP="00F075EB">
            <w:pPr>
              <w:numPr>
                <w:ilvl w:val="0"/>
                <w:numId w:val="54"/>
              </w:numPr>
              <w:jc w:val="both"/>
              <w:rPr>
                <w:rFonts w:ascii="Adobe Caslon Pro" w:eastAsia="Symbol" w:hAnsi="Adobe Caslon Pro" w:cs="Cambria Math"/>
                <w:color w:val="000000"/>
                <w:sz w:val="20"/>
                <w:szCs w:val="20"/>
                <w:lang w:eastAsia="es-MX"/>
              </w:rPr>
            </w:pPr>
            <w:r w:rsidRPr="00D02EA4">
              <w:rPr>
                <w:rFonts w:ascii="Adobe Caslon Pro" w:eastAsia="Symbol" w:hAnsi="Adobe Caslon Pro" w:cs="Cambria Math"/>
                <w:i/>
                <w:color w:val="000000"/>
                <w:sz w:val="20"/>
                <w:szCs w:val="20"/>
                <w:lang w:eastAsia="es-MX"/>
              </w:rPr>
              <w:t>Conforme al diseño del Programa y la información que se proporcionó, es posible que se realice una evaluación de impacto.</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EJERCICIO DE LOS RECURSOS</w:t>
            </w:r>
          </w:p>
          <w:p w:rsidR="005C48E8" w:rsidRDefault="005C48E8" w:rsidP="00F075EB">
            <w:pPr>
              <w:numPr>
                <w:ilvl w:val="0"/>
                <w:numId w:val="55"/>
              </w:numPr>
              <w:rPr>
                <w:rFonts w:ascii="Adobe Caslon Pro" w:eastAsia="Symbol" w:hAnsi="Adobe Caslon Pro" w:cs="Cambria Math"/>
                <w:color w:val="000000"/>
                <w:sz w:val="20"/>
                <w:szCs w:val="20"/>
                <w:lang w:eastAsia="es-MX"/>
              </w:rPr>
            </w:pPr>
            <w:r w:rsidRPr="001D49DC">
              <w:rPr>
                <w:rFonts w:ascii="Adobe Caslon Pro" w:eastAsia="Symbol" w:hAnsi="Adobe Caslon Pro" w:cs="Cambria Math"/>
                <w:i/>
                <w:color w:val="000000"/>
                <w:sz w:val="20"/>
                <w:szCs w:val="20"/>
                <w:lang w:eastAsia="es-MX"/>
              </w:rPr>
              <w:t>Los recursos destinados para el Programa se transfirieron en tiempo y forma.</w:t>
            </w:r>
          </w:p>
          <w:p w:rsidR="005C48E8" w:rsidRPr="00D02EA4" w:rsidRDefault="005C48E8" w:rsidP="00F075EB">
            <w:pPr>
              <w:numPr>
                <w:ilvl w:val="0"/>
                <w:numId w:val="55"/>
              </w:numPr>
              <w:rPr>
                <w:rFonts w:ascii="Adobe Caslon Pro" w:eastAsia="Symbol" w:hAnsi="Adobe Caslon Pro" w:cs="Cambria Math"/>
                <w:color w:val="000000"/>
                <w:sz w:val="20"/>
                <w:szCs w:val="20"/>
                <w:lang w:eastAsia="es-MX"/>
              </w:rPr>
            </w:pPr>
            <w:r w:rsidRPr="00D02EA4">
              <w:rPr>
                <w:rFonts w:ascii="Adobe Caslon Pro" w:eastAsia="Symbol" w:hAnsi="Adobe Caslon Pro" w:cs="Cambria Math"/>
                <w:i/>
                <w:color w:val="000000"/>
                <w:sz w:val="20"/>
                <w:szCs w:val="20"/>
                <w:lang w:eastAsia="es-MX"/>
              </w:rPr>
              <w:t>Se cumple con los ordenamientos normativos en temas de información financiera.</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 xml:space="preserve"> </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lastRenderedPageBreak/>
              <w:t>2.2.2 Oportunidades: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2.2.3 Debilidades:</w:t>
            </w: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DISEÑO</w:t>
            </w:r>
          </w:p>
          <w:p w:rsidR="005C48E8" w:rsidRDefault="005C48E8" w:rsidP="00F075EB">
            <w:pPr>
              <w:numPr>
                <w:ilvl w:val="0"/>
                <w:numId w:val="56"/>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 xml:space="preserve">No se establecen las líneas base de los indicadores plasmados en la MIR, así como también ésta carece de las frecuencias </w:t>
            </w:r>
            <w:r>
              <w:rPr>
                <w:rFonts w:ascii="Adobe Caslon Pro" w:eastAsia="Symbol" w:hAnsi="Adobe Caslon Pro" w:cs="Cambria Math"/>
                <w:i/>
                <w:color w:val="000000"/>
                <w:sz w:val="20"/>
                <w:szCs w:val="20"/>
                <w:lang w:eastAsia="es-MX"/>
              </w:rPr>
              <w:t xml:space="preserve">de medición de los indicadores </w:t>
            </w:r>
            <w:r w:rsidRPr="001D49DC">
              <w:rPr>
                <w:rFonts w:ascii="Adobe Caslon Pro" w:eastAsia="Symbol" w:hAnsi="Adobe Caslon Pro" w:cs="Cambria Math"/>
                <w:i/>
                <w:color w:val="000000"/>
                <w:sz w:val="20"/>
                <w:szCs w:val="20"/>
                <w:lang w:eastAsia="es-MX"/>
              </w:rPr>
              <w:t>y de las metas que pretenden alcanzar.</w:t>
            </w:r>
          </w:p>
          <w:p w:rsidR="005C48E8" w:rsidRDefault="005C48E8" w:rsidP="00F075EB">
            <w:pPr>
              <w:numPr>
                <w:ilvl w:val="0"/>
                <w:numId w:val="56"/>
              </w:numPr>
              <w:jc w:val="both"/>
              <w:rPr>
                <w:rFonts w:ascii="Adobe Caslon Pro" w:eastAsia="Symbol" w:hAnsi="Adobe Caslon Pro" w:cs="Cambria Math"/>
                <w:i/>
                <w:color w:val="000000"/>
                <w:sz w:val="20"/>
                <w:szCs w:val="20"/>
                <w:lang w:eastAsia="es-MX"/>
              </w:rPr>
            </w:pPr>
            <w:r w:rsidRPr="00076916">
              <w:rPr>
                <w:rFonts w:ascii="Adobe Caslon Pro" w:eastAsia="Symbol" w:hAnsi="Adobe Caslon Pro" w:cs="Cambria Math"/>
                <w:i/>
                <w:color w:val="000000"/>
                <w:sz w:val="20"/>
                <w:szCs w:val="20"/>
                <w:lang w:eastAsia="es-MX"/>
              </w:rPr>
              <w:t>Los indicadores a nivel de Actividades no expresan lo que se quiere medir.</w:t>
            </w:r>
          </w:p>
          <w:p w:rsidR="005C48E8" w:rsidRPr="00076916" w:rsidRDefault="005C48E8" w:rsidP="00F075EB">
            <w:pPr>
              <w:numPr>
                <w:ilvl w:val="0"/>
                <w:numId w:val="56"/>
              </w:numPr>
              <w:jc w:val="both"/>
              <w:rPr>
                <w:rFonts w:ascii="Adobe Caslon Pro" w:eastAsia="Symbol" w:hAnsi="Adobe Caslon Pro" w:cs="Cambria Math"/>
                <w:i/>
                <w:color w:val="000000"/>
                <w:sz w:val="20"/>
                <w:szCs w:val="20"/>
                <w:lang w:eastAsia="es-MX"/>
              </w:rPr>
            </w:pPr>
            <w:r w:rsidRPr="00076916">
              <w:rPr>
                <w:rFonts w:ascii="Adobe Caslon Pro" w:eastAsia="Symbol" w:hAnsi="Adobe Caslon Pro" w:cs="Cambria Math"/>
                <w:i/>
                <w:color w:val="000000"/>
                <w:sz w:val="20"/>
                <w:szCs w:val="20"/>
                <w:lang w:eastAsia="es-MX"/>
              </w:rPr>
              <w:t>En la Matriz de Indicadores no se plasman las columnas de Medios de Verificación y Supuestos, por lo que no está estructurada conforme a la Metodología del Marco Lógico.</w:t>
            </w:r>
          </w:p>
          <w:p w:rsidR="005C48E8" w:rsidRPr="001D49DC" w:rsidRDefault="005C48E8" w:rsidP="00A56E05">
            <w:pPr>
              <w:ind w:left="360"/>
              <w:jc w:val="both"/>
              <w:rPr>
                <w:rFonts w:ascii="Adobe Caslon Pro" w:eastAsia="Symbol" w:hAnsi="Adobe Caslon Pro" w:cs="Cambria Math"/>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PLANEACIÓN ESTRATÉGICA</w:t>
            </w:r>
          </w:p>
          <w:p w:rsidR="005C48E8" w:rsidRPr="001D49DC" w:rsidRDefault="005C48E8" w:rsidP="00F075EB">
            <w:pPr>
              <w:numPr>
                <w:ilvl w:val="0"/>
                <w:numId w:val="57"/>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Los indicadores del desempeño no cuentan con línea base, por lo que se puede complicar la verificación del avance de las metas de las acciones del Programa.</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COBERTURA Y FOCALIZACIÓN</w:t>
            </w:r>
          </w:p>
          <w:p w:rsidR="005C48E8" w:rsidRPr="001D49DC" w:rsidRDefault="005C48E8" w:rsidP="00F075EB">
            <w:pPr>
              <w:numPr>
                <w:ilvl w:val="0"/>
                <w:numId w:val="57"/>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Las poblaciones potencial, objetivo y atendida no tienen las mismas características, l</w:t>
            </w:r>
            <w:r>
              <w:rPr>
                <w:rFonts w:ascii="Adobe Caslon Pro" w:eastAsia="Symbol" w:hAnsi="Adobe Caslon Pro" w:cs="Cambria Math"/>
                <w:i/>
                <w:color w:val="000000"/>
                <w:sz w:val="20"/>
                <w:szCs w:val="20"/>
                <w:lang w:eastAsia="es-MX"/>
              </w:rPr>
              <w:t xml:space="preserve">o cual es una inconsistencia y </w:t>
            </w:r>
            <w:r w:rsidRPr="001D49DC">
              <w:rPr>
                <w:rFonts w:ascii="Adobe Caslon Pro" w:eastAsia="Symbol" w:hAnsi="Adobe Caslon Pro" w:cs="Cambria Math"/>
                <w:i/>
                <w:color w:val="000000"/>
                <w:sz w:val="20"/>
                <w:szCs w:val="20"/>
                <w:lang w:eastAsia="es-MX"/>
              </w:rPr>
              <w:t>representa una amenaza para el logro de los objetivos e iden</w:t>
            </w:r>
            <w:r>
              <w:rPr>
                <w:rFonts w:ascii="Adobe Caslon Pro" w:eastAsia="Symbol" w:hAnsi="Adobe Caslon Pro" w:cs="Cambria Math"/>
                <w:i/>
                <w:color w:val="000000"/>
                <w:sz w:val="20"/>
                <w:szCs w:val="20"/>
                <w:lang w:eastAsia="es-MX"/>
              </w:rPr>
              <w:t xml:space="preserve">tificar si se ha logrado llegar </w:t>
            </w:r>
            <w:r w:rsidRPr="001D49DC">
              <w:rPr>
                <w:rFonts w:ascii="Adobe Caslon Pro" w:eastAsia="Symbol" w:hAnsi="Adobe Caslon Pro" w:cs="Cambria Math"/>
                <w:i/>
                <w:color w:val="000000"/>
                <w:sz w:val="20"/>
                <w:szCs w:val="20"/>
                <w:lang w:eastAsia="es-MX"/>
              </w:rPr>
              <w:t>a la población.</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OPERACIÓN</w:t>
            </w:r>
          </w:p>
          <w:p w:rsidR="005C48E8" w:rsidRDefault="005C48E8" w:rsidP="00F075EB">
            <w:pPr>
              <w:numPr>
                <w:ilvl w:val="0"/>
                <w:numId w:val="57"/>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La MIR del Programa no se encontraron indicadores que midan la dimensión de eficiencia para los objetivos del Programa.</w:t>
            </w:r>
          </w:p>
          <w:p w:rsidR="005C48E8" w:rsidRPr="00713AA6" w:rsidRDefault="005C48E8" w:rsidP="00F075EB">
            <w:pPr>
              <w:numPr>
                <w:ilvl w:val="0"/>
                <w:numId w:val="57"/>
              </w:numPr>
              <w:jc w:val="both"/>
              <w:rPr>
                <w:rFonts w:ascii="Adobe Caslon Pro" w:eastAsia="Symbol" w:hAnsi="Adobe Caslon Pro" w:cs="Cambria Math"/>
                <w:i/>
                <w:color w:val="000000"/>
                <w:sz w:val="20"/>
                <w:szCs w:val="20"/>
                <w:lang w:eastAsia="es-MX"/>
              </w:rPr>
            </w:pPr>
            <w:r w:rsidRPr="00713AA6">
              <w:rPr>
                <w:rFonts w:ascii="Adobe Caslon Pro" w:eastAsia="Symbol" w:hAnsi="Adobe Caslon Pro" w:cs="Cambria Math"/>
                <w:i/>
                <w:color w:val="000000"/>
                <w:sz w:val="20"/>
                <w:szCs w:val="20"/>
                <w:lang w:eastAsia="es-MX"/>
              </w:rPr>
              <w:t>En los recursos provenientes de la CONAFOR, no se encontró evidencia documental oficial que proporcione la información necesaria para dar el seguimiento, como lo pueden ser los informes trimestrales o cierres de ejercicio.</w:t>
            </w:r>
          </w:p>
          <w:p w:rsidR="005C48E8" w:rsidRPr="001D49DC" w:rsidRDefault="005C48E8" w:rsidP="00A56E05">
            <w:pPr>
              <w:jc w:val="both"/>
              <w:rPr>
                <w:rFonts w:ascii="Adobe Caslon Pro" w:eastAsia="Symbol" w:hAnsi="Adobe Caslon Pro" w:cs="Cambria Math"/>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RESULTADOS</w:t>
            </w:r>
          </w:p>
          <w:p w:rsidR="005C48E8" w:rsidRPr="001D49DC" w:rsidRDefault="005C48E8" w:rsidP="00F075EB">
            <w:pPr>
              <w:numPr>
                <w:ilvl w:val="0"/>
                <w:numId w:val="58"/>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 xml:space="preserve">Se observa que no se obtuvo el resultado conforme a lo estipulado en su plan sectorial, lo cual representa </w:t>
            </w:r>
            <w:r w:rsidRPr="001D49DC">
              <w:rPr>
                <w:rFonts w:ascii="Adobe Caslon Pro" w:eastAsia="Symbol" w:hAnsi="Adobe Caslon Pro" w:cs="Cambria Math"/>
                <w:i/>
                <w:color w:val="000000"/>
                <w:sz w:val="20"/>
                <w:szCs w:val="20"/>
                <w:lang w:eastAsia="es-MX"/>
              </w:rPr>
              <w:lastRenderedPageBreak/>
              <w:t>una amenaza al programa</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EJERCICIO DE LOS RECURSOS</w:t>
            </w:r>
          </w:p>
          <w:p w:rsidR="005C48E8" w:rsidRPr="001D49DC" w:rsidRDefault="005C48E8" w:rsidP="00F075EB">
            <w:pPr>
              <w:numPr>
                <w:ilvl w:val="0"/>
                <w:numId w:val="58"/>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 xml:space="preserve">Se observa que para medir el Fin, Propósito y Componente, se utiliza un mismo indicador, con meta asociada y avance logrado. </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lastRenderedPageBreak/>
              <w:t>2.2.4 Amenazas:</w:t>
            </w:r>
          </w:p>
        </w:tc>
      </w:tr>
      <w:tr w:rsidR="005C48E8" w:rsidRPr="002D644F"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5C48E8" w:rsidRPr="001D49DC" w:rsidRDefault="005C48E8" w:rsidP="00A56E05">
            <w:pPr>
              <w:jc w:val="center"/>
              <w:rPr>
                <w:rFonts w:ascii="Adobe Caslon Pro" w:eastAsia="Symbol" w:hAnsi="Adobe Caslon Pro" w:cs="Cambria Math"/>
                <w:color w:val="000000"/>
                <w:lang w:eastAsia="es-MX"/>
              </w:rPr>
            </w:pP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hAnsi="Adobe Caslon Pro" w:cs="Calibri"/>
                <w:b/>
                <w:bCs/>
                <w:color w:val="000000"/>
                <w:lang w:eastAsia="es-MX"/>
              </w:rPr>
              <w:t>3. Conclusiones y recomendaciones de la evaluación</w:t>
            </w:r>
          </w:p>
        </w:tc>
      </w:tr>
      <w:tr w:rsidR="005C48E8" w:rsidRPr="002D644F" w:rsidTr="00A56E05">
        <w:trPr>
          <w:trHeight w:val="110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5C48E8" w:rsidRPr="001D49DC" w:rsidRDefault="005C48E8" w:rsidP="00F075EB">
            <w:pPr>
              <w:numPr>
                <w:ilvl w:val="1"/>
                <w:numId w:val="15"/>
              </w:num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Describir brevemente las conclusiones de la evaluación: </w:t>
            </w:r>
          </w:p>
          <w:p w:rsidR="005C48E8" w:rsidRDefault="005C48E8" w:rsidP="00F075EB">
            <w:pPr>
              <w:numPr>
                <w:ilvl w:val="0"/>
                <w:numId w:val="58"/>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En el tema de Diseño, se observó que en el año de referencia (2013), la MIR del Programa no se construyó conforme a lo establecido en la Metodología del Marco Lógico, ya que sólo presenta dos columnas: la del resumen narrativo y la de los indicadores, faltando las columnas de medios de verificación y supuestos; por lo que no fue posible validar las lógicas vertical y horizontal.</w:t>
            </w:r>
          </w:p>
          <w:p w:rsidR="005C48E8" w:rsidRDefault="005C48E8" w:rsidP="00F075EB">
            <w:pPr>
              <w:numPr>
                <w:ilvl w:val="0"/>
                <w:numId w:val="58"/>
              </w:numPr>
              <w:jc w:val="both"/>
              <w:rPr>
                <w:rFonts w:ascii="Adobe Caslon Pro" w:eastAsia="Symbol" w:hAnsi="Adobe Caslon Pro" w:cs="Cambria Math"/>
                <w:i/>
                <w:color w:val="000000"/>
                <w:sz w:val="20"/>
                <w:szCs w:val="20"/>
                <w:lang w:eastAsia="es-MX"/>
              </w:rPr>
            </w:pPr>
            <w:r w:rsidRPr="00ED4DA5">
              <w:rPr>
                <w:rFonts w:ascii="Adobe Caslon Pro" w:eastAsia="Symbol" w:hAnsi="Adobe Caslon Pro" w:cs="Cambria Math"/>
                <w:i/>
                <w:color w:val="000000"/>
                <w:sz w:val="20"/>
                <w:szCs w:val="20"/>
                <w:lang w:eastAsia="es-MX"/>
              </w:rPr>
              <w:t>Es importante señalar que también se realizó un análisis adicional a la MIR 2014, en donde se observan las siguientes mejoras: El Propósito del Programa está redactado en función de los propietarios de los terrenos forestales y preferentemente forestales con proceso de deterioro quienes reciben los apoyos para realizar las acciones correspondientes y obtener el Fin del Programa; los Componentes están mejor redactados y separados para que se logren medir con sus indicadores de manera adecuada, clara y específica; las Actividades están identificadas para cada Componente, y éstas a su vez también refl</w:t>
            </w:r>
            <w:r>
              <w:rPr>
                <w:rFonts w:ascii="Adobe Caslon Pro" w:eastAsia="Symbol" w:hAnsi="Adobe Caslon Pro" w:cs="Cambria Math"/>
                <w:i/>
                <w:color w:val="000000"/>
                <w:sz w:val="20"/>
                <w:szCs w:val="20"/>
                <w:lang w:eastAsia="es-MX"/>
              </w:rPr>
              <w:t xml:space="preserve">ejan una mejora en su expresión; y se </w:t>
            </w:r>
            <w:r w:rsidRPr="00ED4DA5">
              <w:rPr>
                <w:rFonts w:ascii="Adobe Caslon Pro" w:eastAsia="Symbol" w:hAnsi="Adobe Caslon Pro" w:cs="Cambria Math"/>
                <w:i/>
                <w:color w:val="000000"/>
                <w:sz w:val="20"/>
                <w:szCs w:val="20"/>
                <w:lang w:eastAsia="es-MX"/>
              </w:rPr>
              <w:t>cuenta con líneas base para los indicadores de desempeño.</w:t>
            </w:r>
          </w:p>
          <w:p w:rsidR="005C48E8" w:rsidRDefault="005C48E8" w:rsidP="00F075EB">
            <w:pPr>
              <w:numPr>
                <w:ilvl w:val="0"/>
                <w:numId w:val="58"/>
              </w:numPr>
              <w:jc w:val="both"/>
              <w:rPr>
                <w:rFonts w:ascii="Adobe Caslon Pro" w:eastAsia="Symbol" w:hAnsi="Adobe Caslon Pro" w:cs="Cambria Math"/>
                <w:i/>
                <w:color w:val="000000"/>
                <w:sz w:val="20"/>
                <w:szCs w:val="20"/>
                <w:lang w:eastAsia="es-MX"/>
              </w:rPr>
            </w:pPr>
            <w:r w:rsidRPr="00ED4DA5">
              <w:rPr>
                <w:rFonts w:ascii="Adobe Caslon Pro" w:eastAsia="Symbol" w:hAnsi="Adobe Caslon Pro" w:cs="Cambria Math"/>
                <w:i/>
                <w:color w:val="000000"/>
                <w:sz w:val="20"/>
                <w:szCs w:val="20"/>
                <w:lang w:eastAsia="es-MX"/>
              </w:rPr>
              <w:t>En el tema correspondiente a la Planeación Estratégica, se observa que el Programa cuenta con un Plan Estratégico Sectorial Agropecuario, Forestal y Pesquero: Subsector Forestal, en donde se estipulan las metas a lograr en el 2016. Asimismo, conforme al convenio que se tiene con la CONAFOR, en el Programa Estratégico Forestal 2025 se especifican las acciones estratégicas para el logro de los objetivos Federales en materia Forestal; sin embargo, no se observaron indicadores que midan el desempeño, ni la línea base, por lo que se complica verificar el avance de las metas para el cumplimiento del Programa.</w:t>
            </w:r>
          </w:p>
          <w:p w:rsidR="005C48E8" w:rsidRPr="00007821" w:rsidRDefault="005C48E8" w:rsidP="00F075EB">
            <w:pPr>
              <w:numPr>
                <w:ilvl w:val="0"/>
                <w:numId w:val="58"/>
              </w:numPr>
              <w:jc w:val="both"/>
              <w:rPr>
                <w:rFonts w:ascii="Adobe Caslon Pro" w:eastAsia="Symbol" w:hAnsi="Adobe Caslon Pro" w:cs="Cambria Math"/>
                <w:i/>
                <w:color w:val="000000"/>
                <w:sz w:val="20"/>
                <w:szCs w:val="20"/>
                <w:lang w:eastAsia="es-MX"/>
              </w:rPr>
            </w:pPr>
            <w:r w:rsidRPr="00ED4DA5">
              <w:rPr>
                <w:rFonts w:ascii="Adobe Caslon Pro" w:eastAsia="Symbol" w:hAnsi="Adobe Caslon Pro" w:cs="Cambria Math"/>
                <w:i/>
                <w:color w:val="000000"/>
                <w:sz w:val="20"/>
                <w:szCs w:val="20"/>
                <w:lang w:eastAsia="es-MX"/>
              </w:rPr>
              <w:t>En el tema de Cobertura y Focalización, se observa una inconsistencia respecto a la población, ya que en las Reglas de operación del Programa, la población potencial se describe como terrenos forestales y terrenos forestales en proceso de deterioro; mie</w:t>
            </w:r>
            <w:r w:rsidRPr="00007821">
              <w:rPr>
                <w:rFonts w:ascii="Adobe Caslon Pro" w:eastAsia="Symbol" w:hAnsi="Adobe Caslon Pro" w:cs="Cambria Math"/>
                <w:i/>
                <w:color w:val="000000"/>
                <w:sz w:val="20"/>
                <w:szCs w:val="20"/>
                <w:lang w:eastAsia="es-MX"/>
              </w:rPr>
              <w:t>ntras que en un documento proporcionado por la Entidad, se especifica que la población objetivo y atendida son personas físicas y morales propietarias de los terrenos forestales elegibles.</w:t>
            </w:r>
          </w:p>
          <w:p w:rsidR="005C48E8" w:rsidRDefault="005C48E8" w:rsidP="00F075EB">
            <w:pPr>
              <w:numPr>
                <w:ilvl w:val="0"/>
                <w:numId w:val="58"/>
              </w:numPr>
              <w:jc w:val="both"/>
              <w:rPr>
                <w:rFonts w:ascii="Adobe Caslon Pro" w:eastAsia="Symbol" w:hAnsi="Adobe Caslon Pro" w:cs="Cambria Math"/>
                <w:i/>
                <w:color w:val="000000"/>
                <w:sz w:val="20"/>
                <w:szCs w:val="20"/>
                <w:lang w:eastAsia="es-MX"/>
              </w:rPr>
            </w:pPr>
            <w:r w:rsidRPr="00ED4DA5">
              <w:rPr>
                <w:rFonts w:ascii="Adobe Caslon Pro" w:eastAsia="Symbol" w:hAnsi="Adobe Caslon Pro" w:cs="Cambria Math"/>
                <w:i/>
                <w:color w:val="000000"/>
                <w:sz w:val="20"/>
                <w:szCs w:val="20"/>
                <w:lang w:eastAsia="es-MX"/>
              </w:rPr>
              <w:t>En cuanto al tema correspondiente a la Operación, la selección</w:t>
            </w:r>
            <w:r>
              <w:rPr>
                <w:rFonts w:ascii="Adobe Caslon Pro" w:eastAsia="Symbol" w:hAnsi="Adobe Caslon Pro" w:cs="Cambria Math"/>
                <w:i/>
                <w:color w:val="000000"/>
                <w:sz w:val="20"/>
                <w:szCs w:val="20"/>
                <w:lang w:eastAsia="es-MX"/>
              </w:rPr>
              <w:t xml:space="preserve"> de los beneficiarios se lleva </w:t>
            </w:r>
            <w:r w:rsidRPr="00ED4DA5">
              <w:rPr>
                <w:rFonts w:ascii="Adobe Caslon Pro" w:eastAsia="Symbol" w:hAnsi="Adobe Caslon Pro" w:cs="Cambria Math"/>
                <w:i/>
                <w:color w:val="000000"/>
                <w:sz w:val="20"/>
                <w:szCs w:val="20"/>
                <w:lang w:eastAsia="es-MX"/>
              </w:rPr>
              <w:t>adecuadamente conforme al convenio con la Comisión Nacional Forestal, quien es la encargada de realizar las Reglas de Operación del Programa, así como los lineamientos con los cuales se lleva a cabo a la selección de los beneficiarios y las acciones a realizar, entre otras cuestiones de operación.</w:t>
            </w:r>
          </w:p>
          <w:p w:rsidR="005C48E8" w:rsidRDefault="005C48E8" w:rsidP="00F075EB">
            <w:pPr>
              <w:numPr>
                <w:ilvl w:val="0"/>
                <w:numId w:val="58"/>
              </w:numPr>
              <w:jc w:val="both"/>
              <w:rPr>
                <w:rFonts w:ascii="Adobe Caslon Pro" w:eastAsia="Symbol" w:hAnsi="Adobe Caslon Pro" w:cs="Cambria Math"/>
                <w:i/>
                <w:color w:val="000000"/>
                <w:sz w:val="20"/>
                <w:szCs w:val="20"/>
                <w:lang w:eastAsia="es-MX"/>
              </w:rPr>
            </w:pPr>
            <w:r w:rsidRPr="00EC0A01">
              <w:rPr>
                <w:rFonts w:ascii="Adobe Caslon Pro" w:eastAsia="Symbol" w:hAnsi="Adobe Caslon Pro" w:cs="Cambria Math"/>
                <w:i/>
                <w:color w:val="000000"/>
                <w:sz w:val="20"/>
                <w:szCs w:val="20"/>
                <w:lang w:eastAsia="es-MX"/>
              </w:rPr>
              <w:t>En lo que al tema de Resultados se refiere, se pudo observar que se recolecta información oportuna para medir los resultados de los indicadores para el Fin y el Propósito, al tiempo que no se han realizado evaluaciones externas que midan el impacto en la población beneficiada. Sin embargo, sí se realizaron evaluaciones de los Programas de la CONAFOR, mismas que fueron de consistencia y resultados, y específica, realizadas por el CONEVAL y el ITAM respectivamente.</w:t>
            </w:r>
          </w:p>
          <w:p w:rsidR="005C48E8" w:rsidRDefault="005C48E8" w:rsidP="00F075EB">
            <w:pPr>
              <w:numPr>
                <w:ilvl w:val="0"/>
                <w:numId w:val="58"/>
              </w:numPr>
              <w:jc w:val="both"/>
              <w:rPr>
                <w:rFonts w:ascii="Adobe Caslon Pro" w:eastAsia="Symbol" w:hAnsi="Adobe Caslon Pro" w:cs="Cambria Math"/>
                <w:i/>
                <w:color w:val="000000"/>
                <w:sz w:val="20"/>
                <w:szCs w:val="20"/>
                <w:lang w:eastAsia="es-MX"/>
              </w:rPr>
            </w:pPr>
            <w:r w:rsidRPr="00EC0A01">
              <w:rPr>
                <w:rFonts w:ascii="Adobe Caslon Pro" w:eastAsia="Symbol" w:hAnsi="Adobe Caslon Pro" w:cs="Cambria Math"/>
                <w:i/>
                <w:color w:val="000000"/>
                <w:sz w:val="20"/>
                <w:szCs w:val="20"/>
                <w:lang w:eastAsia="es-MX"/>
              </w:rPr>
              <w:t>Por otro lado, la evaluación del tema referente al Ejercicio de los Recursos observa que en la información proporcionada muestra las fechas en que recibieron los recursos estatales, no así sobre que los recursos entregados por la CONAFOR, dado que no se encontró algún documento que lo compruebe.</w:t>
            </w:r>
          </w:p>
          <w:p w:rsidR="005C48E8" w:rsidRDefault="005C48E8" w:rsidP="00F075EB">
            <w:pPr>
              <w:numPr>
                <w:ilvl w:val="0"/>
                <w:numId w:val="58"/>
              </w:numPr>
              <w:jc w:val="both"/>
              <w:rPr>
                <w:rFonts w:ascii="Adobe Caslon Pro" w:eastAsia="Symbol" w:hAnsi="Adobe Caslon Pro" w:cs="Cambria Math"/>
                <w:i/>
                <w:color w:val="000000"/>
                <w:sz w:val="20"/>
                <w:szCs w:val="20"/>
                <w:lang w:eastAsia="es-MX"/>
              </w:rPr>
            </w:pPr>
            <w:r w:rsidRPr="003B1CB8">
              <w:rPr>
                <w:rFonts w:ascii="Adobe Caslon Pro" w:eastAsia="Symbol" w:hAnsi="Adobe Caslon Pro" w:cs="Cambria Math"/>
                <w:i/>
                <w:color w:val="000000"/>
                <w:sz w:val="20"/>
                <w:szCs w:val="20"/>
                <w:lang w:eastAsia="es-MX"/>
              </w:rPr>
              <w:t xml:space="preserve">En la evaluación al Programa “Restauración de Ecosistemas Forestales” (2013), se encontraron dos inconsistencias: una respecto a las características de la población potencial y la población objetivo y atendida; la otra inconsistencia es la de los recursos de la CONAFOR, de los cuales no se encontró </w:t>
            </w:r>
            <w:r w:rsidRPr="003B1CB8">
              <w:rPr>
                <w:rFonts w:ascii="Adobe Caslon Pro" w:eastAsia="Symbol" w:hAnsi="Adobe Caslon Pro" w:cs="Cambria Math"/>
                <w:i/>
                <w:color w:val="000000"/>
                <w:sz w:val="20"/>
                <w:szCs w:val="20"/>
                <w:lang w:eastAsia="es-MX"/>
              </w:rPr>
              <w:lastRenderedPageBreak/>
              <w:t>evidencia documental que ayudara para llevar un control en el ejercicio de los recursos, tales como: los avances financieros, reportes trimestrales y cierres de ejercicio, entre otros.</w:t>
            </w:r>
          </w:p>
          <w:p w:rsidR="005C48E8" w:rsidRPr="003B1CB8" w:rsidRDefault="005C48E8" w:rsidP="00F075EB">
            <w:pPr>
              <w:numPr>
                <w:ilvl w:val="0"/>
                <w:numId w:val="58"/>
              </w:numPr>
              <w:jc w:val="both"/>
              <w:rPr>
                <w:rFonts w:ascii="Adobe Caslon Pro" w:eastAsia="Symbol" w:hAnsi="Adobe Caslon Pro" w:cs="Cambria Math"/>
                <w:i/>
                <w:color w:val="000000"/>
                <w:sz w:val="20"/>
                <w:szCs w:val="20"/>
                <w:lang w:eastAsia="es-MX"/>
              </w:rPr>
            </w:pPr>
            <w:r w:rsidRPr="003B1CB8">
              <w:rPr>
                <w:rFonts w:ascii="Adobe Caslon Pro" w:eastAsia="Symbol" w:hAnsi="Adobe Caslon Pro" w:cs="Cambria Math"/>
                <w:i/>
                <w:color w:val="000000"/>
                <w:sz w:val="20"/>
                <w:szCs w:val="20"/>
                <w:lang w:eastAsia="es-MX"/>
              </w:rPr>
              <w:t xml:space="preserve">Asimismo, la MIR (2013) del Programa presenta anomalías en su construcción, ya que solamente tiene dos columnas de las cuatro </w:t>
            </w:r>
            <w:r>
              <w:rPr>
                <w:rFonts w:ascii="Adobe Caslon Pro" w:eastAsia="Symbol" w:hAnsi="Adobe Caslon Pro" w:cs="Cambria Math"/>
                <w:i/>
                <w:color w:val="000000"/>
                <w:sz w:val="20"/>
                <w:szCs w:val="20"/>
                <w:lang w:eastAsia="es-MX"/>
              </w:rPr>
              <w:t xml:space="preserve">que debería de estar compuesta </w:t>
            </w:r>
            <w:r w:rsidRPr="003B1CB8">
              <w:rPr>
                <w:rFonts w:ascii="Adobe Caslon Pro" w:eastAsia="Symbol" w:hAnsi="Adobe Caslon Pro" w:cs="Cambria Math"/>
                <w:i/>
                <w:color w:val="000000"/>
                <w:sz w:val="20"/>
                <w:szCs w:val="20"/>
                <w:lang w:eastAsia="es-MX"/>
              </w:rPr>
              <w:t>lo que hace imposible su lectura lógica horizontal y vertical.</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tc>
      </w:tr>
      <w:tr w:rsidR="005C48E8" w:rsidRPr="002D644F" w:rsidTr="00A56E05">
        <w:trPr>
          <w:trHeight w:val="525"/>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5C48E8" w:rsidRPr="001D49DC" w:rsidRDefault="005C48E8" w:rsidP="00F075EB">
            <w:pPr>
              <w:numPr>
                <w:ilvl w:val="1"/>
                <w:numId w:val="14"/>
              </w:num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lastRenderedPageBreak/>
              <w:t>Describir las recomendaciones de acuerdo a su relevancia:</w:t>
            </w:r>
          </w:p>
        </w:tc>
      </w:tr>
      <w:tr w:rsidR="005C48E8" w:rsidRPr="002D644F"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DISEÑO</w:t>
            </w:r>
          </w:p>
          <w:p w:rsidR="005C48E8" w:rsidRDefault="005C48E8" w:rsidP="00F075EB">
            <w:pPr>
              <w:numPr>
                <w:ilvl w:val="0"/>
                <w:numId w:val="59"/>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Realizar los indicadores con sus respectivas líneas base para que de éste modo se especifique la frecuencia de medición y se pueda indicar el avance de las metas.</w:t>
            </w:r>
          </w:p>
          <w:p w:rsidR="005C48E8" w:rsidRDefault="005C48E8" w:rsidP="00F075EB">
            <w:pPr>
              <w:numPr>
                <w:ilvl w:val="0"/>
                <w:numId w:val="59"/>
              </w:numPr>
              <w:jc w:val="both"/>
              <w:rPr>
                <w:rFonts w:ascii="Adobe Caslon Pro" w:eastAsia="Symbol" w:hAnsi="Adobe Caslon Pro" w:cs="Cambria Math"/>
                <w:i/>
                <w:color w:val="000000"/>
                <w:sz w:val="20"/>
                <w:szCs w:val="20"/>
                <w:lang w:eastAsia="es-MX"/>
              </w:rPr>
            </w:pPr>
            <w:r w:rsidRPr="00FA490F">
              <w:rPr>
                <w:rFonts w:ascii="Adobe Caslon Pro" w:eastAsia="Symbol" w:hAnsi="Adobe Caslon Pro" w:cs="Cambria Math"/>
                <w:i/>
                <w:color w:val="000000"/>
                <w:sz w:val="20"/>
                <w:szCs w:val="20"/>
                <w:lang w:eastAsia="es-MX"/>
              </w:rPr>
              <w:t>Se recomienda mejorar la expresión de algunos indicadores plasmados en la MIR del Programa, ya que como están redactados actualmente no especifican que es lo que se quiere medir.</w:t>
            </w:r>
          </w:p>
          <w:p w:rsidR="005C48E8" w:rsidRPr="00FA490F" w:rsidRDefault="005C48E8" w:rsidP="00F075EB">
            <w:pPr>
              <w:numPr>
                <w:ilvl w:val="0"/>
                <w:numId w:val="59"/>
              </w:numPr>
              <w:jc w:val="both"/>
              <w:rPr>
                <w:rFonts w:ascii="Adobe Caslon Pro" w:eastAsia="Symbol" w:hAnsi="Adobe Caslon Pro" w:cs="Cambria Math"/>
                <w:i/>
                <w:color w:val="000000"/>
                <w:sz w:val="20"/>
                <w:szCs w:val="20"/>
                <w:lang w:eastAsia="es-MX"/>
              </w:rPr>
            </w:pPr>
            <w:r w:rsidRPr="00FA490F">
              <w:rPr>
                <w:rFonts w:ascii="Adobe Caslon Pro" w:eastAsia="Symbol" w:hAnsi="Adobe Caslon Pro" w:cs="Cambria Math"/>
                <w:i/>
                <w:color w:val="000000"/>
                <w:sz w:val="20"/>
                <w:szCs w:val="20"/>
                <w:lang w:eastAsia="es-MX"/>
              </w:rPr>
              <w:t>Complementar la MIR conforme a lo estipulado en la Metodología del Marco Lógico, ya que la mostrada en la información de gabinete no está completa aunque si se localiza toda la información en distintos documentos.</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PLANEACIÓN ESTRATÉGICA</w:t>
            </w:r>
          </w:p>
          <w:p w:rsidR="005C48E8" w:rsidRPr="001D49DC" w:rsidRDefault="005C48E8" w:rsidP="00F075EB">
            <w:pPr>
              <w:numPr>
                <w:ilvl w:val="0"/>
                <w:numId w:val="60"/>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Se recomienda estipular las líneas base a todos los indicadores, ya que con ella se lleva a cabo el monitoreo de los resultados y se logra constar el cumplimiento del avance de sus metas.</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COBERTURA Y FOCALIZACIÓN</w:t>
            </w:r>
          </w:p>
          <w:p w:rsidR="005C48E8" w:rsidRPr="001D49DC" w:rsidRDefault="005C48E8" w:rsidP="00F075EB">
            <w:pPr>
              <w:numPr>
                <w:ilvl w:val="0"/>
                <w:numId w:val="60"/>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 xml:space="preserve">Se recomienda estandarizar a la población potencial, </w:t>
            </w:r>
            <w:proofErr w:type="gramStart"/>
            <w:r w:rsidRPr="001D49DC">
              <w:rPr>
                <w:rFonts w:ascii="Adobe Caslon Pro" w:eastAsia="Symbol" w:hAnsi="Adobe Caslon Pro" w:cs="Cambria Math"/>
                <w:i/>
                <w:color w:val="000000"/>
                <w:sz w:val="20"/>
                <w:szCs w:val="20"/>
                <w:lang w:eastAsia="es-MX"/>
              </w:rPr>
              <w:t>objetivo</w:t>
            </w:r>
            <w:proofErr w:type="gramEnd"/>
            <w:r w:rsidRPr="001D49DC">
              <w:rPr>
                <w:rFonts w:ascii="Adobe Caslon Pro" w:eastAsia="Symbol" w:hAnsi="Adobe Caslon Pro" w:cs="Cambria Math"/>
                <w:i/>
                <w:color w:val="000000"/>
                <w:sz w:val="20"/>
                <w:szCs w:val="20"/>
                <w:lang w:eastAsia="es-MX"/>
              </w:rPr>
              <w:t xml:space="preserve"> y atendida para que la cuantificación tenga relación, y así comprobar si se ha llegado a atender a la población.</w:t>
            </w:r>
          </w:p>
          <w:p w:rsidR="005C48E8" w:rsidRPr="001D49DC" w:rsidRDefault="005C48E8" w:rsidP="00A56E05">
            <w:pPr>
              <w:jc w:val="both"/>
              <w:rPr>
                <w:rFonts w:ascii="Adobe Caslon Pro" w:eastAsia="Symbol" w:hAnsi="Adobe Caslon Pro" w:cs="Cambria Math"/>
                <w:i/>
                <w:color w:val="000000"/>
                <w:sz w:val="20"/>
                <w:szCs w:val="20"/>
                <w:lang w:eastAsia="es-MX"/>
              </w:rPr>
            </w:pPr>
          </w:p>
          <w:p w:rsidR="005C48E8" w:rsidRPr="001D49DC"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OPERACIÓN</w:t>
            </w:r>
          </w:p>
          <w:p w:rsidR="005C48E8" w:rsidRDefault="005C48E8" w:rsidP="00F075EB">
            <w:pPr>
              <w:numPr>
                <w:ilvl w:val="0"/>
                <w:numId w:val="60"/>
              </w:numPr>
              <w:jc w:val="both"/>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szCs w:val="20"/>
                <w:lang w:eastAsia="es-MX"/>
              </w:rPr>
              <w:t>Se recomienda la creación de indicadores de eficiencia, ya que esta dimensión mide la capacidad del ejecutor del Programa para generar y movilizar adecuadamente los recursos financieros en pro del cumplimiento de sus objetivos, expresados en medidas de porcentaje y/o de promedio.</w:t>
            </w:r>
          </w:p>
          <w:p w:rsidR="005C48E8" w:rsidRPr="006E5E0B" w:rsidRDefault="005C48E8" w:rsidP="00F075EB">
            <w:pPr>
              <w:numPr>
                <w:ilvl w:val="0"/>
                <w:numId w:val="60"/>
              </w:numPr>
              <w:jc w:val="both"/>
              <w:rPr>
                <w:rFonts w:ascii="Adobe Caslon Pro" w:eastAsia="Symbol" w:hAnsi="Adobe Caslon Pro" w:cs="Cambria Math"/>
                <w:i/>
                <w:color w:val="000000"/>
                <w:sz w:val="20"/>
                <w:szCs w:val="20"/>
                <w:lang w:eastAsia="es-MX"/>
              </w:rPr>
            </w:pPr>
            <w:r w:rsidRPr="006E5E0B">
              <w:rPr>
                <w:rFonts w:ascii="Adobe Caslon Pro" w:eastAsia="Symbol" w:hAnsi="Adobe Caslon Pro" w:cs="Cambria Math"/>
                <w:i/>
                <w:color w:val="000000"/>
                <w:sz w:val="20"/>
                <w:szCs w:val="20"/>
                <w:lang w:eastAsia="es-MX"/>
              </w:rPr>
              <w:t>Se recomienda proporcionar información sobre los recursos federales de la Comisión, ya que de éste modo se podrá monitoreo el ejercicio de dichos recurso.</w:t>
            </w:r>
          </w:p>
          <w:p w:rsidR="005C48E8" w:rsidRPr="001D49DC" w:rsidRDefault="005C48E8" w:rsidP="00A56E05">
            <w:pPr>
              <w:jc w:val="both"/>
              <w:rPr>
                <w:rFonts w:ascii="Adobe Caslon Pro" w:eastAsia="Symbol" w:hAnsi="Adobe Caslon Pro" w:cs="Cambria Math"/>
                <w:i/>
                <w:color w:val="000000"/>
                <w:sz w:val="20"/>
                <w:szCs w:val="20"/>
                <w:lang w:eastAsia="es-MX"/>
              </w:rPr>
            </w:pPr>
          </w:p>
          <w:p w:rsidR="005C48E8"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RESULTADOS</w:t>
            </w:r>
          </w:p>
          <w:p w:rsidR="005C48E8" w:rsidRPr="006E5E0B" w:rsidRDefault="005C48E8" w:rsidP="00F075EB">
            <w:pPr>
              <w:numPr>
                <w:ilvl w:val="0"/>
                <w:numId w:val="61"/>
              </w:num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i/>
                <w:color w:val="000000"/>
                <w:sz w:val="20"/>
                <w:szCs w:val="20"/>
                <w:lang w:eastAsia="es-MX"/>
              </w:rPr>
              <w:t>Se recomienda identificar los factores que impiden el alcance de sus metas. Reestructurar sus metas, conforme a lo que han alcanzado año tras año.</w:t>
            </w:r>
          </w:p>
          <w:p w:rsidR="005C48E8" w:rsidRPr="001D49DC" w:rsidRDefault="005C48E8" w:rsidP="00A56E05">
            <w:pPr>
              <w:jc w:val="both"/>
              <w:rPr>
                <w:rFonts w:ascii="Adobe Caslon Pro" w:eastAsia="Symbol" w:hAnsi="Adobe Caslon Pro" w:cs="Cambria Math"/>
                <w:color w:val="000000"/>
                <w:sz w:val="20"/>
                <w:szCs w:val="20"/>
                <w:lang w:eastAsia="es-MX"/>
              </w:rPr>
            </w:pPr>
          </w:p>
          <w:p w:rsidR="005C48E8" w:rsidRDefault="005C48E8" w:rsidP="00A56E05">
            <w:p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color w:val="000000"/>
                <w:sz w:val="20"/>
                <w:szCs w:val="20"/>
                <w:lang w:eastAsia="es-MX"/>
              </w:rPr>
              <w:t>EJERCICIO DE LOS RECURSOS</w:t>
            </w:r>
          </w:p>
          <w:p w:rsidR="005C48E8" w:rsidRPr="00CC060B" w:rsidRDefault="005C48E8" w:rsidP="00F075EB">
            <w:pPr>
              <w:numPr>
                <w:ilvl w:val="0"/>
                <w:numId w:val="61"/>
              </w:numPr>
              <w:jc w:val="both"/>
              <w:rPr>
                <w:rFonts w:ascii="Adobe Caslon Pro" w:eastAsia="Symbol" w:hAnsi="Adobe Caslon Pro" w:cs="Cambria Math"/>
                <w:color w:val="000000"/>
                <w:sz w:val="20"/>
                <w:szCs w:val="20"/>
                <w:lang w:eastAsia="es-MX"/>
              </w:rPr>
            </w:pPr>
            <w:r w:rsidRPr="001D49DC">
              <w:rPr>
                <w:rFonts w:ascii="Adobe Caslon Pro" w:eastAsia="Symbol" w:hAnsi="Adobe Caslon Pro" w:cs="Cambria Math"/>
                <w:i/>
                <w:color w:val="000000"/>
                <w:sz w:val="20"/>
                <w:szCs w:val="20"/>
                <w:lang w:eastAsia="es-MX"/>
              </w:rPr>
              <w:t>Se recomienda, de acuerdo con las prioridades del programa, se defina en qué nivel de desempeño el indicador rinde mejores cuentas, y definir otros indicadores para los dos ámbitos de desempeño restantes.</w:t>
            </w:r>
          </w:p>
          <w:p w:rsidR="005C48E8" w:rsidRPr="001D49DC" w:rsidRDefault="005C48E8" w:rsidP="00A56E05">
            <w:pPr>
              <w:ind w:left="720"/>
              <w:jc w:val="both"/>
              <w:rPr>
                <w:rFonts w:ascii="Adobe Caslon Pro" w:eastAsia="Symbol" w:hAnsi="Adobe Caslon Pro" w:cs="Cambria Math"/>
                <w:i/>
                <w:color w:val="000000"/>
                <w:sz w:val="20"/>
                <w:szCs w:val="20"/>
                <w:lang w:eastAsia="es-MX"/>
              </w:rPr>
            </w:pPr>
          </w:p>
        </w:tc>
      </w:tr>
      <w:tr w:rsidR="005C48E8" w:rsidRPr="002D644F" w:rsidTr="00A56E05">
        <w:trPr>
          <w:trHeight w:val="105"/>
          <w:jc w:val="center"/>
        </w:trPr>
        <w:tc>
          <w:tcPr>
            <w:tcW w:w="579"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2375" w:type="dxa"/>
            <w:gridSpan w:val="2"/>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667"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160"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r>
      <w:tr w:rsidR="005C48E8" w:rsidRPr="002D644F"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Cs/>
                <w:color w:val="000000"/>
                <w:lang w:eastAsia="es-MX"/>
              </w:rPr>
            </w:pPr>
            <w:r w:rsidRPr="001D49DC">
              <w:rPr>
                <w:rFonts w:ascii="Adobe Caslon Pro" w:hAnsi="Adobe Caslon Pro" w:cs="Calibri"/>
                <w:bCs/>
                <w:color w:val="00000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4.1 Nombre del coordinador de la evaluación:</w:t>
            </w:r>
          </w:p>
          <w:p w:rsidR="005C48E8" w:rsidRPr="001D49DC" w:rsidRDefault="005C48E8" w:rsidP="00A56E05">
            <w:pPr>
              <w:rPr>
                <w:rFonts w:ascii="Adobe Caslon Pro" w:eastAsia="Symbol" w:hAnsi="Adobe Caslon Pro" w:cs="Cambria Math"/>
                <w:i/>
                <w:color w:val="000000"/>
                <w:lang w:eastAsia="es-MX"/>
              </w:rPr>
            </w:pPr>
            <w:r w:rsidRPr="001D49DC">
              <w:rPr>
                <w:rFonts w:ascii="Adobe Caslon Pro" w:eastAsia="Symbol" w:hAnsi="Adobe Caslon Pro" w:cs="Cambria Math"/>
                <w:i/>
                <w:color w:val="000000"/>
                <w:sz w:val="20"/>
                <w:lang w:eastAsia="es-MX"/>
              </w:rPr>
              <w:t xml:space="preserve">Dra. Luz Elvia Rascón </w:t>
            </w:r>
            <w:proofErr w:type="spellStart"/>
            <w:r w:rsidRPr="001D49DC">
              <w:rPr>
                <w:rFonts w:ascii="Adobe Caslon Pro" w:eastAsia="Symbol" w:hAnsi="Adobe Caslon Pro" w:cs="Cambria Math"/>
                <w:i/>
                <w:color w:val="000000"/>
                <w:sz w:val="20"/>
                <w:lang w:eastAsia="es-MX"/>
              </w:rPr>
              <w:t>Manquero</w:t>
            </w:r>
            <w:proofErr w:type="spellEnd"/>
            <w:r>
              <w:rPr>
                <w:rFonts w:ascii="Adobe Caslon Pro" w:eastAsia="Symbol" w:hAnsi="Adobe Caslon Pro" w:cs="Cambria Math"/>
                <w:i/>
                <w:color w:val="000000"/>
                <w:sz w:val="20"/>
                <w:lang w:eastAsia="es-MX"/>
              </w:rPr>
              <w:t>.</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4.2 Cargo:</w:t>
            </w:r>
          </w:p>
          <w:p w:rsidR="005C48E8" w:rsidRPr="001D49DC" w:rsidRDefault="005C48E8" w:rsidP="00A56E05">
            <w:pPr>
              <w:rPr>
                <w:rFonts w:ascii="Adobe Caslon Pro" w:eastAsia="Symbol" w:hAnsi="Adobe Caslon Pro" w:cs="Cambria Math"/>
                <w:i/>
                <w:color w:val="000000"/>
                <w:lang w:eastAsia="es-MX"/>
              </w:rPr>
            </w:pPr>
            <w:r w:rsidRPr="001D49DC">
              <w:rPr>
                <w:rFonts w:ascii="Adobe Caslon Pro" w:eastAsia="Symbol" w:hAnsi="Adobe Caslon Pro" w:cs="Cambria Math"/>
                <w:i/>
                <w:color w:val="000000"/>
                <w:sz w:val="20"/>
                <w:lang w:eastAsia="es-MX"/>
              </w:rPr>
              <w:t>Directora del Sistema Integral de Información</w:t>
            </w:r>
            <w:r w:rsidRPr="001D49DC">
              <w:rPr>
                <w:rFonts w:ascii="Adobe Caslon Pro" w:hAnsi="Adobe Caslon Pro"/>
              </w:rPr>
              <w:t xml:space="preserve"> </w:t>
            </w:r>
            <w:r w:rsidRPr="001D49DC">
              <w:rPr>
                <w:rFonts w:ascii="Adobe Caslon Pro" w:eastAsia="Symbol" w:hAnsi="Adobe Caslon Pro" w:cs="Cambria Math"/>
                <w:i/>
                <w:color w:val="000000"/>
                <w:sz w:val="20"/>
                <w:lang w:eastAsia="es-MX"/>
              </w:rPr>
              <w:t xml:space="preserve">y Líder del proyecto de </w:t>
            </w:r>
            <w:proofErr w:type="spellStart"/>
            <w:r w:rsidRPr="001D49DC">
              <w:rPr>
                <w:rFonts w:ascii="Adobe Caslon Pro" w:eastAsia="Symbol" w:hAnsi="Adobe Caslon Pro" w:cs="Cambria Math"/>
                <w:i/>
                <w:color w:val="000000"/>
                <w:sz w:val="20"/>
                <w:lang w:eastAsia="es-MX"/>
              </w:rPr>
              <w:t>PbR</w:t>
            </w:r>
            <w:proofErr w:type="spellEnd"/>
            <w:r w:rsidRPr="001D49DC">
              <w:rPr>
                <w:rFonts w:ascii="Adobe Caslon Pro" w:eastAsia="Symbol" w:hAnsi="Adobe Caslon Pro" w:cs="Cambria Math"/>
                <w:i/>
                <w:color w:val="000000"/>
                <w:sz w:val="20"/>
                <w:lang w:eastAsia="es-MX"/>
              </w:rPr>
              <w:t xml:space="preserve"> y Evaluación del Desempeño.</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4.3 Institución a la que pertenece:  </w:t>
            </w:r>
          </w:p>
          <w:p w:rsidR="005C48E8" w:rsidRPr="001D49DC" w:rsidRDefault="005C48E8" w:rsidP="00A56E05">
            <w:pPr>
              <w:rPr>
                <w:rFonts w:ascii="Adobe Caslon Pro" w:eastAsia="Symbol" w:hAnsi="Adobe Caslon Pro" w:cs="Cambria Math"/>
                <w:i/>
                <w:color w:val="000000"/>
                <w:lang w:eastAsia="es-MX"/>
              </w:rPr>
            </w:pPr>
            <w:r w:rsidRPr="001D49DC">
              <w:rPr>
                <w:rFonts w:ascii="Adobe Caslon Pro" w:eastAsia="Symbol" w:hAnsi="Adobe Caslon Pro" w:cs="Cambria Math"/>
                <w:i/>
                <w:color w:val="000000"/>
                <w:sz w:val="20"/>
                <w:lang w:eastAsia="es-MX"/>
              </w:rPr>
              <w:t>Instituto para el Desarrollo Técnico de las Haciendas Públicas (INDETEC)</w:t>
            </w:r>
            <w:r>
              <w:rPr>
                <w:rFonts w:ascii="Adobe Caslon Pro" w:eastAsia="Symbol" w:hAnsi="Adobe Caslon Pro" w:cs="Cambria Math"/>
                <w:i/>
                <w:color w:val="000000"/>
                <w:sz w:val="20"/>
                <w:lang w:eastAsia="es-MX"/>
              </w:rPr>
              <w:t>.</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lastRenderedPageBreak/>
              <w:t>4.4 Principales colaboradores:</w:t>
            </w:r>
          </w:p>
          <w:p w:rsidR="005C48E8" w:rsidRPr="001D49DC" w:rsidRDefault="005C48E8" w:rsidP="00A56E05">
            <w:pPr>
              <w:rPr>
                <w:rFonts w:ascii="Adobe Caslon Pro" w:eastAsia="Symbol" w:hAnsi="Adobe Caslon Pro" w:cs="Cambria Math"/>
                <w:i/>
                <w:color w:val="000000"/>
                <w:lang w:eastAsia="es-MX"/>
              </w:rPr>
            </w:pPr>
            <w:r w:rsidRPr="001D49DC">
              <w:rPr>
                <w:rFonts w:ascii="Adobe Caslon Pro" w:eastAsia="Symbol" w:hAnsi="Adobe Caslon Pro" w:cs="Cambria Math"/>
                <w:i/>
                <w:color w:val="000000"/>
                <w:sz w:val="20"/>
                <w:lang w:eastAsia="es-MX"/>
              </w:rPr>
              <w:t>Lic. Camilo Roberto García Carmona</w:t>
            </w:r>
            <w:r>
              <w:rPr>
                <w:rFonts w:ascii="Adobe Caslon Pro" w:eastAsia="Symbol" w:hAnsi="Adobe Caslon Pro" w:cs="Cambria Math"/>
                <w:i/>
                <w:color w:val="000000"/>
                <w:sz w:val="20"/>
                <w:lang w:eastAsia="es-MX"/>
              </w:rPr>
              <w:t>.</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4.5 Correo electrónico del coordinador de la evaluación:</w:t>
            </w:r>
          </w:p>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i/>
                <w:color w:val="000000"/>
                <w:sz w:val="20"/>
                <w:u w:val="single"/>
                <w:lang w:eastAsia="es-MX"/>
              </w:rPr>
              <w:t>lrasconm@indetec.gob.mx</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4.6 Teléfono (con clave lada):</w:t>
            </w:r>
          </w:p>
          <w:p w:rsidR="005C48E8" w:rsidRPr="001D49DC" w:rsidRDefault="005C48E8" w:rsidP="00A56E05">
            <w:pPr>
              <w:rPr>
                <w:rFonts w:ascii="Adobe Caslon Pro" w:eastAsia="Symbol" w:hAnsi="Adobe Caslon Pro" w:cs="Cambria Math"/>
                <w:i/>
                <w:color w:val="000000"/>
                <w:lang w:eastAsia="es-MX"/>
              </w:rPr>
            </w:pPr>
            <w:r w:rsidRPr="001D49DC">
              <w:rPr>
                <w:rFonts w:ascii="Adobe Caslon Pro" w:eastAsia="Symbol" w:hAnsi="Adobe Caslon Pro" w:cs="Cambria Math"/>
                <w:i/>
                <w:color w:val="000000"/>
                <w:sz w:val="20"/>
                <w:lang w:eastAsia="es-MX"/>
              </w:rPr>
              <w:t>01 (33) 36695550 Ext. 139</w:t>
            </w:r>
          </w:p>
        </w:tc>
      </w:tr>
      <w:tr w:rsidR="005C48E8" w:rsidRPr="002D644F" w:rsidTr="00A56E05">
        <w:trPr>
          <w:trHeight w:val="75"/>
          <w:jc w:val="center"/>
        </w:trPr>
        <w:tc>
          <w:tcPr>
            <w:tcW w:w="999" w:type="dxa"/>
            <w:gridSpan w:val="2"/>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955"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667"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160"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r>
      <w:tr w:rsidR="005C48E8" w:rsidRPr="002D644F"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5.1 Nombre del (los) programa(s) evaluado(s):</w:t>
            </w:r>
          </w:p>
          <w:p w:rsidR="005C48E8" w:rsidRPr="001D49DC" w:rsidRDefault="005C48E8" w:rsidP="00A56E05">
            <w:pPr>
              <w:jc w:val="both"/>
              <w:rPr>
                <w:rFonts w:ascii="Adobe Caslon Pro" w:eastAsia="Symbol" w:hAnsi="Adobe Caslon Pro" w:cs="Cambria Math"/>
                <w:i/>
                <w:color w:val="000000"/>
                <w:sz w:val="20"/>
                <w:lang w:eastAsia="es-MX"/>
              </w:rPr>
            </w:pPr>
            <w:r w:rsidRPr="001D49DC">
              <w:rPr>
                <w:rFonts w:ascii="Adobe Caslon Pro" w:eastAsia="Symbol" w:hAnsi="Adobe Caslon Pro" w:cs="Cambria Math"/>
                <w:i/>
                <w:color w:val="000000"/>
                <w:sz w:val="20"/>
                <w:lang w:eastAsia="es-MX"/>
              </w:rPr>
              <w:t>Programa de Restauración de Ecosistemas Forestales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5.2 Siglas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5.3 Ente público coordinador del (los) programa(s): </w:t>
            </w:r>
          </w:p>
          <w:p w:rsidR="005C48E8" w:rsidRPr="001D49DC" w:rsidRDefault="005C48E8" w:rsidP="00A56E05">
            <w:pPr>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lang w:eastAsia="es-MX"/>
              </w:rPr>
              <w:t>Secretaría de Desarrollo Agropecuario, Forestal, Pesca y Acuacultura (SEDAFPA)</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5.4 Poder público al que pertenece(n) el(los) programa(s):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 xml:space="preserve">Poder </w:t>
            </w:r>
            <w:proofErr w:type="spellStart"/>
            <w:r w:rsidRPr="001D49DC">
              <w:rPr>
                <w:rFonts w:ascii="Adobe Caslon Pro" w:eastAsia="Symbol" w:hAnsi="Adobe Caslon Pro" w:cs="Cambria Math"/>
                <w:color w:val="000000"/>
                <w:lang w:eastAsia="es-MX"/>
              </w:rPr>
              <w:t>Ejecutivo_X</w:t>
            </w:r>
            <w:proofErr w:type="spellEnd"/>
            <w:r w:rsidRPr="001D49DC">
              <w:rPr>
                <w:rFonts w:ascii="Adobe Caslon Pro" w:eastAsia="Symbol" w:hAnsi="Adobe Caslon Pro" w:cs="Cambria Math"/>
                <w:color w:val="000000"/>
                <w:lang w:eastAsia="es-MX"/>
              </w:rPr>
              <w:t>__   Poder Legislativo___   Poder Judicial___  Ente Autónomo___</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5.5 Ámbito gubernamental al que pertenece(n) el(los) programa(s):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Federal_</w:t>
            </w:r>
            <w:r w:rsidRPr="001D49DC">
              <w:rPr>
                <w:rFonts w:ascii="Adobe Caslon Pro" w:eastAsia="Symbol" w:hAnsi="Adobe Caslon Pro" w:cs="Cambria Math"/>
                <w:color w:val="000000"/>
                <w:u w:val="single"/>
                <w:lang w:eastAsia="es-MX"/>
              </w:rPr>
              <w:t>_</w:t>
            </w:r>
            <w:r w:rsidRPr="001D49DC">
              <w:rPr>
                <w:rFonts w:ascii="Adobe Caslon Pro" w:eastAsia="Symbol" w:hAnsi="Adobe Caslon Pro" w:cs="Cambria Math"/>
                <w:color w:val="000000"/>
                <w:lang w:eastAsia="es-MX"/>
              </w:rPr>
              <w:t xml:space="preserve">_       </w:t>
            </w:r>
            <w:proofErr w:type="spellStart"/>
            <w:r w:rsidRPr="001D49DC">
              <w:rPr>
                <w:rFonts w:ascii="Adobe Caslon Pro" w:eastAsia="Symbol" w:hAnsi="Adobe Caslon Pro" w:cs="Cambria Math"/>
                <w:color w:val="000000"/>
                <w:lang w:eastAsia="es-MX"/>
              </w:rPr>
              <w:t>Estatal_X</w:t>
            </w:r>
            <w:proofErr w:type="spellEnd"/>
            <w:r w:rsidRPr="001D49DC">
              <w:rPr>
                <w:rFonts w:ascii="Adobe Caslon Pro" w:eastAsia="Symbol" w:hAnsi="Adobe Caslon Pro" w:cs="Cambria Math"/>
                <w:color w:val="000000"/>
                <w:lang w:eastAsia="es-MX"/>
              </w:rPr>
              <w:t>__     Local___</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5.6 Nombre de la(s) unidad(es) administrativa(s) y de (los) titular(es) a cargo del (los) programa(s):</w:t>
            </w:r>
          </w:p>
        </w:tc>
      </w:tr>
      <w:tr w:rsidR="005C48E8" w:rsidRPr="002D644F"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5.6.1 Nombre(s) de la(s) unidad(es) administrativa(s) a cargo de (los) programa(s):</w:t>
            </w:r>
          </w:p>
        </w:tc>
      </w:tr>
      <w:tr w:rsidR="005C48E8" w:rsidRPr="002D644F"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5C48E8" w:rsidRPr="001D49DC" w:rsidRDefault="005C48E8" w:rsidP="00A56E05">
            <w:pPr>
              <w:rPr>
                <w:rFonts w:ascii="Adobe Caslon Pro" w:eastAsia="Symbol" w:hAnsi="Adobe Caslon Pro" w:cs="Cambria Math"/>
                <w:i/>
                <w:color w:val="000000"/>
                <w:sz w:val="20"/>
                <w:szCs w:val="20"/>
                <w:lang w:eastAsia="es-MX"/>
              </w:rPr>
            </w:pPr>
            <w:r w:rsidRPr="001D49DC">
              <w:rPr>
                <w:rFonts w:ascii="Adobe Caslon Pro" w:eastAsia="Symbol" w:hAnsi="Adobe Caslon Pro" w:cs="Cambria Math"/>
                <w:i/>
                <w:color w:val="000000"/>
                <w:sz w:val="20"/>
                <w:lang w:eastAsia="es-MX"/>
              </w:rPr>
              <w:t>Secretaría de Desarrollo Agropecuario, Forestal, Pesca y Acuacultura (SEDAFPA)</w:t>
            </w:r>
          </w:p>
        </w:tc>
      </w:tr>
      <w:tr w:rsidR="005C48E8" w:rsidRPr="002D644F"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5.6.2 Nombre(s) de (los) titular(es) de la(s) unidad(es) administrativa(s) a cargo de (los) programa(s) (nombre completo, correo electrónico y teléfono con clave lada):</w:t>
            </w:r>
          </w:p>
        </w:tc>
      </w:tr>
      <w:tr w:rsidR="005C48E8" w:rsidRPr="002D644F"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Nombre:</w:t>
            </w:r>
          </w:p>
          <w:p w:rsidR="005C48E8" w:rsidRPr="001D49DC" w:rsidRDefault="005C48E8" w:rsidP="00A56E05">
            <w:pPr>
              <w:rPr>
                <w:rFonts w:ascii="Adobe Caslon Pro" w:eastAsia="Symbol" w:hAnsi="Adobe Caslon Pro" w:cs="Cambria Math"/>
                <w:i/>
                <w:color w:val="000000"/>
                <w:sz w:val="20"/>
                <w:lang w:eastAsia="es-MX"/>
              </w:rPr>
            </w:pPr>
            <w:r w:rsidRPr="001D49DC">
              <w:rPr>
                <w:rFonts w:ascii="Adobe Caslon Pro" w:eastAsia="Symbol" w:hAnsi="Adobe Caslon Pro" w:cs="Cambria Math"/>
                <w:i/>
                <w:color w:val="000000"/>
                <w:sz w:val="20"/>
                <w:lang w:eastAsia="es-MX"/>
              </w:rPr>
              <w:t>Ing. Jorge Carrasco Altamirano</w:t>
            </w:r>
          </w:p>
          <w:p w:rsidR="005C48E8" w:rsidRPr="001D49DC" w:rsidRDefault="005C48E8" w:rsidP="00A56E05">
            <w:pPr>
              <w:rPr>
                <w:rFonts w:ascii="Adobe Caslon Pro" w:eastAsia="Symbol" w:hAnsi="Adobe Caslon Pro" w:cs="Cambria Math"/>
                <w:i/>
                <w:color w:val="000000"/>
                <w:sz w:val="20"/>
                <w:lang w:eastAsia="es-MX"/>
              </w:rPr>
            </w:pPr>
            <w:r w:rsidRPr="001D49DC">
              <w:rPr>
                <w:rFonts w:ascii="Adobe Caslon Pro" w:eastAsia="Symbol" w:hAnsi="Adobe Caslon Pro" w:cs="Cambria Math"/>
                <w:i/>
                <w:color w:val="000000"/>
                <w:sz w:val="20"/>
                <w:lang w:eastAsia="es-MX"/>
              </w:rPr>
              <w:t>Tel: (951) 5016900 ext. 25758/ 25250</w:t>
            </w:r>
          </w:p>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i/>
                <w:color w:val="000000"/>
                <w:sz w:val="20"/>
                <w:lang w:eastAsia="es-MX"/>
              </w:rPr>
              <w:t>jorgecarrasco@oaxaca.gob.mx</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Unidad administrativa:</w:t>
            </w:r>
          </w:p>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i/>
                <w:color w:val="000000"/>
                <w:sz w:val="20"/>
                <w:szCs w:val="20"/>
                <w:lang w:eastAsia="es-MX"/>
              </w:rPr>
              <w:t>Secretaría de Desarrollo Agropecuario, Forestal, Pesca y Acuacultura (SEDAFPA).</w:t>
            </w:r>
          </w:p>
        </w:tc>
      </w:tr>
      <w:tr w:rsidR="005C48E8" w:rsidRPr="002D644F" w:rsidTr="00A56E05">
        <w:trPr>
          <w:trHeight w:val="165"/>
          <w:jc w:val="center"/>
        </w:trPr>
        <w:tc>
          <w:tcPr>
            <w:tcW w:w="999" w:type="dxa"/>
            <w:gridSpan w:val="2"/>
            <w:tcBorders>
              <w:top w:val="nil"/>
              <w:left w:val="nil"/>
              <w:bottom w:val="nil"/>
              <w:right w:val="nil"/>
            </w:tcBorders>
            <w:shd w:val="clear" w:color="auto" w:fill="auto"/>
            <w:hideMark/>
          </w:tcPr>
          <w:p w:rsidR="005C48E8" w:rsidRPr="001D49DC" w:rsidRDefault="005C48E8" w:rsidP="00A56E05">
            <w:pPr>
              <w:jc w:val="right"/>
              <w:rPr>
                <w:rFonts w:ascii="Adobe Caslon Pro" w:eastAsia="Symbol" w:hAnsi="Adobe Caslon Pro" w:cs="Cambria Math"/>
                <w:color w:val="000000"/>
                <w:lang w:eastAsia="es-MX"/>
              </w:rPr>
            </w:pPr>
          </w:p>
        </w:tc>
        <w:tc>
          <w:tcPr>
            <w:tcW w:w="3266" w:type="dxa"/>
            <w:gridSpan w:val="2"/>
            <w:tcBorders>
              <w:top w:val="nil"/>
              <w:left w:val="nil"/>
              <w:bottom w:val="nil"/>
              <w:right w:val="nil"/>
            </w:tcBorders>
            <w:shd w:val="clear" w:color="auto" w:fill="auto"/>
            <w:hideMark/>
          </w:tcPr>
          <w:p w:rsidR="005C48E8" w:rsidRPr="001D49DC" w:rsidRDefault="005C48E8" w:rsidP="00A56E05">
            <w:pPr>
              <w:jc w:val="right"/>
              <w:rPr>
                <w:rFonts w:ascii="Adobe Caslon Pro" w:eastAsia="Symbol" w:hAnsi="Adobe Caslon Pro" w:cs="Cambria Math"/>
                <w:color w:val="000000"/>
                <w:lang w:eastAsia="es-MX"/>
              </w:rPr>
            </w:pPr>
          </w:p>
        </w:tc>
        <w:tc>
          <w:tcPr>
            <w:tcW w:w="160" w:type="dxa"/>
            <w:tcBorders>
              <w:top w:val="nil"/>
              <w:left w:val="nil"/>
              <w:bottom w:val="nil"/>
              <w:right w:val="nil"/>
            </w:tcBorders>
            <w:shd w:val="clear" w:color="auto" w:fill="auto"/>
            <w:hideMark/>
          </w:tcPr>
          <w:p w:rsidR="005C48E8" w:rsidRPr="001D49DC" w:rsidRDefault="005C48E8" w:rsidP="00A56E05">
            <w:pPr>
              <w:rPr>
                <w:rFonts w:ascii="Adobe Caslon Pro" w:eastAsia="Symbol" w:hAnsi="Adobe Caslon Pro" w:cs="Cambria Math"/>
                <w:color w:val="000000"/>
                <w:lang w:eastAsia="es-MX"/>
              </w:rPr>
            </w:pPr>
          </w:p>
        </w:tc>
        <w:tc>
          <w:tcPr>
            <w:tcW w:w="2526" w:type="dxa"/>
            <w:gridSpan w:val="4"/>
            <w:tcBorders>
              <w:top w:val="nil"/>
              <w:left w:val="nil"/>
              <w:bottom w:val="nil"/>
              <w:right w:val="nil"/>
            </w:tcBorders>
            <w:shd w:val="clear" w:color="auto" w:fill="auto"/>
            <w:hideMark/>
          </w:tcPr>
          <w:p w:rsidR="005C48E8" w:rsidRPr="001D49DC" w:rsidRDefault="005C48E8" w:rsidP="00A56E05">
            <w:pPr>
              <w:jc w:val="center"/>
              <w:rPr>
                <w:rFonts w:ascii="Adobe Caslon Pro" w:eastAsia="Symbol" w:hAnsi="Adobe Caslon Pro" w:cs="Cambria Math"/>
                <w:color w:val="000000"/>
                <w:lang w:eastAsia="es-MX"/>
              </w:rPr>
            </w:pPr>
          </w:p>
        </w:tc>
        <w:tc>
          <w:tcPr>
            <w:tcW w:w="1325" w:type="dxa"/>
            <w:gridSpan w:val="3"/>
            <w:tcBorders>
              <w:top w:val="nil"/>
              <w:left w:val="nil"/>
              <w:bottom w:val="nil"/>
              <w:right w:val="nil"/>
            </w:tcBorders>
            <w:shd w:val="clear" w:color="auto" w:fill="auto"/>
            <w:hideMark/>
          </w:tcPr>
          <w:p w:rsidR="005C48E8" w:rsidRPr="001D49DC" w:rsidRDefault="005C48E8" w:rsidP="00A56E05">
            <w:pPr>
              <w:jc w:val="center"/>
              <w:rPr>
                <w:rFonts w:ascii="Adobe Caslon Pro" w:eastAsia="Symbol" w:hAnsi="Adobe Caslon Pro" w:cs="Cambria Math"/>
                <w:color w:val="000000"/>
                <w:lang w:eastAsia="es-MX"/>
              </w:rPr>
            </w:pPr>
          </w:p>
        </w:tc>
        <w:tc>
          <w:tcPr>
            <w:tcW w:w="1160" w:type="dxa"/>
            <w:tcBorders>
              <w:top w:val="nil"/>
              <w:left w:val="nil"/>
              <w:bottom w:val="nil"/>
              <w:right w:val="nil"/>
            </w:tcBorders>
            <w:shd w:val="clear" w:color="auto" w:fill="auto"/>
            <w:hideMark/>
          </w:tcPr>
          <w:p w:rsidR="005C48E8" w:rsidRPr="001D49DC" w:rsidRDefault="005C48E8" w:rsidP="00A56E05">
            <w:pPr>
              <w:jc w:val="center"/>
              <w:rPr>
                <w:rFonts w:ascii="Adobe Caslon Pro" w:eastAsia="Symbol" w:hAnsi="Adobe Caslon Pro" w:cs="Cambria Math"/>
                <w:color w:val="000000"/>
                <w:lang w:eastAsia="es-MX"/>
              </w:rPr>
            </w:pPr>
          </w:p>
        </w:tc>
      </w:tr>
      <w:tr w:rsidR="005C48E8" w:rsidRPr="002D644F"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6.1 Tipo de contratación:</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6.1.1 Adjudicación Directa__  6.1.2 Invitación a tres___ 6.1.3 Licitación Pública Nacional___</w:t>
            </w:r>
          </w:p>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6.1.4 Licitación Pública Internacional___ 6.1.5 Otro: (Señalar)</w:t>
            </w:r>
            <w:r w:rsidRPr="001D49DC">
              <w:rPr>
                <w:rFonts w:ascii="Adobe Caslon Pro" w:eastAsia="Symbol" w:hAnsi="Adobe Caslon Pro" w:cs="Cambria Math"/>
                <w:i/>
                <w:color w:val="000000"/>
                <w:u w:val="single"/>
                <w:lang w:eastAsia="es-MX"/>
              </w:rPr>
              <w:t xml:space="preserve"> </w:t>
            </w:r>
            <w:r w:rsidRPr="001D49DC">
              <w:rPr>
                <w:rFonts w:ascii="Adobe Caslon Pro" w:eastAsia="Symbol" w:hAnsi="Adobe Caslon Pro" w:cs="Cambria Math"/>
                <w:i/>
                <w:color w:val="000000"/>
                <w:sz w:val="20"/>
                <w:szCs w:val="20"/>
                <w:u w:val="single"/>
                <w:lang w:eastAsia="es-MX"/>
              </w:rPr>
              <w:t>Convenio de colaboración institucional.</w:t>
            </w:r>
          </w:p>
        </w:tc>
      </w:tr>
      <w:tr w:rsidR="005C48E8" w:rsidRPr="002D644F"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6.2</w:t>
            </w:r>
            <w:r w:rsidRPr="001D49DC">
              <w:rPr>
                <w:rFonts w:ascii="Adobe Caslon Pro" w:eastAsia="Symbol" w:hAnsi="Adobe Caslon Pro"/>
                <w:color w:val="000000"/>
                <w:sz w:val="14"/>
                <w:szCs w:val="14"/>
                <w:lang w:eastAsia="es-MX"/>
              </w:rPr>
              <w:t xml:space="preserve">  </w:t>
            </w:r>
            <w:r w:rsidRPr="001D49DC">
              <w:rPr>
                <w:rFonts w:ascii="Adobe Caslon Pro" w:eastAsia="Symbol" w:hAnsi="Adobe Caslon Pro" w:cs="Cambria Math"/>
                <w:color w:val="000000"/>
                <w:lang w:eastAsia="es-MX"/>
              </w:rPr>
              <w:t>Unidad administrativa responsable de contratar la evaluación:</w:t>
            </w:r>
          </w:p>
          <w:p w:rsidR="005C48E8" w:rsidRPr="001D49DC" w:rsidRDefault="005C48E8" w:rsidP="00A56E05">
            <w:pPr>
              <w:rPr>
                <w:rFonts w:ascii="Adobe Caslon Pro" w:eastAsia="Symbol" w:hAnsi="Adobe Caslon Pro" w:cs="Cambria Math"/>
                <w:i/>
                <w:color w:val="000000"/>
                <w:lang w:eastAsia="es-MX"/>
              </w:rPr>
            </w:pPr>
            <w:r w:rsidRPr="001D49DC">
              <w:rPr>
                <w:rFonts w:ascii="Adobe Caslon Pro" w:eastAsia="Symbol" w:hAnsi="Adobe Caslon Pro" w:cs="Cambria Math"/>
                <w:i/>
                <w:color w:val="000000"/>
                <w:sz w:val="20"/>
                <w:lang w:eastAsia="es-MX"/>
              </w:rPr>
              <w:t>Jefatura de la Gubernatura</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6.3</w:t>
            </w:r>
            <w:r>
              <w:rPr>
                <w:rFonts w:ascii="Adobe Caslon Pro" w:eastAsia="Symbol" w:hAnsi="Adobe Caslon Pro"/>
                <w:color w:val="000000"/>
                <w:sz w:val="14"/>
                <w:szCs w:val="14"/>
                <w:lang w:eastAsia="es-MX"/>
              </w:rPr>
              <w:t> </w:t>
            </w:r>
            <w:r w:rsidRPr="001D49DC">
              <w:rPr>
                <w:rFonts w:ascii="Adobe Caslon Pro" w:eastAsia="Symbol" w:hAnsi="Adobe Caslon Pro" w:cs="Cambria Math"/>
                <w:color w:val="000000"/>
                <w:lang w:eastAsia="es-MX"/>
              </w:rPr>
              <w:t xml:space="preserve">Costo total de la evaluación: </w:t>
            </w:r>
            <w:r w:rsidRPr="001D49DC">
              <w:rPr>
                <w:rFonts w:ascii="Adobe Caslon Pro" w:eastAsia="Symbol" w:hAnsi="Adobe Caslon Pro" w:cs="Cambria Math"/>
                <w:i/>
                <w:color w:val="000000"/>
                <w:sz w:val="20"/>
                <w:szCs w:val="20"/>
                <w:lang w:eastAsia="es-MX"/>
              </w:rPr>
              <w:t>$1, 310,00.00 (Un millón trescientos diez mil pesos 00/100 M.N.) Incluye IVA. El costo corresponde a la evaluación de diez programas estatales.</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lastRenderedPageBreak/>
              <w:t>6.4</w:t>
            </w:r>
            <w:r w:rsidRPr="001D49DC">
              <w:rPr>
                <w:rFonts w:ascii="Adobe Caslon Pro" w:eastAsia="Symbol" w:hAnsi="Adobe Caslon Pro"/>
                <w:color w:val="000000"/>
                <w:sz w:val="14"/>
                <w:szCs w:val="14"/>
                <w:lang w:eastAsia="es-MX"/>
              </w:rPr>
              <w:t xml:space="preserve">  </w:t>
            </w:r>
            <w:r w:rsidRPr="001D49DC">
              <w:rPr>
                <w:rFonts w:ascii="Adobe Caslon Pro" w:eastAsia="Symbol" w:hAnsi="Adobe Caslon Pro" w:cs="Cambria Math"/>
                <w:color w:val="000000"/>
                <w:lang w:eastAsia="es-MX"/>
              </w:rPr>
              <w:t>Fuente de Financiamiento : </w:t>
            </w:r>
          </w:p>
          <w:p w:rsidR="005C48E8" w:rsidRPr="001D49DC" w:rsidRDefault="005C48E8" w:rsidP="00A56E05">
            <w:pPr>
              <w:rPr>
                <w:rFonts w:ascii="Adobe Caslon Pro" w:eastAsia="Symbol" w:hAnsi="Adobe Caslon Pro" w:cs="Cambria Math"/>
                <w:i/>
                <w:color w:val="000000"/>
                <w:lang w:eastAsia="es-MX"/>
              </w:rPr>
            </w:pPr>
            <w:r w:rsidRPr="001D49DC">
              <w:rPr>
                <w:rFonts w:ascii="Adobe Caslon Pro" w:eastAsia="Symbol" w:hAnsi="Adobe Caslon Pro" w:cs="Cambria Math"/>
                <w:i/>
                <w:color w:val="000000"/>
                <w:sz w:val="20"/>
                <w:lang w:eastAsia="es-MX"/>
              </w:rPr>
              <w:t>Recursos Fiscales</w:t>
            </w:r>
          </w:p>
        </w:tc>
      </w:tr>
      <w:tr w:rsidR="005C48E8" w:rsidRPr="002D644F" w:rsidTr="00A56E05">
        <w:trPr>
          <w:trHeight w:val="162"/>
          <w:jc w:val="center"/>
        </w:trPr>
        <w:tc>
          <w:tcPr>
            <w:tcW w:w="999" w:type="dxa"/>
            <w:gridSpan w:val="2"/>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955"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2019" w:type="dxa"/>
            <w:gridSpan w:val="4"/>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667"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325" w:type="dxa"/>
            <w:gridSpan w:val="2"/>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160" w:type="dxa"/>
            <w:tcBorders>
              <w:top w:val="nil"/>
              <w:left w:val="nil"/>
              <w:bottom w:val="nil"/>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p>
        </w:tc>
      </w:tr>
      <w:tr w:rsidR="005C48E8" w:rsidRPr="002D644F"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5C48E8" w:rsidRPr="001D49DC" w:rsidRDefault="005C48E8" w:rsidP="00A56E05">
            <w:pPr>
              <w:rPr>
                <w:rFonts w:ascii="Adobe Caslon Pro" w:eastAsia="Symbol" w:hAnsi="Adobe Caslon Pro" w:cs="Cambria Math"/>
                <w:b/>
                <w:bCs/>
                <w:color w:val="000000"/>
                <w:lang w:eastAsia="es-MX"/>
              </w:rPr>
            </w:pPr>
            <w:r w:rsidRPr="001D49DC">
              <w:rPr>
                <w:rFonts w:ascii="Adobe Caslon Pro" w:eastAsia="Symbol" w:hAnsi="Adobe Caslon Pro" w:cs="Cambria Math"/>
                <w:b/>
                <w:bCs/>
                <w:color w:val="000000"/>
                <w:lang w:eastAsia="es-MX"/>
              </w:rPr>
              <w:t> </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 xml:space="preserve">7.1  Difusión en internet de la evaluación: </w:t>
            </w:r>
          </w:p>
          <w:p w:rsidR="005C48E8" w:rsidRPr="001D49DC" w:rsidRDefault="009B1A50" w:rsidP="00A56E05">
            <w:pPr>
              <w:rPr>
                <w:rFonts w:ascii="Adobe Caslon Pro" w:eastAsia="Symbol" w:hAnsi="Adobe Caslon Pro" w:cs="Cambria Math"/>
                <w:i/>
                <w:color w:val="000000"/>
                <w:sz w:val="20"/>
                <w:szCs w:val="20"/>
                <w:lang w:eastAsia="es-MX"/>
              </w:rPr>
            </w:pPr>
            <w:hyperlink r:id="rId142" w:history="1">
              <w:r w:rsidR="005C48E8" w:rsidRPr="001D49DC">
                <w:rPr>
                  <w:rStyle w:val="Hipervnculo"/>
                  <w:rFonts w:ascii="Adobe Caslon Pro" w:eastAsia="Symbol" w:hAnsi="Adobe Caslon Pro" w:cs="Cambria Math"/>
                  <w:i/>
                  <w:sz w:val="20"/>
                  <w:szCs w:val="20"/>
                  <w:lang w:eastAsia="es-MX"/>
                </w:rPr>
                <w:t>http://www.jefaturadelagubernatura-evaluacion.oaxaca.gob.mx/index.php/pae-sidepanel/pae-2014</w:t>
              </w:r>
            </w:hyperlink>
          </w:p>
          <w:p w:rsidR="005C48E8" w:rsidRPr="001D49DC" w:rsidRDefault="005C48E8" w:rsidP="00A56E05">
            <w:pPr>
              <w:rPr>
                <w:rFonts w:ascii="Adobe Caslon Pro" w:eastAsia="Symbol" w:hAnsi="Adobe Caslon Pro" w:cs="Cambria Math"/>
                <w:i/>
                <w:color w:val="000000"/>
                <w:sz w:val="20"/>
                <w:szCs w:val="20"/>
                <w:lang w:eastAsia="es-MX"/>
              </w:rPr>
            </w:pPr>
            <w:r w:rsidRPr="001D49DC">
              <w:rPr>
                <w:rStyle w:val="Hipervnculo"/>
                <w:rFonts w:ascii="Adobe Caslon Pro" w:eastAsia="Symbol" w:hAnsi="Adobe Caslon Pro" w:cs="Cambria Math"/>
                <w:i/>
                <w:sz w:val="20"/>
                <w:szCs w:val="20"/>
                <w:lang w:eastAsia="es-MX"/>
              </w:rPr>
              <w:t>http://www.transparenciapresupuestaria.oaxaca.gob.mx/05_ev1_eprogramas.php</w:t>
            </w:r>
          </w:p>
        </w:tc>
      </w:tr>
      <w:tr w:rsidR="005C48E8" w:rsidRPr="002D644F"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C48E8" w:rsidRPr="001D49DC" w:rsidRDefault="005C48E8" w:rsidP="00A56E05">
            <w:pPr>
              <w:rPr>
                <w:rFonts w:ascii="Adobe Caslon Pro" w:eastAsia="Symbol" w:hAnsi="Adobe Caslon Pro" w:cs="Cambria Math"/>
                <w:color w:val="000000"/>
                <w:lang w:eastAsia="es-MX"/>
              </w:rPr>
            </w:pPr>
            <w:r w:rsidRPr="001D49DC">
              <w:rPr>
                <w:rFonts w:ascii="Adobe Caslon Pro" w:eastAsia="Symbol" w:hAnsi="Adobe Caslon Pro" w:cs="Cambria Math"/>
                <w:color w:val="000000"/>
                <w:lang w:eastAsia="es-MX"/>
              </w:rPr>
              <w:t>7.2  Difusión en internet del formato:</w:t>
            </w:r>
          </w:p>
          <w:p w:rsidR="005C48E8" w:rsidRPr="001D49DC" w:rsidRDefault="005C48E8" w:rsidP="00A56E05">
            <w:pPr>
              <w:rPr>
                <w:rFonts w:ascii="Adobe Caslon Pro" w:eastAsia="Symbol" w:hAnsi="Adobe Caslon Pro" w:cs="Cambria Math"/>
                <w:color w:val="000000"/>
                <w:lang w:eastAsia="es-MX"/>
              </w:rPr>
            </w:pPr>
            <w:r w:rsidRPr="001D49DC">
              <w:rPr>
                <w:rStyle w:val="Hipervnculo"/>
                <w:rFonts w:ascii="Adobe Caslon Pro" w:eastAsia="Symbol" w:hAnsi="Adobe Caslon Pro" w:cs="Cambria Math"/>
                <w:i/>
                <w:sz w:val="20"/>
                <w:szCs w:val="20"/>
                <w:lang w:eastAsia="es-MX"/>
              </w:rPr>
              <w:t>http://www.jefaturadelagubernatura-evaluacion.oaxaca.gob.mx/index.php/pae-sidepanel/pae-2014</w:t>
            </w:r>
          </w:p>
        </w:tc>
      </w:tr>
    </w:tbl>
    <w:p w:rsidR="005C48E8" w:rsidRPr="00066E84" w:rsidRDefault="005C48E8" w:rsidP="005C48E8">
      <w:pPr>
        <w:rPr>
          <w:rFonts w:ascii="Courier New" w:eastAsia="Symbol" w:hAnsi="Courier New"/>
          <w:b/>
          <w:sz w:val="20"/>
          <w:szCs w:val="20"/>
          <w:lang w:eastAsia="es-MX"/>
        </w:rPr>
      </w:pPr>
    </w:p>
    <w:p w:rsidR="005C48E8" w:rsidRDefault="005C48E8" w:rsidP="005C48E8">
      <w:pPr>
        <w:autoSpaceDE w:val="0"/>
        <w:autoSpaceDN w:val="0"/>
        <w:adjustRightInd w:val="0"/>
        <w:jc w:val="both"/>
        <w:rPr>
          <w:rFonts w:cs="Cambria Math"/>
          <w:sz w:val="16"/>
          <w:szCs w:val="16"/>
        </w:rPr>
      </w:pPr>
    </w:p>
    <w:p w:rsidR="005C48E8" w:rsidRDefault="005C48E8">
      <w:pPr>
        <w:rPr>
          <w:rFonts w:ascii="Arial" w:hAnsi="Arial" w:cs="Arial"/>
          <w:b/>
        </w:rPr>
      </w:pPr>
      <w:r>
        <w:rPr>
          <w:rFonts w:ascii="Arial" w:hAnsi="Arial" w:cs="Arial"/>
          <w:b/>
        </w:rPr>
        <w:br w:type="page"/>
      </w:r>
    </w:p>
    <w:p w:rsidR="0041772C" w:rsidRPr="0041772C" w:rsidRDefault="0041772C" w:rsidP="0041772C">
      <w:pPr>
        <w:rPr>
          <w:rFonts w:ascii="Arial" w:hAnsi="Arial" w:cs="Arial"/>
          <w:b/>
        </w:rPr>
      </w:pPr>
      <w:r w:rsidRPr="0041772C">
        <w:rPr>
          <w:rFonts w:ascii="Arial" w:hAnsi="Arial" w:cs="Arial"/>
          <w:b/>
        </w:rPr>
        <w:lastRenderedPageBreak/>
        <w:t>14.</w:t>
      </w:r>
      <w:r w:rsidR="0072684E">
        <w:rPr>
          <w:rFonts w:ascii="Arial" w:hAnsi="Arial" w:cs="Arial"/>
          <w:b/>
        </w:rPr>
        <w:t>2</w:t>
      </w:r>
      <w:r w:rsidRPr="0041772C">
        <w:rPr>
          <w:rFonts w:ascii="Arial" w:hAnsi="Arial" w:cs="Arial"/>
          <w:b/>
        </w:rPr>
        <w:t xml:space="preserve">.8.- DOTACIÓN DE ÚTILES Y UNIFORMES ESCOLARES BIENESTAR </w:t>
      </w:r>
    </w:p>
    <w:p w:rsidR="0041772C" w:rsidRDefault="0041772C" w:rsidP="0041772C">
      <w:pPr>
        <w:pStyle w:val="Prrafodelista"/>
        <w:ind w:left="0"/>
        <w:jc w:val="center"/>
        <w:rPr>
          <w:rFonts w:ascii="Adobe Caslon Pro" w:hAnsi="Adobe Caslon Pro" w:cs="Arial"/>
          <w:b/>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41772C" w:rsidRPr="004F6AC5"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41772C" w:rsidRPr="00066E84" w:rsidRDefault="0041772C" w:rsidP="00A56E05">
            <w:pPr>
              <w:rPr>
                <w:rFonts w:ascii="Trajan Pro" w:hAnsi="Trajan Pro" w:cs="Calibri"/>
                <w:b/>
                <w:bCs/>
                <w:color w:val="000000"/>
                <w:lang w:eastAsia="es-MX"/>
              </w:rPr>
            </w:pPr>
            <w:r w:rsidRPr="00066E84">
              <w:rPr>
                <w:rFonts w:ascii="Trajan Pro" w:hAnsi="Trajan Pro" w:cs="Calibri"/>
                <w:b/>
                <w:bCs/>
                <w:color w:val="00000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1.1 Nombre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41772C" w:rsidRPr="00972BEC" w:rsidRDefault="0041772C" w:rsidP="00A56E05">
            <w:pPr>
              <w:jc w:val="both"/>
              <w:rPr>
                <w:rFonts w:ascii="Adobe Caslon Pro" w:hAnsi="Adobe Caslon Pro" w:cs="Calibri"/>
                <w:i/>
                <w:color w:val="000000"/>
                <w:lang w:eastAsia="es-MX"/>
              </w:rPr>
            </w:pPr>
            <w:r w:rsidRPr="00EC23B2">
              <w:rPr>
                <w:rFonts w:ascii="Adobe Caslon Pro" w:hAnsi="Adobe Caslon Pro" w:cs="Calibri"/>
                <w:i/>
                <w:color w:val="000000"/>
                <w:sz w:val="20"/>
                <w:lang w:eastAsia="es-MX"/>
              </w:rPr>
              <w:t xml:space="preserve">Evaluación Estratégica de Consistencia y Resultados del </w:t>
            </w:r>
            <w:r>
              <w:rPr>
                <w:rFonts w:ascii="Adobe Caslon Pro" w:hAnsi="Adobe Caslon Pro" w:cs="Calibri"/>
                <w:i/>
                <w:color w:val="000000"/>
                <w:sz w:val="20"/>
                <w:lang w:eastAsia="es-MX"/>
              </w:rPr>
              <w:t>Programa Estatal “Dotación de Útiles y Uniformes Escolares Bienestar”.</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AC127B">
              <w:rPr>
                <w:rFonts w:ascii="Adobe Caslon Pro" w:hAnsi="Adobe Caslon Pro" w:cs="Calibri"/>
                <w:color w:val="000000"/>
                <w:lang w:eastAsia="es-MX"/>
              </w:rPr>
              <w:t>1.2 Fecha de inicio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22/09</w:t>
            </w:r>
            <w:r w:rsidRPr="002C3B4D">
              <w:rPr>
                <w:rFonts w:ascii="Adobe Caslon Pro" w:hAnsi="Adobe Caslon Pro" w:cs="Calibri"/>
                <w:i/>
                <w:color w:val="000000"/>
                <w:sz w:val="20"/>
                <w:lang w:eastAsia="es-MX"/>
              </w:rPr>
              <w:t>/2014</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AC127B">
              <w:rPr>
                <w:rFonts w:ascii="Adobe Caslon Pro" w:hAnsi="Adobe Caslon Pro" w:cs="Calibri"/>
                <w:color w:val="000000"/>
                <w:lang w:eastAsia="es-MX"/>
              </w:rPr>
              <w:t>1.3 Fecha de término de la evaluación (</w:t>
            </w:r>
            <w:proofErr w:type="spellStart"/>
            <w:r w:rsidRPr="00AC127B">
              <w:rPr>
                <w:rFonts w:ascii="Adobe Caslon Pro" w:hAnsi="Adobe Caslon Pro" w:cs="Calibri"/>
                <w:color w:val="000000"/>
                <w:lang w:eastAsia="es-MX"/>
              </w:rPr>
              <w:t>dd</w:t>
            </w:r>
            <w:proofErr w:type="spellEnd"/>
            <w:r w:rsidRPr="00AC127B">
              <w:rPr>
                <w:rFonts w:ascii="Adobe Caslon Pro" w:hAnsi="Adobe Caslon Pro" w:cs="Calibri"/>
                <w:color w:val="000000"/>
                <w:lang w:eastAsia="es-MX"/>
              </w:rPr>
              <w:t>/mm/</w:t>
            </w:r>
            <w:proofErr w:type="spellStart"/>
            <w:r w:rsidRPr="00AC127B">
              <w:rPr>
                <w:rFonts w:ascii="Adobe Caslon Pro" w:hAnsi="Adobe Caslon Pro" w:cs="Calibri"/>
                <w:color w:val="000000"/>
                <w:lang w:eastAsia="es-MX"/>
              </w:rPr>
              <w:t>aaaa</w:t>
            </w:r>
            <w:proofErr w:type="spellEnd"/>
            <w:r w:rsidRPr="00AC127B">
              <w:rPr>
                <w:rFonts w:ascii="Adobe Caslon Pro" w:hAnsi="Adobe Caslon Pro" w:cs="Calibri"/>
                <w:color w:val="000000"/>
                <w:lang w:eastAsia="es-MX"/>
              </w:rPr>
              <w:t>):</w:t>
            </w:r>
            <w:r>
              <w:rPr>
                <w:rFonts w:ascii="Adobe Caslon Pro" w:hAnsi="Adobe Caslon Pro" w:cs="Calibri"/>
                <w:color w:val="000000"/>
                <w:lang w:eastAsia="es-MX"/>
              </w:rPr>
              <w:t xml:space="preserve"> </w:t>
            </w:r>
            <w:r>
              <w:rPr>
                <w:rFonts w:ascii="Adobe Caslon Pro" w:hAnsi="Adobe Caslon Pro" w:cs="Calibri"/>
                <w:i/>
                <w:color w:val="000000"/>
                <w:sz w:val="20"/>
                <w:lang w:eastAsia="es-MX"/>
              </w:rPr>
              <w:t>13</w:t>
            </w:r>
            <w:r w:rsidRPr="00AF449B">
              <w:rPr>
                <w:rFonts w:ascii="Adobe Caslon Pro" w:hAnsi="Adobe Caslon Pro" w:cs="Calibri"/>
                <w:i/>
                <w:color w:val="000000"/>
                <w:sz w:val="20"/>
                <w:lang w:eastAsia="es-MX"/>
              </w:rPr>
              <w:t>/04/2015</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AC127B">
              <w:rPr>
                <w:rFonts w:ascii="Adobe Caslon Pro" w:hAnsi="Adobe Caslon Pro" w:cs="Calibri"/>
                <w:color w:val="000000"/>
                <w:lang w:eastAsia="es-MX"/>
              </w:rPr>
              <w:t>1.4 Nombre de la persona responsable de darle seguimiento a la evaluación y  nombre de la unidad administrativa a la que pertenece:</w:t>
            </w:r>
          </w:p>
        </w:tc>
      </w:tr>
      <w:tr w:rsidR="0041772C" w:rsidRPr="004F6AC5"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772C" w:rsidRDefault="0041772C" w:rsidP="00A56E05">
            <w:pPr>
              <w:rPr>
                <w:rFonts w:ascii="Adobe Caslon Pro" w:hAnsi="Adobe Caslon Pro" w:cs="Calibri"/>
                <w:color w:val="000000"/>
                <w:lang w:eastAsia="es-MX"/>
              </w:rPr>
            </w:pPr>
            <w:r w:rsidRPr="00AC127B">
              <w:rPr>
                <w:rFonts w:ascii="Adobe Caslon Pro" w:hAnsi="Adobe Caslon Pro" w:cs="Calibri"/>
                <w:color w:val="000000"/>
                <w:lang w:eastAsia="es-MX"/>
              </w:rPr>
              <w:t>Nombre:</w:t>
            </w:r>
          </w:p>
          <w:p w:rsidR="0041772C" w:rsidRPr="002C3B4D" w:rsidRDefault="0041772C" w:rsidP="00A56E05">
            <w:pPr>
              <w:rPr>
                <w:rFonts w:ascii="Adobe Caslon Pro" w:hAnsi="Adobe Caslon Pro" w:cs="Calibri"/>
                <w:i/>
                <w:color w:val="000000"/>
                <w:lang w:eastAsia="es-MX"/>
              </w:rPr>
            </w:pPr>
            <w:r w:rsidRPr="002C3B4D">
              <w:rPr>
                <w:rFonts w:ascii="Adobe Caslon Pro" w:hAnsi="Adobe Caslon Pro" w:cs="Calibri"/>
                <w:i/>
                <w:color w:val="000000"/>
                <w:sz w:val="20"/>
                <w:lang w:eastAsia="es-MX"/>
              </w:rPr>
              <w:t>Mtro. Gonzalo Lapuente Sastre</w:t>
            </w: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41772C" w:rsidRDefault="0041772C" w:rsidP="00A56E05">
            <w:pPr>
              <w:rPr>
                <w:rFonts w:ascii="Adobe Caslon Pro" w:hAnsi="Adobe Caslon Pro" w:cs="Calibri"/>
                <w:color w:val="000000"/>
                <w:lang w:eastAsia="es-MX"/>
              </w:rPr>
            </w:pPr>
            <w:r w:rsidRPr="00AC127B">
              <w:rPr>
                <w:rFonts w:ascii="Adobe Caslon Pro" w:hAnsi="Adobe Caslon Pro" w:cs="Calibri"/>
                <w:color w:val="000000"/>
                <w:lang w:eastAsia="es-MX"/>
              </w:rPr>
              <w:t>Unidad administrativa:</w:t>
            </w:r>
            <w:r>
              <w:rPr>
                <w:rFonts w:ascii="Adobe Caslon Pro" w:hAnsi="Adobe Caslon Pro" w:cs="Calibri"/>
                <w:color w:val="000000"/>
                <w:lang w:eastAsia="es-MX"/>
              </w:rPr>
              <w:t xml:space="preserve"> </w:t>
            </w:r>
          </w:p>
          <w:p w:rsidR="0041772C" w:rsidRPr="00AC127B" w:rsidRDefault="0041772C" w:rsidP="00A56E05">
            <w:pPr>
              <w:rPr>
                <w:rFonts w:ascii="Adobe Caslon Pro" w:hAnsi="Adobe Caslon Pro" w:cs="Calibri"/>
                <w:color w:val="000000"/>
                <w:lang w:eastAsia="es-MX"/>
              </w:rPr>
            </w:pPr>
            <w:r w:rsidRPr="00B17671">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 </w:t>
            </w:r>
            <w:r w:rsidRPr="00B17671">
              <w:rPr>
                <w:rFonts w:ascii="Adobe Caslon Pro" w:hAnsi="Adobe Caslon Pro" w:cs="Calibri"/>
                <w:i/>
                <w:color w:val="000000"/>
                <w:sz w:val="20"/>
                <w:szCs w:val="20"/>
                <w:lang w:eastAsia="es-MX"/>
              </w:rPr>
              <w:t>de la Jefatura de l</w:t>
            </w:r>
            <w:r>
              <w:rPr>
                <w:rFonts w:ascii="Adobe Caslon Pro" w:hAnsi="Adobe Caslon Pro" w:cs="Calibri"/>
                <w:i/>
                <w:color w:val="000000"/>
                <w:sz w:val="20"/>
                <w:szCs w:val="20"/>
                <w:lang w:eastAsia="es-MX"/>
              </w:rPr>
              <w:t>a Gubernatura del Gobierno del e</w:t>
            </w:r>
            <w:r w:rsidRPr="00B17671">
              <w:rPr>
                <w:rFonts w:ascii="Adobe Caslon Pro" w:hAnsi="Adobe Caslon Pro" w:cs="Calibri"/>
                <w:i/>
                <w:color w:val="000000"/>
                <w:sz w:val="20"/>
                <w:szCs w:val="20"/>
                <w:lang w:eastAsia="es-MX"/>
              </w:rPr>
              <w:t>stado de Oaxaca.</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614B76"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5</w:t>
            </w:r>
            <w:r w:rsidRPr="00066E84">
              <w:rPr>
                <w:rFonts w:ascii="Adobe Caslon Pro" w:hAnsi="Adobe Caslon Pro" w:cs="Calibri"/>
                <w:color w:val="000000"/>
                <w:lang w:eastAsia="es-MX"/>
              </w:rPr>
              <w:t xml:space="preserve"> Objetivo general de la evaluación</w:t>
            </w:r>
            <w:r>
              <w:rPr>
                <w:rFonts w:ascii="Adobe Caslon Pro" w:hAnsi="Adobe Caslon Pro" w:cs="Calibri"/>
                <w:color w:val="000000"/>
                <w:lang w:eastAsia="es-MX"/>
              </w:rPr>
              <w:t>:</w:t>
            </w:r>
          </w:p>
          <w:p w:rsidR="0041772C" w:rsidRDefault="0041772C" w:rsidP="00A56E05">
            <w:pPr>
              <w:jc w:val="both"/>
              <w:rPr>
                <w:rFonts w:ascii="Adobe Caslon Pro" w:hAnsi="Adobe Caslon Pro" w:cs="Calibri"/>
                <w:i/>
                <w:color w:val="000000"/>
                <w:sz w:val="20"/>
                <w:szCs w:val="20"/>
                <w:lang w:eastAsia="es-MX"/>
              </w:rPr>
            </w:pPr>
            <w:r w:rsidRPr="00113C6E">
              <w:rPr>
                <w:rFonts w:ascii="Adobe Caslon Pro" w:hAnsi="Adobe Caslon Pro" w:cs="Calibri"/>
                <w:i/>
                <w:color w:val="000000"/>
                <w:sz w:val="20"/>
                <w:szCs w:val="20"/>
                <w:lang w:eastAsia="es-MX"/>
              </w:rPr>
              <w:t>Coadyuvar en la Consolidación del Sistema de Evaluación del Desempeño en el Estado de Oaxaca, a través</w:t>
            </w:r>
            <w:r w:rsidRPr="00BE4199">
              <w:rPr>
                <w:rFonts w:ascii="Adobe Caslon Pro" w:hAnsi="Adobe Caslon Pro" w:cs="Calibri"/>
                <w:i/>
                <w:color w:val="000000"/>
                <w:sz w:val="20"/>
                <w:szCs w:val="20"/>
                <w:lang w:eastAsia="es-MX"/>
              </w:rPr>
              <w:t xml:space="preserve"> de identificar y analizar la consistencia y resultados del </w:t>
            </w:r>
            <w:r w:rsidRPr="00993F3D">
              <w:rPr>
                <w:rFonts w:ascii="Adobe Caslon Pro" w:hAnsi="Adobe Caslon Pro" w:cs="Calibri"/>
                <w:i/>
                <w:color w:val="000000"/>
                <w:sz w:val="20"/>
                <w:szCs w:val="20"/>
                <w:lang w:eastAsia="es-MX"/>
              </w:rPr>
              <w:t xml:space="preserve">Programa </w:t>
            </w:r>
            <w:r w:rsidRPr="00993F3D">
              <w:rPr>
                <w:rFonts w:ascii="Adobe Caslon Pro" w:hAnsi="Adobe Caslon Pro" w:cs="Calibri"/>
                <w:i/>
                <w:color w:val="000000"/>
                <w:sz w:val="20"/>
                <w:lang w:eastAsia="es-MX"/>
              </w:rPr>
              <w:t xml:space="preserve">Estatal </w:t>
            </w:r>
            <w:r>
              <w:rPr>
                <w:rFonts w:ascii="Adobe Caslon Pro" w:hAnsi="Adobe Caslon Pro" w:cs="Calibri"/>
                <w:i/>
                <w:color w:val="000000"/>
                <w:sz w:val="20"/>
                <w:lang w:eastAsia="es-MX"/>
              </w:rPr>
              <w:t>“Dotación de Útiles y Uniformes Escolares Bienestar”,</w:t>
            </w:r>
            <w:r w:rsidRPr="00993F3D">
              <w:rPr>
                <w:rFonts w:ascii="Adobe Caslon Pro" w:hAnsi="Adobe Caslon Pro" w:cs="Calibri"/>
                <w:i/>
                <w:color w:val="000000"/>
                <w:sz w:val="20"/>
                <w:szCs w:val="20"/>
                <w:lang w:eastAsia="es-MX"/>
              </w:rPr>
              <w:t xml:space="preserve"> en cuanto al Diseño de la Matriz de Ind</w:t>
            </w:r>
            <w:r w:rsidRPr="00BE4199">
              <w:rPr>
                <w:rFonts w:ascii="Adobe Caslon Pro" w:hAnsi="Adobe Caslon Pro" w:cs="Calibri"/>
                <w:i/>
                <w:color w:val="000000"/>
                <w:sz w:val="20"/>
                <w:szCs w:val="20"/>
                <w:lang w:eastAsia="es-MX"/>
              </w:rPr>
              <w:t>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p w:rsidR="0041772C" w:rsidRPr="00D02D2B" w:rsidRDefault="0041772C" w:rsidP="00A56E05">
            <w:pPr>
              <w:jc w:val="both"/>
              <w:rPr>
                <w:rFonts w:ascii="Adobe Caslon Pro" w:hAnsi="Adobe Caslon Pro" w:cs="Calibri"/>
                <w:i/>
                <w:color w:val="000000"/>
                <w:sz w:val="20"/>
                <w:szCs w:val="20"/>
                <w:lang w:eastAsia="es-MX"/>
              </w:rPr>
            </w:pP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6</w:t>
            </w:r>
            <w:r w:rsidRPr="00066E84">
              <w:rPr>
                <w:rFonts w:ascii="Adobe Caslon Pro" w:hAnsi="Adobe Caslon Pro" w:cs="Calibri"/>
                <w:color w:val="000000"/>
                <w:lang w:eastAsia="es-MX"/>
              </w:rPr>
              <w:t xml:space="preserve"> Objetivos específicos de la evaluación</w:t>
            </w:r>
            <w:r>
              <w:rPr>
                <w:rFonts w:ascii="Adobe Caslon Pro" w:hAnsi="Adobe Caslon Pro" w:cs="Calibri"/>
                <w:color w:val="000000"/>
                <w:lang w:eastAsia="es-MX"/>
              </w:rPr>
              <w:t>:</w:t>
            </w:r>
          </w:p>
          <w:p w:rsidR="0041772C" w:rsidRDefault="0041772C"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programa en los siguientes aspectos:</w:t>
            </w:r>
          </w:p>
          <w:p w:rsidR="0041772C" w:rsidRDefault="0041772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Diseño. Es un proceso analítico global que se enfoca en identificar los objetivos del Programa para luego determinar la consistencia de su diseño y los resultados con tales objetivos. </w:t>
            </w:r>
          </w:p>
          <w:p w:rsidR="0041772C" w:rsidRPr="00D1413C" w:rsidRDefault="0041772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Planeación Estratégica. Implica analizar los instrumentos de planeación del Programa, y corroborar si tal planeación tiene una orientación para resultados. </w:t>
            </w:r>
          </w:p>
          <w:p w:rsidR="0041772C" w:rsidRPr="00D1413C" w:rsidRDefault="0041772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Cobertura y Focalización. Corresponde cuantificar y determinar la población potencial y la población objetivo que está siendo atendida por el Programa. </w:t>
            </w:r>
          </w:p>
          <w:p w:rsidR="0041772C" w:rsidRPr="00D1413C" w:rsidRDefault="0041772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Operación. Analiza las principales actividades y procesos establecidos en la normatividad aplicable; la eficiencia, eficacia y economía operativa del Programa; y el cumplimiento y avance en los indicadores estratégicos y de gestión. </w:t>
            </w:r>
          </w:p>
          <w:p w:rsidR="0041772C" w:rsidRPr="00D1413C" w:rsidRDefault="0041772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Percepción de la Población. Analiza el grado de satisfacción de los beneficiarios de los bienes y servicios que conforman el Programa. </w:t>
            </w:r>
          </w:p>
          <w:p w:rsidR="0041772C" w:rsidRPr="00D1413C" w:rsidRDefault="0041772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Resultados. Analiza los resultados intermedios y de impacto alcanzados por el Programa de acuerdo a la evidencia documentada de que el Programa ha logrado mejorar o resolver el problema para el cual fue creado. </w:t>
            </w:r>
          </w:p>
          <w:p w:rsidR="0041772C" w:rsidRPr="00D1413C" w:rsidRDefault="0041772C" w:rsidP="00F075EB">
            <w:pPr>
              <w:numPr>
                <w:ilvl w:val="0"/>
                <w:numId w:val="39"/>
              </w:numPr>
              <w:jc w:val="both"/>
              <w:rPr>
                <w:rFonts w:ascii="Adobe Caslon Pro" w:hAnsi="Adobe Caslon Pro" w:cs="Calibri"/>
                <w:i/>
                <w:color w:val="000000"/>
                <w:sz w:val="20"/>
                <w:szCs w:val="20"/>
                <w:lang w:eastAsia="es-MX"/>
              </w:rPr>
            </w:pPr>
            <w:r w:rsidRPr="00D1413C">
              <w:rPr>
                <w:rFonts w:ascii="Adobe Caslon Pro" w:hAnsi="Adobe Caslon Pro" w:cs="Calibri"/>
                <w:i/>
                <w:color w:val="000000"/>
                <w:sz w:val="20"/>
                <w:szCs w:val="20"/>
                <w:lang w:eastAsia="es-MX"/>
              </w:rPr>
              <w:t xml:space="preserve">Ejercicio de los recursos. Analiza el grado de cumplimiento en la aplicación de los recursos en tiempo y forma de acuerdo a los objetivos para los cuales están destinados. </w:t>
            </w:r>
            <w:r w:rsidRPr="0063004D">
              <w:rPr>
                <w:rFonts w:ascii="Adobe Caslon Pro" w:hAnsi="Adobe Caslon Pro" w:cs="Calibri"/>
                <w:i/>
                <w:color w:val="000000"/>
                <w:sz w:val="20"/>
                <w:szCs w:val="20"/>
                <w:lang w:eastAsia="es-MX"/>
              </w:rPr>
              <w:t>Planeación Estratégica y su orientación para resultados. Analiza los instrumentos de planeación y se corrobora si ésta tiene una orientación para resultados.</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1.</w:t>
            </w:r>
            <w:r>
              <w:rPr>
                <w:rFonts w:ascii="Adobe Caslon Pro" w:hAnsi="Adobe Caslon Pro" w:cs="Calibri"/>
                <w:color w:val="000000"/>
                <w:lang w:eastAsia="es-MX"/>
              </w:rPr>
              <w:t>7</w:t>
            </w:r>
            <w:r w:rsidRPr="00066E84">
              <w:rPr>
                <w:rFonts w:ascii="Adobe Caslon Pro" w:hAnsi="Adobe Caslon Pro" w:cs="Calibri"/>
                <w:color w:val="000000"/>
                <w:lang w:eastAsia="es-MX"/>
              </w:rPr>
              <w:t xml:space="preserve"> Metodología utilizada en la evaluación</w:t>
            </w:r>
            <w:r>
              <w:rPr>
                <w:rFonts w:ascii="Adobe Caslon Pro" w:hAnsi="Adobe Caslon Pro" w:cs="Calibri"/>
                <w:color w:val="000000"/>
                <w:lang w:eastAsia="es-MX"/>
              </w:rPr>
              <w:t>:</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Instrumentos de recolección de información: </w:t>
            </w:r>
          </w:p>
        </w:tc>
      </w:tr>
      <w:tr w:rsidR="0041772C" w:rsidRPr="004F6AC5"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41772C" w:rsidRPr="00BB2252"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Cuestionarios</w:t>
            </w:r>
            <w:r>
              <w:rPr>
                <w:rFonts w:ascii="Adobe Caslon Pro" w:hAnsi="Adobe Caslon Pro" w:cs="Calibri"/>
                <w:color w:val="000000"/>
                <w:lang w:eastAsia="es-MX"/>
              </w:rPr>
              <w:t xml:space="preserve">__   Entrevistas__   Formatos__   </w:t>
            </w:r>
            <w:proofErr w:type="spellStart"/>
            <w:r>
              <w:rPr>
                <w:rFonts w:ascii="Adobe Caslon Pro" w:hAnsi="Adobe Caslon Pro" w:cs="Calibri"/>
                <w:color w:val="000000"/>
                <w:lang w:eastAsia="es-MX"/>
              </w:rPr>
              <w:t>Otros_X</w:t>
            </w:r>
            <w:proofErr w:type="spellEnd"/>
            <w:r>
              <w:rPr>
                <w:rFonts w:ascii="Adobe Caslon Pro" w:hAnsi="Adobe Caslon Pro" w:cs="Calibri"/>
                <w:color w:val="000000"/>
                <w:lang w:eastAsia="es-MX"/>
              </w:rPr>
              <w:t>_  Especifique:</w:t>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r>
              <w:rPr>
                <w:rFonts w:ascii="Adobe Caslon Pro" w:hAnsi="Adobe Caslon Pro" w:cs="Calibri"/>
                <w:color w:val="000000"/>
                <w:lang w:eastAsia="es-MX"/>
              </w:rPr>
              <w:softHyphen/>
            </w:r>
          </w:p>
          <w:p w:rsidR="0041772C" w:rsidRPr="00F11793" w:rsidRDefault="0041772C" w:rsidP="00F075EB">
            <w:pPr>
              <w:numPr>
                <w:ilvl w:val="0"/>
                <w:numId w:val="12"/>
              </w:numPr>
              <w:jc w:val="both"/>
              <w:rPr>
                <w:rFonts w:ascii="Adobe Caslon Pro" w:hAnsi="Adobe Caslon Pro" w:cs="Calibri"/>
                <w:i/>
                <w:color w:val="000000"/>
                <w:sz w:val="20"/>
                <w:lang w:eastAsia="es-MX"/>
              </w:rPr>
            </w:pPr>
            <w:r w:rsidRPr="00D073B5">
              <w:rPr>
                <w:rFonts w:ascii="Adobe Caslon Pro" w:hAnsi="Adobe Caslon Pro" w:cs="Calibri"/>
                <w:i/>
                <w:color w:val="000000"/>
                <w:sz w:val="20"/>
                <w:lang w:eastAsia="es-MX"/>
              </w:rPr>
              <w:t xml:space="preserve">Información proporcionada por la dependencia </w:t>
            </w:r>
            <w:r>
              <w:rPr>
                <w:rFonts w:ascii="Adobe Caslon Pro" w:hAnsi="Adobe Caslon Pro" w:cs="Calibri"/>
                <w:i/>
                <w:color w:val="000000"/>
                <w:sz w:val="20"/>
                <w:lang w:eastAsia="es-MX"/>
              </w:rPr>
              <w:t>o entidad responsable del programa.</w:t>
            </w:r>
          </w:p>
        </w:tc>
      </w:tr>
      <w:tr w:rsidR="0041772C" w:rsidRPr="004F6AC5"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41772C" w:rsidRDefault="0041772C" w:rsidP="00A56E05">
            <w:pPr>
              <w:jc w:val="both"/>
              <w:rPr>
                <w:rFonts w:ascii="Adobe Caslon Pro" w:hAnsi="Adobe Caslon Pro" w:cs="Calibri"/>
                <w:color w:val="000000"/>
                <w:lang w:eastAsia="es-MX"/>
              </w:rPr>
            </w:pPr>
            <w:r w:rsidRPr="00066E84">
              <w:rPr>
                <w:rFonts w:ascii="Adobe Caslon Pro" w:hAnsi="Adobe Caslon Pro" w:cs="Calibri"/>
                <w:color w:val="000000"/>
                <w:lang w:eastAsia="es-MX"/>
              </w:rPr>
              <w:t>Descripción de las técnicas y modelos utilizados: </w:t>
            </w:r>
          </w:p>
          <w:p w:rsidR="0041772C" w:rsidRPr="00963A04" w:rsidRDefault="0041772C" w:rsidP="00A56E05">
            <w:pPr>
              <w:jc w:val="both"/>
              <w:rPr>
                <w:rFonts w:ascii="Adobe Caslon Pro" w:hAnsi="Adobe Caslon Pro" w:cs="Calibri"/>
                <w:i/>
                <w:color w:val="4472C4"/>
                <w:sz w:val="20"/>
                <w:u w:val="single"/>
                <w:lang w:eastAsia="es-MX"/>
              </w:rPr>
            </w:pPr>
            <w:r w:rsidRPr="006F4A63">
              <w:rPr>
                <w:rFonts w:ascii="Adobe Caslon Pro" w:hAnsi="Adobe Caslon Pro" w:cs="Calibri"/>
                <w:i/>
                <w:color w:val="000000"/>
                <w:sz w:val="20"/>
                <w:lang w:eastAsia="es-MX"/>
              </w:rPr>
              <w:t>La metodología de Evaluación fue desarrollada por “LA JEFATURA”, quien funge como la Instancia Técnica de Evaluación, con la finalidad de obtener información confiable para mejorar la gestión, la toma de decisi</w:t>
            </w:r>
            <w:r>
              <w:rPr>
                <w:rFonts w:ascii="Adobe Caslon Pro" w:hAnsi="Adobe Caslon Pro" w:cs="Calibri"/>
                <w:i/>
                <w:color w:val="000000"/>
                <w:sz w:val="20"/>
                <w:lang w:eastAsia="es-MX"/>
              </w:rPr>
              <w:t xml:space="preserve">ones y el proceso presupuestario, los cuales se encuentran en los Términos de Referencia en la siguiente liga: </w:t>
            </w:r>
            <w:hyperlink r:id="rId143" w:history="1">
              <w:r w:rsidRPr="00632619">
                <w:rPr>
                  <w:rStyle w:val="Hipervnculo"/>
                  <w:rFonts w:ascii="Adobe Caslon Pro" w:hAnsi="Adobe Caslon Pro" w:cs="Calibri"/>
                  <w:i/>
                  <w:sz w:val="20"/>
                  <w:lang w:eastAsia="es-MX"/>
                </w:rPr>
                <w:t>http://www.jefaturadelagubernatura-evaluacion.oaxaca.gob.mx/index.php/pae-sidepanel/pae-2014</w:t>
              </w:r>
            </w:hyperlink>
          </w:p>
          <w:p w:rsidR="0041772C" w:rsidRPr="00963A04" w:rsidRDefault="0041772C" w:rsidP="00A56E05">
            <w:pPr>
              <w:jc w:val="both"/>
              <w:rPr>
                <w:rFonts w:ascii="Adobe Caslon Pro" w:hAnsi="Adobe Caslon Pro" w:cs="Calibri"/>
                <w:i/>
                <w:color w:val="4472C4"/>
                <w:sz w:val="20"/>
                <w:u w:val="single"/>
                <w:lang w:eastAsia="es-MX"/>
              </w:rPr>
            </w:pPr>
          </w:p>
          <w:p w:rsidR="0041772C" w:rsidRDefault="0041772C" w:rsidP="00A56E05">
            <w:pPr>
              <w:jc w:val="both"/>
              <w:rPr>
                <w:rFonts w:ascii="Adobe Caslon Pro" w:hAnsi="Adobe Caslon Pro" w:cs="Calibri"/>
                <w:i/>
                <w:sz w:val="20"/>
                <w:lang w:eastAsia="es-MX"/>
              </w:rPr>
            </w:pPr>
            <w:r w:rsidRPr="00A42027">
              <w:rPr>
                <w:rFonts w:ascii="Adobe Caslon Pro" w:hAnsi="Adobe Caslon Pro" w:cs="Calibri"/>
                <w:i/>
                <w:sz w:val="20"/>
                <w:lang w:eastAsia="es-MX"/>
              </w:rPr>
              <w:t>Base de datos de gabinete utilizados para el análisis:</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del Programa.</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Matriz de Indicadores para Resultados del Programa. </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Documento técnico que incluya el análisis del problema que está siendo atendido con los recursos del Programa.</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Objetivos Estratégicos de la Dependencia coordinadora del Programa.</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Plan Nacional de Desarrollo.</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Plan Estatal de Desarrollo y Plan Sectorial de Desarrollo.</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Diagnóstico situacional del Programa y sus beneficiarios.</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 xml:space="preserve">Padrón de beneficiarios. </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Características socioeconómicas de los beneficiarios.</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Reglas de Operación.</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Ficha técnica de Programas federales y estatales con características similares</w:t>
            </w:r>
            <w:r>
              <w:rPr>
                <w:rFonts w:ascii="Adobe Caslon Pro" w:hAnsi="Adobe Caslon Pro" w:cs="Calibri"/>
                <w:i/>
                <w:sz w:val="20"/>
                <w:lang w:eastAsia="es-MX"/>
              </w:rPr>
              <w:t>.</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Plan Estratégico de la Dependencia responsable de la MIR del Programa o Plan Sectorial.</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Manual de programación</w:t>
            </w:r>
            <w:r>
              <w:rPr>
                <w:rFonts w:ascii="Adobe Caslon Pro" w:hAnsi="Adobe Caslon Pro" w:cs="Calibri"/>
                <w:i/>
                <w:sz w:val="20"/>
                <w:lang w:eastAsia="es-MX"/>
              </w:rPr>
              <w:t>.</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Reporte de Evaluación del Programa.</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Planes de mejora asociados a la evaluación del Programa.</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w:t>
            </w:r>
            <w:r>
              <w:rPr>
                <w:rFonts w:ascii="Adobe Caslon Pro" w:hAnsi="Adobe Caslon Pro" w:cs="Calibri"/>
                <w:i/>
                <w:sz w:val="20"/>
                <w:lang w:eastAsia="es-MX"/>
              </w:rPr>
              <w:t>.</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Población Potencial.</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Población Objetivo</w:t>
            </w:r>
            <w:r>
              <w:rPr>
                <w:rFonts w:ascii="Adobe Caslon Pro" w:hAnsi="Adobe Caslon Pro" w:cs="Calibri"/>
                <w:i/>
                <w:sz w:val="20"/>
                <w:lang w:eastAsia="es-MX"/>
              </w:rPr>
              <w:t>.</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Población Atendida.</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Reporte de seguimiento de metas del sistema de evaluación del desempeño</w:t>
            </w:r>
            <w:r>
              <w:rPr>
                <w:rFonts w:ascii="Adobe Caslon Pro" w:hAnsi="Adobe Caslon Pro" w:cs="Calibri"/>
                <w:i/>
                <w:sz w:val="20"/>
                <w:lang w:eastAsia="es-MX"/>
              </w:rPr>
              <w:t>.</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Documento Metodológico para la selección de beneficiarios.</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Criterios de elegibilidad aplicados</w:t>
            </w:r>
            <w:r>
              <w:rPr>
                <w:rFonts w:ascii="Adobe Caslon Pro" w:hAnsi="Adobe Caslon Pro" w:cs="Calibri"/>
                <w:i/>
                <w:sz w:val="20"/>
                <w:lang w:eastAsia="es-MX"/>
              </w:rPr>
              <w:t>.</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Avance físico-financiero</w:t>
            </w:r>
            <w:r>
              <w:rPr>
                <w:rFonts w:ascii="Adobe Caslon Pro" w:hAnsi="Adobe Caslon Pro" w:cs="Calibri"/>
                <w:i/>
                <w:sz w:val="20"/>
                <w:lang w:eastAsia="es-MX"/>
              </w:rPr>
              <w:t>.</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Cierre de ejercicio.</w:t>
            </w:r>
          </w:p>
          <w:p w:rsidR="0041772C" w:rsidRDefault="0041772C" w:rsidP="00F075EB">
            <w:pPr>
              <w:numPr>
                <w:ilvl w:val="0"/>
                <w:numId w:val="70"/>
              </w:numPr>
              <w:jc w:val="both"/>
              <w:rPr>
                <w:rFonts w:ascii="Adobe Caslon Pro" w:hAnsi="Adobe Caslon Pro" w:cs="Calibri"/>
                <w:i/>
                <w:sz w:val="20"/>
                <w:lang w:eastAsia="es-MX"/>
              </w:rPr>
            </w:pPr>
            <w:r>
              <w:rPr>
                <w:rFonts w:ascii="Adobe Caslon Pro" w:hAnsi="Adobe Caslon Pro" w:cs="Calibri"/>
                <w:i/>
                <w:color w:val="000000"/>
                <w:sz w:val="20"/>
                <w:lang w:eastAsia="es-MX"/>
              </w:rPr>
              <w:t>Recursos no devengados.</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Estructura organizacional de la dependencia, que incluya las áreas operativas relacionadas con 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organizacional de la dependencia, que incluya las responsabilidades y funciones asociadas con 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técnico que contenga los procesos de la entrega/recepción de componentes.</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contenga el procedimiento a través del cual se proporciona la información sobre estados financieros relacionados con 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descriptivo, normativo funcional acerca de los sistemas de información que conforman la administración financiera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estratégicos y de gestión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Costos de Operación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Procedimientos para medir costo-efectividad en la ejecución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de resultados de la medición costo-efectividad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Listado de indicadores de eficiencia.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lastRenderedPageBreak/>
              <w:t>Presupuesto Aprobado.</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Presupuesto Ejercido.</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Instrumentos de recuperación de Deuda relacionados con el cumplimiento de objetivos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el procedimiento a través del cual se administra y opera 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sistemas de información que se utilizan en la gestión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que describa los procedimientos de actualización del padrón de beneficiarios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normativo del Sistema de Rendición de Cuentas y Transparencia para los funcionarios que administran 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Transparencia (En donde se transparenten los resultados de la evaluación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Páginas web de la gaceta oficial de difusión (En donde se transparenten los resultados de la evaluación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Documento oficial que indique el monto y la fecha de recepción de recursos destinados a la operación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Calendario de transferencia de recursos para la operación del Programa.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Reportes de Cuenta Pública.</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Manual de Desempeño.</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Guía para usuarios del SED Estatal y Federal.</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de resultados.</w:t>
            </w:r>
          </w:p>
          <w:p w:rsidR="0041772C" w:rsidRDefault="0041772C" w:rsidP="00F075EB">
            <w:pPr>
              <w:numPr>
                <w:ilvl w:val="0"/>
                <w:numId w:val="70"/>
              </w:num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Reporte de seguimiento y monitoreo financiero del Programa.</w:t>
            </w:r>
          </w:p>
          <w:p w:rsidR="0041772C" w:rsidRPr="006A555A" w:rsidRDefault="0041772C" w:rsidP="00F075EB">
            <w:pPr>
              <w:numPr>
                <w:ilvl w:val="0"/>
                <w:numId w:val="70"/>
              </w:numPr>
              <w:jc w:val="both"/>
              <w:rPr>
                <w:rFonts w:ascii="Adobe Caslon Pro" w:hAnsi="Adobe Caslon Pro" w:cs="Calibri"/>
                <w:i/>
                <w:color w:val="000000"/>
                <w:sz w:val="20"/>
                <w:lang w:eastAsia="es-MX"/>
              </w:rPr>
            </w:pPr>
            <w:r w:rsidRPr="006A555A">
              <w:rPr>
                <w:rFonts w:ascii="Adobe Caslon Pro" w:hAnsi="Adobe Caslon Pro" w:cs="Calibri"/>
                <w:i/>
                <w:color w:val="000000"/>
                <w:sz w:val="20"/>
                <w:lang w:eastAsia="es-MX"/>
              </w:rPr>
              <w:t>Ficha técnica de los indicadores de Resultados del Programa.</w:t>
            </w:r>
          </w:p>
        </w:tc>
      </w:tr>
      <w:tr w:rsidR="0041772C" w:rsidRPr="004F6AC5" w:rsidTr="00A56E05">
        <w:trPr>
          <w:trHeight w:val="60"/>
          <w:jc w:val="center"/>
        </w:trPr>
        <w:tc>
          <w:tcPr>
            <w:tcW w:w="999" w:type="dxa"/>
            <w:gridSpan w:val="2"/>
            <w:tcBorders>
              <w:top w:val="single" w:sz="4" w:space="0" w:color="auto"/>
              <w:bottom w:val="single" w:sz="4" w:space="0" w:color="auto"/>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41772C" w:rsidRPr="00DE6244" w:rsidRDefault="0041772C" w:rsidP="00A56E05">
            <w:pPr>
              <w:rPr>
                <w:rFonts w:ascii="Adobe Caslon Pro" w:hAnsi="Adobe Caslon Pro" w:cs="Calibri"/>
                <w:color w:val="000000"/>
                <w:sz w:val="10"/>
                <w:szCs w:val="10"/>
                <w:lang w:eastAsia="es-MX"/>
              </w:rPr>
            </w:pPr>
          </w:p>
        </w:tc>
      </w:tr>
      <w:tr w:rsidR="0041772C"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41772C" w:rsidRPr="00066E84" w:rsidRDefault="0041772C" w:rsidP="00A56E05">
            <w:pPr>
              <w:rPr>
                <w:rFonts w:ascii="Trajan Pro" w:hAnsi="Trajan Pro" w:cs="Calibri"/>
                <w:b/>
                <w:bCs/>
                <w:color w:val="000000"/>
                <w:lang w:eastAsia="es-MX"/>
              </w:rPr>
            </w:pPr>
            <w:r w:rsidRPr="00066E84">
              <w:rPr>
                <w:rFonts w:ascii="Trajan Pro" w:hAnsi="Trajan Pro" w:cs="Calibri"/>
                <w:b/>
                <w:bCs/>
                <w:color w:val="00000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41772C" w:rsidRPr="004F6AC5"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2.1 Describir los hallazgos más relevantes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tc>
      </w:tr>
      <w:tr w:rsidR="0041772C" w:rsidRPr="004F6AC5"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2.2 Señalar cuáles son las principales Fortalezas, Oportunidades, Debilidades y Amenazas (FODA), de acuerdo con los</w:t>
            </w:r>
            <w:r>
              <w:rPr>
                <w:rFonts w:ascii="Adobe Caslon Pro" w:hAnsi="Adobe Caslon Pro" w:cs="Calibri"/>
                <w:color w:val="000000"/>
                <w:lang w:eastAsia="es-MX"/>
              </w:rPr>
              <w:t xml:space="preserve"> temas</w:t>
            </w:r>
            <w:r w:rsidRPr="00066E84">
              <w:rPr>
                <w:rFonts w:ascii="Adobe Caslon Pro" w:hAnsi="Adobe Caslon Pro" w:cs="Calibri"/>
                <w:color w:val="000000"/>
                <w:lang w:eastAsia="es-MX"/>
              </w:rPr>
              <w:t xml:space="preserve"> del programa</w:t>
            </w:r>
            <w:r>
              <w:rPr>
                <w:rFonts w:ascii="Adobe Caslon Pro" w:hAnsi="Adobe Caslon Pro" w:cs="Calibri"/>
                <w:color w:val="000000"/>
                <w:lang w:eastAsia="es-MX"/>
              </w:rPr>
              <w:t>, estrategia o instituciones</w:t>
            </w:r>
            <w:r w:rsidRPr="00066E84">
              <w:rPr>
                <w:rFonts w:ascii="Adobe Caslon Pro" w:hAnsi="Adobe Caslon Pro" w:cs="Calibri"/>
                <w:color w:val="000000"/>
                <w:lang w:eastAsia="es-MX"/>
              </w:rPr>
              <w:t>.</w:t>
            </w:r>
          </w:p>
        </w:tc>
      </w:tr>
      <w:tr w:rsidR="0041772C" w:rsidRPr="004F6AC5"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41772C" w:rsidRPr="00066E84" w:rsidRDefault="0041772C" w:rsidP="00A56E05">
            <w:pPr>
              <w:rPr>
                <w:rFonts w:ascii="Adobe Caslon Pro" w:hAnsi="Adobe Caslon Pro" w:cs="Calibri"/>
                <w:color w:val="000000"/>
                <w:lang w:eastAsia="es-MX"/>
              </w:rPr>
            </w:pP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2.2.1 Fortalezas</w:t>
            </w:r>
            <w:r>
              <w:rPr>
                <w:rFonts w:ascii="Adobe Caslon Pro" w:hAnsi="Adobe Caslon Pro" w:cs="Calibri"/>
                <w:color w:val="000000"/>
                <w:lang w:eastAsia="es-MX"/>
              </w:rPr>
              <w:t>:</w:t>
            </w:r>
          </w:p>
          <w:p w:rsidR="0041772C" w:rsidRDefault="0041772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DISEÑO</w:t>
            </w:r>
          </w:p>
          <w:p w:rsidR="0041772C" w:rsidRDefault="0041772C" w:rsidP="00F075EB">
            <w:pPr>
              <w:numPr>
                <w:ilvl w:val="0"/>
                <w:numId w:val="12"/>
              </w:numPr>
              <w:jc w:val="both"/>
              <w:rPr>
                <w:rFonts w:ascii="Adobe Caslon Pro" w:hAnsi="Adobe Caslon Pro" w:cs="Calibri"/>
                <w:i/>
                <w:color w:val="000000"/>
                <w:sz w:val="20"/>
                <w:szCs w:val="20"/>
                <w:lang w:eastAsia="es-MX"/>
              </w:rPr>
            </w:pPr>
            <w:r w:rsidRPr="001D28CF">
              <w:rPr>
                <w:rFonts w:ascii="Adobe Caslon Pro" w:hAnsi="Adobe Caslon Pro" w:cs="Calibri"/>
                <w:i/>
                <w:color w:val="000000"/>
                <w:sz w:val="20"/>
                <w:szCs w:val="20"/>
                <w:lang w:eastAsia="es-MX"/>
              </w:rPr>
              <w:t>El Fin y el Propósito atienden a la solución del problema planteado en el documento que contiene el diagnóstico.</w:t>
            </w:r>
          </w:p>
          <w:p w:rsidR="0041772C" w:rsidRDefault="0041772C" w:rsidP="00F075EB">
            <w:pPr>
              <w:numPr>
                <w:ilvl w:val="0"/>
                <w:numId w:val="12"/>
              </w:numPr>
              <w:jc w:val="both"/>
              <w:rPr>
                <w:rFonts w:ascii="Adobe Caslon Pro" w:hAnsi="Adobe Caslon Pro" w:cs="Calibri"/>
                <w:i/>
                <w:color w:val="000000"/>
                <w:sz w:val="20"/>
                <w:szCs w:val="20"/>
                <w:lang w:eastAsia="es-MX"/>
              </w:rPr>
            </w:pPr>
            <w:r w:rsidRPr="001D28CF">
              <w:rPr>
                <w:rFonts w:ascii="Adobe Caslon Pro" w:hAnsi="Adobe Caslon Pro" w:cs="Calibri"/>
                <w:i/>
                <w:color w:val="000000"/>
                <w:sz w:val="20"/>
                <w:szCs w:val="20"/>
                <w:lang w:eastAsia="es-MX"/>
              </w:rPr>
              <w:t>El Programa se alinea al Programa Sectorial de Desarrollo Social y Humano 2011-2016 en el Eje de la Política de Desarrollo Social y Humano.</w:t>
            </w:r>
          </w:p>
          <w:p w:rsidR="0041772C" w:rsidRDefault="0041772C" w:rsidP="00F075EB">
            <w:pPr>
              <w:numPr>
                <w:ilvl w:val="0"/>
                <w:numId w:val="12"/>
              </w:numPr>
              <w:jc w:val="both"/>
              <w:rPr>
                <w:rFonts w:ascii="Adobe Caslon Pro" w:hAnsi="Adobe Caslon Pro" w:cs="Calibri"/>
                <w:i/>
                <w:color w:val="000000"/>
                <w:sz w:val="20"/>
                <w:szCs w:val="20"/>
                <w:lang w:eastAsia="es-MX"/>
              </w:rPr>
            </w:pPr>
            <w:r w:rsidRPr="001D28CF">
              <w:rPr>
                <w:rFonts w:ascii="Adobe Caslon Pro" w:hAnsi="Adobe Caslon Pro" w:cs="Calibri"/>
                <w:i/>
                <w:color w:val="000000"/>
                <w:sz w:val="20"/>
                <w:szCs w:val="20"/>
                <w:lang w:eastAsia="es-MX"/>
              </w:rPr>
              <w:t>Los indicadores cumplen con los criterios de claridad, relevancia, economía, transparencia (</w:t>
            </w:r>
            <w:proofErr w:type="spellStart"/>
            <w:r w:rsidRPr="001D28CF">
              <w:rPr>
                <w:rFonts w:ascii="Adobe Caslon Pro" w:hAnsi="Adobe Caslon Pro" w:cs="Calibri"/>
                <w:i/>
                <w:color w:val="000000"/>
                <w:sz w:val="20"/>
                <w:szCs w:val="20"/>
                <w:lang w:eastAsia="es-MX"/>
              </w:rPr>
              <w:t>monitoreable</w:t>
            </w:r>
            <w:proofErr w:type="spellEnd"/>
            <w:r w:rsidRPr="001D28CF">
              <w:rPr>
                <w:rFonts w:ascii="Adobe Caslon Pro" w:hAnsi="Adobe Caslon Pro" w:cs="Calibri"/>
                <w:i/>
                <w:color w:val="000000"/>
                <w:sz w:val="20"/>
                <w:szCs w:val="20"/>
                <w:lang w:eastAsia="es-MX"/>
              </w:rPr>
              <w:t>), y confiabilidad (adecuado)</w:t>
            </w:r>
            <w:r>
              <w:rPr>
                <w:rFonts w:ascii="Adobe Caslon Pro" w:hAnsi="Adobe Caslon Pro" w:cs="Calibri"/>
                <w:i/>
                <w:color w:val="000000"/>
                <w:sz w:val="20"/>
                <w:szCs w:val="20"/>
                <w:lang w:eastAsia="es-MX"/>
              </w:rPr>
              <w:t>.</w:t>
            </w:r>
          </w:p>
          <w:p w:rsidR="0041772C" w:rsidRDefault="0041772C" w:rsidP="00F075EB">
            <w:pPr>
              <w:numPr>
                <w:ilvl w:val="0"/>
                <w:numId w:val="12"/>
              </w:numPr>
              <w:jc w:val="both"/>
              <w:rPr>
                <w:rFonts w:ascii="Adobe Caslon Pro" w:hAnsi="Adobe Caslon Pro" w:cs="Calibri"/>
                <w:i/>
                <w:color w:val="000000"/>
                <w:sz w:val="20"/>
                <w:szCs w:val="20"/>
                <w:lang w:eastAsia="es-MX"/>
              </w:rPr>
            </w:pPr>
            <w:r w:rsidRPr="001D28CF">
              <w:rPr>
                <w:rFonts w:ascii="Adobe Caslon Pro" w:hAnsi="Adobe Caslon Pro" w:cs="Calibri"/>
                <w:i/>
                <w:color w:val="000000"/>
                <w:sz w:val="20"/>
                <w:szCs w:val="20"/>
                <w:lang w:eastAsia="es-MX"/>
              </w:rPr>
              <w:t>El Programa ha identificado los medios de verificación para obtener cada uno de los indicadores</w:t>
            </w:r>
            <w:r>
              <w:rPr>
                <w:rFonts w:ascii="Adobe Caslon Pro" w:hAnsi="Adobe Caslon Pro" w:cs="Calibri"/>
                <w:i/>
                <w:color w:val="000000"/>
                <w:sz w:val="20"/>
                <w:szCs w:val="20"/>
                <w:lang w:eastAsia="es-MX"/>
              </w:rPr>
              <w:t>.</w:t>
            </w:r>
          </w:p>
          <w:p w:rsidR="0041772C" w:rsidRDefault="0041772C" w:rsidP="00F075EB">
            <w:pPr>
              <w:numPr>
                <w:ilvl w:val="0"/>
                <w:numId w:val="12"/>
              </w:numPr>
              <w:jc w:val="both"/>
              <w:rPr>
                <w:rFonts w:ascii="Adobe Caslon Pro" w:hAnsi="Adobe Caslon Pro" w:cs="Calibri"/>
                <w:i/>
                <w:color w:val="000000"/>
                <w:sz w:val="20"/>
                <w:szCs w:val="20"/>
                <w:lang w:eastAsia="es-MX"/>
              </w:rPr>
            </w:pPr>
            <w:r w:rsidRPr="001D28CF">
              <w:rPr>
                <w:rFonts w:ascii="Adobe Caslon Pro" w:hAnsi="Adobe Caslon Pro" w:cs="Calibri"/>
                <w:i/>
                <w:color w:val="000000"/>
                <w:sz w:val="20"/>
                <w:szCs w:val="20"/>
                <w:lang w:eastAsia="es-MX"/>
              </w:rPr>
              <w:t>La población que presenta el problema y/o necesidad (población potencial), así como la población objetivo están claramente definidas</w:t>
            </w:r>
            <w:r>
              <w:rPr>
                <w:rFonts w:ascii="Adobe Caslon Pro" w:hAnsi="Adobe Caslon Pro" w:cs="Calibri"/>
                <w:i/>
                <w:color w:val="000000"/>
                <w:sz w:val="20"/>
                <w:szCs w:val="20"/>
                <w:lang w:eastAsia="es-MX"/>
              </w:rPr>
              <w:t>.</w:t>
            </w:r>
          </w:p>
          <w:p w:rsidR="0041772C" w:rsidRPr="001D28CF" w:rsidRDefault="0041772C" w:rsidP="00A56E05">
            <w:pPr>
              <w:ind w:left="720"/>
              <w:jc w:val="both"/>
              <w:rPr>
                <w:rFonts w:ascii="Adobe Caslon Pro" w:hAnsi="Adobe Caslon Pro" w:cs="Calibri"/>
                <w:i/>
                <w:color w:val="000000"/>
                <w:sz w:val="20"/>
                <w:szCs w:val="20"/>
                <w:lang w:eastAsia="es-MX"/>
              </w:rPr>
            </w:pPr>
          </w:p>
          <w:p w:rsidR="0041772C" w:rsidRPr="00F11793"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41772C" w:rsidRDefault="0041772C" w:rsidP="00F075EB">
            <w:pPr>
              <w:numPr>
                <w:ilvl w:val="0"/>
                <w:numId w:val="62"/>
              </w:numPr>
              <w:ind w:left="655"/>
              <w:jc w:val="both"/>
              <w:rPr>
                <w:rFonts w:ascii="Adobe Caslon Pro" w:hAnsi="Adobe Caslon Pro" w:cs="Calibri"/>
                <w:i/>
                <w:color w:val="000000"/>
                <w:sz w:val="20"/>
                <w:szCs w:val="20"/>
                <w:lang w:eastAsia="es-MX"/>
              </w:rPr>
            </w:pPr>
            <w:r w:rsidRPr="00D4112A">
              <w:rPr>
                <w:rFonts w:ascii="Adobe Caslon Pro" w:hAnsi="Adobe Caslon Pro" w:cs="Calibri"/>
                <w:i/>
                <w:color w:val="000000"/>
                <w:sz w:val="20"/>
                <w:szCs w:val="20"/>
                <w:lang w:eastAsia="es-MX"/>
              </w:rPr>
              <w:t>Se establecen de manera clara los objetivos que se busca alcanzar con las acciones derivadas de la Secretaría de Desarrollo Social y Humano, así como la coordinación interinstitucional para buscar políticas públicas transversales.</w:t>
            </w:r>
          </w:p>
          <w:p w:rsidR="0041772C" w:rsidRDefault="0041772C" w:rsidP="00F075EB">
            <w:pPr>
              <w:numPr>
                <w:ilvl w:val="0"/>
                <w:numId w:val="62"/>
              </w:numPr>
              <w:ind w:left="655"/>
              <w:jc w:val="both"/>
              <w:rPr>
                <w:rFonts w:ascii="Adobe Caslon Pro" w:hAnsi="Adobe Caslon Pro" w:cs="Calibri"/>
                <w:i/>
                <w:color w:val="000000"/>
                <w:sz w:val="20"/>
                <w:szCs w:val="20"/>
                <w:lang w:eastAsia="es-MX"/>
              </w:rPr>
            </w:pPr>
            <w:r w:rsidRPr="00D4112A">
              <w:rPr>
                <w:rFonts w:ascii="Adobe Caslon Pro" w:hAnsi="Adobe Caslon Pro" w:cs="Calibri"/>
                <w:i/>
                <w:color w:val="000000"/>
                <w:sz w:val="20"/>
                <w:szCs w:val="20"/>
                <w:lang w:eastAsia="es-MX"/>
              </w:rPr>
              <w:t>El Programa tiene metas pertinentes y plazos específicos para sus indicadores de desempeño.</w:t>
            </w:r>
          </w:p>
          <w:p w:rsidR="0041772C" w:rsidRDefault="0041772C" w:rsidP="00F075EB">
            <w:pPr>
              <w:numPr>
                <w:ilvl w:val="0"/>
                <w:numId w:val="62"/>
              </w:numPr>
              <w:ind w:left="655"/>
              <w:jc w:val="both"/>
              <w:rPr>
                <w:rFonts w:ascii="Adobe Caslon Pro" w:hAnsi="Adobe Caslon Pro" w:cs="Calibri"/>
                <w:i/>
                <w:color w:val="000000"/>
                <w:sz w:val="20"/>
                <w:szCs w:val="20"/>
                <w:lang w:eastAsia="es-MX"/>
              </w:rPr>
            </w:pPr>
            <w:r w:rsidRPr="00D4112A">
              <w:rPr>
                <w:rFonts w:ascii="Adobe Caslon Pro" w:hAnsi="Adobe Caslon Pro" w:cs="Calibri"/>
                <w:i/>
                <w:color w:val="000000"/>
                <w:sz w:val="20"/>
                <w:szCs w:val="20"/>
                <w:lang w:eastAsia="es-MX"/>
              </w:rPr>
              <w:lastRenderedPageBreak/>
              <w:t>Los requerimientos de presupuesto están explícitamente ligados al cumplimiento de las metas de desempeño.</w:t>
            </w:r>
          </w:p>
          <w:p w:rsidR="0041772C" w:rsidRDefault="0041772C" w:rsidP="00F075EB">
            <w:pPr>
              <w:numPr>
                <w:ilvl w:val="0"/>
                <w:numId w:val="62"/>
              </w:numPr>
              <w:ind w:left="655"/>
              <w:jc w:val="both"/>
              <w:rPr>
                <w:rFonts w:ascii="Adobe Caslon Pro" w:hAnsi="Adobe Caslon Pro" w:cs="Calibri"/>
                <w:i/>
                <w:color w:val="000000"/>
                <w:sz w:val="20"/>
                <w:szCs w:val="20"/>
                <w:lang w:eastAsia="es-MX"/>
              </w:rPr>
            </w:pPr>
            <w:r w:rsidRPr="00D4112A">
              <w:rPr>
                <w:rFonts w:ascii="Adobe Caslon Pro" w:hAnsi="Adobe Caslon Pro" w:cs="Calibri"/>
                <w:i/>
                <w:color w:val="000000"/>
                <w:sz w:val="20"/>
                <w:szCs w:val="20"/>
                <w:lang w:eastAsia="es-MX"/>
              </w:rPr>
              <w:t>Se recolecta regularmente información oportuna y veraz que permita monitorear el desempeño del Programa.</w:t>
            </w:r>
          </w:p>
          <w:p w:rsidR="0041772C" w:rsidRPr="00813420" w:rsidRDefault="0041772C" w:rsidP="00A56E05">
            <w:pPr>
              <w:ind w:left="655"/>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COBERTURA Y FOCALIZACIÓN</w:t>
            </w:r>
          </w:p>
          <w:p w:rsidR="0041772C" w:rsidRPr="00802AD5" w:rsidRDefault="0041772C" w:rsidP="00F075EB">
            <w:pPr>
              <w:numPr>
                <w:ilvl w:val="0"/>
                <w:numId w:val="41"/>
              </w:numPr>
              <w:jc w:val="both"/>
              <w:rPr>
                <w:rFonts w:ascii="Adobe Caslon Pro" w:hAnsi="Adobe Caslon Pro" w:cs="Calibri"/>
                <w:i/>
                <w:color w:val="000000"/>
                <w:sz w:val="20"/>
                <w:szCs w:val="20"/>
                <w:lang w:eastAsia="es-MX"/>
              </w:rPr>
            </w:pPr>
            <w:r w:rsidRPr="00802AD5">
              <w:rPr>
                <w:rFonts w:ascii="Adobe Caslon Pro" w:hAnsi="Adobe Caslon Pro" w:cs="Calibri"/>
                <w:i/>
                <w:color w:val="000000"/>
                <w:sz w:val="20"/>
                <w:szCs w:val="20"/>
                <w:lang w:eastAsia="es-MX"/>
              </w:rPr>
              <w:t>En el interior del documento con nombre “Diseño General 2013”, se establece el análisis de invo</w:t>
            </w:r>
            <w:r>
              <w:rPr>
                <w:rFonts w:ascii="Adobe Caslon Pro" w:hAnsi="Adobe Caslon Pro" w:cs="Calibri"/>
                <w:i/>
                <w:color w:val="000000"/>
                <w:sz w:val="20"/>
                <w:szCs w:val="20"/>
                <w:lang w:eastAsia="es-MX"/>
              </w:rPr>
              <w:t xml:space="preserve">lucrados </w:t>
            </w:r>
            <w:r w:rsidRPr="00802AD5">
              <w:rPr>
                <w:rFonts w:ascii="Adobe Caslon Pro" w:hAnsi="Adobe Caslon Pro" w:cs="Calibri"/>
                <w:i/>
                <w:color w:val="000000"/>
                <w:sz w:val="20"/>
                <w:szCs w:val="20"/>
                <w:lang w:eastAsia="es-MX"/>
              </w:rPr>
              <w:t>que tienen el problema.</w:t>
            </w:r>
          </w:p>
          <w:p w:rsidR="0041772C" w:rsidRPr="00802AD5" w:rsidRDefault="0041772C" w:rsidP="00F075EB">
            <w:pPr>
              <w:numPr>
                <w:ilvl w:val="0"/>
                <w:numId w:val="41"/>
              </w:numPr>
              <w:jc w:val="both"/>
              <w:rPr>
                <w:rFonts w:ascii="Adobe Caslon Pro" w:hAnsi="Adobe Caslon Pro" w:cs="Calibri"/>
                <w:i/>
                <w:color w:val="000000"/>
                <w:sz w:val="20"/>
                <w:szCs w:val="20"/>
                <w:lang w:eastAsia="es-MX"/>
              </w:rPr>
            </w:pPr>
            <w:r w:rsidRPr="00802AD5">
              <w:rPr>
                <w:rFonts w:ascii="Adobe Caslon Pro" w:hAnsi="Adobe Caslon Pro" w:cs="Calibri"/>
                <w:i/>
                <w:color w:val="000000"/>
                <w:sz w:val="20"/>
                <w:szCs w:val="20"/>
                <w:lang w:eastAsia="es-MX"/>
              </w:rPr>
              <w:t>Se tiene plenamente integrado el padrón de beneficiarios.</w:t>
            </w:r>
          </w:p>
          <w:p w:rsidR="0041772C"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41772C" w:rsidRDefault="0041772C" w:rsidP="00F075EB">
            <w:pPr>
              <w:numPr>
                <w:ilvl w:val="0"/>
                <w:numId w:val="42"/>
              </w:numPr>
              <w:jc w:val="both"/>
              <w:rPr>
                <w:rFonts w:ascii="Adobe Caslon Pro" w:hAnsi="Adobe Caslon Pro" w:cs="Calibri"/>
                <w:i/>
                <w:color w:val="000000"/>
                <w:sz w:val="20"/>
                <w:szCs w:val="20"/>
                <w:lang w:eastAsia="es-MX"/>
              </w:rPr>
            </w:pPr>
            <w:r w:rsidRPr="00B22AD6">
              <w:rPr>
                <w:rFonts w:ascii="Adobe Caslon Pro" w:hAnsi="Adobe Caslon Pro" w:cs="Calibri"/>
                <w:i/>
                <w:color w:val="000000"/>
                <w:sz w:val="20"/>
                <w:szCs w:val="20"/>
                <w:lang w:eastAsia="es-MX"/>
              </w:rPr>
              <w:t xml:space="preserve">La selección de beneficiarios cumple con los criterios de elegibilidad y requisitos establecidos en las Reglas de Operación del Programa. </w:t>
            </w:r>
          </w:p>
          <w:p w:rsidR="0041772C" w:rsidRDefault="0041772C" w:rsidP="00F075EB">
            <w:pPr>
              <w:numPr>
                <w:ilvl w:val="0"/>
                <w:numId w:val="42"/>
              </w:numPr>
              <w:jc w:val="both"/>
              <w:rPr>
                <w:rFonts w:ascii="Adobe Caslon Pro" w:hAnsi="Adobe Caslon Pro" w:cs="Calibri"/>
                <w:i/>
                <w:color w:val="000000"/>
                <w:sz w:val="20"/>
                <w:szCs w:val="20"/>
                <w:lang w:eastAsia="es-MX"/>
              </w:rPr>
            </w:pPr>
            <w:r w:rsidRPr="00B22AD6">
              <w:rPr>
                <w:rFonts w:ascii="Adobe Caslon Pro" w:hAnsi="Adobe Caslon Pro" w:cs="Calibri"/>
                <w:i/>
                <w:color w:val="000000"/>
                <w:sz w:val="20"/>
                <w:szCs w:val="20"/>
                <w:lang w:eastAsia="es-MX"/>
              </w:rPr>
              <w:t>Existe evidencia documental de que el Programa cumple con los procesos de ejecución establecidos en la normatividad.</w:t>
            </w:r>
          </w:p>
          <w:p w:rsidR="0041772C" w:rsidRDefault="0041772C" w:rsidP="00F075EB">
            <w:pPr>
              <w:numPr>
                <w:ilvl w:val="0"/>
                <w:numId w:val="42"/>
              </w:numPr>
              <w:jc w:val="both"/>
              <w:rPr>
                <w:rFonts w:ascii="Adobe Caslon Pro" w:hAnsi="Adobe Caslon Pro" w:cs="Calibri"/>
                <w:i/>
                <w:color w:val="000000"/>
                <w:sz w:val="20"/>
                <w:szCs w:val="20"/>
                <w:lang w:eastAsia="es-MX"/>
              </w:rPr>
            </w:pPr>
            <w:r w:rsidRPr="00B22AD6">
              <w:rPr>
                <w:rFonts w:ascii="Adobe Caslon Pro" w:hAnsi="Adobe Caslon Pro" w:cs="Calibri"/>
                <w:i/>
                <w:color w:val="000000"/>
                <w:sz w:val="20"/>
                <w:szCs w:val="20"/>
                <w:lang w:eastAsia="es-MX"/>
              </w:rPr>
              <w:t>El Programa cuenta con una estructura organizacional que les permita entregar y/o producir los Componentes y alcanzar el logro del Propósito de cada uno de ellos.</w:t>
            </w:r>
          </w:p>
          <w:p w:rsidR="0041772C" w:rsidRDefault="0041772C" w:rsidP="00F075EB">
            <w:pPr>
              <w:numPr>
                <w:ilvl w:val="0"/>
                <w:numId w:val="42"/>
              </w:numPr>
              <w:jc w:val="both"/>
              <w:rPr>
                <w:rFonts w:ascii="Adobe Caslon Pro" w:hAnsi="Adobe Caslon Pro" w:cs="Calibri"/>
                <w:i/>
                <w:color w:val="000000"/>
                <w:sz w:val="20"/>
                <w:szCs w:val="20"/>
                <w:lang w:eastAsia="es-MX"/>
              </w:rPr>
            </w:pPr>
            <w:r w:rsidRPr="00B22AD6">
              <w:rPr>
                <w:rFonts w:ascii="Adobe Caslon Pro" w:hAnsi="Adobe Caslon Pro" w:cs="Calibri"/>
                <w:i/>
                <w:color w:val="000000"/>
                <w:sz w:val="20"/>
                <w:szCs w:val="20"/>
                <w:lang w:eastAsia="es-MX"/>
              </w:rPr>
              <w:t>Existen indicadores de eficacia en la operación del Programa.</w:t>
            </w:r>
          </w:p>
          <w:p w:rsidR="0041772C" w:rsidRDefault="0041772C" w:rsidP="00F075EB">
            <w:pPr>
              <w:numPr>
                <w:ilvl w:val="0"/>
                <w:numId w:val="42"/>
              </w:numPr>
              <w:jc w:val="both"/>
              <w:rPr>
                <w:rFonts w:ascii="Adobe Caslon Pro" w:hAnsi="Adobe Caslon Pro" w:cs="Calibri"/>
                <w:i/>
                <w:color w:val="000000"/>
                <w:sz w:val="20"/>
                <w:szCs w:val="20"/>
                <w:lang w:eastAsia="es-MX"/>
              </w:rPr>
            </w:pPr>
            <w:r w:rsidRPr="00B22AD6">
              <w:rPr>
                <w:rFonts w:ascii="Adobe Caslon Pro" w:hAnsi="Adobe Caslon Pro" w:cs="Calibri"/>
                <w:i/>
                <w:color w:val="000000"/>
                <w:sz w:val="20"/>
                <w:szCs w:val="20"/>
                <w:lang w:eastAsia="es-MX"/>
              </w:rPr>
              <w:t>Existen y funcionan los mecanismos de transparencia establecidos en la normatividad.</w:t>
            </w:r>
          </w:p>
          <w:p w:rsidR="0041772C"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PERCEPCIÓN DE LA POBLACIÓN OBJETIVO</w:t>
            </w:r>
          </w:p>
          <w:p w:rsidR="0041772C" w:rsidRDefault="0041772C" w:rsidP="00F075EB">
            <w:pPr>
              <w:numPr>
                <w:ilvl w:val="0"/>
                <w:numId w:val="63"/>
              </w:numPr>
              <w:jc w:val="both"/>
              <w:rPr>
                <w:rFonts w:ascii="Adobe Caslon Pro" w:hAnsi="Adobe Caslon Pro" w:cs="Calibri"/>
                <w:i/>
                <w:color w:val="000000"/>
                <w:sz w:val="20"/>
                <w:szCs w:val="20"/>
                <w:lang w:eastAsia="es-MX"/>
              </w:rPr>
            </w:pPr>
            <w:r w:rsidRPr="00B22AD6">
              <w:rPr>
                <w:rFonts w:ascii="Adobe Caslon Pro" w:hAnsi="Adobe Caslon Pro" w:cs="Calibri"/>
                <w:i/>
                <w:color w:val="000000"/>
                <w:sz w:val="20"/>
                <w:szCs w:val="20"/>
                <w:lang w:eastAsia="es-MX"/>
              </w:rPr>
              <w:t>El Programa cuenta con encuestas que le permitan medir el grado de satisfacción de la población objetivo</w:t>
            </w:r>
            <w:r>
              <w:rPr>
                <w:rFonts w:ascii="Adobe Caslon Pro" w:hAnsi="Adobe Caslon Pro" w:cs="Calibri"/>
                <w:i/>
                <w:color w:val="000000"/>
                <w:sz w:val="20"/>
                <w:szCs w:val="20"/>
                <w:lang w:eastAsia="es-MX"/>
              </w:rPr>
              <w:t>.</w:t>
            </w:r>
          </w:p>
          <w:p w:rsidR="0041772C" w:rsidRPr="00B22AD6"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RESULTADOS</w:t>
            </w:r>
          </w:p>
          <w:p w:rsidR="0041772C" w:rsidRDefault="0041772C" w:rsidP="00F075EB">
            <w:pPr>
              <w:numPr>
                <w:ilvl w:val="0"/>
                <w:numId w:val="63"/>
              </w:numPr>
              <w:jc w:val="both"/>
              <w:rPr>
                <w:rFonts w:ascii="Adobe Caslon Pro" w:hAnsi="Adobe Caslon Pro" w:cs="Calibri"/>
                <w:i/>
                <w:color w:val="000000"/>
                <w:sz w:val="20"/>
                <w:szCs w:val="20"/>
                <w:lang w:eastAsia="es-MX"/>
              </w:rPr>
            </w:pPr>
            <w:r w:rsidRPr="00B22AD6">
              <w:rPr>
                <w:rFonts w:ascii="Adobe Caslon Pro" w:hAnsi="Adobe Caslon Pro" w:cs="Calibri"/>
                <w:i/>
                <w:color w:val="000000"/>
                <w:sz w:val="20"/>
                <w:szCs w:val="20"/>
                <w:lang w:eastAsia="es-MX"/>
              </w:rPr>
              <w:t>El Programa ha llevado a cabo evaluaciones externas con metodologías rigurosas que le permiten medir el impacto</w:t>
            </w:r>
            <w:r>
              <w:rPr>
                <w:rFonts w:ascii="Adobe Caslon Pro" w:hAnsi="Adobe Caslon Pro" w:cs="Calibri"/>
                <w:i/>
                <w:color w:val="000000"/>
                <w:sz w:val="20"/>
                <w:szCs w:val="20"/>
                <w:lang w:eastAsia="es-MX"/>
              </w:rPr>
              <w:t>.</w:t>
            </w:r>
          </w:p>
          <w:p w:rsidR="0041772C" w:rsidRDefault="0041772C" w:rsidP="00F075EB">
            <w:pPr>
              <w:numPr>
                <w:ilvl w:val="0"/>
                <w:numId w:val="63"/>
              </w:numPr>
              <w:jc w:val="both"/>
              <w:rPr>
                <w:rFonts w:ascii="Adobe Caslon Pro" w:hAnsi="Adobe Caslon Pro" w:cs="Calibri"/>
                <w:i/>
                <w:color w:val="000000"/>
                <w:sz w:val="20"/>
                <w:szCs w:val="20"/>
                <w:lang w:eastAsia="es-MX"/>
              </w:rPr>
            </w:pPr>
            <w:r w:rsidRPr="00B22AD6">
              <w:rPr>
                <w:rFonts w:ascii="Adobe Caslon Pro" w:hAnsi="Adobe Caslon Pro" w:cs="Calibri"/>
                <w:i/>
                <w:color w:val="000000"/>
                <w:sz w:val="20"/>
                <w:szCs w:val="20"/>
                <w:lang w:eastAsia="es-MX"/>
              </w:rPr>
              <w:t>El diseño y la operación del Programa permiten realizar una evaluación de impacto rigurosa.</w:t>
            </w:r>
          </w:p>
          <w:p w:rsidR="0041772C"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EVALUACIÓN DE LA APLICACIÓN DE LOS RECURSOS</w:t>
            </w:r>
          </w:p>
          <w:p w:rsidR="0041772C" w:rsidRPr="00CB469F" w:rsidRDefault="0041772C" w:rsidP="00F075EB">
            <w:pPr>
              <w:numPr>
                <w:ilvl w:val="0"/>
                <w:numId w:val="42"/>
              </w:numPr>
              <w:jc w:val="both"/>
              <w:rPr>
                <w:rFonts w:ascii="Adobe Caslon Pro" w:hAnsi="Adobe Caslon Pro" w:cs="Calibri"/>
                <w:i/>
                <w:color w:val="000000"/>
                <w:sz w:val="20"/>
                <w:szCs w:val="20"/>
                <w:lang w:eastAsia="es-MX"/>
              </w:rPr>
            </w:pPr>
            <w:r w:rsidRPr="00CB469F">
              <w:rPr>
                <w:rFonts w:ascii="Adobe Caslon Pro" w:hAnsi="Adobe Caslon Pro" w:cs="Calibri"/>
                <w:i/>
                <w:color w:val="000000"/>
                <w:sz w:val="20"/>
                <w:szCs w:val="20"/>
                <w:lang w:eastAsia="es-MX"/>
              </w:rPr>
              <w:t>Los informes trimestrales y la transparencia de la información permite corroborar que los</w:t>
            </w:r>
            <w:r>
              <w:rPr>
                <w:rFonts w:ascii="Adobe Caslon Pro" w:hAnsi="Adobe Caslon Pro" w:cs="Calibri"/>
                <w:i/>
                <w:color w:val="000000"/>
                <w:sz w:val="20"/>
                <w:szCs w:val="20"/>
                <w:lang w:eastAsia="es-MX"/>
              </w:rPr>
              <w:t xml:space="preserve"> </w:t>
            </w:r>
            <w:r w:rsidRPr="00CB469F">
              <w:rPr>
                <w:rFonts w:ascii="Adobe Caslon Pro" w:hAnsi="Adobe Caslon Pro" w:cs="Calibri"/>
                <w:i/>
                <w:color w:val="000000"/>
                <w:sz w:val="20"/>
                <w:szCs w:val="20"/>
                <w:lang w:eastAsia="es-MX"/>
              </w:rPr>
              <w:t>recursos se transfirieron en</w:t>
            </w:r>
          </w:p>
          <w:p w:rsidR="0041772C" w:rsidRDefault="0041772C" w:rsidP="00F075EB">
            <w:pPr>
              <w:numPr>
                <w:ilvl w:val="0"/>
                <w:numId w:val="42"/>
              </w:numPr>
              <w:jc w:val="both"/>
              <w:rPr>
                <w:rFonts w:ascii="Adobe Caslon Pro" w:hAnsi="Adobe Caslon Pro" w:cs="Calibri"/>
                <w:i/>
                <w:color w:val="000000"/>
                <w:sz w:val="20"/>
                <w:szCs w:val="20"/>
                <w:lang w:eastAsia="es-MX"/>
              </w:rPr>
            </w:pPr>
            <w:r w:rsidRPr="00CB469F">
              <w:rPr>
                <w:rFonts w:ascii="Adobe Caslon Pro" w:hAnsi="Adobe Caslon Pro" w:cs="Calibri"/>
                <w:i/>
                <w:color w:val="000000"/>
                <w:sz w:val="20"/>
                <w:szCs w:val="20"/>
                <w:lang w:eastAsia="es-MX"/>
              </w:rPr>
              <w:t>tiempo y forma.</w:t>
            </w:r>
          </w:p>
          <w:p w:rsidR="0041772C" w:rsidRDefault="0041772C" w:rsidP="00F075EB">
            <w:pPr>
              <w:numPr>
                <w:ilvl w:val="0"/>
                <w:numId w:val="42"/>
              </w:numPr>
              <w:jc w:val="both"/>
              <w:rPr>
                <w:rFonts w:ascii="Adobe Caslon Pro" w:hAnsi="Adobe Caslon Pro" w:cs="Calibri"/>
                <w:i/>
                <w:color w:val="000000"/>
                <w:sz w:val="20"/>
                <w:szCs w:val="20"/>
                <w:lang w:eastAsia="es-MX"/>
              </w:rPr>
            </w:pPr>
            <w:r w:rsidRPr="00A45DBD">
              <w:rPr>
                <w:rFonts w:ascii="Adobe Caslon Pro" w:hAnsi="Adobe Caslon Pro" w:cs="Calibri"/>
                <w:i/>
                <w:color w:val="000000"/>
                <w:sz w:val="20"/>
                <w:szCs w:val="20"/>
                <w:lang w:eastAsia="es-MX"/>
              </w:rPr>
              <w:t>Se cuenta con una planeación estratégica previa que defina las acciones, obras, proyectos,</w:t>
            </w:r>
            <w:r>
              <w:rPr>
                <w:rFonts w:ascii="Adobe Caslon Pro" w:hAnsi="Adobe Caslon Pro" w:cs="Calibri"/>
                <w:i/>
                <w:color w:val="000000"/>
                <w:sz w:val="20"/>
                <w:szCs w:val="20"/>
                <w:lang w:eastAsia="es-MX"/>
              </w:rPr>
              <w:t xml:space="preserve"> </w:t>
            </w:r>
            <w:r w:rsidRPr="00A45DBD">
              <w:rPr>
                <w:rFonts w:ascii="Adobe Caslon Pro" w:hAnsi="Adobe Caslon Pro" w:cs="Calibri"/>
                <w:i/>
                <w:color w:val="000000"/>
                <w:sz w:val="20"/>
                <w:szCs w:val="20"/>
                <w:lang w:eastAsia="es-MX"/>
              </w:rPr>
              <w:t>actividades, y bienes y servicios</w:t>
            </w:r>
            <w:r>
              <w:rPr>
                <w:rFonts w:ascii="Adobe Caslon Pro" w:hAnsi="Adobe Caslon Pro" w:cs="Calibri"/>
                <w:i/>
                <w:color w:val="000000"/>
                <w:sz w:val="20"/>
                <w:szCs w:val="20"/>
                <w:lang w:eastAsia="es-MX"/>
              </w:rPr>
              <w:t xml:space="preserve"> </w:t>
            </w:r>
            <w:r w:rsidRPr="00A45DBD">
              <w:rPr>
                <w:rFonts w:ascii="Adobe Caslon Pro" w:hAnsi="Adobe Caslon Pro" w:cs="Calibri"/>
                <w:i/>
                <w:color w:val="000000"/>
                <w:sz w:val="20"/>
                <w:szCs w:val="20"/>
                <w:lang w:eastAsia="es-MX"/>
              </w:rPr>
              <w:t>a entregar.</w:t>
            </w:r>
          </w:p>
          <w:p w:rsidR="0041772C" w:rsidRPr="00CF0DB1" w:rsidRDefault="0041772C" w:rsidP="00F075EB">
            <w:pPr>
              <w:numPr>
                <w:ilvl w:val="0"/>
                <w:numId w:val="42"/>
              </w:numPr>
              <w:jc w:val="both"/>
              <w:rPr>
                <w:rFonts w:ascii="Adobe Caslon Pro" w:hAnsi="Adobe Caslon Pro" w:cs="Calibri"/>
                <w:i/>
                <w:color w:val="000000"/>
                <w:sz w:val="20"/>
                <w:szCs w:val="20"/>
                <w:lang w:eastAsia="es-MX"/>
              </w:rPr>
            </w:pPr>
            <w:r w:rsidRPr="00CF0DB1">
              <w:rPr>
                <w:rFonts w:ascii="Adobe Caslon Pro" w:hAnsi="Adobe Caslon Pro" w:cs="Calibri"/>
                <w:i/>
                <w:color w:val="000000"/>
                <w:sz w:val="20"/>
                <w:szCs w:val="20"/>
                <w:lang w:eastAsia="es-MX"/>
              </w:rPr>
              <w:t>Se tiene pleno conocimiento de la normatividad aplicable para efectos de proporcionar</w:t>
            </w:r>
            <w:r>
              <w:rPr>
                <w:rFonts w:ascii="Adobe Caslon Pro" w:hAnsi="Adobe Caslon Pro" w:cs="Calibri"/>
                <w:i/>
                <w:color w:val="000000"/>
                <w:sz w:val="20"/>
                <w:szCs w:val="20"/>
                <w:lang w:eastAsia="es-MX"/>
              </w:rPr>
              <w:t xml:space="preserve"> </w:t>
            </w:r>
            <w:r w:rsidRPr="00CF0DB1">
              <w:rPr>
                <w:rFonts w:ascii="Adobe Caslon Pro" w:hAnsi="Adobe Caslon Pro" w:cs="Calibri"/>
                <w:i/>
                <w:color w:val="000000"/>
                <w:sz w:val="20"/>
                <w:szCs w:val="20"/>
                <w:lang w:eastAsia="es-MX"/>
              </w:rPr>
              <w:t>información, en términos de</w:t>
            </w:r>
          </w:p>
          <w:p w:rsidR="0041772C" w:rsidRDefault="0041772C" w:rsidP="00F075EB">
            <w:pPr>
              <w:numPr>
                <w:ilvl w:val="0"/>
                <w:numId w:val="42"/>
              </w:numPr>
              <w:jc w:val="both"/>
              <w:rPr>
                <w:rFonts w:ascii="Adobe Caslon Pro" w:hAnsi="Adobe Caslon Pro" w:cs="Calibri"/>
                <w:i/>
                <w:color w:val="000000"/>
                <w:sz w:val="20"/>
                <w:szCs w:val="20"/>
                <w:lang w:eastAsia="es-MX"/>
              </w:rPr>
            </w:pPr>
            <w:r w:rsidRPr="00CF0DB1">
              <w:rPr>
                <w:rFonts w:ascii="Adobe Caslon Pro" w:hAnsi="Adobe Caslon Pro" w:cs="Calibri"/>
                <w:i/>
                <w:color w:val="000000"/>
                <w:sz w:val="20"/>
                <w:szCs w:val="20"/>
                <w:lang w:eastAsia="es-MX"/>
              </w:rPr>
              <w:t>trasparencia y rendición de</w:t>
            </w:r>
            <w:r>
              <w:rPr>
                <w:rFonts w:ascii="Adobe Caslon Pro" w:hAnsi="Adobe Caslon Pro" w:cs="Calibri"/>
                <w:i/>
                <w:color w:val="000000"/>
                <w:sz w:val="20"/>
                <w:szCs w:val="20"/>
                <w:lang w:eastAsia="es-MX"/>
              </w:rPr>
              <w:t xml:space="preserve"> </w:t>
            </w:r>
            <w:r w:rsidRPr="00CF0DB1">
              <w:rPr>
                <w:rFonts w:ascii="Adobe Caslon Pro" w:hAnsi="Adobe Caslon Pro" w:cs="Calibri"/>
                <w:i/>
                <w:color w:val="000000"/>
                <w:sz w:val="20"/>
                <w:szCs w:val="20"/>
                <w:lang w:eastAsia="es-MX"/>
              </w:rPr>
              <w:t>cuentas</w:t>
            </w:r>
            <w:r>
              <w:rPr>
                <w:rFonts w:ascii="Adobe Caslon Pro" w:hAnsi="Adobe Caslon Pro" w:cs="Calibri"/>
                <w:i/>
                <w:color w:val="000000"/>
                <w:sz w:val="20"/>
                <w:szCs w:val="20"/>
                <w:lang w:eastAsia="es-MX"/>
              </w:rPr>
              <w:t>.</w:t>
            </w:r>
          </w:p>
          <w:p w:rsidR="0041772C" w:rsidRPr="00BC02F0" w:rsidRDefault="0041772C" w:rsidP="00A56E05">
            <w:pPr>
              <w:ind w:left="720"/>
              <w:jc w:val="both"/>
              <w:rPr>
                <w:rFonts w:ascii="Adobe Caslon Pro" w:hAnsi="Adobe Caslon Pro" w:cs="Calibri"/>
                <w:i/>
                <w:color w:val="000000"/>
                <w:sz w:val="20"/>
                <w:szCs w:val="20"/>
                <w:lang w:eastAsia="es-MX"/>
              </w:rPr>
            </w:pP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41772C" w:rsidRPr="007B54F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2.2.2 Oportunidades</w:t>
            </w:r>
            <w:r>
              <w:rPr>
                <w:rFonts w:ascii="Adobe Caslon Pro" w:hAnsi="Adobe Caslon Pro" w:cs="Calibri"/>
                <w:color w:val="000000"/>
                <w:lang w:eastAsia="es-MX"/>
              </w:rPr>
              <w:t>:</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2.2.3 Debilidades</w:t>
            </w:r>
            <w:r>
              <w:rPr>
                <w:rFonts w:ascii="Adobe Caslon Pro" w:hAnsi="Adobe Caslon Pro" w:cs="Calibri"/>
                <w:color w:val="000000"/>
                <w:lang w:eastAsia="es-MX"/>
              </w:rPr>
              <w:t>:</w:t>
            </w:r>
          </w:p>
          <w:p w:rsidR="0041772C" w:rsidRDefault="0041772C" w:rsidP="00A56E05">
            <w:pPr>
              <w:rPr>
                <w:rFonts w:ascii="Adobe Caslon Pro" w:hAnsi="Adobe Caslon Pro" w:cs="Calibri"/>
                <w:color w:val="000000"/>
                <w:lang w:eastAsia="es-MX"/>
              </w:rPr>
            </w:pPr>
            <w:r>
              <w:rPr>
                <w:rFonts w:ascii="Adobe Caslon Pro" w:hAnsi="Adobe Caslon Pro" w:cs="Calibri"/>
                <w:color w:val="000000"/>
                <w:lang w:eastAsia="es-MX"/>
              </w:rPr>
              <w:t>DISEÑO</w:t>
            </w:r>
          </w:p>
          <w:p w:rsidR="0041772C" w:rsidRDefault="0041772C" w:rsidP="00F075EB">
            <w:pPr>
              <w:numPr>
                <w:ilvl w:val="0"/>
                <w:numId w:val="64"/>
              </w:numPr>
              <w:jc w:val="both"/>
              <w:rPr>
                <w:rFonts w:ascii="Adobe Caslon Pro" w:hAnsi="Adobe Caslon Pro" w:cs="Calibri"/>
                <w:i/>
                <w:color w:val="000000"/>
                <w:sz w:val="20"/>
                <w:lang w:eastAsia="es-MX"/>
              </w:rPr>
            </w:pPr>
            <w:r w:rsidRPr="00F70123">
              <w:rPr>
                <w:rFonts w:ascii="Adobe Caslon Pro" w:hAnsi="Adobe Caslon Pro" w:cs="Calibri"/>
                <w:i/>
                <w:color w:val="000000"/>
                <w:sz w:val="20"/>
                <w:lang w:eastAsia="es-MX"/>
              </w:rPr>
              <w:t>La redacción de los objetivos en el resumen narrativo de la Matriz del programa no atiende a los lineamientos de redacción de la CONEVAL</w:t>
            </w:r>
            <w:r>
              <w:rPr>
                <w:rFonts w:ascii="Adobe Caslon Pro" w:hAnsi="Adobe Caslon Pro" w:cs="Calibri"/>
                <w:i/>
                <w:color w:val="000000"/>
                <w:sz w:val="20"/>
                <w:lang w:eastAsia="es-MX"/>
              </w:rPr>
              <w:t>.</w:t>
            </w:r>
          </w:p>
          <w:p w:rsidR="0041772C" w:rsidRDefault="0041772C" w:rsidP="00F075EB">
            <w:pPr>
              <w:numPr>
                <w:ilvl w:val="0"/>
                <w:numId w:val="64"/>
              </w:numPr>
              <w:jc w:val="both"/>
              <w:rPr>
                <w:rFonts w:ascii="Adobe Caslon Pro" w:hAnsi="Adobe Caslon Pro" w:cs="Calibri"/>
                <w:i/>
                <w:color w:val="000000"/>
                <w:sz w:val="20"/>
                <w:lang w:eastAsia="es-MX"/>
              </w:rPr>
            </w:pPr>
            <w:r w:rsidRPr="00F70123">
              <w:rPr>
                <w:rFonts w:ascii="Adobe Caslon Pro" w:hAnsi="Adobe Caslon Pro" w:cs="Calibri"/>
                <w:i/>
                <w:color w:val="000000"/>
                <w:sz w:val="20"/>
                <w:lang w:eastAsia="es-MX"/>
              </w:rPr>
              <w:t>Los supuestos observados en la Matriz General del Programa no son válidos considerando que éstos no están correctamente ubicados</w:t>
            </w:r>
            <w:r>
              <w:rPr>
                <w:rFonts w:ascii="Adobe Caslon Pro" w:hAnsi="Adobe Caslon Pro" w:cs="Calibri"/>
                <w:i/>
                <w:color w:val="000000"/>
                <w:sz w:val="20"/>
                <w:lang w:eastAsia="es-MX"/>
              </w:rPr>
              <w:t>.</w:t>
            </w:r>
          </w:p>
          <w:p w:rsidR="0041772C" w:rsidRDefault="0041772C" w:rsidP="00F075EB">
            <w:pPr>
              <w:numPr>
                <w:ilvl w:val="0"/>
                <w:numId w:val="64"/>
              </w:numPr>
              <w:jc w:val="both"/>
              <w:rPr>
                <w:rFonts w:ascii="Adobe Caslon Pro" w:hAnsi="Adobe Caslon Pro" w:cs="Calibri"/>
                <w:i/>
                <w:color w:val="000000"/>
                <w:sz w:val="20"/>
                <w:lang w:eastAsia="es-MX"/>
              </w:rPr>
            </w:pPr>
            <w:r w:rsidRPr="00F70123">
              <w:rPr>
                <w:rFonts w:ascii="Adobe Caslon Pro" w:hAnsi="Adobe Caslon Pro" w:cs="Calibri"/>
                <w:i/>
                <w:color w:val="000000"/>
                <w:sz w:val="20"/>
                <w:lang w:eastAsia="es-MX"/>
              </w:rPr>
              <w:t xml:space="preserve">Los últimos tres indicadores correspondientes al ámbito de las Actividades de gestión no son claros en su </w:t>
            </w:r>
            <w:r w:rsidRPr="00F70123">
              <w:rPr>
                <w:rFonts w:ascii="Adobe Caslon Pro" w:hAnsi="Adobe Caslon Pro" w:cs="Calibri"/>
                <w:i/>
                <w:color w:val="000000"/>
                <w:sz w:val="20"/>
                <w:lang w:eastAsia="es-MX"/>
              </w:rPr>
              <w:lastRenderedPageBreak/>
              <w:t>expresión.</w:t>
            </w:r>
          </w:p>
          <w:p w:rsidR="0041772C" w:rsidRPr="00F70123" w:rsidRDefault="0041772C" w:rsidP="00A56E05">
            <w:pPr>
              <w:ind w:left="720"/>
              <w:rPr>
                <w:rFonts w:ascii="Adobe Caslon Pro" w:hAnsi="Adobe Caslon Pro" w:cs="Calibri"/>
                <w:i/>
                <w:color w:val="000000"/>
                <w:sz w:val="20"/>
                <w:lang w:eastAsia="es-MX"/>
              </w:rPr>
            </w:pPr>
          </w:p>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PLANEACIÓN ESTRATÉGICA</w:t>
            </w:r>
          </w:p>
          <w:p w:rsidR="0041772C" w:rsidRDefault="0041772C" w:rsidP="00F075EB">
            <w:pPr>
              <w:numPr>
                <w:ilvl w:val="0"/>
                <w:numId w:val="65"/>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Los indicadores de desempeño carecen de línea base.</w:t>
            </w:r>
          </w:p>
          <w:p w:rsidR="0041772C" w:rsidRPr="009C538D"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COBERTURA Y FOCALIZACIÓN</w:t>
            </w:r>
          </w:p>
          <w:p w:rsidR="0041772C" w:rsidRPr="00B85C91" w:rsidRDefault="0041772C" w:rsidP="00F075EB">
            <w:pPr>
              <w:numPr>
                <w:ilvl w:val="0"/>
                <w:numId w:val="65"/>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N</w:t>
            </w:r>
            <w:r w:rsidRPr="00B85C91">
              <w:rPr>
                <w:rFonts w:ascii="Adobe Caslon Pro" w:hAnsi="Adobe Caslon Pro" w:cs="Calibri"/>
                <w:i/>
                <w:color w:val="000000"/>
                <w:sz w:val="20"/>
                <w:szCs w:val="20"/>
                <w:lang w:eastAsia="es-MX"/>
              </w:rPr>
              <w:t>o se observan debilidades o</w:t>
            </w:r>
            <w:r>
              <w:rPr>
                <w:rFonts w:ascii="Adobe Caslon Pro" w:hAnsi="Adobe Caslon Pro" w:cs="Calibri"/>
                <w:i/>
                <w:color w:val="000000"/>
                <w:sz w:val="20"/>
                <w:szCs w:val="20"/>
                <w:lang w:eastAsia="es-MX"/>
              </w:rPr>
              <w:t xml:space="preserve"> </w:t>
            </w:r>
            <w:r w:rsidRPr="00B85C91">
              <w:rPr>
                <w:rFonts w:ascii="Adobe Caslon Pro" w:hAnsi="Adobe Caslon Pro" w:cs="Calibri"/>
                <w:i/>
                <w:color w:val="000000"/>
                <w:sz w:val="20"/>
                <w:szCs w:val="20"/>
                <w:lang w:eastAsia="es-MX"/>
              </w:rPr>
              <w:t>amenazas.</w:t>
            </w:r>
          </w:p>
          <w:p w:rsidR="0041772C" w:rsidRPr="00F70123"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41772C" w:rsidRDefault="0041772C" w:rsidP="00F075EB">
            <w:pPr>
              <w:numPr>
                <w:ilvl w:val="0"/>
                <w:numId w:val="65"/>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Los mecanismos de transferencias de recursos hacia las dependencias o entidades responsables del Programa no operan eficaz y eficientemente.</w:t>
            </w:r>
          </w:p>
          <w:p w:rsidR="0041772C" w:rsidRDefault="0041772C" w:rsidP="00F075EB">
            <w:pPr>
              <w:numPr>
                <w:ilvl w:val="0"/>
                <w:numId w:val="65"/>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Los informes no presentan fecha de emisión y firma de funcionario responsable</w:t>
            </w:r>
            <w:r>
              <w:rPr>
                <w:rFonts w:ascii="Adobe Caslon Pro" w:hAnsi="Adobe Caslon Pro" w:cs="Calibri"/>
                <w:i/>
                <w:color w:val="000000"/>
                <w:sz w:val="20"/>
                <w:szCs w:val="20"/>
                <w:lang w:eastAsia="es-MX"/>
              </w:rPr>
              <w:t>.</w:t>
            </w:r>
          </w:p>
          <w:p w:rsidR="0041772C" w:rsidRDefault="0041772C" w:rsidP="00F075EB">
            <w:pPr>
              <w:numPr>
                <w:ilvl w:val="0"/>
                <w:numId w:val="65"/>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No se cuenta con evidencia documental de un reporte de seguimiento de los indicadores de desempeño de los Componentes entregados.</w:t>
            </w:r>
          </w:p>
          <w:p w:rsidR="0041772C" w:rsidRDefault="0041772C" w:rsidP="00F075EB">
            <w:pPr>
              <w:numPr>
                <w:ilvl w:val="0"/>
                <w:numId w:val="65"/>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No se cuenta con procedimientos para medir costo-efectividad en la ejecución del Programa.</w:t>
            </w:r>
          </w:p>
          <w:p w:rsidR="0041772C" w:rsidRPr="00F11793"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PERCEPCIÓN DE LA POBLACIÓN OBJETIVO</w:t>
            </w:r>
          </w:p>
          <w:p w:rsidR="0041772C" w:rsidRDefault="0041772C" w:rsidP="00F075EB">
            <w:pPr>
              <w:numPr>
                <w:ilvl w:val="0"/>
                <w:numId w:val="66"/>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Las encuestas no son los mecanismos adecuados ni permiten presentar información objetiva.</w:t>
            </w:r>
          </w:p>
          <w:p w:rsidR="0041772C" w:rsidRPr="00F70123" w:rsidRDefault="0041772C" w:rsidP="00A56E05">
            <w:pPr>
              <w:jc w:val="both"/>
              <w:rPr>
                <w:rFonts w:ascii="Adobe Caslon Pro" w:hAnsi="Adobe Caslon Pro" w:cs="Calibr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sidRPr="00F70123">
              <w:rPr>
                <w:rFonts w:ascii="Adobe Caslon Pro" w:hAnsi="Adobe Caslon Pro" w:cs="Calibri"/>
                <w:color w:val="000000"/>
                <w:sz w:val="20"/>
                <w:szCs w:val="20"/>
                <w:lang w:eastAsia="es-MX"/>
              </w:rPr>
              <w:t>RESULTADOS</w:t>
            </w:r>
          </w:p>
          <w:p w:rsidR="0041772C" w:rsidRDefault="0041772C" w:rsidP="00F075EB">
            <w:pPr>
              <w:numPr>
                <w:ilvl w:val="0"/>
                <w:numId w:val="66"/>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El Programa no recolecta regularmente información veraz y oportuna sobre sus indicadores de Propósito y Fin.</w:t>
            </w:r>
          </w:p>
          <w:p w:rsidR="0041772C" w:rsidRPr="00F70123" w:rsidRDefault="0041772C" w:rsidP="00F075EB">
            <w:pPr>
              <w:numPr>
                <w:ilvl w:val="0"/>
                <w:numId w:val="66"/>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No se presenta claramente el progreso en el alcance de los objetivos de Propósito y Fin.</w:t>
            </w:r>
          </w:p>
          <w:p w:rsidR="0041772C" w:rsidRPr="00F70123" w:rsidRDefault="0041772C" w:rsidP="00A56E05">
            <w:pPr>
              <w:ind w:left="720"/>
              <w:jc w:val="both"/>
              <w:rPr>
                <w:rFonts w:ascii="Adobe Caslon Pro" w:hAnsi="Adobe Caslon Pro" w:cs="Calibri"/>
                <w:i/>
                <w:color w:val="000000"/>
                <w:sz w:val="20"/>
                <w:szCs w:val="20"/>
                <w:lang w:eastAsia="es-MX"/>
              </w:rPr>
            </w:pPr>
          </w:p>
          <w:p w:rsidR="0041772C" w:rsidRPr="00C961C5"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EVALUACIÓN DE LA APLICACIÓN DE LOS RE</w:t>
            </w:r>
            <w:r>
              <w:rPr>
                <w:rFonts w:ascii="Adobe Caslon Pro" w:hAnsi="Adobe Caslon Pro" w:cs="Calibri"/>
                <w:color w:val="000000"/>
                <w:sz w:val="20"/>
                <w:szCs w:val="20"/>
                <w:lang w:eastAsia="es-MX"/>
              </w:rPr>
              <w:t>CURSOS</w:t>
            </w:r>
          </w:p>
          <w:p w:rsidR="0041772C" w:rsidRDefault="0041772C" w:rsidP="00F075EB">
            <w:pPr>
              <w:numPr>
                <w:ilvl w:val="0"/>
                <w:numId w:val="13"/>
              </w:numPr>
              <w:jc w:val="both"/>
              <w:rPr>
                <w:rFonts w:ascii="Adobe Caslon Pro" w:hAnsi="Adobe Caslon Pro" w:cs="Calibri"/>
                <w:i/>
                <w:color w:val="000000"/>
                <w:sz w:val="20"/>
                <w:szCs w:val="20"/>
                <w:lang w:eastAsia="es-MX"/>
              </w:rPr>
            </w:pPr>
            <w:r w:rsidRPr="00F70123">
              <w:rPr>
                <w:rFonts w:ascii="Adobe Caslon Pro" w:hAnsi="Adobe Caslon Pro" w:cs="Calibri"/>
                <w:i/>
                <w:color w:val="000000"/>
                <w:sz w:val="20"/>
                <w:szCs w:val="20"/>
                <w:lang w:eastAsia="es-MX"/>
              </w:rPr>
              <w:t>No se muestra el grado de avance en cada uno de los indicadores que corresponde a cada objetivo.</w:t>
            </w:r>
          </w:p>
          <w:p w:rsidR="0041772C" w:rsidRPr="00BD117A" w:rsidRDefault="0041772C" w:rsidP="00A56E05">
            <w:pPr>
              <w:ind w:left="720"/>
              <w:jc w:val="both"/>
              <w:rPr>
                <w:rFonts w:ascii="Adobe Caslon Pro" w:hAnsi="Adobe Caslon Pro" w:cs="Calibri"/>
                <w:i/>
                <w:color w:val="000000"/>
                <w:sz w:val="20"/>
                <w:szCs w:val="20"/>
                <w:lang w:eastAsia="es-MX"/>
              </w:rPr>
            </w:pP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2.2.4 Amenazas</w:t>
            </w:r>
            <w:r>
              <w:rPr>
                <w:rFonts w:ascii="Adobe Caslon Pro" w:hAnsi="Adobe Caslon Pro" w:cs="Calibri"/>
                <w:color w:val="000000"/>
                <w:lang w:eastAsia="es-MX"/>
              </w:rPr>
              <w:t>:</w:t>
            </w:r>
          </w:p>
        </w:tc>
      </w:tr>
      <w:tr w:rsidR="0041772C" w:rsidRPr="004F6AC5"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41772C" w:rsidRPr="00066E84" w:rsidRDefault="0041772C" w:rsidP="00A56E05">
            <w:pPr>
              <w:jc w:val="center"/>
              <w:rPr>
                <w:rFonts w:ascii="Adobe Caslon Pro" w:hAnsi="Adobe Caslon Pro" w:cs="Calibri"/>
                <w:color w:val="000000"/>
                <w:lang w:eastAsia="es-MX"/>
              </w:rPr>
            </w:pP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41772C" w:rsidRPr="00066E84" w:rsidRDefault="0041772C" w:rsidP="00A56E05">
            <w:pPr>
              <w:rPr>
                <w:rFonts w:ascii="Trajan Pro" w:hAnsi="Trajan Pro" w:cs="Calibri"/>
                <w:b/>
                <w:bCs/>
                <w:color w:val="000000"/>
                <w:lang w:eastAsia="es-MX"/>
              </w:rPr>
            </w:pPr>
            <w:r w:rsidRPr="00066E84">
              <w:rPr>
                <w:rFonts w:ascii="Trajan Pro" w:hAnsi="Trajan Pro" w:cs="Calibri"/>
                <w:b/>
                <w:bCs/>
                <w:color w:val="000000"/>
                <w:lang w:eastAsia="es-MX"/>
              </w:rPr>
              <w:t>3. Conclusiones y recomendaciones de la evaluación</w:t>
            </w:r>
          </w:p>
        </w:tc>
      </w:tr>
      <w:tr w:rsidR="0041772C" w:rsidRPr="004F6AC5" w:rsidTr="00A56E05">
        <w:trPr>
          <w:trHeight w:val="110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41772C" w:rsidRDefault="0041772C" w:rsidP="00F075EB">
            <w:pPr>
              <w:numPr>
                <w:ilvl w:val="1"/>
                <w:numId w:val="15"/>
              </w:numPr>
              <w:rPr>
                <w:rFonts w:ascii="Adobe Caslon Pro" w:hAnsi="Adobe Caslon Pro" w:cs="Calibri"/>
                <w:color w:val="000000"/>
                <w:lang w:eastAsia="es-MX"/>
              </w:rPr>
            </w:pPr>
            <w:r w:rsidRPr="00066E84">
              <w:rPr>
                <w:rFonts w:ascii="Adobe Caslon Pro" w:hAnsi="Adobe Caslon Pro" w:cs="Calibri"/>
                <w:color w:val="000000"/>
                <w:lang w:eastAsia="es-MX"/>
              </w:rPr>
              <w:t>Describir brevemente las conclusiones de la evaluación</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41772C" w:rsidRDefault="0041772C"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w:t>
            </w:r>
            <w:r w:rsidRPr="00312C9C">
              <w:rPr>
                <w:rFonts w:ascii="Adobe Caslon Pro" w:hAnsi="Adobe Caslon Pro" w:cs="Calibri"/>
                <w:i/>
                <w:color w:val="000000"/>
                <w:sz w:val="20"/>
                <w:szCs w:val="20"/>
                <w:lang w:eastAsia="es-MX"/>
              </w:rPr>
              <w:t>l Programa se encuentra alineado conforme a lo establecido en el Plan de Desarrollo del Estado de Oaxaca</w:t>
            </w:r>
            <w:r>
              <w:rPr>
                <w:rFonts w:ascii="Adobe Caslon Pro" w:hAnsi="Adobe Caslon Pro" w:cs="Calibri"/>
                <w:i/>
                <w:color w:val="000000"/>
                <w:sz w:val="20"/>
                <w:szCs w:val="20"/>
                <w:lang w:eastAsia="es-MX"/>
              </w:rPr>
              <w:t>.</w:t>
            </w:r>
          </w:p>
          <w:p w:rsidR="0041772C" w:rsidRDefault="0041772C"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El</w:t>
            </w:r>
            <w:r w:rsidRPr="00312C9C">
              <w:rPr>
                <w:rFonts w:ascii="Adobe Caslon Pro" w:hAnsi="Adobe Caslon Pro" w:cs="Calibri"/>
                <w:i/>
                <w:color w:val="000000"/>
                <w:sz w:val="20"/>
                <w:szCs w:val="20"/>
                <w:lang w:eastAsia="es-MX"/>
              </w:rPr>
              <w:t xml:space="preserve"> Fin y el Propósito diseñados y planteados en la MATRIZ DE INDICADORES se encuentran enfocados en atender los objetivos estratégicos de desarrollo del Estado de Oaxaca.</w:t>
            </w:r>
          </w:p>
          <w:p w:rsidR="0041772C" w:rsidRDefault="0041772C"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El</w:t>
            </w:r>
            <w:r w:rsidRPr="00312C9C">
              <w:rPr>
                <w:rFonts w:ascii="Adobe Caslon Pro" w:hAnsi="Adobe Caslon Pro" w:cs="Calibri"/>
                <w:i/>
                <w:color w:val="000000"/>
                <w:sz w:val="20"/>
                <w:szCs w:val="20"/>
                <w:lang w:eastAsia="es-MX"/>
              </w:rPr>
              <w:t xml:space="preserve"> programa opera conforme a lo establecido en las Reglas de Operación y la población objetivo se atendió al 100% correspondiente a 500,000 beneficiarios de útiles escolares, y 975,000 en el rubro correspondiente a uniformes escolares; y en donde además se observa, que la selección de beneficiarios cumple con los criterios de elegibilidad y requisitos establecidos</w:t>
            </w:r>
            <w:r>
              <w:rPr>
                <w:rFonts w:ascii="Adobe Caslon Pro" w:hAnsi="Adobe Caslon Pro" w:cs="Calibri"/>
                <w:i/>
                <w:color w:val="000000"/>
                <w:sz w:val="20"/>
                <w:szCs w:val="20"/>
                <w:lang w:eastAsia="es-MX"/>
              </w:rPr>
              <w:t>.</w:t>
            </w:r>
          </w:p>
          <w:p w:rsidR="0041772C" w:rsidRDefault="0041772C"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w:t>
            </w:r>
            <w:r w:rsidRPr="00312C9C">
              <w:rPr>
                <w:rFonts w:ascii="Adobe Caslon Pro" w:hAnsi="Adobe Caslon Pro" w:cs="Calibri"/>
                <w:i/>
                <w:color w:val="000000"/>
                <w:sz w:val="20"/>
                <w:szCs w:val="20"/>
                <w:lang w:eastAsia="es-MX"/>
              </w:rPr>
              <w:t>l reporte de seguimiento y monitoreo financiero, así como el cierre del ejercicio y los recursos no devengados, observa que se ejerció el 99% de los recursos del presupuesto asignado, debido a retrasos en la recepción de los recursos.</w:t>
            </w:r>
          </w:p>
          <w:p w:rsidR="0041772C" w:rsidRDefault="0041772C" w:rsidP="00F075EB">
            <w:pPr>
              <w:numPr>
                <w:ilvl w:val="0"/>
                <w:numId w:val="43"/>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w:t>
            </w:r>
            <w:r w:rsidRPr="00312C9C">
              <w:rPr>
                <w:rFonts w:ascii="Adobe Caslon Pro" w:hAnsi="Adobe Caslon Pro" w:cs="Calibri"/>
                <w:i/>
                <w:color w:val="000000"/>
                <w:sz w:val="20"/>
                <w:szCs w:val="20"/>
                <w:lang w:eastAsia="es-MX"/>
              </w:rPr>
              <w:t xml:space="preserve">os informes generados de la operación del Programa no dan cuenta de la eficiencia del mismo en términos del costo </w:t>
            </w:r>
            <w:r>
              <w:rPr>
                <w:rFonts w:ascii="Adobe Caslon Pro" w:hAnsi="Adobe Caslon Pro" w:cs="Calibri"/>
                <w:i/>
                <w:color w:val="000000"/>
                <w:sz w:val="20"/>
                <w:szCs w:val="20"/>
                <w:lang w:eastAsia="es-MX"/>
              </w:rPr>
              <w:t>–</w:t>
            </w:r>
            <w:r w:rsidRPr="00312C9C">
              <w:rPr>
                <w:rFonts w:ascii="Adobe Caslon Pro" w:hAnsi="Adobe Caslon Pro" w:cs="Calibri"/>
                <w:i/>
                <w:color w:val="000000"/>
                <w:sz w:val="20"/>
                <w:szCs w:val="20"/>
                <w:lang w:eastAsia="es-MX"/>
              </w:rPr>
              <w:t xml:space="preserve"> beneficio</w:t>
            </w:r>
            <w:r>
              <w:rPr>
                <w:rFonts w:ascii="Adobe Caslon Pro" w:hAnsi="Adobe Caslon Pro" w:cs="Calibri"/>
                <w:i/>
                <w:color w:val="000000"/>
                <w:sz w:val="20"/>
                <w:szCs w:val="20"/>
                <w:lang w:eastAsia="es-MX"/>
              </w:rPr>
              <w:t>.</w:t>
            </w:r>
          </w:p>
          <w:p w:rsidR="0041772C" w:rsidRDefault="0041772C" w:rsidP="00F075EB">
            <w:pPr>
              <w:numPr>
                <w:ilvl w:val="0"/>
                <w:numId w:val="43"/>
              </w:numPr>
              <w:jc w:val="both"/>
              <w:rPr>
                <w:rFonts w:ascii="Adobe Caslon Pro" w:hAnsi="Adobe Caslon Pro" w:cs="Calibri"/>
                <w:i/>
                <w:color w:val="000000"/>
                <w:sz w:val="20"/>
                <w:szCs w:val="20"/>
                <w:lang w:eastAsia="es-MX"/>
              </w:rPr>
            </w:pPr>
            <w:r w:rsidRPr="00312C9C">
              <w:rPr>
                <w:rFonts w:ascii="Adobe Caslon Pro" w:hAnsi="Adobe Caslon Pro" w:cs="Calibri"/>
                <w:i/>
                <w:color w:val="000000"/>
                <w:sz w:val="20"/>
                <w:szCs w:val="20"/>
                <w:lang w:eastAsia="es-MX"/>
              </w:rPr>
              <w:t>El diseño del Programa se valida en lo general; no obstante se recomienda revisar y mejorar, incluyendo a todos los involucrados en el diseño, la Matriz de Indicadores de acuerdo con las reglas de sintaxis de la SHCP y el CONEVAL</w:t>
            </w:r>
            <w:r>
              <w:rPr>
                <w:rFonts w:ascii="Adobe Caslon Pro" w:hAnsi="Adobe Caslon Pro" w:cs="Calibri"/>
                <w:i/>
                <w:color w:val="000000"/>
                <w:sz w:val="20"/>
                <w:szCs w:val="20"/>
                <w:lang w:eastAsia="es-MX"/>
              </w:rPr>
              <w:t>.</w:t>
            </w:r>
          </w:p>
          <w:p w:rsidR="0041772C" w:rsidRPr="00156C6C" w:rsidRDefault="0041772C" w:rsidP="00A56E05">
            <w:pPr>
              <w:ind w:left="720"/>
              <w:jc w:val="both"/>
              <w:rPr>
                <w:rFonts w:ascii="Adobe Caslon Pro" w:hAnsi="Adobe Caslon Pro" w:cs="Calibri"/>
                <w:i/>
                <w:color w:val="000000"/>
                <w:sz w:val="20"/>
                <w:szCs w:val="20"/>
                <w:lang w:eastAsia="es-MX"/>
              </w:rPr>
            </w:pPr>
          </w:p>
        </w:tc>
      </w:tr>
      <w:tr w:rsidR="0041772C" w:rsidRPr="004F6AC5" w:rsidTr="00A56E05">
        <w:trPr>
          <w:trHeight w:val="525"/>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41772C" w:rsidRPr="00066E84" w:rsidRDefault="0041772C" w:rsidP="00F075EB">
            <w:pPr>
              <w:numPr>
                <w:ilvl w:val="1"/>
                <w:numId w:val="14"/>
              </w:numPr>
              <w:rPr>
                <w:rFonts w:ascii="Adobe Caslon Pro" w:hAnsi="Adobe Caslon Pro" w:cs="Calibri"/>
                <w:color w:val="000000"/>
                <w:lang w:eastAsia="es-MX"/>
              </w:rPr>
            </w:pPr>
            <w:r>
              <w:rPr>
                <w:rFonts w:ascii="Adobe Caslon Pro" w:hAnsi="Adobe Caslon Pro" w:cs="Calibri"/>
                <w:color w:val="000000"/>
                <w:lang w:eastAsia="es-MX"/>
              </w:rPr>
              <w:lastRenderedPageBreak/>
              <w:t>Describir</w:t>
            </w:r>
            <w:r w:rsidRPr="00066E84">
              <w:rPr>
                <w:rFonts w:ascii="Adobe Caslon Pro" w:hAnsi="Adobe Caslon Pro" w:cs="Calibri"/>
                <w:color w:val="000000"/>
                <w:lang w:eastAsia="es-MX"/>
              </w:rPr>
              <w:t xml:space="preserve"> las recomendaciones de acuerdo a su relevancia:</w:t>
            </w:r>
          </w:p>
        </w:tc>
      </w:tr>
      <w:tr w:rsidR="0041772C" w:rsidRPr="004F6AC5"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DISEÑO</w:t>
            </w:r>
          </w:p>
          <w:p w:rsidR="0041772C" w:rsidRDefault="0041772C" w:rsidP="00F075EB">
            <w:pPr>
              <w:numPr>
                <w:ilvl w:val="0"/>
                <w:numId w:val="67"/>
              </w:numPr>
              <w:jc w:val="both"/>
              <w:rPr>
                <w:rFonts w:ascii="Adobe Caslon Pro" w:hAnsi="Adobe Caslon Pro" w:cs="Calibri"/>
                <w:i/>
                <w:color w:val="000000"/>
                <w:sz w:val="20"/>
                <w:szCs w:val="20"/>
                <w:lang w:eastAsia="es-MX"/>
              </w:rPr>
            </w:pPr>
            <w:r w:rsidRPr="002C79BD">
              <w:rPr>
                <w:rFonts w:ascii="Adobe Caslon Pro" w:hAnsi="Adobe Caslon Pro" w:cs="Calibri"/>
                <w:i/>
                <w:color w:val="000000"/>
                <w:sz w:val="20"/>
                <w:szCs w:val="20"/>
                <w:lang w:eastAsia="es-MX"/>
              </w:rPr>
              <w:t>Para la redacción indicada del resumen narrativo de la Matriz de Indicadores del Programa se propone apegarse a lo establecido por el CONEVAL.</w:t>
            </w:r>
          </w:p>
          <w:p w:rsidR="0041772C" w:rsidRDefault="0041772C" w:rsidP="00F075EB">
            <w:pPr>
              <w:numPr>
                <w:ilvl w:val="0"/>
                <w:numId w:val="67"/>
              </w:numPr>
              <w:jc w:val="both"/>
              <w:rPr>
                <w:rFonts w:ascii="Adobe Caslon Pro" w:hAnsi="Adobe Caslon Pro" w:cs="Calibri"/>
                <w:i/>
                <w:color w:val="000000"/>
                <w:sz w:val="20"/>
                <w:szCs w:val="20"/>
                <w:lang w:eastAsia="es-MX"/>
              </w:rPr>
            </w:pPr>
            <w:r w:rsidRPr="002C79BD">
              <w:rPr>
                <w:rFonts w:ascii="Adobe Caslon Pro" w:hAnsi="Adobe Caslon Pro" w:cs="Calibri"/>
                <w:i/>
                <w:color w:val="000000"/>
                <w:sz w:val="20"/>
                <w:szCs w:val="20"/>
                <w:lang w:eastAsia="es-MX"/>
              </w:rPr>
              <w:t>Ubicar los supuestos de acuerdo con el ámbito de desempeño correspondiente al resumen narrativo.</w:t>
            </w:r>
          </w:p>
          <w:p w:rsidR="0041772C" w:rsidRDefault="0041772C" w:rsidP="00F075EB">
            <w:pPr>
              <w:numPr>
                <w:ilvl w:val="0"/>
                <w:numId w:val="67"/>
              </w:numPr>
              <w:jc w:val="both"/>
              <w:rPr>
                <w:rFonts w:ascii="Adobe Caslon Pro" w:hAnsi="Adobe Caslon Pro" w:cs="Calibri"/>
                <w:i/>
                <w:color w:val="000000"/>
                <w:sz w:val="20"/>
                <w:szCs w:val="20"/>
                <w:lang w:eastAsia="es-MX"/>
              </w:rPr>
            </w:pPr>
            <w:r w:rsidRPr="002C79BD">
              <w:rPr>
                <w:rFonts w:ascii="Adobe Caslon Pro" w:hAnsi="Adobe Caslon Pro" w:cs="Calibri"/>
                <w:i/>
                <w:color w:val="000000"/>
                <w:sz w:val="20"/>
                <w:szCs w:val="20"/>
                <w:lang w:eastAsia="es-MX"/>
              </w:rPr>
              <w:t>El nombre del indicador expresa la denominación precisa con la que se dis</w:t>
            </w:r>
            <w:r>
              <w:rPr>
                <w:rFonts w:ascii="Adobe Caslon Pro" w:hAnsi="Adobe Caslon Pro" w:cs="Calibri"/>
                <w:i/>
                <w:color w:val="000000"/>
                <w:sz w:val="20"/>
                <w:szCs w:val="20"/>
                <w:lang w:eastAsia="es-MX"/>
              </w:rPr>
              <w:t xml:space="preserve">tingue, no repite al objetivo. </w:t>
            </w:r>
            <w:r w:rsidRPr="002C79BD">
              <w:rPr>
                <w:rFonts w:ascii="Adobe Caslon Pro" w:hAnsi="Adobe Caslon Pro" w:cs="Calibri"/>
                <w:i/>
                <w:color w:val="000000"/>
                <w:sz w:val="20"/>
                <w:szCs w:val="20"/>
                <w:lang w:eastAsia="es-MX"/>
              </w:rPr>
              <w:t xml:space="preserve">Debe ser claro y entendible en sí mismo, pero </w:t>
            </w:r>
            <w:r>
              <w:rPr>
                <w:rFonts w:ascii="Adobe Caslon Pro" w:hAnsi="Adobe Caslon Pro" w:cs="Calibri"/>
                <w:i/>
                <w:color w:val="000000"/>
                <w:sz w:val="20"/>
                <w:szCs w:val="20"/>
                <w:lang w:eastAsia="es-MX"/>
              </w:rPr>
              <w:t>no presentarse como definición.</w:t>
            </w:r>
            <w:r w:rsidRPr="002C79BD">
              <w:rPr>
                <w:rFonts w:ascii="Adobe Caslon Pro" w:hAnsi="Adobe Caslon Pro" w:cs="Calibri"/>
                <w:i/>
                <w:color w:val="000000"/>
                <w:sz w:val="20"/>
                <w:szCs w:val="20"/>
                <w:lang w:eastAsia="es-MX"/>
              </w:rPr>
              <w:t xml:space="preserve"> No contiene el método de cálculo, pero debe ser consistente con el mismo.</w:t>
            </w:r>
          </w:p>
          <w:p w:rsidR="0041772C"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PLANEACIÓN ESTRATÉGICA</w:t>
            </w:r>
          </w:p>
          <w:p w:rsidR="0041772C" w:rsidRDefault="0041772C" w:rsidP="00F075EB">
            <w:pPr>
              <w:numPr>
                <w:ilvl w:val="0"/>
                <w:numId w:val="68"/>
              </w:numPr>
              <w:jc w:val="both"/>
              <w:rPr>
                <w:rFonts w:ascii="Adobe Caslon Pro" w:hAnsi="Adobe Caslon Pro" w:cs="Calibri"/>
                <w:i/>
                <w:color w:val="000000"/>
                <w:sz w:val="20"/>
                <w:szCs w:val="20"/>
                <w:lang w:eastAsia="es-MX"/>
              </w:rPr>
            </w:pPr>
            <w:r w:rsidRPr="002C79BD">
              <w:rPr>
                <w:rFonts w:ascii="Adobe Caslon Pro" w:hAnsi="Adobe Caslon Pro" w:cs="Calibri"/>
                <w:i/>
                <w:color w:val="000000"/>
                <w:sz w:val="20"/>
                <w:szCs w:val="20"/>
                <w:lang w:eastAsia="es-MX"/>
              </w:rPr>
              <w:t>La línea base es el valor del indicador que se establece como punto de partida para evaluarlo y darle seguimiento.</w:t>
            </w:r>
          </w:p>
          <w:p w:rsidR="0041772C" w:rsidRPr="002C79BD" w:rsidRDefault="0041772C" w:rsidP="00A56E05">
            <w:pPr>
              <w:jc w:val="both"/>
              <w:rPr>
                <w:rFonts w:ascii="Adobe Caslon Pro" w:hAnsi="Adobe Caslon Pro" w:cs="Calibri"/>
                <w:i/>
                <w:color w:val="000000"/>
                <w:sz w:val="20"/>
                <w:szCs w:val="20"/>
                <w:lang w:eastAsia="es-MX"/>
              </w:rPr>
            </w:pPr>
          </w:p>
          <w:p w:rsidR="0041772C" w:rsidRPr="00F11793"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OPERACIÓN</w:t>
            </w:r>
          </w:p>
          <w:p w:rsidR="0041772C" w:rsidRDefault="0041772C" w:rsidP="00F075EB">
            <w:pPr>
              <w:numPr>
                <w:ilvl w:val="0"/>
                <w:numId w:val="68"/>
              </w:numPr>
              <w:jc w:val="both"/>
              <w:rPr>
                <w:rFonts w:ascii="Adobe Caslon Pro" w:hAnsi="Adobe Caslon Pro" w:cs="Calibri"/>
                <w:i/>
                <w:color w:val="000000"/>
                <w:sz w:val="20"/>
                <w:szCs w:val="20"/>
                <w:lang w:eastAsia="es-MX"/>
              </w:rPr>
            </w:pPr>
            <w:r w:rsidRPr="00241FEC">
              <w:rPr>
                <w:rFonts w:ascii="Adobe Caslon Pro" w:hAnsi="Adobe Caslon Pro" w:cs="Calibri"/>
                <w:i/>
                <w:color w:val="000000"/>
                <w:sz w:val="20"/>
                <w:szCs w:val="20"/>
                <w:lang w:eastAsia="es-MX"/>
              </w:rPr>
              <w:t>En caso de que haya retrasos en la transferencia de recursos, determinar la posibilidad de modificación de presupuesto.</w:t>
            </w:r>
          </w:p>
          <w:p w:rsidR="0041772C" w:rsidRDefault="0041772C" w:rsidP="00F075EB">
            <w:pPr>
              <w:numPr>
                <w:ilvl w:val="0"/>
                <w:numId w:val="68"/>
              </w:numPr>
              <w:jc w:val="both"/>
              <w:rPr>
                <w:rFonts w:ascii="Adobe Caslon Pro" w:hAnsi="Adobe Caslon Pro" w:cs="Calibri"/>
                <w:i/>
                <w:color w:val="000000"/>
                <w:sz w:val="20"/>
                <w:szCs w:val="20"/>
                <w:lang w:eastAsia="es-MX"/>
              </w:rPr>
            </w:pPr>
            <w:r w:rsidRPr="00241FEC">
              <w:rPr>
                <w:rFonts w:ascii="Adobe Caslon Pro" w:hAnsi="Adobe Caslon Pro" w:cs="Calibri"/>
                <w:i/>
                <w:color w:val="000000"/>
                <w:sz w:val="20"/>
                <w:szCs w:val="20"/>
                <w:lang w:eastAsia="es-MX"/>
              </w:rPr>
              <w:t>La fecha de emisión y firma de funcionario responsable permite la confiabilidad de la información.</w:t>
            </w:r>
          </w:p>
          <w:p w:rsidR="0041772C" w:rsidRDefault="0041772C" w:rsidP="00F075EB">
            <w:pPr>
              <w:numPr>
                <w:ilvl w:val="0"/>
                <w:numId w:val="68"/>
              </w:numPr>
              <w:jc w:val="both"/>
              <w:rPr>
                <w:rFonts w:ascii="Adobe Caslon Pro" w:hAnsi="Adobe Caslon Pro" w:cs="Calibri"/>
                <w:i/>
                <w:color w:val="000000"/>
                <w:sz w:val="20"/>
                <w:szCs w:val="20"/>
                <w:lang w:eastAsia="es-MX"/>
              </w:rPr>
            </w:pPr>
            <w:r w:rsidRPr="00241FEC">
              <w:rPr>
                <w:rFonts w:ascii="Adobe Caslon Pro" w:hAnsi="Adobe Caslon Pro" w:cs="Calibri"/>
                <w:i/>
                <w:color w:val="000000"/>
                <w:sz w:val="20"/>
                <w:szCs w:val="20"/>
                <w:lang w:eastAsia="es-MX"/>
              </w:rPr>
              <w:t>Es importante transparentar a información relativa a los avances físicos y financiero del programa durante el ejercicio.</w:t>
            </w:r>
          </w:p>
          <w:p w:rsidR="0041772C" w:rsidRDefault="0041772C" w:rsidP="00F075EB">
            <w:pPr>
              <w:numPr>
                <w:ilvl w:val="0"/>
                <w:numId w:val="68"/>
              </w:numPr>
              <w:jc w:val="both"/>
              <w:rPr>
                <w:rFonts w:ascii="Adobe Caslon Pro" w:hAnsi="Adobe Caslon Pro" w:cs="Calibri"/>
                <w:i/>
                <w:color w:val="000000"/>
                <w:sz w:val="20"/>
                <w:szCs w:val="20"/>
                <w:lang w:eastAsia="es-MX"/>
              </w:rPr>
            </w:pPr>
            <w:r w:rsidRPr="00241FEC">
              <w:rPr>
                <w:rFonts w:ascii="Adobe Caslon Pro" w:hAnsi="Adobe Caslon Pro" w:cs="Calibri"/>
                <w:i/>
                <w:color w:val="000000"/>
                <w:sz w:val="20"/>
                <w:szCs w:val="20"/>
                <w:lang w:eastAsia="es-MX"/>
              </w:rPr>
              <w:t>Implementar procesos que midan el costo efectividad del programa.</w:t>
            </w:r>
          </w:p>
          <w:p w:rsidR="0041772C" w:rsidRPr="00A5758C"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sidRPr="00F11793">
              <w:rPr>
                <w:rFonts w:ascii="Adobe Caslon Pro" w:hAnsi="Adobe Caslon Pro" w:cs="Calibri"/>
                <w:color w:val="000000"/>
                <w:sz w:val="20"/>
                <w:szCs w:val="20"/>
                <w:lang w:eastAsia="es-MX"/>
              </w:rPr>
              <w:t>PERC</w:t>
            </w:r>
            <w:r>
              <w:rPr>
                <w:rFonts w:ascii="Adobe Caslon Pro" w:hAnsi="Adobe Caslon Pro" w:cs="Calibri"/>
                <w:color w:val="000000"/>
                <w:sz w:val="20"/>
                <w:szCs w:val="20"/>
                <w:lang w:eastAsia="es-MX"/>
              </w:rPr>
              <w:t>EPCIÓN DE LA POBLACIÓN OBJETIVO</w:t>
            </w:r>
          </w:p>
          <w:p w:rsidR="0041772C" w:rsidRDefault="0041772C" w:rsidP="00F075EB">
            <w:pPr>
              <w:numPr>
                <w:ilvl w:val="0"/>
                <w:numId w:val="13"/>
              </w:numPr>
              <w:jc w:val="both"/>
              <w:rPr>
                <w:rFonts w:ascii="Adobe Caslon Pro" w:hAnsi="Adobe Caslon Pro" w:cs="Calibri"/>
                <w:i/>
                <w:color w:val="000000"/>
                <w:sz w:val="20"/>
                <w:szCs w:val="20"/>
                <w:lang w:eastAsia="es-MX"/>
              </w:rPr>
            </w:pPr>
            <w:r w:rsidRPr="00241FEC">
              <w:rPr>
                <w:rFonts w:ascii="Adobe Caslon Pro" w:hAnsi="Adobe Caslon Pro" w:cs="Calibri"/>
                <w:i/>
                <w:color w:val="000000"/>
                <w:sz w:val="20"/>
                <w:szCs w:val="20"/>
                <w:lang w:eastAsia="es-MX"/>
              </w:rPr>
              <w:t>Los resultados de las encuestas deben presentar información seccionada por periodo, identificar al programa y el área geográfica.</w:t>
            </w:r>
          </w:p>
          <w:p w:rsidR="0041772C"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RESULTADOS</w:t>
            </w:r>
          </w:p>
          <w:p w:rsidR="0041772C" w:rsidRDefault="0041772C" w:rsidP="00F075EB">
            <w:pPr>
              <w:numPr>
                <w:ilvl w:val="0"/>
                <w:numId w:val="13"/>
              </w:numPr>
              <w:jc w:val="both"/>
              <w:rPr>
                <w:rFonts w:ascii="Adobe Caslon Pro" w:hAnsi="Adobe Caslon Pro" w:cs="Calibri"/>
                <w:i/>
                <w:color w:val="000000"/>
                <w:sz w:val="20"/>
                <w:szCs w:val="20"/>
                <w:lang w:eastAsia="es-MX"/>
              </w:rPr>
            </w:pPr>
            <w:r w:rsidRPr="00241FEC">
              <w:rPr>
                <w:rFonts w:ascii="Adobe Caslon Pro" w:hAnsi="Adobe Caslon Pro" w:cs="Calibri"/>
                <w:i/>
                <w:color w:val="000000"/>
                <w:sz w:val="20"/>
                <w:szCs w:val="20"/>
                <w:lang w:eastAsia="es-MX"/>
              </w:rPr>
              <w:t>Se recomienda que a nivel de Propósito la recolección de la información sea anual y de Fin pudiera ser igual o mayor.</w:t>
            </w:r>
          </w:p>
          <w:p w:rsidR="0041772C" w:rsidRDefault="0041772C" w:rsidP="00F075EB">
            <w:pPr>
              <w:numPr>
                <w:ilvl w:val="0"/>
                <w:numId w:val="13"/>
              </w:numPr>
              <w:jc w:val="both"/>
              <w:rPr>
                <w:rFonts w:ascii="Adobe Caslon Pro" w:hAnsi="Adobe Caslon Pro" w:cs="Calibri"/>
                <w:i/>
                <w:color w:val="000000"/>
                <w:sz w:val="20"/>
                <w:szCs w:val="20"/>
                <w:lang w:eastAsia="es-MX"/>
              </w:rPr>
            </w:pPr>
            <w:r w:rsidRPr="00241FEC">
              <w:rPr>
                <w:rFonts w:ascii="Adobe Caslon Pro" w:hAnsi="Adobe Caslon Pro" w:cs="Calibri"/>
                <w:i/>
                <w:color w:val="000000"/>
                <w:sz w:val="20"/>
                <w:szCs w:val="20"/>
                <w:lang w:eastAsia="es-MX"/>
              </w:rPr>
              <w:t>Se sugiere que los resultados y alcances obtenidos a cada uno de los objetivos del resumen narrativo sean publicados.</w:t>
            </w:r>
          </w:p>
          <w:p w:rsidR="0041772C" w:rsidRDefault="0041772C" w:rsidP="00A56E05">
            <w:pPr>
              <w:ind w:left="720"/>
              <w:jc w:val="both"/>
              <w:rPr>
                <w:rFonts w:ascii="Adobe Caslon Pro" w:hAnsi="Adobe Caslon Pro" w:cs="Calibri"/>
                <w:i/>
                <w:color w:val="000000"/>
                <w:sz w:val="20"/>
                <w:szCs w:val="20"/>
                <w:lang w:eastAsia="es-MX"/>
              </w:rPr>
            </w:pPr>
          </w:p>
          <w:p w:rsidR="0041772C" w:rsidRDefault="0041772C" w:rsidP="00A56E05">
            <w:pPr>
              <w:jc w:val="both"/>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EVALUACIÓN DE LA APLICACIÓN DE LOS RECURSOS</w:t>
            </w:r>
          </w:p>
          <w:p w:rsidR="0041772C" w:rsidRDefault="0041772C" w:rsidP="00F075EB">
            <w:pPr>
              <w:numPr>
                <w:ilvl w:val="0"/>
                <w:numId w:val="69"/>
              </w:numPr>
              <w:jc w:val="both"/>
              <w:rPr>
                <w:rFonts w:ascii="Adobe Caslon Pro" w:hAnsi="Adobe Caslon Pro" w:cs="Calibri"/>
                <w:i/>
                <w:color w:val="000000"/>
                <w:sz w:val="20"/>
                <w:szCs w:val="20"/>
                <w:lang w:eastAsia="es-MX"/>
              </w:rPr>
            </w:pPr>
            <w:r w:rsidRPr="00241FEC">
              <w:rPr>
                <w:rFonts w:ascii="Adobe Caslon Pro" w:hAnsi="Adobe Caslon Pro" w:cs="Calibri"/>
                <w:i/>
                <w:color w:val="000000"/>
                <w:sz w:val="20"/>
                <w:szCs w:val="20"/>
                <w:lang w:eastAsia="es-MX"/>
              </w:rPr>
              <w:t>Se sugiere aplicar los indicadores de forma periódica que permitan medir el avance de las metas para realizar acciones correctivas.</w:t>
            </w:r>
          </w:p>
          <w:p w:rsidR="0041772C" w:rsidRPr="00241FEC" w:rsidRDefault="0041772C" w:rsidP="00A56E05">
            <w:pPr>
              <w:ind w:left="720"/>
              <w:jc w:val="both"/>
              <w:rPr>
                <w:rFonts w:ascii="Adobe Caslon Pro" w:hAnsi="Adobe Caslon Pro" w:cs="Calibri"/>
                <w:i/>
                <w:color w:val="000000"/>
                <w:sz w:val="20"/>
                <w:szCs w:val="20"/>
                <w:lang w:eastAsia="es-MX"/>
              </w:rPr>
            </w:pPr>
          </w:p>
        </w:tc>
      </w:tr>
      <w:tr w:rsidR="0041772C" w:rsidRPr="004F6AC5" w:rsidTr="00A56E05">
        <w:trPr>
          <w:trHeight w:val="105"/>
          <w:jc w:val="center"/>
        </w:trPr>
        <w:tc>
          <w:tcPr>
            <w:tcW w:w="579"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2375" w:type="dxa"/>
            <w:gridSpan w:val="2"/>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r>
      <w:tr w:rsidR="0041772C" w:rsidRPr="004F6AC5"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41772C" w:rsidRPr="00066E84" w:rsidRDefault="0041772C" w:rsidP="00A56E05">
            <w:pPr>
              <w:rPr>
                <w:rFonts w:ascii="Trajan Pro" w:hAnsi="Trajan Pro" w:cs="Calibri"/>
                <w:b/>
                <w:bCs/>
                <w:color w:val="000000"/>
                <w:lang w:eastAsia="es-MX"/>
              </w:rPr>
            </w:pPr>
            <w:r w:rsidRPr="00066E84">
              <w:rPr>
                <w:rFonts w:ascii="Trajan Pro" w:hAnsi="Trajan Pro" w:cs="Calibri"/>
                <w:b/>
                <w:bCs/>
                <w:color w:val="00000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4.1 Nombre del coordinador de la evaluación</w:t>
            </w:r>
            <w:r>
              <w:rPr>
                <w:rFonts w:ascii="Adobe Caslon Pro" w:hAnsi="Adobe Caslon Pro" w:cs="Calibri"/>
                <w:color w:val="000000"/>
                <w:lang w:eastAsia="es-MX"/>
              </w:rPr>
              <w:t>:</w:t>
            </w:r>
          </w:p>
          <w:p w:rsidR="0041772C" w:rsidRPr="005C31CA" w:rsidRDefault="0041772C"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Dra. Luz Elvia Rascón </w:t>
            </w:r>
            <w:proofErr w:type="spellStart"/>
            <w:r>
              <w:rPr>
                <w:rFonts w:ascii="Adobe Caslon Pro" w:hAnsi="Adobe Caslon Pro" w:cs="Calibri"/>
                <w:i/>
                <w:color w:val="000000"/>
                <w:sz w:val="20"/>
                <w:lang w:eastAsia="es-MX"/>
              </w:rPr>
              <w:t>Manquero</w:t>
            </w:r>
            <w:proofErr w:type="spellEnd"/>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4.2 Cargo</w:t>
            </w:r>
            <w:r>
              <w:rPr>
                <w:rFonts w:ascii="Adobe Caslon Pro" w:hAnsi="Adobe Caslon Pro" w:cs="Calibri"/>
                <w:color w:val="000000"/>
                <w:lang w:eastAsia="es-MX"/>
              </w:rPr>
              <w:t>:</w:t>
            </w:r>
          </w:p>
          <w:p w:rsidR="0041772C" w:rsidRPr="005C31CA" w:rsidRDefault="0041772C" w:rsidP="00A56E05">
            <w:pPr>
              <w:rPr>
                <w:rFonts w:ascii="Adobe Caslon Pro" w:hAnsi="Adobe Caslon Pro" w:cs="Calibri"/>
                <w:i/>
                <w:color w:val="000000"/>
                <w:lang w:eastAsia="es-MX"/>
              </w:rPr>
            </w:pPr>
            <w:r>
              <w:rPr>
                <w:rFonts w:ascii="Adobe Caslon Pro" w:hAnsi="Adobe Caslon Pro" w:cs="Calibri"/>
                <w:i/>
                <w:color w:val="000000"/>
                <w:sz w:val="20"/>
                <w:lang w:eastAsia="es-MX"/>
              </w:rPr>
              <w:t xml:space="preserve">Directora del Sistema Integral de Información y Líder del Proyecto de </w:t>
            </w:r>
            <w:proofErr w:type="spellStart"/>
            <w:r>
              <w:rPr>
                <w:rFonts w:ascii="Adobe Caslon Pro" w:hAnsi="Adobe Caslon Pro" w:cs="Calibri"/>
                <w:i/>
                <w:color w:val="000000"/>
                <w:sz w:val="20"/>
                <w:lang w:eastAsia="es-MX"/>
              </w:rPr>
              <w:t>PbR</w:t>
            </w:r>
            <w:proofErr w:type="spellEnd"/>
            <w:r>
              <w:rPr>
                <w:rFonts w:ascii="Adobe Caslon Pro" w:hAnsi="Adobe Caslon Pro" w:cs="Calibri"/>
                <w:i/>
                <w:color w:val="000000"/>
                <w:sz w:val="20"/>
                <w:lang w:eastAsia="es-MX"/>
              </w:rPr>
              <w:t xml:space="preserve"> y Evaluación del Desempeño</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4.3 Institución a la que pertenece</w:t>
            </w:r>
            <w:r>
              <w:rPr>
                <w:rFonts w:ascii="Adobe Caslon Pro" w:hAnsi="Adobe Caslon Pro" w:cs="Calibri"/>
                <w:color w:val="000000"/>
                <w:lang w:eastAsia="es-MX"/>
              </w:rPr>
              <w:t>:</w:t>
            </w:r>
            <w:r w:rsidRPr="00066E84">
              <w:rPr>
                <w:rFonts w:ascii="Adobe Caslon Pro" w:hAnsi="Adobe Caslon Pro" w:cs="Calibri"/>
                <w:color w:val="000000"/>
                <w:lang w:eastAsia="es-MX"/>
              </w:rPr>
              <w:t xml:space="preserve">  </w:t>
            </w:r>
          </w:p>
          <w:p w:rsidR="0041772C" w:rsidRPr="00DF7C94" w:rsidRDefault="0041772C" w:rsidP="00A56E05">
            <w:pPr>
              <w:rPr>
                <w:rFonts w:ascii="Adobe Caslon Pro" w:hAnsi="Adobe Caslon Pro" w:cs="Calibri"/>
                <w:i/>
                <w:color w:val="000000"/>
                <w:lang w:eastAsia="es-MX"/>
              </w:rPr>
            </w:pPr>
            <w:r w:rsidRPr="00DF7C94">
              <w:rPr>
                <w:rFonts w:ascii="Adobe Caslon Pro" w:hAnsi="Adobe Caslon Pro" w:cs="Calibri"/>
                <w:i/>
                <w:color w:val="000000"/>
                <w:sz w:val="20"/>
                <w:lang w:eastAsia="es-MX"/>
              </w:rPr>
              <w:t>Instituto para el Desarrollo Técnico de las Haciendas Públicas (INDETEC)</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4.4 Principales colaboradores</w:t>
            </w:r>
            <w:r>
              <w:rPr>
                <w:rFonts w:ascii="Adobe Caslon Pro" w:hAnsi="Adobe Caslon Pro" w:cs="Calibri"/>
                <w:color w:val="000000"/>
                <w:lang w:eastAsia="es-MX"/>
              </w:rPr>
              <w:t>:</w:t>
            </w:r>
          </w:p>
          <w:p w:rsidR="0041772C" w:rsidRPr="00A14BB1" w:rsidRDefault="0041772C" w:rsidP="00A56E05">
            <w:pPr>
              <w:rPr>
                <w:rFonts w:ascii="Adobe Caslon Pro" w:hAnsi="Adobe Caslon Pro" w:cs="Calibri"/>
                <w:i/>
                <w:color w:val="000000"/>
                <w:sz w:val="20"/>
                <w:lang w:eastAsia="es-MX"/>
              </w:rPr>
            </w:pPr>
            <w:r w:rsidRPr="00A14BB1">
              <w:rPr>
                <w:rFonts w:ascii="Adobe Caslon Pro" w:hAnsi="Adobe Caslon Pro" w:cs="Calibri"/>
                <w:i/>
                <w:color w:val="000000"/>
                <w:sz w:val="20"/>
                <w:lang w:eastAsia="es-MX"/>
              </w:rPr>
              <w:t>Lic. Arturo Alejandro Preciado Marín</w:t>
            </w:r>
          </w:p>
          <w:p w:rsidR="0041772C" w:rsidRPr="00A14BB1" w:rsidRDefault="0041772C" w:rsidP="00A56E05">
            <w:pPr>
              <w:rPr>
                <w:rFonts w:ascii="Adobe Caslon Pro" w:hAnsi="Adobe Caslon Pro" w:cs="Calibri"/>
                <w:i/>
                <w:color w:val="000000"/>
                <w:sz w:val="20"/>
                <w:lang w:eastAsia="es-MX"/>
              </w:rPr>
            </w:pPr>
            <w:r w:rsidRPr="00A14BB1">
              <w:rPr>
                <w:rFonts w:ascii="Adobe Caslon Pro" w:hAnsi="Adobe Caslon Pro" w:cs="Calibri"/>
                <w:i/>
                <w:color w:val="000000"/>
                <w:sz w:val="20"/>
                <w:lang w:eastAsia="es-MX"/>
              </w:rPr>
              <w:t>Lic. Camilo Roberto García Carmona</w:t>
            </w:r>
          </w:p>
          <w:p w:rsidR="0041772C" w:rsidRPr="00DF7C94" w:rsidRDefault="0041772C" w:rsidP="00A56E05">
            <w:pPr>
              <w:rPr>
                <w:rFonts w:ascii="Adobe Caslon Pro" w:hAnsi="Adobe Caslon Pro" w:cs="Calibri"/>
                <w:i/>
                <w:color w:val="000000"/>
                <w:lang w:eastAsia="es-MX"/>
              </w:rPr>
            </w:pPr>
            <w:r w:rsidRPr="00A14BB1">
              <w:rPr>
                <w:rFonts w:ascii="Adobe Caslon Pro" w:hAnsi="Adobe Caslon Pro" w:cs="Calibri"/>
                <w:i/>
                <w:color w:val="000000"/>
                <w:sz w:val="20"/>
                <w:lang w:eastAsia="es-MX"/>
              </w:rPr>
              <w:lastRenderedPageBreak/>
              <w:t>Lic. Angélica Méndez Magaña</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lastRenderedPageBreak/>
              <w:t>4.5 Correo electrónico del coordinador de la evaluación</w:t>
            </w:r>
            <w:r>
              <w:rPr>
                <w:rFonts w:ascii="Adobe Caslon Pro" w:hAnsi="Adobe Caslon Pro" w:cs="Calibri"/>
                <w:color w:val="000000"/>
                <w:lang w:eastAsia="es-MX"/>
              </w:rPr>
              <w:t>:</w:t>
            </w:r>
          </w:p>
          <w:p w:rsidR="0041772C" w:rsidRPr="00335A49" w:rsidRDefault="0041772C" w:rsidP="00A56E05">
            <w:pPr>
              <w:rPr>
                <w:rFonts w:ascii="Adobe Caslon Pro" w:hAnsi="Adobe Caslon Pro" w:cs="Calibri"/>
                <w:color w:val="000000"/>
                <w:lang w:eastAsia="es-MX"/>
              </w:rPr>
            </w:pPr>
            <w:r w:rsidRPr="00335A49">
              <w:rPr>
                <w:rFonts w:ascii="Adobe Caslon Pro" w:hAnsi="Adobe Caslon Pro" w:cs="Calibri"/>
                <w:i/>
                <w:color w:val="000000"/>
                <w:sz w:val="20"/>
                <w:u w:val="single"/>
                <w:lang w:eastAsia="es-MX"/>
              </w:rPr>
              <w:t>lrasconm@indetec.gob.mx</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4.6 Teléfono (con clave lada)</w:t>
            </w:r>
            <w:r>
              <w:rPr>
                <w:rFonts w:ascii="Adobe Caslon Pro" w:hAnsi="Adobe Caslon Pro" w:cs="Calibri"/>
                <w:color w:val="000000"/>
                <w:lang w:eastAsia="es-MX"/>
              </w:rPr>
              <w:t>:</w:t>
            </w:r>
          </w:p>
          <w:p w:rsidR="0041772C" w:rsidRPr="00DF7C94" w:rsidRDefault="0041772C" w:rsidP="00A56E05">
            <w:pPr>
              <w:rPr>
                <w:rFonts w:ascii="Adobe Caslon Pro" w:hAnsi="Adobe Caslon Pro" w:cs="Calibri"/>
                <w:i/>
                <w:color w:val="000000"/>
                <w:lang w:eastAsia="es-MX"/>
              </w:rPr>
            </w:pPr>
            <w:r>
              <w:rPr>
                <w:rFonts w:ascii="Adobe Caslon Pro" w:hAnsi="Adobe Caslon Pro" w:cs="Calibri"/>
                <w:i/>
                <w:color w:val="000000"/>
                <w:sz w:val="20"/>
                <w:lang w:eastAsia="es-MX"/>
              </w:rPr>
              <w:t>01 (33) 36695550 Ext. 123</w:t>
            </w:r>
          </w:p>
        </w:tc>
      </w:tr>
      <w:tr w:rsidR="0041772C" w:rsidRPr="004F6AC5" w:rsidTr="00A56E05">
        <w:trPr>
          <w:trHeight w:val="75"/>
          <w:jc w:val="center"/>
        </w:trPr>
        <w:tc>
          <w:tcPr>
            <w:tcW w:w="999" w:type="dxa"/>
            <w:gridSpan w:val="2"/>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r>
      <w:tr w:rsidR="0041772C" w:rsidRPr="004F6AC5"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41772C" w:rsidRPr="00066E84" w:rsidRDefault="0041772C" w:rsidP="00A56E05">
            <w:pPr>
              <w:rPr>
                <w:rFonts w:ascii="Trajan Pro" w:hAnsi="Trajan Pro" w:cs="Calibri"/>
                <w:b/>
                <w:bCs/>
                <w:color w:val="000000"/>
                <w:lang w:eastAsia="es-MX"/>
              </w:rPr>
            </w:pPr>
            <w:r w:rsidRPr="00066E84">
              <w:rPr>
                <w:rFonts w:ascii="Trajan Pro" w:hAnsi="Trajan Pro" w:cs="Calibri"/>
                <w:b/>
                <w:bCs/>
                <w:color w:val="00000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5.1 Nombre de</w:t>
            </w:r>
            <w:r>
              <w:rPr>
                <w:rFonts w:ascii="Adobe Caslon Pro" w:hAnsi="Adobe Caslon Pro" w:cs="Calibri"/>
                <w:color w:val="000000"/>
                <w:lang w:eastAsia="es-MX"/>
              </w:rPr>
              <w:t>l (los) programa(s) evaluado(s):</w:t>
            </w:r>
          </w:p>
          <w:p w:rsidR="0041772C" w:rsidRPr="009B0D97" w:rsidRDefault="0041772C" w:rsidP="00A56E05">
            <w:pPr>
              <w:jc w:val="both"/>
              <w:rPr>
                <w:rFonts w:ascii="Adobe Caslon Pro" w:hAnsi="Adobe Caslon Pro" w:cs="Calibri"/>
                <w:i/>
                <w:color w:val="000000"/>
                <w:sz w:val="20"/>
                <w:lang w:eastAsia="es-MX"/>
              </w:rPr>
            </w:pPr>
            <w:r>
              <w:rPr>
                <w:rFonts w:ascii="Adobe Caslon Pro" w:hAnsi="Adobe Caslon Pro" w:cs="Calibri"/>
                <w:i/>
                <w:color w:val="000000"/>
                <w:sz w:val="20"/>
                <w:lang w:eastAsia="es-MX"/>
              </w:rPr>
              <w:t>Programa Estatal “Dotación de Útiles y Uniformes Escolares Bienestar”.</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5.2 Siglas</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5.3 Ente público coordinador del (los) programa(s)</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41772C" w:rsidRPr="00B33A80" w:rsidRDefault="0041772C" w:rsidP="00A56E05">
            <w:pPr>
              <w:rPr>
                <w:rFonts w:ascii="Adobe Caslon Pro" w:hAnsi="Adobe Caslon Pro" w:cs="Calibri"/>
                <w:i/>
                <w:color w:val="000000"/>
                <w:sz w:val="20"/>
                <w:szCs w:val="20"/>
                <w:lang w:eastAsia="es-MX"/>
              </w:rPr>
            </w:pPr>
            <w:r>
              <w:rPr>
                <w:rFonts w:ascii="Adobe Caslon Pro" w:hAnsi="Adobe Caslon Pro" w:cs="Calibri"/>
                <w:i/>
                <w:color w:val="000000"/>
                <w:sz w:val="20"/>
                <w:lang w:eastAsia="es-MX"/>
              </w:rPr>
              <w:t>Secretaría de Desarrollo Social y Humano (SEDESOH)</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5.4 Poder público al que pertenece(n) el(los) programa(s)</w:t>
            </w:r>
            <w:r>
              <w:rPr>
                <w:rFonts w:ascii="Adobe Caslon Pro" w:hAnsi="Adobe Caslon Pro" w:cs="Calibri"/>
                <w:color w:val="000000"/>
                <w:lang w:eastAsia="es-MX"/>
              </w:rPr>
              <w:t>:</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Pr>
                <w:rFonts w:ascii="Adobe Caslon Pro" w:hAnsi="Adobe Caslon Pro" w:cs="Calibri"/>
                <w:color w:val="000000"/>
                <w:lang w:eastAsia="es-MX"/>
              </w:rPr>
              <w:t xml:space="preserve">Poder </w:t>
            </w:r>
            <w:proofErr w:type="spellStart"/>
            <w:r>
              <w:rPr>
                <w:rFonts w:ascii="Adobe Caslon Pro" w:hAnsi="Adobe Caslon Pro" w:cs="Calibri"/>
                <w:color w:val="000000"/>
                <w:lang w:eastAsia="es-MX"/>
              </w:rPr>
              <w:t>Ejecutivo_X</w:t>
            </w:r>
            <w:proofErr w:type="spellEnd"/>
            <w:r>
              <w:rPr>
                <w:rFonts w:ascii="Adobe Caslon Pro" w:hAnsi="Adobe Caslon Pro" w:cs="Calibri"/>
                <w:color w:val="000000"/>
                <w:lang w:eastAsia="es-MX"/>
              </w:rPr>
              <w:t>__   Poder Legislativo___   Poder Judicial___  Ente Autónomo___</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5.5 Ámbito gubernamental al que pertenece(n) el(los) programa(s)</w:t>
            </w:r>
            <w:r>
              <w:rPr>
                <w:rFonts w:ascii="Adobe Caslon Pro" w:hAnsi="Adobe Caslon Pro" w:cs="Calibri"/>
                <w:color w:val="000000"/>
                <w:lang w:eastAsia="es-MX"/>
              </w:rPr>
              <w:t>:</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Pr>
                <w:rFonts w:ascii="Adobe Caslon Pro" w:hAnsi="Adobe Caslon Pro" w:cs="Calibri"/>
                <w:color w:val="000000"/>
                <w:lang w:eastAsia="es-MX"/>
              </w:rPr>
              <w:t>Federal_</w:t>
            </w:r>
            <w:r>
              <w:rPr>
                <w:rFonts w:ascii="Adobe Caslon Pro" w:hAnsi="Adobe Caslon Pro" w:cs="Calibri"/>
                <w:color w:val="000000"/>
                <w:u w:val="single"/>
                <w:lang w:eastAsia="es-MX"/>
              </w:rPr>
              <w:t>_</w:t>
            </w:r>
            <w:r>
              <w:rPr>
                <w:rFonts w:ascii="Adobe Caslon Pro" w:hAnsi="Adobe Caslon Pro" w:cs="Calibri"/>
                <w:color w:val="000000"/>
                <w:lang w:eastAsia="es-MX"/>
              </w:rPr>
              <w:t xml:space="preserve">_       </w:t>
            </w:r>
            <w:proofErr w:type="spellStart"/>
            <w:r>
              <w:rPr>
                <w:rFonts w:ascii="Adobe Caslon Pro" w:hAnsi="Adobe Caslon Pro" w:cs="Calibri"/>
                <w:color w:val="000000"/>
                <w:lang w:eastAsia="es-MX"/>
              </w:rPr>
              <w:t>Estatal__X</w:t>
            </w:r>
            <w:proofErr w:type="spellEnd"/>
            <w:r>
              <w:rPr>
                <w:rFonts w:ascii="Adobe Caslon Pro" w:hAnsi="Adobe Caslon Pro" w:cs="Calibri"/>
                <w:color w:val="000000"/>
                <w:lang w:eastAsia="es-MX"/>
              </w:rPr>
              <w:t>_     Local___</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A6AC6">
              <w:rPr>
                <w:rFonts w:ascii="Adobe Caslon Pro" w:hAnsi="Adobe Caslon Pro" w:cs="Calibri"/>
                <w:color w:val="000000"/>
                <w:lang w:eastAsia="es-MX"/>
              </w:rPr>
              <w:t>5.6 Nombre de la(s) unidad(es) administrativa(s) y de (los) titular(es) a cargo del (los) programa(s):</w:t>
            </w:r>
          </w:p>
        </w:tc>
      </w:tr>
      <w:tr w:rsidR="0041772C" w:rsidRPr="004F6AC5"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41772C" w:rsidRPr="00066E84" w:rsidRDefault="0041772C" w:rsidP="00A56E05">
            <w:pPr>
              <w:rPr>
                <w:rFonts w:ascii="Adobe Caslon Pro" w:hAnsi="Adobe Caslon Pro" w:cs="Calibri"/>
                <w:color w:val="000000"/>
                <w:lang w:eastAsia="es-MX"/>
              </w:rPr>
            </w:pPr>
            <w:r w:rsidRPr="007C224C">
              <w:rPr>
                <w:rFonts w:ascii="Adobe Caslon Pro" w:hAnsi="Adobe Caslon Pro" w:cs="Calibri"/>
                <w:color w:val="000000"/>
                <w:lang w:eastAsia="es-MX"/>
              </w:rPr>
              <w:t>5.6.1 Nombre(s) de la(s) unidad(es) administrativa(s) a cargo de (los) programa(s):</w:t>
            </w:r>
          </w:p>
        </w:tc>
      </w:tr>
      <w:tr w:rsidR="0041772C"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41772C" w:rsidRPr="00385F2B" w:rsidRDefault="0041772C" w:rsidP="00A56E05">
            <w:pPr>
              <w:rPr>
                <w:rFonts w:ascii="Adobe Caslon Pro" w:hAnsi="Adobe Caslon Pro" w:cs="Calibri"/>
                <w:i/>
                <w:color w:val="000000"/>
                <w:sz w:val="20"/>
                <w:szCs w:val="20"/>
                <w:lang w:eastAsia="es-MX"/>
              </w:rPr>
            </w:pPr>
            <w:r>
              <w:rPr>
                <w:rFonts w:ascii="Adobe Caslon Pro" w:hAnsi="Adobe Caslon Pro" w:cs="Calibri"/>
                <w:i/>
                <w:color w:val="000000"/>
                <w:sz w:val="20"/>
                <w:lang w:eastAsia="es-MX"/>
              </w:rPr>
              <w:t>Secretaría de Desarrollo Social y Humano (SEDESOH)</w:t>
            </w:r>
          </w:p>
        </w:tc>
      </w:tr>
      <w:tr w:rsidR="0041772C" w:rsidRPr="004F6AC5"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41772C" w:rsidRPr="00066E84" w:rsidRDefault="0041772C" w:rsidP="00A56E05">
            <w:pPr>
              <w:rPr>
                <w:rFonts w:ascii="Adobe Caslon Pro" w:hAnsi="Adobe Caslon Pro" w:cs="Calibri"/>
                <w:color w:val="000000"/>
                <w:lang w:eastAsia="es-MX"/>
              </w:rPr>
            </w:pPr>
            <w:r w:rsidRPr="000A6AC6">
              <w:rPr>
                <w:rFonts w:ascii="Adobe Caslon Pro" w:hAnsi="Adobe Caslon Pro" w:cs="Calibri"/>
                <w:color w:val="000000"/>
                <w:lang w:eastAsia="es-MX"/>
              </w:rPr>
              <w:t>5.6.2 Nombre(s) de (los) titular(es) de la(s) unidad(es) administrativa(s) a cargo de (los) programa(s) (nombre completo, correo electrónico y teléfono con clave lada):</w:t>
            </w:r>
          </w:p>
        </w:tc>
      </w:tr>
      <w:tr w:rsidR="0041772C" w:rsidRPr="004F6AC5"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Nombre:</w:t>
            </w:r>
          </w:p>
          <w:p w:rsidR="0041772C" w:rsidRDefault="0041772C" w:rsidP="00A56E05">
            <w:pPr>
              <w:rPr>
                <w:rFonts w:ascii="Adobe Caslon Pro" w:hAnsi="Adobe Caslon Pro" w:cs="Calibri"/>
                <w:i/>
                <w:color w:val="000000"/>
                <w:sz w:val="20"/>
                <w:szCs w:val="20"/>
                <w:lang w:eastAsia="es-MX"/>
              </w:rPr>
            </w:pPr>
            <w:r w:rsidRPr="00DD12C4">
              <w:rPr>
                <w:rFonts w:ascii="Adobe Caslon Pro" w:hAnsi="Adobe Caslon Pro" w:cs="Calibri"/>
                <w:i/>
                <w:color w:val="000000"/>
                <w:sz w:val="20"/>
                <w:szCs w:val="20"/>
                <w:lang w:eastAsia="es-MX"/>
              </w:rPr>
              <w:t xml:space="preserve">Lic. </w:t>
            </w:r>
            <w:r>
              <w:rPr>
                <w:rFonts w:ascii="Adobe Caslon Pro" w:hAnsi="Adobe Caslon Pro" w:cs="Calibri"/>
                <w:i/>
                <w:color w:val="000000"/>
                <w:sz w:val="20"/>
                <w:szCs w:val="20"/>
                <w:lang w:eastAsia="es-MX"/>
              </w:rPr>
              <w:t xml:space="preserve">Alejandro Emmanuel López </w:t>
            </w:r>
            <w:proofErr w:type="spellStart"/>
            <w:r>
              <w:rPr>
                <w:rFonts w:ascii="Adobe Caslon Pro" w:hAnsi="Adobe Caslon Pro" w:cs="Calibri"/>
                <w:i/>
                <w:color w:val="000000"/>
                <w:sz w:val="20"/>
                <w:szCs w:val="20"/>
                <w:lang w:eastAsia="es-MX"/>
              </w:rPr>
              <w:t>Jarquín</w:t>
            </w:r>
            <w:proofErr w:type="spellEnd"/>
          </w:p>
          <w:p w:rsidR="0041772C" w:rsidRPr="00066E84" w:rsidRDefault="0041772C" w:rsidP="00A56E05">
            <w:pPr>
              <w:rPr>
                <w:rFonts w:ascii="Adobe Caslon Pro" w:hAnsi="Adobe Caslon Pro" w:cs="Calibri"/>
                <w:color w:val="000000"/>
                <w:lang w:eastAsia="es-MX"/>
              </w:rPr>
            </w:pPr>
            <w:r w:rsidRPr="00642484">
              <w:rPr>
                <w:rFonts w:ascii="Adobe Caslon Pro" w:hAnsi="Adobe Caslon Pro" w:cs="Calibri"/>
                <w:i/>
                <w:color w:val="000000"/>
                <w:sz w:val="20"/>
                <w:szCs w:val="20"/>
                <w:lang w:eastAsia="es-MX"/>
              </w:rPr>
              <w:t xml:space="preserve">Tel. </w:t>
            </w:r>
            <w:r>
              <w:rPr>
                <w:rFonts w:ascii="Adobe Caslon Pro" w:hAnsi="Adobe Caslon Pro" w:cs="Calibri"/>
                <w:i/>
                <w:color w:val="000000"/>
                <w:sz w:val="20"/>
                <w:szCs w:val="20"/>
                <w:lang w:eastAsia="es-MX"/>
              </w:rPr>
              <w:t>01 (951) 501-50-50 Ext. 12500</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Unidad administrativa:</w:t>
            </w:r>
          </w:p>
          <w:p w:rsidR="0041772C" w:rsidRPr="00066E84" w:rsidRDefault="0041772C" w:rsidP="00A56E05">
            <w:pPr>
              <w:rPr>
                <w:rFonts w:ascii="Adobe Caslon Pro" w:hAnsi="Adobe Caslon Pro" w:cs="Calibri"/>
                <w:color w:val="000000"/>
                <w:lang w:eastAsia="es-MX"/>
              </w:rPr>
            </w:pPr>
            <w:r>
              <w:rPr>
                <w:rFonts w:ascii="Adobe Caslon Pro" w:hAnsi="Adobe Caslon Pro" w:cs="Calibri"/>
                <w:i/>
                <w:color w:val="000000"/>
                <w:sz w:val="20"/>
                <w:lang w:eastAsia="es-MX"/>
              </w:rPr>
              <w:t>Secretaría de Desarrollo Social y Humano (SEDESOH)</w:t>
            </w:r>
          </w:p>
        </w:tc>
      </w:tr>
      <w:tr w:rsidR="0041772C" w:rsidRPr="004F6AC5" w:rsidTr="00A56E05">
        <w:trPr>
          <w:trHeight w:val="165"/>
          <w:jc w:val="center"/>
        </w:trPr>
        <w:tc>
          <w:tcPr>
            <w:tcW w:w="999" w:type="dxa"/>
            <w:gridSpan w:val="2"/>
            <w:tcBorders>
              <w:top w:val="nil"/>
              <w:left w:val="nil"/>
              <w:bottom w:val="nil"/>
              <w:right w:val="nil"/>
            </w:tcBorders>
            <w:shd w:val="clear" w:color="auto" w:fill="auto"/>
            <w:hideMark/>
          </w:tcPr>
          <w:p w:rsidR="0041772C" w:rsidRPr="00066E84" w:rsidRDefault="0041772C" w:rsidP="00A56E05">
            <w:pPr>
              <w:jc w:val="right"/>
              <w:rPr>
                <w:rFonts w:ascii="Adobe Caslon Pro" w:hAnsi="Adobe Caslon Pro" w:cs="Calibri"/>
                <w:color w:val="000000"/>
                <w:lang w:eastAsia="es-MX"/>
              </w:rPr>
            </w:pPr>
          </w:p>
        </w:tc>
        <w:tc>
          <w:tcPr>
            <w:tcW w:w="3266" w:type="dxa"/>
            <w:gridSpan w:val="2"/>
            <w:tcBorders>
              <w:top w:val="nil"/>
              <w:left w:val="nil"/>
              <w:bottom w:val="nil"/>
              <w:right w:val="nil"/>
            </w:tcBorders>
            <w:shd w:val="clear" w:color="auto" w:fill="auto"/>
            <w:hideMark/>
          </w:tcPr>
          <w:p w:rsidR="0041772C" w:rsidRPr="00066E84" w:rsidRDefault="0041772C" w:rsidP="00A56E05">
            <w:pPr>
              <w:jc w:val="right"/>
              <w:rPr>
                <w:rFonts w:ascii="Adobe Caslon Pro" w:hAnsi="Adobe Caslon Pro" w:cs="Calibri"/>
                <w:color w:val="000000"/>
                <w:lang w:eastAsia="es-MX"/>
              </w:rPr>
            </w:pPr>
          </w:p>
        </w:tc>
        <w:tc>
          <w:tcPr>
            <w:tcW w:w="160" w:type="dxa"/>
            <w:tcBorders>
              <w:top w:val="nil"/>
              <w:left w:val="nil"/>
              <w:bottom w:val="nil"/>
              <w:right w:val="nil"/>
            </w:tcBorders>
            <w:shd w:val="clear" w:color="auto" w:fill="auto"/>
            <w:hideMark/>
          </w:tcPr>
          <w:p w:rsidR="0041772C" w:rsidRPr="00066E84" w:rsidRDefault="0041772C" w:rsidP="00A56E05">
            <w:pPr>
              <w:rPr>
                <w:rFonts w:ascii="Adobe Caslon Pro" w:hAnsi="Adobe Caslon Pro" w:cs="Calibri"/>
                <w:color w:val="000000"/>
                <w:lang w:eastAsia="es-MX"/>
              </w:rPr>
            </w:pPr>
          </w:p>
        </w:tc>
        <w:tc>
          <w:tcPr>
            <w:tcW w:w="2526" w:type="dxa"/>
            <w:gridSpan w:val="4"/>
            <w:tcBorders>
              <w:top w:val="nil"/>
              <w:left w:val="nil"/>
              <w:bottom w:val="nil"/>
              <w:right w:val="nil"/>
            </w:tcBorders>
            <w:shd w:val="clear" w:color="auto" w:fill="auto"/>
            <w:hideMark/>
          </w:tcPr>
          <w:p w:rsidR="0041772C" w:rsidRPr="00066E84" w:rsidRDefault="0041772C" w:rsidP="00A56E05">
            <w:pPr>
              <w:jc w:val="center"/>
              <w:rPr>
                <w:rFonts w:ascii="Adobe Caslon Pro" w:hAnsi="Adobe Caslon Pro" w:cs="Calibri"/>
                <w:color w:val="000000"/>
                <w:lang w:eastAsia="es-MX"/>
              </w:rPr>
            </w:pPr>
          </w:p>
        </w:tc>
        <w:tc>
          <w:tcPr>
            <w:tcW w:w="1325" w:type="dxa"/>
            <w:gridSpan w:val="3"/>
            <w:tcBorders>
              <w:top w:val="nil"/>
              <w:left w:val="nil"/>
              <w:bottom w:val="nil"/>
              <w:right w:val="nil"/>
            </w:tcBorders>
            <w:shd w:val="clear" w:color="auto" w:fill="auto"/>
            <w:hideMark/>
          </w:tcPr>
          <w:p w:rsidR="0041772C" w:rsidRPr="00066E84" w:rsidRDefault="0041772C" w:rsidP="00A56E05">
            <w:pPr>
              <w:jc w:val="center"/>
              <w:rPr>
                <w:rFonts w:ascii="Adobe Caslon Pro" w:hAnsi="Adobe Caslon Pro" w:cs="Calibri"/>
                <w:color w:val="000000"/>
                <w:lang w:eastAsia="es-MX"/>
              </w:rPr>
            </w:pPr>
          </w:p>
        </w:tc>
        <w:tc>
          <w:tcPr>
            <w:tcW w:w="1160" w:type="dxa"/>
            <w:tcBorders>
              <w:top w:val="nil"/>
              <w:left w:val="nil"/>
              <w:bottom w:val="nil"/>
              <w:right w:val="nil"/>
            </w:tcBorders>
            <w:shd w:val="clear" w:color="auto" w:fill="auto"/>
            <w:hideMark/>
          </w:tcPr>
          <w:p w:rsidR="0041772C" w:rsidRPr="00066E84" w:rsidRDefault="0041772C" w:rsidP="00A56E05">
            <w:pPr>
              <w:jc w:val="center"/>
              <w:rPr>
                <w:rFonts w:ascii="Adobe Caslon Pro" w:hAnsi="Adobe Caslon Pro" w:cs="Calibri"/>
                <w:color w:val="000000"/>
                <w:lang w:eastAsia="es-MX"/>
              </w:rPr>
            </w:pPr>
          </w:p>
        </w:tc>
      </w:tr>
      <w:tr w:rsidR="0041772C" w:rsidRPr="004F6AC5"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41772C" w:rsidRPr="00066E84" w:rsidRDefault="0041772C" w:rsidP="00A56E05">
            <w:pPr>
              <w:rPr>
                <w:rFonts w:ascii="Trajan Pro" w:hAnsi="Trajan Pro" w:cs="Calibri"/>
                <w:b/>
                <w:bCs/>
                <w:color w:val="000000"/>
                <w:lang w:eastAsia="es-MX"/>
              </w:rPr>
            </w:pPr>
            <w:r w:rsidRPr="00066E84">
              <w:rPr>
                <w:rFonts w:ascii="Trajan Pro" w:hAnsi="Trajan Pro" w:cs="Calibri"/>
                <w:b/>
                <w:bCs/>
                <w:color w:val="00000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6.1 Tipo de contratación:</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6561A1">
              <w:rPr>
                <w:rFonts w:ascii="Adobe Caslon Pro" w:hAnsi="Adobe Caslon Pro" w:cs="Calibri"/>
                <w:color w:val="000000"/>
                <w:lang w:eastAsia="es-MX"/>
              </w:rPr>
              <w:t>6.1.1 Adjudicación Directa</w:t>
            </w:r>
            <w:r>
              <w:rPr>
                <w:rFonts w:ascii="Adobe Caslon Pro" w:hAnsi="Adobe Caslon Pro" w:cs="Calibri"/>
                <w:color w:val="000000"/>
                <w:lang w:eastAsia="es-MX"/>
              </w:rPr>
              <w:t xml:space="preserve">__  </w:t>
            </w:r>
            <w:r w:rsidRPr="006561A1">
              <w:rPr>
                <w:rFonts w:ascii="Adobe Caslon Pro" w:hAnsi="Adobe Caslon Pro" w:cs="Calibri"/>
                <w:color w:val="000000"/>
                <w:lang w:eastAsia="es-MX"/>
              </w:rPr>
              <w:t>6.1.2 Invitación a tres</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6.1.3 Licitación Pública Nacional</w:t>
            </w:r>
            <w:r>
              <w:rPr>
                <w:rFonts w:ascii="Adobe Caslon Pro" w:hAnsi="Adobe Caslon Pro" w:cs="Calibri"/>
                <w:color w:val="000000"/>
                <w:lang w:eastAsia="es-MX"/>
              </w:rPr>
              <w:t>___</w:t>
            </w:r>
          </w:p>
          <w:p w:rsidR="0041772C" w:rsidRPr="00066E84" w:rsidRDefault="0041772C" w:rsidP="00A56E05">
            <w:pPr>
              <w:rPr>
                <w:rFonts w:ascii="Adobe Caslon Pro" w:hAnsi="Adobe Caslon Pro" w:cs="Calibri"/>
                <w:color w:val="000000"/>
                <w:lang w:eastAsia="es-MX"/>
              </w:rPr>
            </w:pPr>
            <w:r w:rsidRPr="006561A1">
              <w:rPr>
                <w:rFonts w:ascii="Adobe Caslon Pro" w:hAnsi="Adobe Caslon Pro" w:cs="Calibri"/>
                <w:color w:val="000000"/>
                <w:lang w:eastAsia="es-MX"/>
              </w:rPr>
              <w:t>6.1.4 Licitación Pública Internacional</w:t>
            </w:r>
            <w:r>
              <w:rPr>
                <w:rFonts w:ascii="Adobe Caslon Pro" w:hAnsi="Adobe Caslon Pro" w:cs="Calibri"/>
                <w:color w:val="000000"/>
                <w:lang w:eastAsia="es-MX"/>
              </w:rPr>
              <w:t xml:space="preserve">___ </w:t>
            </w:r>
            <w:r w:rsidRPr="006561A1">
              <w:rPr>
                <w:rFonts w:ascii="Adobe Caslon Pro" w:hAnsi="Adobe Caslon Pro" w:cs="Calibri"/>
                <w:color w:val="000000"/>
                <w:lang w:eastAsia="es-MX"/>
              </w:rPr>
              <w:t>6.1.5 Otro: (Señalar)</w:t>
            </w:r>
            <w:r w:rsidRPr="009C27B5">
              <w:rPr>
                <w:rFonts w:ascii="Adobe Caslon Pro" w:hAnsi="Adobe Caslon Pro" w:cs="Calibri"/>
                <w:i/>
                <w:color w:val="000000"/>
                <w:u w:val="single"/>
                <w:lang w:eastAsia="es-MX"/>
              </w:rPr>
              <w:t xml:space="preserve"> </w:t>
            </w:r>
            <w:r w:rsidRPr="009C27B5">
              <w:rPr>
                <w:rFonts w:ascii="Adobe Caslon Pro" w:hAnsi="Adobe Caslon Pro" w:cs="Calibri"/>
                <w:i/>
                <w:color w:val="000000"/>
                <w:sz w:val="20"/>
                <w:szCs w:val="20"/>
                <w:u w:val="single"/>
                <w:lang w:eastAsia="es-MX"/>
              </w:rPr>
              <w:t>Convenio de colaboración institucional.</w:t>
            </w:r>
          </w:p>
        </w:tc>
      </w:tr>
      <w:tr w:rsidR="0041772C" w:rsidRPr="004F6AC5"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6.2</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Unidad administrativa responsable de contratar la evaluación</w:t>
            </w:r>
            <w:r>
              <w:rPr>
                <w:rFonts w:ascii="Adobe Caslon Pro" w:hAnsi="Adobe Caslon Pro" w:cs="Calibri"/>
                <w:color w:val="000000"/>
                <w:lang w:eastAsia="es-MX"/>
              </w:rPr>
              <w:t>:</w:t>
            </w:r>
          </w:p>
          <w:p w:rsidR="0041772C" w:rsidRPr="009053D3" w:rsidRDefault="0041772C" w:rsidP="00A56E05">
            <w:pPr>
              <w:rPr>
                <w:rFonts w:ascii="Adobe Caslon Pro" w:hAnsi="Adobe Caslon Pro" w:cs="Calibri"/>
                <w:i/>
                <w:color w:val="000000"/>
                <w:lang w:eastAsia="es-MX"/>
              </w:rPr>
            </w:pPr>
            <w:r w:rsidRPr="009053D3">
              <w:rPr>
                <w:rFonts w:ascii="Adobe Caslon Pro" w:hAnsi="Adobe Caslon Pro" w:cs="Calibri"/>
                <w:i/>
                <w:color w:val="000000"/>
                <w:sz w:val="20"/>
                <w:lang w:eastAsia="es-MX"/>
              </w:rPr>
              <w:t>Jefatura de la Gubernatura</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6.3</w:t>
            </w:r>
            <w:r>
              <w:rPr>
                <w:rFonts w:ascii="Times New Roman" w:hAnsi="Times New Roman"/>
                <w:color w:val="000000"/>
                <w:sz w:val="14"/>
                <w:szCs w:val="14"/>
                <w:lang w:eastAsia="es-MX"/>
              </w:rPr>
              <w:t> </w:t>
            </w:r>
            <w:r w:rsidRPr="00066E84">
              <w:rPr>
                <w:rFonts w:ascii="Adobe Caslon Pro" w:hAnsi="Adobe Caslon Pro" w:cs="Calibri"/>
                <w:color w:val="000000"/>
                <w:lang w:eastAsia="es-MX"/>
              </w:rPr>
              <w:t>Costo total de la evaluación</w:t>
            </w:r>
            <w:r>
              <w:rPr>
                <w:rFonts w:ascii="Adobe Caslon Pro" w:hAnsi="Adobe Caslon Pro" w:cs="Calibri"/>
                <w:color w:val="000000"/>
                <w:lang w:eastAsia="es-MX"/>
              </w:rPr>
              <w:t xml:space="preserve">: </w:t>
            </w:r>
            <w:r w:rsidRPr="00B54BD0">
              <w:rPr>
                <w:rFonts w:ascii="Adobe Caslon Pro" w:hAnsi="Adobe Caslon Pro" w:cs="Calibri"/>
                <w:i/>
                <w:color w:val="000000"/>
                <w:sz w:val="20"/>
                <w:szCs w:val="20"/>
                <w:lang w:eastAsia="es-MX"/>
              </w:rPr>
              <w:t>$1,</w:t>
            </w:r>
            <w:r>
              <w:rPr>
                <w:rFonts w:ascii="Adobe Caslon Pro" w:hAnsi="Adobe Caslon Pro" w:cs="Calibri"/>
                <w:i/>
                <w:color w:val="000000"/>
                <w:sz w:val="20"/>
                <w:szCs w:val="20"/>
                <w:lang w:eastAsia="es-MX"/>
              </w:rPr>
              <w:t xml:space="preserve"> </w:t>
            </w:r>
            <w:r w:rsidRPr="00B54BD0">
              <w:rPr>
                <w:rFonts w:ascii="Adobe Caslon Pro" w:hAnsi="Adobe Caslon Pro" w:cs="Calibri"/>
                <w:i/>
                <w:color w:val="000000"/>
                <w:sz w:val="20"/>
                <w:szCs w:val="20"/>
                <w:lang w:eastAsia="es-MX"/>
              </w:rPr>
              <w:t xml:space="preserve">310,00.00 (Un millón trescientos diez mil pesos 00/100 M.N.) </w:t>
            </w:r>
            <w:r>
              <w:rPr>
                <w:rFonts w:ascii="Adobe Caslon Pro" w:hAnsi="Adobe Caslon Pro" w:cs="Calibri"/>
                <w:i/>
                <w:color w:val="000000"/>
                <w:sz w:val="20"/>
                <w:szCs w:val="20"/>
                <w:lang w:eastAsia="es-MX"/>
              </w:rPr>
              <w:t>Incluye</w:t>
            </w:r>
            <w:r w:rsidRPr="00E7741C">
              <w:rPr>
                <w:rFonts w:ascii="Adobe Caslon Pro" w:hAnsi="Adobe Caslon Pro" w:cs="Calibri"/>
                <w:i/>
                <w:color w:val="000000"/>
                <w:sz w:val="20"/>
                <w:szCs w:val="20"/>
                <w:lang w:eastAsia="es-MX"/>
              </w:rPr>
              <w:t xml:space="preserve"> IVA. El costo </w:t>
            </w:r>
            <w:r>
              <w:rPr>
                <w:rFonts w:ascii="Adobe Caslon Pro" w:hAnsi="Adobe Caslon Pro" w:cs="Calibri"/>
                <w:i/>
                <w:color w:val="000000"/>
                <w:sz w:val="20"/>
                <w:szCs w:val="20"/>
                <w:lang w:eastAsia="es-MX"/>
              </w:rPr>
              <w:t>corresponde a</w:t>
            </w:r>
            <w:r w:rsidRPr="00E7741C">
              <w:rPr>
                <w:rFonts w:ascii="Adobe Caslon Pro" w:hAnsi="Adobe Caslon Pro" w:cs="Calibri"/>
                <w:i/>
                <w:color w:val="000000"/>
                <w:sz w:val="20"/>
                <w:szCs w:val="20"/>
                <w:lang w:eastAsia="es-MX"/>
              </w:rPr>
              <w:t xml:space="preserve"> la evaluación </w:t>
            </w:r>
            <w:r>
              <w:rPr>
                <w:rFonts w:ascii="Adobe Caslon Pro" w:hAnsi="Adobe Caslon Pro" w:cs="Calibri"/>
                <w:i/>
                <w:color w:val="000000"/>
                <w:sz w:val="20"/>
                <w:szCs w:val="20"/>
                <w:lang w:eastAsia="es-MX"/>
              </w:rPr>
              <w:t>de diez programas estatales</w:t>
            </w:r>
            <w:r w:rsidRPr="00B54BD0">
              <w:rPr>
                <w:rFonts w:ascii="Adobe Caslon Pro" w:hAnsi="Adobe Caslon Pro" w:cs="Calibri"/>
                <w:i/>
                <w:color w:val="000000"/>
                <w:sz w:val="20"/>
                <w:szCs w:val="20"/>
                <w:lang w:eastAsia="es-MX"/>
              </w:rPr>
              <w:t>.</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6.4</w:t>
            </w:r>
            <w:r w:rsidRPr="00066E84">
              <w:rPr>
                <w:rFonts w:ascii="Times New Roman" w:hAnsi="Times New Roman"/>
                <w:color w:val="000000"/>
                <w:sz w:val="14"/>
                <w:szCs w:val="14"/>
                <w:lang w:eastAsia="es-MX"/>
              </w:rPr>
              <w:t xml:space="preserve">  </w:t>
            </w:r>
            <w:r w:rsidRPr="00066E84">
              <w:rPr>
                <w:rFonts w:ascii="Adobe Caslon Pro" w:hAnsi="Adobe Caslon Pro" w:cs="Calibri"/>
                <w:color w:val="000000"/>
                <w:lang w:eastAsia="es-MX"/>
              </w:rPr>
              <w:t xml:space="preserve">Fuente de Financiamiento </w:t>
            </w:r>
            <w:r>
              <w:rPr>
                <w:rFonts w:ascii="Adobe Caslon Pro" w:hAnsi="Adobe Caslon Pro" w:cs="Calibri"/>
                <w:color w:val="000000"/>
                <w:lang w:eastAsia="es-MX"/>
              </w:rPr>
              <w:t>:</w:t>
            </w:r>
            <w:r w:rsidRPr="00066E84">
              <w:rPr>
                <w:rFonts w:ascii="Adobe Caslon Pro" w:hAnsi="Adobe Caslon Pro" w:cs="Calibri"/>
                <w:color w:val="000000"/>
                <w:lang w:eastAsia="es-MX"/>
              </w:rPr>
              <w:t> </w:t>
            </w:r>
          </w:p>
          <w:p w:rsidR="0041772C" w:rsidRPr="00385154" w:rsidRDefault="0041772C" w:rsidP="00A56E05">
            <w:pPr>
              <w:rPr>
                <w:rFonts w:ascii="Adobe Caslon Pro" w:hAnsi="Adobe Caslon Pro" w:cs="Calibri"/>
                <w:i/>
                <w:color w:val="000000"/>
                <w:lang w:eastAsia="es-MX"/>
              </w:rPr>
            </w:pPr>
            <w:r w:rsidRPr="00385154">
              <w:rPr>
                <w:rFonts w:ascii="Adobe Caslon Pro" w:hAnsi="Adobe Caslon Pro" w:cs="Calibri"/>
                <w:i/>
                <w:color w:val="000000"/>
                <w:sz w:val="20"/>
                <w:lang w:eastAsia="es-MX"/>
              </w:rPr>
              <w:t>Recursos Fiscales</w:t>
            </w:r>
          </w:p>
        </w:tc>
      </w:tr>
      <w:tr w:rsidR="0041772C" w:rsidRPr="004F6AC5" w:rsidTr="00A56E05">
        <w:trPr>
          <w:trHeight w:val="162"/>
          <w:jc w:val="center"/>
        </w:trPr>
        <w:tc>
          <w:tcPr>
            <w:tcW w:w="999" w:type="dxa"/>
            <w:gridSpan w:val="2"/>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955"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2019" w:type="dxa"/>
            <w:gridSpan w:val="4"/>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667"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325" w:type="dxa"/>
            <w:gridSpan w:val="2"/>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160" w:type="dxa"/>
            <w:tcBorders>
              <w:top w:val="nil"/>
              <w:left w:val="nil"/>
              <w:bottom w:val="nil"/>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41772C" w:rsidRPr="00066E84" w:rsidRDefault="0041772C" w:rsidP="00A56E05">
            <w:pPr>
              <w:rPr>
                <w:rFonts w:ascii="Adobe Caslon Pro" w:hAnsi="Adobe Caslon Pro" w:cs="Calibri"/>
                <w:color w:val="000000"/>
                <w:lang w:eastAsia="es-MX"/>
              </w:rPr>
            </w:pPr>
          </w:p>
        </w:tc>
      </w:tr>
      <w:tr w:rsidR="0041772C" w:rsidRPr="004F6AC5"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41772C" w:rsidRPr="00066E84" w:rsidRDefault="0041772C" w:rsidP="00A56E05">
            <w:pPr>
              <w:rPr>
                <w:rFonts w:ascii="Trajan Pro" w:hAnsi="Trajan Pro" w:cs="Calibri"/>
                <w:b/>
                <w:bCs/>
                <w:color w:val="000000"/>
                <w:lang w:eastAsia="es-MX"/>
              </w:rPr>
            </w:pPr>
            <w:r w:rsidRPr="00066E84">
              <w:rPr>
                <w:rFonts w:ascii="Trajan Pro" w:hAnsi="Trajan Pro" w:cs="Calibri"/>
                <w:b/>
                <w:bCs/>
                <w:color w:val="000000"/>
                <w:lang w:eastAsia="es-MX"/>
              </w:rPr>
              <w:lastRenderedPageBreak/>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41772C" w:rsidRPr="00066E84" w:rsidRDefault="0041772C" w:rsidP="00A56E05">
            <w:pPr>
              <w:rPr>
                <w:rFonts w:ascii="Adobe Caslon Pro" w:hAnsi="Adobe Caslon Pro" w:cs="Calibri"/>
                <w:b/>
                <w:bCs/>
                <w:color w:val="000000"/>
                <w:lang w:eastAsia="es-MX"/>
              </w:rPr>
            </w:pPr>
            <w:r w:rsidRPr="00066E84">
              <w:rPr>
                <w:rFonts w:ascii="Adobe Caslon Pro" w:hAnsi="Adobe Caslon Pro" w:cs="Calibri"/>
                <w:b/>
                <w:bCs/>
                <w:color w:val="000000"/>
                <w:lang w:eastAsia="es-MX"/>
              </w:rPr>
              <w:t> </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7.1  Difusión en internet de la evaluación:</w:t>
            </w:r>
            <w:r>
              <w:rPr>
                <w:rFonts w:ascii="Adobe Caslon Pro" w:hAnsi="Adobe Caslon Pro" w:cs="Calibri"/>
                <w:color w:val="000000"/>
                <w:lang w:eastAsia="es-MX"/>
              </w:rPr>
              <w:t xml:space="preserve"> </w:t>
            </w:r>
          </w:p>
          <w:p w:rsidR="0041772C" w:rsidRDefault="009B1A50" w:rsidP="00A56E05">
            <w:pPr>
              <w:rPr>
                <w:rFonts w:ascii="Adobe Caslon Pro" w:hAnsi="Adobe Caslon Pro" w:cs="Calibri"/>
                <w:i/>
                <w:color w:val="000000"/>
                <w:sz w:val="20"/>
                <w:szCs w:val="20"/>
                <w:lang w:eastAsia="es-MX"/>
              </w:rPr>
            </w:pPr>
            <w:hyperlink r:id="rId144" w:history="1">
              <w:r w:rsidR="0041772C" w:rsidRPr="00197EB9">
                <w:rPr>
                  <w:rStyle w:val="Hipervnculo"/>
                  <w:rFonts w:ascii="Adobe Caslon Pro" w:hAnsi="Adobe Caslon Pro" w:cs="Calibri"/>
                  <w:i/>
                  <w:sz w:val="20"/>
                  <w:szCs w:val="20"/>
                  <w:lang w:eastAsia="es-MX"/>
                </w:rPr>
                <w:t>http://www.jefaturadelagubernatura-evaluacion.oaxaca.gob.mx/index.php/pae-sidepanel/pae-2014</w:t>
              </w:r>
            </w:hyperlink>
          </w:p>
          <w:p w:rsidR="0041772C" w:rsidRPr="004B23C3" w:rsidRDefault="0041772C" w:rsidP="00A56E05">
            <w:pPr>
              <w:rPr>
                <w:rFonts w:ascii="Adobe Caslon Pro" w:hAnsi="Adobe Caslon Pro" w:cs="Calibri"/>
                <w:i/>
                <w:color w:val="000000"/>
                <w:sz w:val="20"/>
                <w:szCs w:val="20"/>
                <w:lang w:eastAsia="es-MX"/>
              </w:rPr>
            </w:pPr>
            <w:r w:rsidRPr="00BF1EBD">
              <w:rPr>
                <w:rStyle w:val="Hipervnculo"/>
                <w:rFonts w:ascii="Adobe Caslon Pro" w:hAnsi="Adobe Caslon Pro" w:cs="Calibri"/>
                <w:i/>
                <w:sz w:val="20"/>
                <w:szCs w:val="20"/>
                <w:lang w:eastAsia="es-MX"/>
              </w:rPr>
              <w:t>http://www.transparenciapresupuestaria.oaxaca.gob.mx/05_ev1_eprogramas.php</w:t>
            </w:r>
          </w:p>
        </w:tc>
      </w:tr>
      <w:tr w:rsidR="0041772C" w:rsidRPr="004F6AC5"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1772C" w:rsidRDefault="0041772C" w:rsidP="00A56E05">
            <w:pPr>
              <w:rPr>
                <w:rFonts w:ascii="Adobe Caslon Pro" w:hAnsi="Adobe Caslon Pro" w:cs="Calibri"/>
                <w:color w:val="000000"/>
                <w:lang w:eastAsia="es-MX"/>
              </w:rPr>
            </w:pPr>
            <w:r w:rsidRPr="00066E84">
              <w:rPr>
                <w:rFonts w:ascii="Adobe Caslon Pro" w:hAnsi="Adobe Caslon Pro" w:cs="Calibri"/>
                <w:color w:val="000000"/>
                <w:lang w:eastAsia="es-MX"/>
              </w:rPr>
              <w:t>7.2  Difusión en internet del formato:</w:t>
            </w:r>
          </w:p>
          <w:p w:rsidR="0041772C" w:rsidRPr="00066E84" w:rsidRDefault="0041772C" w:rsidP="00A56E05">
            <w:pPr>
              <w:rPr>
                <w:rFonts w:ascii="Adobe Caslon Pro" w:hAnsi="Adobe Caslon Pro" w:cs="Calibri"/>
                <w:color w:val="000000"/>
                <w:lang w:eastAsia="es-MX"/>
              </w:rPr>
            </w:pPr>
            <w:r w:rsidRPr="006865F0">
              <w:rPr>
                <w:rStyle w:val="Hipervnculo"/>
                <w:rFonts w:ascii="Adobe Caslon Pro" w:hAnsi="Adobe Caslon Pro" w:cs="Calibri"/>
                <w:i/>
                <w:sz w:val="20"/>
                <w:szCs w:val="20"/>
                <w:lang w:eastAsia="es-MX"/>
              </w:rPr>
              <w:t>http://www.jefaturadelagubernatura-evaluacion.oaxaca.gob.mx/index.php/pae-sidepanel/pae-2014</w:t>
            </w:r>
          </w:p>
        </w:tc>
      </w:tr>
    </w:tbl>
    <w:p w:rsidR="0041772C" w:rsidRPr="00066E84" w:rsidRDefault="0041772C" w:rsidP="0041772C">
      <w:pPr>
        <w:rPr>
          <w:rFonts w:ascii="Adobe Caslon Pro" w:hAnsi="Adobe Caslon Pro"/>
          <w:b/>
          <w:sz w:val="20"/>
          <w:szCs w:val="20"/>
          <w:lang w:eastAsia="es-MX"/>
        </w:rPr>
      </w:pPr>
    </w:p>
    <w:p w:rsidR="0041772C" w:rsidRDefault="0041772C" w:rsidP="0041772C">
      <w:pPr>
        <w:autoSpaceDE w:val="0"/>
        <w:autoSpaceDN w:val="0"/>
        <w:adjustRightInd w:val="0"/>
        <w:jc w:val="both"/>
        <w:rPr>
          <w:rFonts w:cs="Calibri"/>
          <w:sz w:val="16"/>
          <w:szCs w:val="16"/>
        </w:rPr>
      </w:pPr>
    </w:p>
    <w:p w:rsidR="008E4272" w:rsidRDefault="008E4272">
      <w:pPr>
        <w:rPr>
          <w:rFonts w:ascii="Arial" w:hAnsi="Arial" w:cs="Arial"/>
          <w:b/>
        </w:rPr>
      </w:pPr>
      <w:r>
        <w:rPr>
          <w:rFonts w:ascii="Arial" w:hAnsi="Arial" w:cs="Arial"/>
          <w:b/>
        </w:rPr>
        <w:br w:type="page"/>
      </w:r>
    </w:p>
    <w:p w:rsidR="008E4272" w:rsidRDefault="008E4272" w:rsidP="008E4272">
      <w:pPr>
        <w:rPr>
          <w:rFonts w:ascii="Adobe Caslon Pro" w:hAnsi="Adobe Caslon Pro" w:cs="Calibri"/>
          <w:i/>
          <w:color w:val="000000"/>
          <w:sz w:val="20"/>
          <w:szCs w:val="20"/>
          <w:lang w:eastAsia="es-MX"/>
        </w:rPr>
      </w:pPr>
      <w:r w:rsidRPr="008E4272">
        <w:rPr>
          <w:rFonts w:ascii="Arial" w:hAnsi="Arial" w:cs="Arial"/>
          <w:b/>
        </w:rPr>
        <w:lastRenderedPageBreak/>
        <w:t>14.</w:t>
      </w:r>
      <w:r w:rsidR="0072684E">
        <w:rPr>
          <w:rFonts w:ascii="Arial" w:hAnsi="Arial" w:cs="Arial"/>
          <w:b/>
        </w:rPr>
        <w:t>2</w:t>
      </w:r>
      <w:r w:rsidRPr="008E4272">
        <w:rPr>
          <w:rFonts w:ascii="Arial" w:hAnsi="Arial" w:cs="Arial"/>
          <w:b/>
        </w:rPr>
        <w:t>.9.- FONDO DE APORTACIONES PARA LA EDUCACIÓN BÁSICA Y NORMAL (FAEB)</w:t>
      </w:r>
    </w:p>
    <w:p w:rsidR="008E4272" w:rsidRDefault="008E4272" w:rsidP="008E4272">
      <w:pPr>
        <w:pStyle w:val="Prrafodelista"/>
        <w:ind w:left="0"/>
        <w:jc w:val="center"/>
        <w:rPr>
          <w:rFonts w:ascii="Adobe Caslon Pro" w:hAnsi="Adobe Caslon Pro" w:cs="Calibri"/>
          <w:i/>
          <w:color w:val="000000"/>
          <w:lang w:eastAsia="es-MX"/>
        </w:rPr>
      </w:pPr>
    </w:p>
    <w:tbl>
      <w:tblPr>
        <w:tblpPr w:leftFromText="141" w:rightFromText="141" w:vertAnchor="text" w:tblpXSpec="center" w:tblpY="1"/>
        <w:tblOverlap w:val="never"/>
        <w:tblW w:w="9436" w:type="dxa"/>
        <w:jc w:val="center"/>
        <w:tblCellMar>
          <w:left w:w="70" w:type="dxa"/>
          <w:right w:w="70" w:type="dxa"/>
        </w:tblCellMar>
        <w:tblLook w:val="04A0"/>
      </w:tblPr>
      <w:tblGrid>
        <w:gridCol w:w="579"/>
        <w:gridCol w:w="420"/>
        <w:gridCol w:w="1955"/>
        <w:gridCol w:w="1311"/>
        <w:gridCol w:w="160"/>
        <w:gridCol w:w="237"/>
        <w:gridCol w:w="170"/>
        <w:gridCol w:w="141"/>
        <w:gridCol w:w="667"/>
        <w:gridCol w:w="1311"/>
        <w:gridCol w:w="14"/>
        <w:gridCol w:w="1160"/>
        <w:gridCol w:w="151"/>
        <w:gridCol w:w="1160"/>
      </w:tblGrid>
      <w:tr w:rsidR="008E4272" w:rsidRPr="00BE4199" w:rsidTr="00A56E05">
        <w:trPr>
          <w:trHeight w:val="420"/>
          <w:jc w:val="center"/>
        </w:trPr>
        <w:tc>
          <w:tcPr>
            <w:tcW w:w="5640" w:type="dxa"/>
            <w:gridSpan w:val="9"/>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Evaluación Estratégica de Consistencia y Resultados del Fondo de Aportaciones </w:t>
            </w:r>
            <w:r>
              <w:rPr>
                <w:rFonts w:ascii="Adobe Caslon Pro" w:hAnsi="Adobe Caslon Pro" w:cs="Calibri"/>
                <w:i/>
                <w:color w:val="000000"/>
                <w:sz w:val="20"/>
                <w:szCs w:val="20"/>
                <w:lang w:eastAsia="es-MX"/>
              </w:rPr>
              <w:t>para la Educación Básica y Normal (FAEB)</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1.2 Fecha de inicio de la evaluación (</w:t>
            </w:r>
            <w:proofErr w:type="spellStart"/>
            <w:r w:rsidRPr="00BE4199">
              <w:rPr>
                <w:rFonts w:ascii="Adobe Caslon Pro" w:hAnsi="Adobe Caslon Pro" w:cs="Calibri"/>
                <w:color w:val="000000"/>
                <w:sz w:val="20"/>
                <w:szCs w:val="20"/>
                <w:lang w:eastAsia="es-MX"/>
              </w:rPr>
              <w:t>dd</w:t>
            </w:r>
            <w:proofErr w:type="spellEnd"/>
            <w:r w:rsidRPr="00BE4199">
              <w:rPr>
                <w:rFonts w:ascii="Adobe Caslon Pro" w:hAnsi="Adobe Caslon Pro" w:cs="Calibri"/>
                <w:color w:val="000000"/>
                <w:sz w:val="20"/>
                <w:szCs w:val="20"/>
                <w:lang w:eastAsia="es-MX"/>
              </w:rPr>
              <w:t>/mm/</w:t>
            </w:r>
            <w:proofErr w:type="spellStart"/>
            <w:r w:rsidRPr="00BE4199">
              <w:rPr>
                <w:rFonts w:ascii="Adobe Caslon Pro" w:hAnsi="Adobe Caslon Pro" w:cs="Calibri"/>
                <w:color w:val="000000"/>
                <w:sz w:val="20"/>
                <w:szCs w:val="20"/>
                <w:lang w:eastAsia="es-MX"/>
              </w:rPr>
              <w:t>aaaa</w:t>
            </w:r>
            <w:proofErr w:type="spellEnd"/>
            <w:r w:rsidRPr="00BE4199">
              <w:rPr>
                <w:rFonts w:ascii="Adobe Caslon Pro" w:hAnsi="Adobe Caslon Pro" w:cs="Calibri"/>
                <w:color w:val="000000"/>
                <w:sz w:val="20"/>
                <w:szCs w:val="20"/>
                <w:lang w:eastAsia="es-MX"/>
              </w:rPr>
              <w:t xml:space="preserve">): </w:t>
            </w:r>
            <w:r w:rsidRPr="00BE4199">
              <w:rPr>
                <w:rFonts w:ascii="Adobe Caslon Pro" w:hAnsi="Adobe Caslon Pro" w:cs="Calibri"/>
                <w:i/>
                <w:color w:val="000000"/>
                <w:sz w:val="20"/>
                <w:szCs w:val="20"/>
                <w:lang w:eastAsia="es-MX"/>
              </w:rPr>
              <w:t>21/08/2014</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1.3 Fecha de término de la evaluación (</w:t>
            </w:r>
            <w:proofErr w:type="spellStart"/>
            <w:r w:rsidRPr="000D3BE9">
              <w:rPr>
                <w:rFonts w:ascii="Adobe Caslon Pro" w:hAnsi="Adobe Caslon Pro" w:cs="Calibri"/>
                <w:color w:val="000000"/>
                <w:sz w:val="20"/>
                <w:szCs w:val="20"/>
                <w:lang w:eastAsia="es-MX"/>
              </w:rPr>
              <w:t>dd</w:t>
            </w:r>
            <w:proofErr w:type="spellEnd"/>
            <w:r w:rsidRPr="000D3BE9">
              <w:rPr>
                <w:rFonts w:ascii="Adobe Caslon Pro" w:hAnsi="Adobe Caslon Pro" w:cs="Calibri"/>
                <w:color w:val="000000"/>
                <w:sz w:val="20"/>
                <w:szCs w:val="20"/>
                <w:lang w:eastAsia="es-MX"/>
              </w:rPr>
              <w:t>/mm/</w:t>
            </w:r>
            <w:proofErr w:type="spellStart"/>
            <w:r w:rsidRPr="000D3BE9">
              <w:rPr>
                <w:rFonts w:ascii="Adobe Caslon Pro" w:hAnsi="Adobe Caslon Pro" w:cs="Calibri"/>
                <w:color w:val="000000"/>
                <w:sz w:val="20"/>
                <w:szCs w:val="20"/>
                <w:lang w:eastAsia="es-MX"/>
              </w:rPr>
              <w:t>aaaa</w:t>
            </w:r>
            <w:proofErr w:type="spellEnd"/>
            <w:r w:rsidRPr="000D3BE9">
              <w:rPr>
                <w:rFonts w:ascii="Adobe Caslon Pro" w:hAnsi="Adobe Caslon Pro" w:cs="Calibri"/>
                <w:color w:val="000000"/>
                <w:sz w:val="20"/>
                <w:szCs w:val="20"/>
                <w:lang w:eastAsia="es-MX"/>
              </w:rPr>
              <w:t xml:space="preserve">): </w:t>
            </w:r>
            <w:r w:rsidRPr="000D3BE9">
              <w:rPr>
                <w:rFonts w:ascii="Adobe Caslon Pro" w:hAnsi="Adobe Caslon Pro" w:cs="Calibri"/>
                <w:i/>
                <w:color w:val="000000"/>
                <w:sz w:val="20"/>
                <w:szCs w:val="20"/>
                <w:lang w:eastAsia="es-MX"/>
              </w:rPr>
              <w:t>09/04/2015</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8E4272" w:rsidRPr="00BE4199"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8E4272"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8E4272" w:rsidRPr="00BE4199" w:rsidRDefault="008E4272" w:rsidP="00A56E05">
            <w:pPr>
              <w:rPr>
                <w:rFonts w:ascii="Adobe Caslon Pro" w:hAnsi="Adobe Caslon Pro" w:cs="Calibri"/>
                <w:i/>
                <w:color w:val="000000"/>
                <w:sz w:val="20"/>
                <w:szCs w:val="20"/>
                <w:lang w:eastAsia="es-MX"/>
              </w:rPr>
            </w:pPr>
          </w:p>
        </w:tc>
        <w:tc>
          <w:tcPr>
            <w:tcW w:w="4774" w:type="dxa"/>
            <w:gridSpan w:val="8"/>
            <w:tcBorders>
              <w:top w:val="single" w:sz="4" w:space="0" w:color="auto"/>
              <w:left w:val="single" w:sz="4" w:space="0" w:color="auto"/>
              <w:bottom w:val="single" w:sz="4" w:space="0" w:color="auto"/>
              <w:right w:val="single" w:sz="4" w:space="0" w:color="000000"/>
            </w:tcBorders>
            <w:shd w:val="clear" w:color="auto" w:fill="auto"/>
            <w:vAlign w:val="bottom"/>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8E4272" w:rsidRDefault="008E4272"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Coadyuvar en la Consolidación del Sistema de Evaluación del Desempeño en el Estado de Oaxaca, a través de identificar y analizar la consistencia y resultados del Fondo de Aportaciones </w:t>
            </w:r>
            <w:r>
              <w:rPr>
                <w:rFonts w:ascii="Adobe Caslon Pro" w:hAnsi="Adobe Caslon Pro" w:cs="Calibri"/>
                <w:i/>
                <w:color w:val="000000"/>
                <w:sz w:val="20"/>
                <w:szCs w:val="20"/>
                <w:lang w:eastAsia="es-MX"/>
              </w:rPr>
              <w:t>para la Educación Básica y Normal (FAEB)</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p w:rsidR="008E4272" w:rsidRPr="00BE4199" w:rsidRDefault="008E4272" w:rsidP="00A56E05">
            <w:pPr>
              <w:jc w:val="both"/>
              <w:rPr>
                <w:rFonts w:ascii="Adobe Caslon Pro" w:hAnsi="Adobe Caslon Pro" w:cs="Calibri"/>
                <w:i/>
                <w:color w:val="000000"/>
                <w:sz w:val="20"/>
                <w:szCs w:val="20"/>
                <w:lang w:eastAsia="es-MX"/>
              </w:rPr>
            </w:pP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8E4272"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8E4272" w:rsidRPr="00A92C63" w:rsidRDefault="008E427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Diseño. Es un proceso analítico global que se enfoca en identificar los objetivos de los Programas para luego determinar la consistencia de su diseño y los resultados con tales objetivos.</w:t>
            </w:r>
          </w:p>
          <w:p w:rsidR="008E4272" w:rsidRPr="00A92C63" w:rsidRDefault="008E427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Planeación Estratégica. Implica analizar los instrumentos de planeación de los Programas, y corroborar si tal planeación tiene una orientación para resultados. </w:t>
            </w:r>
          </w:p>
          <w:p w:rsidR="008E4272" w:rsidRPr="00A92C63" w:rsidRDefault="008E427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Cobertura y Focalización. Corresponde cuantificar y determinar la población potencial y la población objetivo que está siendo atendida a través de los Programas. </w:t>
            </w:r>
          </w:p>
          <w:p w:rsidR="008E4272" w:rsidRPr="00A92C63" w:rsidRDefault="008E427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Operación. Analiza las principales actividades y procesos establecidos en la normatividad aplicable; la eficiencia, eficacia y economía operativa de los Programas; y el cumplimiento y avance en los indicadores estratégicos y de gestión. </w:t>
            </w:r>
          </w:p>
          <w:p w:rsidR="008E4272" w:rsidRPr="00A92C63" w:rsidRDefault="008E427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Percepción de la Población. Analiza el grado de satisfacción de los beneficiarios de los bienes y servicios que conforman cada Programa. </w:t>
            </w:r>
          </w:p>
          <w:p w:rsidR="008E4272" w:rsidRPr="00A92C63" w:rsidRDefault="008E427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Resultados. Analiza los resultados intermedios y de impacto alcanzado por cada uno de los Programas, en términos de mejora o solución del problema por el cual fue creado cada uno de éstos. </w:t>
            </w:r>
          </w:p>
          <w:p w:rsidR="008E4272" w:rsidRPr="009B1103" w:rsidRDefault="008E4272" w:rsidP="00F075EB">
            <w:pPr>
              <w:numPr>
                <w:ilvl w:val="0"/>
                <w:numId w:val="72"/>
              </w:numPr>
              <w:jc w:val="both"/>
              <w:rPr>
                <w:rFonts w:ascii="Adobe Caslon Pro" w:hAnsi="Adobe Caslon Pro" w:cs="Calibri"/>
                <w:color w:val="000000"/>
                <w:sz w:val="20"/>
                <w:szCs w:val="20"/>
                <w:lang w:eastAsia="es-MX"/>
              </w:rPr>
            </w:pPr>
            <w:r w:rsidRPr="00A92C63">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r>
              <w:t>.</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8E4272" w:rsidRPr="00BE4199" w:rsidTr="00A56E05">
        <w:trPr>
          <w:trHeight w:val="420"/>
          <w:jc w:val="center"/>
        </w:trPr>
        <w:tc>
          <w:tcPr>
            <w:tcW w:w="9436" w:type="dxa"/>
            <w:gridSpan w:val="14"/>
            <w:tcBorders>
              <w:top w:val="single" w:sz="4" w:space="0" w:color="auto"/>
              <w:left w:val="single" w:sz="4" w:space="0" w:color="auto"/>
              <w:right w:val="single" w:sz="4" w:space="0" w:color="000000"/>
            </w:tcBorders>
            <w:shd w:val="clear" w:color="auto" w:fill="auto"/>
            <w:noWrap/>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8E4272" w:rsidRPr="00CB28EA" w:rsidRDefault="008E4272"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tc>
      </w:tr>
      <w:tr w:rsidR="008E4272" w:rsidRPr="00BE4199" w:rsidTr="00A56E05">
        <w:trPr>
          <w:trHeight w:val="599"/>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8E4272"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Descripción de las técnicas y modelos utilizados: </w:t>
            </w:r>
          </w:p>
          <w:p w:rsidR="008E4272" w:rsidRPr="00BE4199" w:rsidRDefault="008E4272"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 xml:space="preserve">nes y el proceso presupuestario, los cuales se encuentran en los Términos de Referencia en la siguiente liga: </w:t>
            </w:r>
            <w:hyperlink r:id="rId145" w:history="1">
              <w:r w:rsidRPr="002F7F93">
                <w:rPr>
                  <w:rStyle w:val="Hipervnculo"/>
                  <w:rFonts w:ascii="Adobe Caslon Pro" w:hAnsi="Adobe Caslon Pro" w:cs="Calibri"/>
                  <w:i/>
                  <w:sz w:val="20"/>
                  <w:szCs w:val="20"/>
                  <w:lang w:eastAsia="es-MX"/>
                </w:rPr>
                <w:t>http://www.jefaturadelagubernatura-evaluacion.oaxaca.gob.mx/index.php/pae-sidepanel/pae-2014</w:t>
              </w:r>
            </w:hyperlink>
          </w:p>
        </w:tc>
      </w:tr>
      <w:tr w:rsidR="008E4272" w:rsidRPr="00BE4199" w:rsidTr="00A56E05">
        <w:trPr>
          <w:trHeight w:val="58"/>
          <w:jc w:val="center"/>
        </w:trPr>
        <w:tc>
          <w:tcPr>
            <w:tcW w:w="999" w:type="dxa"/>
            <w:gridSpan w:val="2"/>
            <w:tcBorders>
              <w:top w:val="single" w:sz="4" w:space="0" w:color="auto"/>
              <w:bottom w:val="single" w:sz="4" w:space="0" w:color="auto"/>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w:t>
            </w:r>
          </w:p>
        </w:tc>
        <w:tc>
          <w:tcPr>
            <w:tcW w:w="8437" w:type="dxa"/>
            <w:gridSpan w:val="12"/>
            <w:tcBorders>
              <w:top w:val="single" w:sz="4" w:space="0" w:color="auto"/>
              <w:bottom w:val="single" w:sz="4" w:space="0" w:color="auto"/>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jc w:val="center"/>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61"/>
          <w:jc w:val="center"/>
        </w:trPr>
        <w:tc>
          <w:tcPr>
            <w:tcW w:w="9436" w:type="dxa"/>
            <w:gridSpan w:val="14"/>
            <w:tcBorders>
              <w:top w:val="single" w:sz="4" w:space="0" w:color="auto"/>
              <w:left w:val="single" w:sz="4" w:space="0" w:color="auto"/>
              <w:right w:val="single" w:sz="4" w:space="0" w:color="000000"/>
            </w:tcBorders>
            <w:shd w:val="clear" w:color="auto" w:fill="auto"/>
            <w:noWrap/>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2.1 Describir los hallazgos más relevantes de la evaluación: </w:t>
            </w:r>
          </w:p>
        </w:tc>
      </w:tr>
      <w:tr w:rsidR="008E4272" w:rsidRPr="00BE4199" w:rsidTr="00A56E05">
        <w:trPr>
          <w:trHeight w:val="420"/>
          <w:jc w:val="center"/>
        </w:trPr>
        <w:tc>
          <w:tcPr>
            <w:tcW w:w="9436" w:type="dxa"/>
            <w:gridSpan w:val="14"/>
            <w:vMerge w:val="restart"/>
            <w:tcBorders>
              <w:top w:val="single" w:sz="4" w:space="0" w:color="auto"/>
              <w:left w:val="single" w:sz="4" w:space="0" w:color="auto"/>
              <w:bottom w:val="nil"/>
              <w:right w:val="single" w:sz="4" w:space="0" w:color="000000"/>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 Señalar cuáles son las principales Fortalezas, Oportunidades, Debilidades y Amenazas (FODA), de acuerdo con los temas del programa, estrategia o instituciones.</w:t>
            </w:r>
          </w:p>
        </w:tc>
      </w:tr>
      <w:tr w:rsidR="008E4272" w:rsidRPr="00BE4199" w:rsidTr="00A56E05">
        <w:trPr>
          <w:trHeight w:val="340"/>
          <w:jc w:val="center"/>
        </w:trPr>
        <w:tc>
          <w:tcPr>
            <w:tcW w:w="9436" w:type="dxa"/>
            <w:gridSpan w:val="14"/>
            <w:vMerge/>
            <w:tcBorders>
              <w:top w:val="single" w:sz="4" w:space="0" w:color="auto"/>
              <w:left w:val="single" w:sz="4" w:space="0" w:color="auto"/>
              <w:bottom w:val="nil"/>
              <w:right w:val="single" w:sz="4" w:space="0" w:color="000000"/>
            </w:tcBorders>
            <w:vAlign w:val="center"/>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8E4272" w:rsidRPr="00E71100" w:rsidRDefault="008E4272" w:rsidP="00A56E05">
            <w:pPr>
              <w:jc w:val="both"/>
              <w:rPr>
                <w:rFonts w:ascii="Adobe Caslon Pro" w:hAnsi="Adobe Caslon Pro" w:cs="Calibri"/>
                <w:i/>
                <w:color w:val="000000"/>
                <w:sz w:val="20"/>
                <w:szCs w:val="20"/>
                <w:lang w:eastAsia="es-MX"/>
              </w:rPr>
            </w:pPr>
            <w:r w:rsidRPr="00E71100">
              <w:rPr>
                <w:rFonts w:ascii="Adobe Caslon Pro" w:hAnsi="Adobe Caslon Pro" w:cs="Calibri"/>
                <w:i/>
                <w:color w:val="000000"/>
                <w:sz w:val="20"/>
                <w:szCs w:val="20"/>
                <w:lang w:eastAsia="es-MX"/>
              </w:rPr>
              <w:t>2.2.1 Fortalezas:</w:t>
            </w:r>
          </w:p>
          <w:p w:rsidR="008E4272" w:rsidRDefault="008E4272"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DISEÑO</w:t>
            </w:r>
          </w:p>
          <w:p w:rsidR="008E4272" w:rsidRDefault="008E4272" w:rsidP="00F075EB">
            <w:pPr>
              <w:numPr>
                <w:ilvl w:val="0"/>
                <w:numId w:val="12"/>
              </w:numPr>
              <w:jc w:val="both"/>
              <w:rPr>
                <w:rFonts w:ascii="Adobe Caslon Pro" w:hAnsi="Adobe Caslon Pro" w:cs="Calibri"/>
                <w:i/>
                <w:color w:val="000000"/>
                <w:sz w:val="20"/>
                <w:szCs w:val="20"/>
                <w:lang w:eastAsia="es-MX"/>
              </w:rPr>
            </w:pPr>
            <w:r w:rsidRPr="002C642C">
              <w:rPr>
                <w:rFonts w:ascii="Adobe Caslon Pro" w:hAnsi="Adobe Caslon Pro" w:cs="Calibri"/>
                <w:i/>
                <w:color w:val="000000"/>
                <w:sz w:val="20"/>
                <w:szCs w:val="20"/>
                <w:lang w:eastAsia="es-MX"/>
              </w:rPr>
              <w:t>Los objetivos estratégicos de la Dependenci</w:t>
            </w:r>
            <w:r>
              <w:rPr>
                <w:rFonts w:ascii="Adobe Caslon Pro" w:hAnsi="Adobe Caslon Pro" w:cs="Calibri"/>
                <w:i/>
                <w:color w:val="000000"/>
                <w:sz w:val="20"/>
                <w:szCs w:val="20"/>
                <w:lang w:eastAsia="es-MX"/>
              </w:rPr>
              <w:t xml:space="preserve">a se encuentran alineados a los </w:t>
            </w:r>
            <w:r w:rsidRPr="002C642C">
              <w:rPr>
                <w:rFonts w:ascii="Adobe Caslon Pro" w:hAnsi="Adobe Caslon Pro" w:cs="Calibri"/>
                <w:i/>
                <w:color w:val="000000"/>
                <w:sz w:val="20"/>
                <w:szCs w:val="20"/>
                <w:lang w:eastAsia="es-MX"/>
              </w:rPr>
              <w:t>objetivos estratégicos del Plan Estatal de Desarrollo.</w:t>
            </w:r>
          </w:p>
          <w:p w:rsidR="008E4272" w:rsidRDefault="008E4272" w:rsidP="00F075EB">
            <w:pPr>
              <w:numPr>
                <w:ilvl w:val="0"/>
                <w:numId w:val="12"/>
              </w:numPr>
              <w:jc w:val="both"/>
              <w:rPr>
                <w:rFonts w:ascii="Adobe Caslon Pro" w:hAnsi="Adobe Caslon Pro" w:cs="Calibri"/>
                <w:i/>
                <w:color w:val="000000"/>
                <w:sz w:val="20"/>
                <w:szCs w:val="20"/>
                <w:lang w:eastAsia="es-MX"/>
              </w:rPr>
            </w:pPr>
            <w:r w:rsidRPr="002C642C">
              <w:rPr>
                <w:rFonts w:ascii="Adobe Caslon Pro" w:hAnsi="Adobe Caslon Pro" w:cs="Calibri"/>
                <w:i/>
                <w:color w:val="000000"/>
                <w:sz w:val="20"/>
                <w:szCs w:val="20"/>
                <w:lang w:eastAsia="es-MX"/>
              </w:rPr>
              <w:t>Los programas asociados al Fondo presentan una relación directa con el objetivo</w:t>
            </w:r>
            <w:r>
              <w:rPr>
                <w:rFonts w:ascii="Adobe Caslon Pro" w:hAnsi="Adobe Caslon Pro" w:cs="Calibri"/>
                <w:i/>
                <w:color w:val="000000"/>
                <w:sz w:val="20"/>
                <w:szCs w:val="20"/>
                <w:lang w:eastAsia="es-MX"/>
              </w:rPr>
              <w:t xml:space="preserve"> </w:t>
            </w:r>
            <w:r w:rsidRPr="002C642C">
              <w:rPr>
                <w:rFonts w:ascii="Adobe Caslon Pro" w:hAnsi="Adobe Caslon Pro" w:cs="Calibri"/>
                <w:i/>
                <w:color w:val="000000"/>
                <w:sz w:val="20"/>
                <w:szCs w:val="20"/>
                <w:lang w:eastAsia="es-MX"/>
              </w:rPr>
              <w:t>estratégico del Plan Nacional de Desarrollo.</w:t>
            </w:r>
          </w:p>
          <w:p w:rsidR="008E4272" w:rsidRDefault="008E4272" w:rsidP="00F075EB">
            <w:pPr>
              <w:numPr>
                <w:ilvl w:val="0"/>
                <w:numId w:val="12"/>
              </w:numPr>
              <w:jc w:val="both"/>
              <w:rPr>
                <w:rFonts w:ascii="Adobe Caslon Pro" w:hAnsi="Adobe Caslon Pro" w:cs="Calibri"/>
                <w:i/>
                <w:color w:val="000000"/>
                <w:sz w:val="20"/>
                <w:szCs w:val="20"/>
                <w:lang w:eastAsia="es-MX"/>
              </w:rPr>
            </w:pPr>
            <w:r w:rsidRPr="002C642C">
              <w:rPr>
                <w:rFonts w:ascii="Adobe Caslon Pro" w:hAnsi="Adobe Caslon Pro" w:cs="Calibri"/>
                <w:i/>
                <w:color w:val="000000"/>
                <w:sz w:val="20"/>
                <w:szCs w:val="20"/>
                <w:lang w:eastAsia="es-MX"/>
              </w:rPr>
              <w:t>Se define y cuantifica de manera adecuada a la población potencial y objetivo</w:t>
            </w:r>
            <w:r>
              <w:rPr>
                <w:rFonts w:ascii="Adobe Caslon Pro" w:hAnsi="Adobe Caslon Pro" w:cs="Calibri"/>
                <w:i/>
                <w:color w:val="000000"/>
                <w:sz w:val="20"/>
                <w:szCs w:val="20"/>
                <w:lang w:eastAsia="es-MX"/>
              </w:rPr>
              <w:t xml:space="preserve"> </w:t>
            </w:r>
            <w:r w:rsidRPr="002C642C">
              <w:rPr>
                <w:rFonts w:ascii="Adobe Caslon Pro" w:hAnsi="Adobe Caslon Pro" w:cs="Calibri"/>
                <w:i/>
                <w:color w:val="000000"/>
                <w:sz w:val="20"/>
                <w:szCs w:val="20"/>
                <w:lang w:eastAsia="es-MX"/>
              </w:rPr>
              <w:t>de los programas.</w:t>
            </w:r>
          </w:p>
          <w:p w:rsidR="008E4272" w:rsidRPr="002C642C" w:rsidRDefault="008E4272" w:rsidP="00A56E05">
            <w:pPr>
              <w:ind w:left="720"/>
              <w:jc w:val="both"/>
              <w:rPr>
                <w:rFonts w:ascii="Adobe Caslon Pro" w:hAnsi="Adobe Caslon Pro" w:cs="Calibri"/>
                <w:i/>
                <w:color w:val="000000"/>
                <w:sz w:val="20"/>
                <w:szCs w:val="20"/>
                <w:lang w:eastAsia="es-MX"/>
              </w:rPr>
            </w:pPr>
          </w:p>
          <w:p w:rsidR="008E4272" w:rsidRDefault="008E427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8E4272" w:rsidRDefault="008E4272" w:rsidP="00F075EB">
            <w:pPr>
              <w:numPr>
                <w:ilvl w:val="0"/>
                <w:numId w:val="77"/>
              </w:numPr>
              <w:jc w:val="both"/>
              <w:rPr>
                <w:rFonts w:ascii="Adobe Caslon Pro" w:hAnsi="Adobe Caslon Pro" w:cs="Calibri"/>
                <w:i/>
                <w:color w:val="000000"/>
                <w:sz w:val="20"/>
                <w:szCs w:val="20"/>
                <w:lang w:eastAsia="es-MX"/>
              </w:rPr>
            </w:pPr>
            <w:r w:rsidRPr="002C642C">
              <w:rPr>
                <w:rFonts w:ascii="Adobe Caslon Pro" w:hAnsi="Adobe Caslon Pro" w:cs="Calibri"/>
                <w:i/>
                <w:color w:val="000000"/>
                <w:sz w:val="20"/>
                <w:szCs w:val="20"/>
                <w:lang w:eastAsia="es-MX"/>
              </w:rPr>
              <w:t>Se recolecta regularmente información oportuna</w:t>
            </w:r>
            <w:r>
              <w:rPr>
                <w:rFonts w:ascii="Adobe Caslon Pro" w:hAnsi="Adobe Caslon Pro" w:cs="Calibri"/>
                <w:i/>
                <w:color w:val="000000"/>
                <w:sz w:val="20"/>
                <w:szCs w:val="20"/>
                <w:lang w:eastAsia="es-MX"/>
              </w:rPr>
              <w:t xml:space="preserve"> y veraz que permita monitorear </w:t>
            </w:r>
            <w:r w:rsidRPr="002C642C">
              <w:rPr>
                <w:rFonts w:ascii="Adobe Caslon Pro" w:hAnsi="Adobe Caslon Pro" w:cs="Calibri"/>
                <w:i/>
                <w:color w:val="000000"/>
                <w:sz w:val="20"/>
                <w:szCs w:val="20"/>
                <w:lang w:eastAsia="es-MX"/>
              </w:rPr>
              <w:t>el desempeño de cada programa asociado al Fondo.</w:t>
            </w:r>
          </w:p>
          <w:p w:rsidR="008E4272" w:rsidRDefault="008E4272" w:rsidP="00F075EB">
            <w:pPr>
              <w:numPr>
                <w:ilvl w:val="0"/>
                <w:numId w:val="12"/>
              </w:numPr>
              <w:jc w:val="both"/>
              <w:rPr>
                <w:rFonts w:ascii="Adobe Caslon Pro" w:hAnsi="Adobe Caslon Pro" w:cs="Calibri"/>
                <w:i/>
                <w:color w:val="000000"/>
                <w:sz w:val="20"/>
                <w:szCs w:val="20"/>
                <w:lang w:eastAsia="es-MX"/>
              </w:rPr>
            </w:pPr>
            <w:r w:rsidRPr="002C642C">
              <w:rPr>
                <w:rFonts w:ascii="Adobe Caslon Pro" w:hAnsi="Adobe Caslon Pro" w:cs="Calibri"/>
                <w:i/>
                <w:color w:val="000000"/>
                <w:sz w:val="20"/>
                <w:szCs w:val="20"/>
                <w:lang w:eastAsia="es-MX"/>
              </w:rPr>
              <w:t>Cada uno de los programas asociados al Fondo, tienen metas pertinentes y</w:t>
            </w:r>
            <w:r>
              <w:rPr>
                <w:rFonts w:ascii="Adobe Caslon Pro" w:hAnsi="Adobe Caslon Pro" w:cs="Calibri"/>
                <w:i/>
                <w:color w:val="000000"/>
                <w:sz w:val="20"/>
                <w:szCs w:val="20"/>
                <w:lang w:eastAsia="es-MX"/>
              </w:rPr>
              <w:t xml:space="preserve"> </w:t>
            </w:r>
            <w:r w:rsidRPr="002C642C">
              <w:rPr>
                <w:rFonts w:ascii="Adobe Caslon Pro" w:hAnsi="Adobe Caslon Pro" w:cs="Calibri"/>
                <w:i/>
                <w:color w:val="000000"/>
                <w:sz w:val="20"/>
                <w:szCs w:val="20"/>
                <w:lang w:eastAsia="es-MX"/>
              </w:rPr>
              <w:t>plazos específicos para sus indicadores de desempeño.</w:t>
            </w:r>
          </w:p>
          <w:p w:rsidR="008E4272" w:rsidRPr="002C642C" w:rsidRDefault="008E4272" w:rsidP="00F075EB">
            <w:pPr>
              <w:numPr>
                <w:ilvl w:val="0"/>
                <w:numId w:val="12"/>
              </w:numPr>
              <w:jc w:val="both"/>
              <w:rPr>
                <w:rFonts w:ascii="Adobe Caslon Pro" w:hAnsi="Adobe Caslon Pro" w:cs="Calibri"/>
                <w:i/>
                <w:color w:val="000000"/>
                <w:sz w:val="20"/>
                <w:szCs w:val="20"/>
                <w:lang w:eastAsia="es-MX"/>
              </w:rPr>
            </w:pPr>
            <w:r w:rsidRPr="002C642C">
              <w:rPr>
                <w:rFonts w:ascii="Adobe Caslon Pro" w:hAnsi="Adobe Caslon Pro" w:cs="Calibri"/>
                <w:i/>
                <w:color w:val="000000"/>
                <w:sz w:val="20"/>
                <w:szCs w:val="20"/>
                <w:lang w:eastAsia="es-MX"/>
              </w:rPr>
              <w:t>Están los requerimientos de presupuesto explícitamente ligados al cumplimiento</w:t>
            </w:r>
            <w:r>
              <w:rPr>
                <w:rFonts w:ascii="Adobe Caslon Pro" w:hAnsi="Adobe Caslon Pro" w:cs="Calibri"/>
                <w:i/>
                <w:color w:val="000000"/>
                <w:sz w:val="20"/>
                <w:szCs w:val="20"/>
                <w:lang w:eastAsia="es-MX"/>
              </w:rPr>
              <w:t xml:space="preserve"> </w:t>
            </w:r>
            <w:r w:rsidRPr="002C642C">
              <w:rPr>
                <w:rFonts w:ascii="Adobe Caslon Pro" w:hAnsi="Adobe Caslon Pro" w:cs="Calibri"/>
                <w:i/>
                <w:color w:val="000000"/>
                <w:sz w:val="20"/>
                <w:szCs w:val="20"/>
                <w:lang w:eastAsia="es-MX"/>
              </w:rPr>
              <w:t>de las metas de desempeño.</w:t>
            </w:r>
          </w:p>
          <w:p w:rsidR="008E4272" w:rsidRPr="002421C4" w:rsidRDefault="008E4272" w:rsidP="00A56E05">
            <w:pPr>
              <w:ind w:left="720"/>
              <w:jc w:val="both"/>
              <w:rPr>
                <w:rFonts w:ascii="Adobe Caslon Pro" w:hAnsi="Adobe Caslon Pro" w:cs="Calibri"/>
                <w:i/>
                <w:color w:val="000000"/>
                <w:sz w:val="20"/>
                <w:szCs w:val="20"/>
                <w:lang w:eastAsia="es-MX"/>
              </w:rPr>
            </w:pPr>
          </w:p>
          <w:p w:rsidR="008E4272" w:rsidRDefault="008E427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w:t>
            </w:r>
            <w:r w:rsidRPr="00C41A47">
              <w:rPr>
                <w:rFonts w:ascii="Adobe Caslon Pro" w:hAnsi="Adobe Caslon Pro" w:cs="Calibri"/>
                <w:i/>
                <w:color w:val="000000"/>
                <w:sz w:val="20"/>
                <w:szCs w:val="20"/>
                <w:lang w:eastAsia="es-MX"/>
              </w:rPr>
              <w:t>OBERTURA Y FOCALIZACIÓN</w:t>
            </w:r>
          </w:p>
          <w:p w:rsidR="008E4272" w:rsidRDefault="008E4272" w:rsidP="00F075EB">
            <w:pPr>
              <w:numPr>
                <w:ilvl w:val="0"/>
                <w:numId w:val="78"/>
              </w:numPr>
              <w:jc w:val="both"/>
              <w:rPr>
                <w:rFonts w:ascii="Adobe Caslon Pro" w:hAnsi="Adobe Caslon Pro" w:cs="Calibri"/>
                <w:i/>
                <w:color w:val="000000"/>
                <w:sz w:val="20"/>
                <w:szCs w:val="20"/>
                <w:lang w:eastAsia="es-MX"/>
              </w:rPr>
            </w:pPr>
            <w:r w:rsidRPr="00B40921">
              <w:rPr>
                <w:rFonts w:ascii="Adobe Caslon Pro" w:hAnsi="Adobe Caslon Pro" w:cs="Calibri"/>
                <w:i/>
                <w:color w:val="000000"/>
                <w:sz w:val="20"/>
                <w:szCs w:val="20"/>
                <w:lang w:eastAsia="es-MX"/>
              </w:rPr>
              <w:t>Los mecanismos para cuantificar a las poblaciones (</w:t>
            </w:r>
            <w:r>
              <w:rPr>
                <w:rFonts w:ascii="Adobe Caslon Pro" w:hAnsi="Adobe Caslon Pro" w:cs="Calibri"/>
                <w:i/>
                <w:color w:val="000000"/>
                <w:sz w:val="20"/>
                <w:szCs w:val="20"/>
                <w:lang w:eastAsia="es-MX"/>
              </w:rPr>
              <w:t xml:space="preserve">potencial, objetivo y atendida) </w:t>
            </w:r>
            <w:r w:rsidRPr="00B40921">
              <w:rPr>
                <w:rFonts w:ascii="Adobe Caslon Pro" w:hAnsi="Adobe Caslon Pro" w:cs="Calibri"/>
                <w:i/>
                <w:color w:val="000000"/>
                <w:sz w:val="20"/>
                <w:szCs w:val="20"/>
                <w:lang w:eastAsia="es-MX"/>
              </w:rPr>
              <w:t>son los adecuados y permiten con base en ellas realizar un análisis de</w:t>
            </w:r>
            <w:r>
              <w:rPr>
                <w:rFonts w:ascii="Adobe Caslon Pro" w:hAnsi="Adobe Caslon Pro" w:cs="Calibri"/>
                <w:i/>
                <w:color w:val="000000"/>
                <w:sz w:val="20"/>
                <w:szCs w:val="20"/>
                <w:lang w:eastAsia="es-MX"/>
              </w:rPr>
              <w:t xml:space="preserve"> </w:t>
            </w:r>
            <w:r w:rsidRPr="00B40921">
              <w:rPr>
                <w:rFonts w:ascii="Adobe Caslon Pro" w:hAnsi="Adobe Caslon Pro" w:cs="Calibri"/>
                <w:i/>
                <w:color w:val="000000"/>
                <w:sz w:val="20"/>
                <w:szCs w:val="20"/>
                <w:lang w:eastAsia="es-MX"/>
              </w:rPr>
              <w:t>cobertura y eficiencia.</w:t>
            </w:r>
          </w:p>
          <w:p w:rsidR="008E4272" w:rsidRDefault="008E4272" w:rsidP="00F075EB">
            <w:pPr>
              <w:numPr>
                <w:ilvl w:val="0"/>
                <w:numId w:val="78"/>
              </w:numPr>
              <w:jc w:val="both"/>
              <w:rPr>
                <w:rFonts w:ascii="Adobe Caslon Pro" w:hAnsi="Adobe Caslon Pro" w:cs="Calibri"/>
                <w:i/>
                <w:color w:val="000000"/>
                <w:sz w:val="20"/>
                <w:szCs w:val="20"/>
                <w:lang w:eastAsia="es-MX"/>
              </w:rPr>
            </w:pPr>
            <w:r w:rsidRPr="00B40921">
              <w:rPr>
                <w:rFonts w:ascii="Adobe Caslon Pro" w:hAnsi="Adobe Caslon Pro" w:cs="Calibri"/>
                <w:i/>
                <w:color w:val="000000"/>
                <w:sz w:val="20"/>
                <w:szCs w:val="20"/>
                <w:lang w:eastAsia="es-MX"/>
              </w:rPr>
              <w:t>Se cuenta con un padrón de beneficiarios que de forma indirecta se actualiza</w:t>
            </w:r>
            <w:r>
              <w:rPr>
                <w:rFonts w:ascii="Adobe Caslon Pro" w:hAnsi="Adobe Caslon Pro" w:cs="Calibri"/>
                <w:i/>
                <w:color w:val="000000"/>
                <w:sz w:val="20"/>
                <w:szCs w:val="20"/>
                <w:lang w:eastAsia="es-MX"/>
              </w:rPr>
              <w:t xml:space="preserve"> </w:t>
            </w:r>
            <w:r w:rsidRPr="00B40921">
              <w:rPr>
                <w:rFonts w:ascii="Adobe Caslon Pro" w:hAnsi="Adobe Caslon Pro" w:cs="Calibri"/>
                <w:i/>
                <w:color w:val="000000"/>
                <w:sz w:val="20"/>
                <w:szCs w:val="20"/>
                <w:lang w:eastAsia="es-MX"/>
              </w:rPr>
              <w:t>en cada ciclo escolar; no obstante, no se detectó evidencia.</w:t>
            </w:r>
          </w:p>
          <w:p w:rsidR="008E4272" w:rsidRDefault="008E4272" w:rsidP="00F075EB">
            <w:pPr>
              <w:numPr>
                <w:ilvl w:val="0"/>
                <w:numId w:val="78"/>
              </w:numPr>
              <w:jc w:val="both"/>
              <w:rPr>
                <w:rFonts w:ascii="Adobe Caslon Pro" w:hAnsi="Adobe Caslon Pro" w:cs="Calibri"/>
                <w:i/>
                <w:color w:val="000000"/>
                <w:sz w:val="20"/>
                <w:szCs w:val="20"/>
                <w:lang w:eastAsia="es-MX"/>
              </w:rPr>
            </w:pPr>
            <w:r w:rsidRPr="00B40921">
              <w:rPr>
                <w:rFonts w:ascii="Adobe Caslon Pro" w:hAnsi="Adobe Caslon Pro" w:cs="Calibri"/>
                <w:i/>
                <w:color w:val="000000"/>
                <w:sz w:val="20"/>
                <w:szCs w:val="20"/>
                <w:lang w:eastAsia="es-MX"/>
              </w:rPr>
              <w:t>Se cuenta con evidencia de cuánta población fue atendida, por rangos de</w:t>
            </w:r>
            <w:r>
              <w:rPr>
                <w:rFonts w:ascii="Adobe Caslon Pro" w:hAnsi="Adobe Caslon Pro" w:cs="Calibri"/>
                <w:i/>
                <w:color w:val="000000"/>
                <w:sz w:val="20"/>
                <w:szCs w:val="20"/>
                <w:lang w:eastAsia="es-MX"/>
              </w:rPr>
              <w:t xml:space="preserve"> </w:t>
            </w:r>
            <w:r w:rsidRPr="00B40921">
              <w:rPr>
                <w:rFonts w:ascii="Adobe Caslon Pro" w:hAnsi="Adobe Caslon Pro" w:cs="Calibri"/>
                <w:i/>
                <w:color w:val="000000"/>
                <w:sz w:val="20"/>
                <w:szCs w:val="20"/>
                <w:lang w:eastAsia="es-MX"/>
              </w:rPr>
              <w:t>edades.</w:t>
            </w:r>
          </w:p>
          <w:p w:rsidR="008E4272" w:rsidRPr="00B40921" w:rsidRDefault="008E4272" w:rsidP="00F075EB">
            <w:pPr>
              <w:numPr>
                <w:ilvl w:val="0"/>
                <w:numId w:val="78"/>
              </w:numPr>
              <w:jc w:val="both"/>
              <w:rPr>
                <w:rFonts w:ascii="Adobe Caslon Pro" w:hAnsi="Adobe Caslon Pro" w:cs="Calibri"/>
                <w:i/>
                <w:color w:val="000000"/>
                <w:sz w:val="20"/>
                <w:szCs w:val="20"/>
                <w:lang w:eastAsia="es-MX"/>
              </w:rPr>
            </w:pPr>
            <w:r w:rsidRPr="00B40921">
              <w:rPr>
                <w:rFonts w:ascii="Adobe Caslon Pro" w:hAnsi="Adobe Caslon Pro" w:cs="Calibri"/>
                <w:i/>
                <w:color w:val="000000"/>
                <w:sz w:val="20"/>
                <w:szCs w:val="20"/>
                <w:lang w:eastAsia="es-MX"/>
              </w:rPr>
              <w:t>Conforme a la información disponible, se atendió al 100% de la población objetivo.</w:t>
            </w:r>
          </w:p>
          <w:p w:rsidR="008E4272" w:rsidRPr="00BE4199" w:rsidRDefault="008E4272" w:rsidP="00A56E05">
            <w:pPr>
              <w:ind w:left="946"/>
              <w:jc w:val="both"/>
              <w:rPr>
                <w:rFonts w:ascii="Adobe Caslon Pro" w:hAnsi="Adobe Caslon Pro" w:cs="Calibri"/>
                <w:i/>
                <w:color w:val="000000"/>
                <w:sz w:val="20"/>
                <w:szCs w:val="20"/>
                <w:lang w:eastAsia="es-MX"/>
              </w:rPr>
            </w:pPr>
          </w:p>
          <w:p w:rsidR="008E4272" w:rsidRDefault="008E4272"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OPERACIÓN</w:t>
            </w:r>
          </w:p>
          <w:p w:rsidR="008E4272" w:rsidRDefault="008E4272" w:rsidP="00F075EB">
            <w:pPr>
              <w:numPr>
                <w:ilvl w:val="0"/>
                <w:numId w:val="79"/>
              </w:numPr>
              <w:jc w:val="both"/>
              <w:rPr>
                <w:rFonts w:ascii="Adobe Caslon Pro" w:hAnsi="Adobe Caslon Pro" w:cs="Calibri"/>
                <w:i/>
                <w:color w:val="000000"/>
                <w:sz w:val="20"/>
                <w:szCs w:val="20"/>
                <w:lang w:eastAsia="es-MX"/>
              </w:rPr>
            </w:pPr>
            <w:r w:rsidRPr="005A3888">
              <w:rPr>
                <w:rFonts w:ascii="Adobe Caslon Pro" w:hAnsi="Adobe Caslon Pro" w:cs="Calibri"/>
                <w:i/>
                <w:color w:val="000000"/>
                <w:sz w:val="20"/>
                <w:szCs w:val="20"/>
                <w:lang w:eastAsia="es-MX"/>
              </w:rPr>
              <w:t>Existen procedimientos estandarizados y adecuados para la selección de beneficiarios.</w:t>
            </w:r>
          </w:p>
          <w:p w:rsidR="008E4272" w:rsidRDefault="008E4272" w:rsidP="00F075EB">
            <w:pPr>
              <w:numPr>
                <w:ilvl w:val="0"/>
                <w:numId w:val="79"/>
              </w:numPr>
              <w:jc w:val="both"/>
              <w:rPr>
                <w:rFonts w:ascii="Adobe Caslon Pro" w:hAnsi="Adobe Caslon Pro" w:cs="Calibri"/>
                <w:i/>
                <w:color w:val="000000"/>
                <w:sz w:val="20"/>
                <w:szCs w:val="20"/>
                <w:lang w:eastAsia="es-MX"/>
              </w:rPr>
            </w:pPr>
            <w:r w:rsidRPr="005A3888">
              <w:rPr>
                <w:rFonts w:ascii="Adobe Caslon Pro" w:hAnsi="Adobe Caslon Pro" w:cs="Calibri"/>
                <w:i/>
                <w:color w:val="000000"/>
                <w:sz w:val="20"/>
                <w:szCs w:val="20"/>
                <w:lang w:eastAsia="es-MX"/>
              </w:rPr>
              <w:t>La selección de beneficiarios cumple con los criterios de elegibilidad y requisitos</w:t>
            </w:r>
            <w:r>
              <w:rPr>
                <w:rFonts w:ascii="Adobe Caslon Pro" w:hAnsi="Adobe Caslon Pro" w:cs="Calibri"/>
                <w:i/>
                <w:color w:val="000000"/>
                <w:sz w:val="20"/>
                <w:szCs w:val="20"/>
                <w:lang w:eastAsia="es-MX"/>
              </w:rPr>
              <w:t xml:space="preserve"> </w:t>
            </w:r>
            <w:r w:rsidRPr="005A3888">
              <w:rPr>
                <w:rFonts w:ascii="Adobe Caslon Pro" w:hAnsi="Adobe Caslon Pro" w:cs="Calibri"/>
                <w:i/>
                <w:color w:val="000000"/>
                <w:sz w:val="20"/>
                <w:szCs w:val="20"/>
                <w:lang w:eastAsia="es-MX"/>
              </w:rPr>
              <w:t>establecidos en la normatividad aplicable.</w:t>
            </w:r>
          </w:p>
          <w:p w:rsidR="008E4272" w:rsidRPr="00ED33EA" w:rsidRDefault="008E4272" w:rsidP="00F075EB">
            <w:pPr>
              <w:numPr>
                <w:ilvl w:val="0"/>
                <w:numId w:val="79"/>
              </w:numPr>
              <w:jc w:val="both"/>
              <w:rPr>
                <w:rFonts w:ascii="Adobe Caslon Pro" w:hAnsi="Adobe Caslon Pro" w:cs="Calibri"/>
                <w:i/>
                <w:color w:val="000000"/>
                <w:sz w:val="20"/>
                <w:szCs w:val="20"/>
                <w:lang w:eastAsia="es-MX"/>
              </w:rPr>
            </w:pPr>
            <w:r w:rsidRPr="00ED33EA">
              <w:rPr>
                <w:rFonts w:ascii="Adobe Caslon Pro" w:hAnsi="Adobe Caslon Pro" w:cs="Calibri"/>
                <w:i/>
                <w:color w:val="000000"/>
                <w:sz w:val="20"/>
                <w:szCs w:val="20"/>
                <w:lang w:eastAsia="es-MX"/>
              </w:rPr>
              <w:t>Se emite información referente al avance de la gestión, los reportes emitidos contienen el seguimiento financiero con los siguientes apartados: Unidad Responsable;</w:t>
            </w:r>
            <w:r>
              <w:rPr>
                <w:rFonts w:ascii="Adobe Caslon Pro" w:hAnsi="Adobe Caslon Pro" w:cs="Calibri"/>
                <w:i/>
                <w:color w:val="000000"/>
                <w:sz w:val="20"/>
                <w:szCs w:val="20"/>
                <w:lang w:eastAsia="es-MX"/>
              </w:rPr>
              <w:t xml:space="preserve"> </w:t>
            </w:r>
            <w:r w:rsidRPr="00ED33EA">
              <w:rPr>
                <w:rFonts w:ascii="Adobe Caslon Pro" w:hAnsi="Adobe Caslon Pro" w:cs="Calibri"/>
                <w:i/>
                <w:color w:val="000000"/>
                <w:sz w:val="20"/>
                <w:szCs w:val="20"/>
                <w:lang w:eastAsia="es-MX"/>
              </w:rPr>
              <w:t>Eje del Plan de Desarrollo al que contribuye el Fondo; Programa a</w:t>
            </w:r>
            <w:r>
              <w:rPr>
                <w:rFonts w:ascii="Adobe Caslon Pro" w:hAnsi="Adobe Caslon Pro" w:cs="Calibri"/>
                <w:i/>
                <w:color w:val="000000"/>
                <w:sz w:val="20"/>
                <w:szCs w:val="20"/>
                <w:lang w:eastAsia="es-MX"/>
              </w:rPr>
              <w:t xml:space="preserve"> </w:t>
            </w:r>
            <w:r w:rsidRPr="00ED33EA">
              <w:rPr>
                <w:rFonts w:ascii="Adobe Caslon Pro" w:hAnsi="Adobe Caslon Pro" w:cs="Calibri"/>
                <w:i/>
                <w:color w:val="000000"/>
                <w:sz w:val="20"/>
                <w:szCs w:val="20"/>
                <w:lang w:eastAsia="es-MX"/>
              </w:rPr>
              <w:t>ejecutar; Subprograma; Proyecto; Fin y Acción.</w:t>
            </w:r>
          </w:p>
          <w:p w:rsidR="008E4272" w:rsidRDefault="008E4272" w:rsidP="00F075EB">
            <w:pPr>
              <w:numPr>
                <w:ilvl w:val="0"/>
                <w:numId w:val="79"/>
              </w:numPr>
              <w:jc w:val="both"/>
              <w:rPr>
                <w:rFonts w:ascii="Adobe Caslon Pro" w:hAnsi="Adobe Caslon Pro" w:cs="Calibri"/>
                <w:i/>
                <w:color w:val="000000"/>
                <w:sz w:val="20"/>
                <w:szCs w:val="20"/>
                <w:lang w:eastAsia="es-MX"/>
              </w:rPr>
            </w:pPr>
            <w:r w:rsidRPr="005A3888">
              <w:rPr>
                <w:rFonts w:ascii="Adobe Caslon Pro" w:hAnsi="Adobe Caslon Pro" w:cs="Calibri"/>
                <w:i/>
                <w:color w:val="000000"/>
                <w:sz w:val="20"/>
                <w:szCs w:val="20"/>
                <w:lang w:eastAsia="es-MX"/>
              </w:rPr>
              <w:t>Los procesos de ejecución funcionan de acuerdo a la normatividad.</w:t>
            </w:r>
          </w:p>
          <w:p w:rsidR="008E4272" w:rsidRDefault="008E4272" w:rsidP="00F075EB">
            <w:pPr>
              <w:numPr>
                <w:ilvl w:val="0"/>
                <w:numId w:val="79"/>
              </w:numPr>
              <w:jc w:val="both"/>
              <w:rPr>
                <w:rFonts w:ascii="Adobe Caslon Pro" w:hAnsi="Adobe Caslon Pro" w:cs="Calibri"/>
                <w:i/>
                <w:color w:val="000000"/>
                <w:sz w:val="20"/>
                <w:szCs w:val="20"/>
                <w:lang w:eastAsia="es-MX"/>
              </w:rPr>
            </w:pPr>
            <w:r w:rsidRPr="005A3888">
              <w:rPr>
                <w:rFonts w:ascii="Adobe Caslon Pro" w:hAnsi="Adobe Caslon Pro" w:cs="Calibri"/>
                <w:i/>
                <w:color w:val="000000"/>
                <w:sz w:val="20"/>
                <w:szCs w:val="20"/>
                <w:lang w:eastAsia="es-MX"/>
              </w:rPr>
              <w:t>Se cuenta con un medio electrónico, que permite la transparencia del uso y</w:t>
            </w:r>
            <w:r>
              <w:rPr>
                <w:rFonts w:ascii="Adobe Caslon Pro" w:hAnsi="Adobe Caslon Pro" w:cs="Calibri"/>
                <w:i/>
                <w:color w:val="000000"/>
                <w:sz w:val="20"/>
                <w:szCs w:val="20"/>
                <w:lang w:eastAsia="es-MX"/>
              </w:rPr>
              <w:t xml:space="preserve"> </w:t>
            </w:r>
            <w:r w:rsidRPr="005A3888">
              <w:rPr>
                <w:rFonts w:ascii="Adobe Caslon Pro" w:hAnsi="Adobe Caslon Pro" w:cs="Calibri"/>
                <w:i/>
                <w:color w:val="000000"/>
                <w:sz w:val="20"/>
                <w:szCs w:val="20"/>
                <w:lang w:eastAsia="es-MX"/>
              </w:rPr>
              <w:t>destino de los recursos del Fondo.</w:t>
            </w:r>
          </w:p>
          <w:p w:rsidR="008E4272" w:rsidRDefault="008E4272" w:rsidP="00A56E05">
            <w:pPr>
              <w:ind w:left="720"/>
              <w:jc w:val="both"/>
              <w:rPr>
                <w:rFonts w:ascii="Adobe Caslon Pro" w:hAnsi="Adobe Caslon Pro" w:cs="Calibri"/>
                <w:i/>
                <w:color w:val="000000"/>
                <w:sz w:val="20"/>
                <w:szCs w:val="20"/>
                <w:lang w:eastAsia="es-MX"/>
              </w:rPr>
            </w:pPr>
          </w:p>
          <w:p w:rsidR="008E4272" w:rsidRDefault="008E427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8E4272" w:rsidRPr="00FB1106" w:rsidRDefault="008E4272" w:rsidP="00F075EB">
            <w:pPr>
              <w:numPr>
                <w:ilvl w:val="0"/>
                <w:numId w:val="80"/>
              </w:numPr>
              <w:jc w:val="both"/>
              <w:rPr>
                <w:rFonts w:ascii="Adobe Caslon Pro" w:hAnsi="Adobe Caslon Pro" w:cs="Calibri"/>
                <w:i/>
                <w:color w:val="000000"/>
                <w:sz w:val="20"/>
                <w:szCs w:val="20"/>
                <w:lang w:eastAsia="es-MX"/>
              </w:rPr>
            </w:pPr>
            <w:r w:rsidRPr="00105707">
              <w:rPr>
                <w:rFonts w:ascii="Adobe Caslon Pro" w:hAnsi="Adobe Caslon Pro" w:cs="Calibri"/>
                <w:i/>
                <w:color w:val="000000"/>
                <w:sz w:val="20"/>
                <w:szCs w:val="20"/>
                <w:lang w:eastAsia="es-MX"/>
              </w:rPr>
              <w:lastRenderedPageBreak/>
              <w:t>Se cuenta con la contabilidad e ubicación geog</w:t>
            </w:r>
            <w:r>
              <w:rPr>
                <w:rFonts w:ascii="Adobe Caslon Pro" w:hAnsi="Adobe Caslon Pro" w:cs="Calibri"/>
                <w:i/>
                <w:color w:val="000000"/>
                <w:sz w:val="20"/>
                <w:szCs w:val="20"/>
                <w:lang w:eastAsia="es-MX"/>
              </w:rPr>
              <w:t xml:space="preserve">ráfica de los beneficiarios que </w:t>
            </w:r>
            <w:r w:rsidRPr="00105707">
              <w:rPr>
                <w:rFonts w:ascii="Adobe Caslon Pro" w:hAnsi="Adobe Caslon Pro" w:cs="Calibri"/>
                <w:i/>
                <w:color w:val="000000"/>
                <w:sz w:val="20"/>
                <w:szCs w:val="20"/>
                <w:lang w:eastAsia="es-MX"/>
              </w:rPr>
              <w:t>reciben bienes y servicios de los programa</w:t>
            </w:r>
            <w:r>
              <w:rPr>
                <w:rFonts w:ascii="Adobe Caslon Pro" w:hAnsi="Adobe Caslon Pro" w:cs="Calibri"/>
                <w:i/>
                <w:color w:val="000000"/>
                <w:sz w:val="20"/>
                <w:szCs w:val="20"/>
                <w:lang w:eastAsia="es-MX"/>
              </w:rPr>
              <w:t>s estatales vinculados al Fondo.</w:t>
            </w:r>
          </w:p>
          <w:p w:rsidR="008E4272" w:rsidRPr="005A3888" w:rsidRDefault="008E4272" w:rsidP="00A56E05">
            <w:pPr>
              <w:jc w:val="both"/>
              <w:rPr>
                <w:rFonts w:ascii="Adobe Caslon Pro" w:hAnsi="Adobe Caslon Pro" w:cs="Calibri"/>
                <w:i/>
                <w:color w:val="000000"/>
                <w:sz w:val="20"/>
                <w:szCs w:val="20"/>
                <w:lang w:eastAsia="es-MX"/>
              </w:rPr>
            </w:pPr>
          </w:p>
          <w:p w:rsidR="008E4272" w:rsidRDefault="008E4272"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RESULTADOS</w:t>
            </w:r>
          </w:p>
          <w:p w:rsidR="008E4272" w:rsidRPr="00FD0272" w:rsidRDefault="008E4272" w:rsidP="00F075EB">
            <w:pPr>
              <w:numPr>
                <w:ilvl w:val="0"/>
                <w:numId w:val="80"/>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w:t>
            </w:r>
            <w:r w:rsidRPr="00FD0272">
              <w:rPr>
                <w:rFonts w:ascii="Adobe Caslon Pro" w:hAnsi="Adobe Caslon Pro" w:cs="Calibri"/>
                <w:i/>
                <w:color w:val="000000"/>
                <w:sz w:val="20"/>
                <w:szCs w:val="20"/>
                <w:lang w:eastAsia="es-MX"/>
              </w:rPr>
              <w:t xml:space="preserve"> cuenta con el Programa Operativo Anual POA, mismo que identifica las características</w:t>
            </w:r>
            <w:r>
              <w:rPr>
                <w:rFonts w:ascii="Adobe Caslon Pro" w:hAnsi="Adobe Caslon Pro" w:cs="Calibri"/>
                <w:i/>
                <w:color w:val="000000"/>
                <w:sz w:val="20"/>
                <w:szCs w:val="20"/>
                <w:lang w:eastAsia="es-MX"/>
              </w:rPr>
              <w:t xml:space="preserve"> </w:t>
            </w:r>
            <w:r w:rsidRPr="00FD0272">
              <w:rPr>
                <w:rFonts w:ascii="Adobe Caslon Pro" w:hAnsi="Adobe Caslon Pro" w:cs="Calibri"/>
                <w:i/>
                <w:color w:val="000000"/>
                <w:sz w:val="20"/>
                <w:szCs w:val="20"/>
                <w:lang w:eastAsia="es-MX"/>
              </w:rPr>
              <w:t>que facilitan y permiten dar seguimiento trimestral al presupuesto</w:t>
            </w:r>
            <w:r>
              <w:rPr>
                <w:rFonts w:ascii="Adobe Caslon Pro" w:hAnsi="Adobe Caslon Pro" w:cs="Calibri"/>
                <w:i/>
                <w:color w:val="000000"/>
                <w:sz w:val="20"/>
                <w:szCs w:val="20"/>
                <w:lang w:eastAsia="es-MX"/>
              </w:rPr>
              <w:t xml:space="preserve"> </w:t>
            </w:r>
            <w:r w:rsidRPr="00FD0272">
              <w:rPr>
                <w:rFonts w:ascii="Adobe Caslon Pro" w:hAnsi="Adobe Caslon Pro" w:cs="Calibri"/>
                <w:i/>
                <w:color w:val="000000"/>
                <w:sz w:val="20"/>
                <w:szCs w:val="20"/>
                <w:lang w:eastAsia="es-MX"/>
              </w:rPr>
              <w:t>2013, por ejemplo Programa, Subprograma, Proyecto y Fin.</w:t>
            </w:r>
          </w:p>
          <w:p w:rsidR="008E4272" w:rsidRPr="00751EC4" w:rsidRDefault="008E4272" w:rsidP="00A56E05">
            <w:pPr>
              <w:spacing w:line="360" w:lineRule="auto"/>
              <w:ind w:left="720"/>
              <w:jc w:val="both"/>
              <w:rPr>
                <w:rFonts w:ascii="Adobe Caslon Pro" w:hAnsi="Adobe Caslon Pro" w:cs="Calibri"/>
                <w:i/>
                <w:color w:val="000000"/>
                <w:sz w:val="20"/>
                <w:szCs w:val="20"/>
                <w:lang w:eastAsia="es-MX"/>
              </w:rPr>
            </w:pPr>
          </w:p>
          <w:p w:rsidR="008E4272" w:rsidRPr="00FB1106" w:rsidRDefault="008E427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 DE LOS RECURSOS</w:t>
            </w:r>
          </w:p>
          <w:p w:rsidR="008E4272" w:rsidRDefault="008E4272" w:rsidP="00F075EB">
            <w:pPr>
              <w:numPr>
                <w:ilvl w:val="0"/>
                <w:numId w:val="80"/>
              </w:numPr>
              <w:jc w:val="both"/>
              <w:rPr>
                <w:rFonts w:ascii="Adobe Caslon Pro" w:hAnsi="Adobe Caslon Pro" w:cs="Calibri"/>
                <w:i/>
                <w:color w:val="000000"/>
                <w:sz w:val="20"/>
                <w:szCs w:val="20"/>
                <w:lang w:eastAsia="es-MX"/>
              </w:rPr>
            </w:pPr>
            <w:r w:rsidRPr="00FB1106">
              <w:rPr>
                <w:rFonts w:ascii="Adobe Caslon Pro" w:hAnsi="Adobe Caslon Pro" w:cs="Calibri"/>
                <w:i/>
                <w:color w:val="000000"/>
                <w:sz w:val="20"/>
                <w:szCs w:val="20"/>
                <w:lang w:eastAsia="es-MX"/>
              </w:rPr>
              <w:t>Los recursos destinados al Fondo se transfieren en tiempo y forma a las instan</w:t>
            </w:r>
            <w:r w:rsidRPr="00FB1106">
              <w:rPr>
                <w:rFonts w:ascii="Adobe Caslon Pro" w:hAnsi="Adobe Caslon Pro" w:cs="Calibri"/>
                <w:i/>
                <w:color w:val="000000"/>
                <w:sz w:val="20"/>
                <w:szCs w:val="20"/>
                <w:lang w:eastAsia="es-MX"/>
              </w:rPr>
              <w:softHyphen/>
              <w:t xml:space="preserve">cias ejecutoras. </w:t>
            </w:r>
          </w:p>
          <w:p w:rsidR="008E4272" w:rsidRDefault="008E4272" w:rsidP="00F075EB">
            <w:pPr>
              <w:numPr>
                <w:ilvl w:val="0"/>
                <w:numId w:val="80"/>
              </w:numPr>
              <w:jc w:val="both"/>
              <w:rPr>
                <w:rFonts w:ascii="Adobe Caslon Pro" w:hAnsi="Adobe Caslon Pro" w:cs="Calibri"/>
                <w:i/>
                <w:color w:val="000000"/>
                <w:sz w:val="20"/>
                <w:szCs w:val="20"/>
                <w:lang w:eastAsia="es-MX"/>
              </w:rPr>
            </w:pPr>
            <w:r w:rsidRPr="00085408">
              <w:rPr>
                <w:rFonts w:ascii="Adobe Caslon Pro" w:hAnsi="Adobe Caslon Pro" w:cs="Calibri"/>
                <w:i/>
                <w:color w:val="000000"/>
                <w:sz w:val="20"/>
                <w:szCs w:val="20"/>
                <w:lang w:eastAsia="es-MX"/>
              </w:rPr>
              <w:t>Se identifican elementos correspondientes a una planeación estratégica; en</w:t>
            </w:r>
            <w:r>
              <w:rPr>
                <w:rFonts w:ascii="Adobe Caslon Pro" w:hAnsi="Adobe Caslon Pro" w:cs="Calibri"/>
                <w:i/>
                <w:color w:val="000000"/>
                <w:sz w:val="20"/>
                <w:szCs w:val="20"/>
                <w:lang w:eastAsia="es-MX"/>
              </w:rPr>
              <w:t xml:space="preserve"> </w:t>
            </w:r>
            <w:r w:rsidRPr="00085408">
              <w:rPr>
                <w:rFonts w:ascii="Adobe Caslon Pro" w:hAnsi="Adobe Caslon Pro" w:cs="Calibri"/>
                <w:i/>
                <w:color w:val="000000"/>
                <w:sz w:val="20"/>
                <w:szCs w:val="20"/>
                <w:lang w:eastAsia="es-MX"/>
              </w:rPr>
              <w:t>la web está la Misión, Visión y Objetivo gener</w:t>
            </w:r>
            <w:r>
              <w:rPr>
                <w:rFonts w:ascii="Adobe Caslon Pro" w:hAnsi="Adobe Caslon Pro" w:cs="Calibri"/>
                <w:i/>
                <w:color w:val="000000"/>
                <w:sz w:val="20"/>
                <w:szCs w:val="20"/>
                <w:lang w:eastAsia="es-MX"/>
              </w:rPr>
              <w:t xml:space="preserve">al de la institución responsable </w:t>
            </w:r>
            <w:r w:rsidRPr="00085408">
              <w:rPr>
                <w:rFonts w:ascii="Adobe Caslon Pro" w:hAnsi="Adobe Caslon Pro" w:cs="Calibri"/>
                <w:i/>
                <w:color w:val="000000"/>
                <w:sz w:val="20"/>
                <w:szCs w:val="20"/>
                <w:lang w:eastAsia="es-MX"/>
              </w:rPr>
              <w:t>de manejar los recursos del Fondo; fue entregado por separado los objetivos</w:t>
            </w:r>
            <w:r>
              <w:rPr>
                <w:rFonts w:ascii="Adobe Caslon Pro" w:hAnsi="Adobe Caslon Pro" w:cs="Calibri"/>
                <w:i/>
                <w:color w:val="000000"/>
                <w:sz w:val="20"/>
                <w:szCs w:val="20"/>
                <w:lang w:eastAsia="es-MX"/>
              </w:rPr>
              <w:t xml:space="preserve"> </w:t>
            </w:r>
            <w:r w:rsidRPr="00085408">
              <w:rPr>
                <w:rFonts w:ascii="Adobe Caslon Pro" w:hAnsi="Adobe Caslon Pro" w:cs="Calibri"/>
                <w:i/>
                <w:color w:val="000000"/>
                <w:sz w:val="20"/>
                <w:szCs w:val="20"/>
                <w:lang w:eastAsia="es-MX"/>
              </w:rPr>
              <w:t>estratégicos.</w:t>
            </w:r>
          </w:p>
          <w:p w:rsidR="008E4272" w:rsidRPr="00085408" w:rsidRDefault="008E4272" w:rsidP="00F075EB">
            <w:pPr>
              <w:numPr>
                <w:ilvl w:val="0"/>
                <w:numId w:val="80"/>
              </w:numPr>
              <w:jc w:val="both"/>
              <w:rPr>
                <w:rFonts w:ascii="Adobe Caslon Pro" w:hAnsi="Adobe Caslon Pro" w:cs="Calibri"/>
                <w:i/>
                <w:color w:val="000000"/>
                <w:sz w:val="20"/>
                <w:szCs w:val="20"/>
                <w:lang w:eastAsia="es-MX"/>
              </w:rPr>
            </w:pPr>
            <w:r w:rsidRPr="00085408">
              <w:rPr>
                <w:rFonts w:ascii="Adobe Caslon Pro" w:hAnsi="Adobe Caslon Pro" w:cs="Calibri"/>
                <w:i/>
                <w:color w:val="000000"/>
                <w:sz w:val="20"/>
                <w:szCs w:val="20"/>
                <w:lang w:eastAsia="es-MX"/>
              </w:rPr>
              <w:t xml:space="preserve">Con el </w:t>
            </w:r>
            <w:r>
              <w:rPr>
                <w:rFonts w:ascii="Adobe Caslon Pro" w:hAnsi="Adobe Caslon Pro" w:cs="Calibri"/>
                <w:i/>
                <w:color w:val="000000"/>
                <w:sz w:val="20"/>
                <w:szCs w:val="20"/>
                <w:lang w:eastAsia="es-MX"/>
              </w:rPr>
              <w:t xml:space="preserve">reporte </w:t>
            </w:r>
            <w:r w:rsidRPr="00085408">
              <w:rPr>
                <w:rFonts w:ascii="Adobe Caslon Pro" w:hAnsi="Adobe Caslon Pro" w:cs="Calibri"/>
                <w:i/>
                <w:color w:val="000000"/>
                <w:sz w:val="20"/>
                <w:szCs w:val="20"/>
                <w:lang w:eastAsia="es-MX"/>
              </w:rPr>
              <w:t>del grado de avance del POA en los informes trimestrales, se da cuenta de que la entrega de los</w:t>
            </w:r>
            <w:r>
              <w:rPr>
                <w:rFonts w:ascii="Adobe Caslon Pro" w:hAnsi="Adobe Caslon Pro" w:cs="Calibri"/>
                <w:i/>
                <w:color w:val="000000"/>
                <w:sz w:val="20"/>
                <w:szCs w:val="20"/>
                <w:lang w:eastAsia="es-MX"/>
              </w:rPr>
              <w:t xml:space="preserve"> </w:t>
            </w:r>
            <w:r w:rsidRPr="00085408">
              <w:rPr>
                <w:rFonts w:ascii="Adobe Caslon Pro" w:hAnsi="Adobe Caslon Pro" w:cs="Calibri"/>
                <w:i/>
                <w:color w:val="000000"/>
                <w:sz w:val="20"/>
                <w:szCs w:val="20"/>
                <w:lang w:eastAsia="es-MX"/>
              </w:rPr>
              <w:t>bienes y servicios cumple en mayor medida</w:t>
            </w:r>
            <w:r>
              <w:rPr>
                <w:rFonts w:ascii="Adobe Caslon Pro" w:hAnsi="Adobe Caslon Pro" w:cs="Calibri"/>
                <w:i/>
                <w:color w:val="000000"/>
                <w:sz w:val="20"/>
                <w:szCs w:val="20"/>
                <w:lang w:eastAsia="es-MX"/>
              </w:rPr>
              <w:t xml:space="preserve"> </w:t>
            </w:r>
            <w:r w:rsidRPr="00085408">
              <w:rPr>
                <w:rFonts w:ascii="Adobe Caslon Pro" w:hAnsi="Adobe Caslon Pro" w:cs="Calibri"/>
                <w:i/>
                <w:color w:val="000000"/>
                <w:sz w:val="20"/>
                <w:szCs w:val="20"/>
                <w:lang w:eastAsia="es-MX"/>
              </w:rPr>
              <w:t>con los objetivos del Fondo.</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8E4272" w:rsidRDefault="008E4272" w:rsidP="00A56E05">
            <w:pPr>
              <w:rPr>
                <w:rFonts w:ascii="Adobe Caslon Pro" w:hAnsi="Adobe Caslon Pro" w:cs="Calibri"/>
                <w:color w:val="000000"/>
                <w:sz w:val="20"/>
                <w:szCs w:val="20"/>
                <w:lang w:eastAsia="es-MX"/>
              </w:rPr>
            </w:pPr>
            <w:r w:rsidRPr="007D66F1">
              <w:rPr>
                <w:rFonts w:ascii="Adobe Caslon Pro" w:hAnsi="Adobe Caslon Pro" w:cs="Calibri"/>
                <w:color w:val="000000"/>
                <w:sz w:val="20"/>
                <w:szCs w:val="20"/>
                <w:lang w:eastAsia="es-MX"/>
              </w:rPr>
              <w:t>2.2.3 Debilidades:</w:t>
            </w:r>
          </w:p>
          <w:p w:rsidR="008E4272" w:rsidRDefault="008E427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w:t>
            </w:r>
            <w:r w:rsidRPr="000D3BE9">
              <w:rPr>
                <w:rFonts w:ascii="Adobe Caslon Pro" w:hAnsi="Adobe Caslon Pro" w:cs="Calibri"/>
                <w:i/>
                <w:color w:val="000000"/>
                <w:sz w:val="20"/>
                <w:szCs w:val="20"/>
                <w:lang w:eastAsia="es-MX"/>
              </w:rPr>
              <w:t>O</w:t>
            </w:r>
          </w:p>
          <w:p w:rsidR="008E4272" w:rsidRDefault="008E4272" w:rsidP="00F075EB">
            <w:pPr>
              <w:numPr>
                <w:ilvl w:val="0"/>
                <w:numId w:val="81"/>
              </w:numPr>
              <w:jc w:val="both"/>
              <w:rPr>
                <w:rFonts w:ascii="Adobe Caslon Pro" w:hAnsi="Adobe Caslon Pro" w:cs="Calibri"/>
                <w:i/>
                <w:color w:val="000000"/>
                <w:sz w:val="20"/>
                <w:szCs w:val="20"/>
                <w:lang w:eastAsia="es-MX"/>
              </w:rPr>
            </w:pPr>
            <w:r w:rsidRPr="003F34CB">
              <w:rPr>
                <w:rFonts w:ascii="Adobe Caslon Pro" w:hAnsi="Adobe Caslon Pro" w:cs="Calibri"/>
                <w:i/>
                <w:color w:val="000000"/>
                <w:sz w:val="20"/>
                <w:szCs w:val="20"/>
                <w:lang w:eastAsia="es-MX"/>
              </w:rPr>
              <w:t>Conforme a la Metodología del Marco Lógico redefinir el Fin y el Propósito de</w:t>
            </w:r>
            <w:r>
              <w:rPr>
                <w:rFonts w:ascii="Adobe Caslon Pro" w:hAnsi="Adobe Caslon Pro" w:cs="Calibri"/>
                <w:i/>
                <w:color w:val="000000"/>
                <w:sz w:val="20"/>
                <w:szCs w:val="20"/>
                <w:lang w:eastAsia="es-MX"/>
              </w:rPr>
              <w:t xml:space="preserve"> </w:t>
            </w:r>
            <w:r w:rsidRPr="003F34CB">
              <w:rPr>
                <w:rFonts w:ascii="Adobe Caslon Pro" w:hAnsi="Adobe Caslon Pro" w:cs="Calibri"/>
                <w:i/>
                <w:color w:val="000000"/>
                <w:sz w:val="20"/>
                <w:szCs w:val="20"/>
                <w:lang w:eastAsia="es-MX"/>
              </w:rPr>
              <w:t>cada uno de los programas estatales asociados al Fondo.</w:t>
            </w:r>
          </w:p>
          <w:p w:rsidR="008E4272" w:rsidRPr="003F34CB" w:rsidRDefault="008E4272" w:rsidP="00F075EB">
            <w:pPr>
              <w:numPr>
                <w:ilvl w:val="0"/>
                <w:numId w:val="81"/>
              </w:numPr>
              <w:jc w:val="both"/>
              <w:rPr>
                <w:rFonts w:ascii="Adobe Caslon Pro" w:hAnsi="Adobe Caslon Pro" w:cs="Calibri"/>
                <w:i/>
                <w:color w:val="000000"/>
                <w:sz w:val="20"/>
                <w:szCs w:val="20"/>
                <w:lang w:eastAsia="es-MX"/>
              </w:rPr>
            </w:pPr>
            <w:r w:rsidRPr="003F34CB">
              <w:rPr>
                <w:rFonts w:ascii="Adobe Caslon Pro" w:hAnsi="Adobe Caslon Pro" w:cs="Calibri"/>
                <w:i/>
                <w:color w:val="000000"/>
                <w:sz w:val="20"/>
                <w:szCs w:val="20"/>
                <w:lang w:eastAsia="es-MX"/>
              </w:rPr>
              <w:t>El planteamiento del problema que intentan resolver con la implementación de la Metodología del Marco Lógico para cada uno de los programas estatales asociados al Fondo no es claro.</w:t>
            </w:r>
          </w:p>
          <w:p w:rsidR="008E4272" w:rsidRDefault="008E4272" w:rsidP="00F075EB">
            <w:pPr>
              <w:numPr>
                <w:ilvl w:val="0"/>
                <w:numId w:val="81"/>
              </w:numPr>
              <w:jc w:val="both"/>
              <w:rPr>
                <w:rFonts w:ascii="Adobe Caslon Pro" w:hAnsi="Adobe Caslon Pro" w:cs="Calibri"/>
                <w:i/>
                <w:color w:val="000000"/>
                <w:sz w:val="20"/>
                <w:szCs w:val="20"/>
                <w:lang w:eastAsia="es-MX"/>
              </w:rPr>
            </w:pPr>
            <w:r w:rsidRPr="00AF06A8">
              <w:rPr>
                <w:rFonts w:ascii="Adobe Caslon Pro" w:hAnsi="Adobe Caslon Pro" w:cs="Calibri"/>
                <w:i/>
                <w:color w:val="000000"/>
                <w:sz w:val="20"/>
                <w:szCs w:val="20"/>
                <w:lang w:eastAsia="es-MX"/>
              </w:rPr>
              <w:t>La validación de la lógica vertical de cada uno de los programas manifiesta</w:t>
            </w:r>
            <w:r>
              <w:rPr>
                <w:rFonts w:ascii="Adobe Caslon Pro" w:hAnsi="Adobe Caslon Pro" w:cs="Calibri"/>
                <w:i/>
                <w:color w:val="000000"/>
                <w:sz w:val="20"/>
                <w:szCs w:val="20"/>
                <w:lang w:eastAsia="es-MX"/>
              </w:rPr>
              <w:t xml:space="preserve"> </w:t>
            </w:r>
            <w:r w:rsidRPr="00AF06A8">
              <w:rPr>
                <w:rFonts w:ascii="Adobe Caslon Pro" w:hAnsi="Adobe Caslon Pro" w:cs="Calibri"/>
                <w:i/>
                <w:color w:val="000000"/>
                <w:sz w:val="20"/>
                <w:szCs w:val="20"/>
                <w:lang w:eastAsia="es-MX"/>
              </w:rPr>
              <w:t>inconsistencias metodológicas.</w:t>
            </w:r>
          </w:p>
          <w:p w:rsidR="008E4272" w:rsidRDefault="008E4272" w:rsidP="00F075EB">
            <w:pPr>
              <w:numPr>
                <w:ilvl w:val="0"/>
                <w:numId w:val="81"/>
              </w:numPr>
              <w:jc w:val="both"/>
              <w:rPr>
                <w:rFonts w:ascii="Adobe Caslon Pro" w:hAnsi="Adobe Caslon Pro" w:cs="Calibri"/>
                <w:i/>
                <w:color w:val="000000"/>
                <w:sz w:val="20"/>
                <w:szCs w:val="20"/>
                <w:lang w:eastAsia="es-MX"/>
              </w:rPr>
            </w:pPr>
            <w:r w:rsidRPr="00AF06A8">
              <w:rPr>
                <w:rFonts w:ascii="Adobe Caslon Pro" w:hAnsi="Adobe Caslon Pro" w:cs="Calibri"/>
                <w:i/>
                <w:color w:val="000000"/>
                <w:sz w:val="20"/>
                <w:szCs w:val="20"/>
                <w:lang w:eastAsia="es-MX"/>
              </w:rPr>
              <w:t>Respecto a la lógica horizontal, no contienen indicadores que permitan visualizar</w:t>
            </w:r>
            <w:r>
              <w:rPr>
                <w:rFonts w:ascii="Adobe Caslon Pro" w:hAnsi="Adobe Caslon Pro" w:cs="Calibri"/>
                <w:i/>
                <w:color w:val="000000"/>
                <w:sz w:val="20"/>
                <w:szCs w:val="20"/>
                <w:lang w:eastAsia="es-MX"/>
              </w:rPr>
              <w:t xml:space="preserve"> </w:t>
            </w:r>
            <w:r w:rsidRPr="00AF06A8">
              <w:rPr>
                <w:rFonts w:ascii="Adobe Caslon Pro" w:hAnsi="Adobe Caslon Pro" w:cs="Calibri"/>
                <w:i/>
                <w:color w:val="000000"/>
                <w:sz w:val="20"/>
                <w:szCs w:val="20"/>
                <w:lang w:eastAsia="es-MX"/>
              </w:rPr>
              <w:t>qué es lo que van a medir.</w:t>
            </w:r>
          </w:p>
          <w:p w:rsidR="008E4272" w:rsidRDefault="008E4272" w:rsidP="00F075EB">
            <w:pPr>
              <w:numPr>
                <w:ilvl w:val="0"/>
                <w:numId w:val="81"/>
              </w:numPr>
              <w:jc w:val="both"/>
              <w:rPr>
                <w:rFonts w:ascii="Adobe Caslon Pro" w:hAnsi="Adobe Caslon Pro" w:cs="Calibri"/>
                <w:i/>
                <w:color w:val="000000"/>
                <w:sz w:val="20"/>
                <w:szCs w:val="20"/>
                <w:lang w:eastAsia="es-MX"/>
              </w:rPr>
            </w:pPr>
            <w:r w:rsidRPr="00AF06A8">
              <w:rPr>
                <w:rFonts w:ascii="Adobe Caslon Pro" w:hAnsi="Adobe Caslon Pro" w:cs="Calibri"/>
                <w:i/>
                <w:color w:val="000000"/>
                <w:sz w:val="20"/>
                <w:szCs w:val="20"/>
                <w:lang w:eastAsia="es-MX"/>
              </w:rPr>
              <w:t>Los indicadores planteados en cada programa no tienen claramente definido</w:t>
            </w:r>
            <w:r>
              <w:rPr>
                <w:rFonts w:ascii="Adobe Caslon Pro" w:hAnsi="Adobe Caslon Pro" w:cs="Calibri"/>
                <w:i/>
                <w:color w:val="000000"/>
                <w:sz w:val="20"/>
                <w:szCs w:val="20"/>
                <w:lang w:eastAsia="es-MX"/>
              </w:rPr>
              <w:t xml:space="preserve"> </w:t>
            </w:r>
            <w:r w:rsidRPr="00AF06A8">
              <w:rPr>
                <w:rFonts w:ascii="Adobe Caslon Pro" w:hAnsi="Adobe Caslon Pro" w:cs="Calibri"/>
                <w:i/>
                <w:color w:val="000000"/>
                <w:sz w:val="20"/>
                <w:szCs w:val="20"/>
                <w:lang w:eastAsia="es-MX"/>
              </w:rPr>
              <w:t>línea base ni la temporalidad de la medición.</w:t>
            </w:r>
          </w:p>
          <w:p w:rsidR="008E4272" w:rsidRPr="00AF06A8" w:rsidRDefault="008E4272" w:rsidP="00A56E05">
            <w:pPr>
              <w:ind w:left="720"/>
              <w:jc w:val="both"/>
              <w:rPr>
                <w:rFonts w:ascii="Adobe Caslon Pro" w:hAnsi="Adobe Caslon Pro" w:cs="Calibri"/>
                <w:i/>
                <w:color w:val="000000"/>
                <w:sz w:val="20"/>
                <w:szCs w:val="20"/>
                <w:lang w:eastAsia="es-MX"/>
              </w:rPr>
            </w:pPr>
          </w:p>
          <w:p w:rsidR="008E4272" w:rsidRDefault="008E427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8E4272" w:rsidRDefault="008E4272" w:rsidP="00F075EB">
            <w:pPr>
              <w:numPr>
                <w:ilvl w:val="0"/>
                <w:numId w:val="82"/>
              </w:numPr>
              <w:autoSpaceDE w:val="0"/>
              <w:autoSpaceDN w:val="0"/>
              <w:adjustRightInd w:val="0"/>
              <w:jc w:val="both"/>
              <w:rPr>
                <w:rFonts w:ascii="Adobe Caslon Pro" w:hAnsi="Adobe Caslon Pro" w:cs="Calibri"/>
                <w:i/>
                <w:color w:val="000000"/>
                <w:sz w:val="20"/>
                <w:szCs w:val="20"/>
                <w:lang w:eastAsia="es-MX"/>
              </w:rPr>
            </w:pPr>
            <w:r w:rsidRPr="002B1C78">
              <w:rPr>
                <w:rFonts w:ascii="Adobe Caslon Pro" w:hAnsi="Adobe Caslon Pro" w:cs="Calibri"/>
                <w:i/>
                <w:color w:val="000000"/>
                <w:sz w:val="20"/>
                <w:szCs w:val="20"/>
                <w:lang w:eastAsia="es-MX"/>
              </w:rPr>
              <w:t>En los planes institucionales responsables de lo</w:t>
            </w:r>
            <w:r>
              <w:rPr>
                <w:rFonts w:ascii="Adobe Caslon Pro" w:hAnsi="Adobe Caslon Pro" w:cs="Calibri"/>
                <w:i/>
                <w:color w:val="000000"/>
                <w:sz w:val="20"/>
                <w:szCs w:val="20"/>
                <w:lang w:eastAsia="es-MX"/>
              </w:rPr>
              <w:t xml:space="preserve">s programas estatales asociados </w:t>
            </w:r>
            <w:r w:rsidRPr="002B1C78">
              <w:rPr>
                <w:rFonts w:ascii="Adobe Caslon Pro" w:hAnsi="Adobe Caslon Pro" w:cs="Calibri"/>
                <w:i/>
                <w:color w:val="000000"/>
                <w:sz w:val="20"/>
                <w:szCs w:val="20"/>
                <w:lang w:eastAsia="es-MX"/>
              </w:rPr>
              <w:t xml:space="preserve">al Fondo no están claramente definidos </w:t>
            </w:r>
            <w:r>
              <w:rPr>
                <w:rFonts w:ascii="Adobe Caslon Pro" w:hAnsi="Adobe Caslon Pro" w:cs="Calibri"/>
                <w:i/>
                <w:color w:val="000000"/>
                <w:sz w:val="20"/>
                <w:szCs w:val="20"/>
                <w:lang w:eastAsia="es-MX"/>
              </w:rPr>
              <w:t>los resultados de los objetivos estratégicos.</w:t>
            </w:r>
          </w:p>
          <w:p w:rsidR="008E4272" w:rsidRDefault="008E4272" w:rsidP="00F075EB">
            <w:pPr>
              <w:numPr>
                <w:ilvl w:val="0"/>
                <w:numId w:val="82"/>
              </w:numPr>
              <w:autoSpaceDE w:val="0"/>
              <w:autoSpaceDN w:val="0"/>
              <w:adjustRightInd w:val="0"/>
              <w:jc w:val="both"/>
              <w:rPr>
                <w:rFonts w:ascii="Adobe Caslon Pro" w:hAnsi="Adobe Caslon Pro" w:cs="Calibri"/>
                <w:i/>
                <w:color w:val="000000"/>
                <w:sz w:val="20"/>
                <w:szCs w:val="20"/>
                <w:lang w:eastAsia="es-MX"/>
              </w:rPr>
            </w:pPr>
            <w:r w:rsidRPr="002B1C78">
              <w:rPr>
                <w:rFonts w:ascii="Adobe Caslon Pro" w:hAnsi="Adobe Caslon Pro" w:cs="Calibri"/>
                <w:i/>
                <w:color w:val="000000"/>
                <w:sz w:val="20"/>
                <w:szCs w:val="20"/>
                <w:lang w:eastAsia="es-MX"/>
              </w:rPr>
              <w:t>Las matrices de resultados de cada programa care</w:t>
            </w:r>
            <w:r>
              <w:rPr>
                <w:rFonts w:ascii="Adobe Caslon Pro" w:hAnsi="Adobe Caslon Pro" w:cs="Calibri"/>
                <w:i/>
                <w:color w:val="000000"/>
                <w:sz w:val="20"/>
                <w:szCs w:val="20"/>
                <w:lang w:eastAsia="es-MX"/>
              </w:rPr>
              <w:t xml:space="preserve">cen de indicadores que permitan </w:t>
            </w:r>
            <w:r w:rsidRPr="002B1C78">
              <w:rPr>
                <w:rFonts w:ascii="Adobe Caslon Pro" w:hAnsi="Adobe Caslon Pro" w:cs="Calibri"/>
                <w:i/>
                <w:color w:val="000000"/>
                <w:sz w:val="20"/>
                <w:szCs w:val="20"/>
                <w:lang w:eastAsia="es-MX"/>
              </w:rPr>
              <w:t>medir cada objetivo en el ámbit</w:t>
            </w:r>
            <w:r>
              <w:rPr>
                <w:rFonts w:ascii="Adobe Caslon Pro" w:hAnsi="Adobe Caslon Pro" w:cs="Calibri"/>
                <w:i/>
                <w:color w:val="000000"/>
                <w:sz w:val="20"/>
                <w:szCs w:val="20"/>
                <w:lang w:eastAsia="es-MX"/>
              </w:rPr>
              <w:t>o de desempeño correspondiente.</w:t>
            </w:r>
          </w:p>
          <w:p w:rsidR="008E4272" w:rsidRDefault="008E4272" w:rsidP="00F075EB">
            <w:pPr>
              <w:numPr>
                <w:ilvl w:val="0"/>
                <w:numId w:val="82"/>
              </w:numPr>
              <w:autoSpaceDE w:val="0"/>
              <w:autoSpaceDN w:val="0"/>
              <w:adjustRightInd w:val="0"/>
              <w:jc w:val="both"/>
              <w:rPr>
                <w:rFonts w:ascii="Adobe Caslon Pro" w:hAnsi="Adobe Caslon Pro" w:cs="Calibri"/>
                <w:i/>
                <w:color w:val="000000"/>
                <w:sz w:val="20"/>
                <w:szCs w:val="20"/>
                <w:lang w:eastAsia="es-MX"/>
              </w:rPr>
            </w:pPr>
            <w:r w:rsidRPr="002B1C78">
              <w:rPr>
                <w:rFonts w:ascii="Adobe Caslon Pro" w:hAnsi="Adobe Caslon Pro" w:cs="Calibri"/>
                <w:i/>
                <w:color w:val="000000"/>
                <w:sz w:val="20"/>
                <w:szCs w:val="20"/>
                <w:lang w:eastAsia="es-MX"/>
              </w:rPr>
              <w:t>En los programas presupuestarios no se identif</w:t>
            </w:r>
            <w:r>
              <w:rPr>
                <w:rFonts w:ascii="Adobe Caslon Pro" w:hAnsi="Adobe Caslon Pro" w:cs="Calibri"/>
                <w:i/>
                <w:color w:val="000000"/>
                <w:sz w:val="20"/>
                <w:szCs w:val="20"/>
                <w:lang w:eastAsia="es-MX"/>
              </w:rPr>
              <w:t xml:space="preserve">ica claramente cómo se lograrán </w:t>
            </w:r>
            <w:r w:rsidRPr="002B1C78">
              <w:rPr>
                <w:rFonts w:ascii="Adobe Caslon Pro" w:hAnsi="Adobe Caslon Pro" w:cs="Calibri"/>
                <w:i/>
                <w:color w:val="000000"/>
                <w:sz w:val="20"/>
                <w:szCs w:val="20"/>
                <w:lang w:eastAsia="es-MX"/>
              </w:rPr>
              <w:t>los objetivos estratégicos enviados por la institución.</w:t>
            </w:r>
          </w:p>
          <w:p w:rsidR="008E4272" w:rsidRDefault="008E4272" w:rsidP="00A56E05">
            <w:pPr>
              <w:autoSpaceDE w:val="0"/>
              <w:autoSpaceDN w:val="0"/>
              <w:adjustRightInd w:val="0"/>
              <w:jc w:val="both"/>
              <w:rPr>
                <w:rFonts w:ascii="Adobe Caslon Pro" w:hAnsi="Adobe Caslon Pro" w:cs="Calibri"/>
                <w:i/>
                <w:color w:val="000000"/>
                <w:sz w:val="20"/>
                <w:szCs w:val="20"/>
                <w:lang w:eastAsia="es-MX"/>
              </w:rPr>
            </w:pPr>
          </w:p>
          <w:p w:rsidR="008E4272" w:rsidRDefault="008E427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COBERTURA Y FOCALIZACIÓN</w:t>
            </w:r>
          </w:p>
          <w:p w:rsidR="008E4272" w:rsidRDefault="008E4272"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F22638">
              <w:rPr>
                <w:rFonts w:ascii="Adobe Caslon Pro" w:hAnsi="Adobe Caslon Pro" w:cs="Calibri"/>
                <w:i/>
                <w:color w:val="000000"/>
                <w:sz w:val="20"/>
                <w:szCs w:val="20"/>
                <w:lang w:eastAsia="es-MX"/>
              </w:rPr>
              <w:t xml:space="preserve">No se refleja de manera singular, información </w:t>
            </w:r>
            <w:r>
              <w:rPr>
                <w:rFonts w:ascii="Adobe Caslon Pro" w:hAnsi="Adobe Caslon Pro" w:cs="Calibri"/>
                <w:i/>
                <w:color w:val="000000"/>
                <w:sz w:val="20"/>
                <w:szCs w:val="20"/>
                <w:lang w:eastAsia="es-MX"/>
              </w:rPr>
              <w:t xml:space="preserve">que valide la actualización del </w:t>
            </w:r>
            <w:r w:rsidRPr="00F22638">
              <w:rPr>
                <w:rFonts w:ascii="Adobe Caslon Pro" w:hAnsi="Adobe Caslon Pro" w:cs="Calibri"/>
                <w:i/>
                <w:color w:val="000000"/>
                <w:sz w:val="20"/>
                <w:szCs w:val="20"/>
                <w:lang w:eastAsia="es-MX"/>
              </w:rPr>
              <w:t>padrón de beneficiarios.</w:t>
            </w:r>
          </w:p>
          <w:p w:rsidR="008E4272" w:rsidRPr="00DE4A57" w:rsidRDefault="008E4272" w:rsidP="00A56E05">
            <w:pPr>
              <w:autoSpaceDE w:val="0"/>
              <w:autoSpaceDN w:val="0"/>
              <w:adjustRightInd w:val="0"/>
              <w:ind w:left="720"/>
              <w:jc w:val="both"/>
              <w:rPr>
                <w:rFonts w:ascii="Adobe Caslon Pro" w:hAnsi="Adobe Caslon Pro" w:cs="Calibri"/>
                <w:i/>
                <w:color w:val="000000"/>
                <w:sz w:val="20"/>
                <w:szCs w:val="20"/>
                <w:lang w:eastAsia="es-MX"/>
              </w:rPr>
            </w:pPr>
          </w:p>
          <w:p w:rsidR="008E4272" w:rsidRDefault="008E4272" w:rsidP="00A56E05">
            <w:pPr>
              <w:autoSpaceDE w:val="0"/>
              <w:autoSpaceDN w:val="0"/>
              <w:adjustRightInd w:val="0"/>
              <w:jc w:val="both"/>
              <w:rPr>
                <w:rFonts w:ascii="Adobe Caslon Pro" w:hAnsi="Adobe Caslon Pro" w:cs="Calibri"/>
                <w:i/>
                <w:color w:val="000000"/>
                <w:sz w:val="20"/>
                <w:szCs w:val="20"/>
                <w:lang w:eastAsia="es-MX"/>
              </w:rPr>
            </w:pPr>
            <w:r w:rsidRPr="000D3BE9">
              <w:rPr>
                <w:rFonts w:ascii="Adobe Caslon Pro" w:hAnsi="Adobe Caslon Pro" w:cs="Calibri"/>
                <w:i/>
                <w:color w:val="000000"/>
                <w:sz w:val="20"/>
                <w:szCs w:val="20"/>
                <w:lang w:eastAsia="es-MX"/>
              </w:rPr>
              <w:t>OPERACIÓN</w:t>
            </w:r>
          </w:p>
          <w:p w:rsidR="008E4272" w:rsidRDefault="008E4272"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F22638">
              <w:rPr>
                <w:rFonts w:ascii="Adobe Caslon Pro" w:hAnsi="Adobe Caslon Pro" w:cs="Calibri"/>
                <w:i/>
                <w:color w:val="000000"/>
                <w:sz w:val="20"/>
                <w:szCs w:val="20"/>
                <w:lang w:eastAsia="es-MX"/>
              </w:rPr>
              <w:t>El grado de avance de los indicadores plant</w:t>
            </w:r>
            <w:r>
              <w:rPr>
                <w:rFonts w:ascii="Adobe Caslon Pro" w:hAnsi="Adobe Caslon Pro" w:cs="Calibri"/>
                <w:i/>
                <w:color w:val="000000"/>
                <w:sz w:val="20"/>
                <w:szCs w:val="20"/>
                <w:lang w:eastAsia="es-MX"/>
              </w:rPr>
              <w:t xml:space="preserve">eados a nivel de Componentes de </w:t>
            </w:r>
            <w:r w:rsidRPr="00F22638">
              <w:rPr>
                <w:rFonts w:ascii="Adobe Caslon Pro" w:hAnsi="Adobe Caslon Pro" w:cs="Calibri"/>
                <w:i/>
                <w:color w:val="000000"/>
                <w:sz w:val="20"/>
                <w:szCs w:val="20"/>
                <w:lang w:eastAsia="es-MX"/>
              </w:rPr>
              <w:t>cada programa asociado al Fondo, no están dis</w:t>
            </w:r>
            <w:r>
              <w:rPr>
                <w:rFonts w:ascii="Adobe Caslon Pro" w:hAnsi="Adobe Caslon Pro" w:cs="Calibri"/>
                <w:i/>
                <w:color w:val="000000"/>
                <w:sz w:val="20"/>
                <w:szCs w:val="20"/>
                <w:lang w:eastAsia="es-MX"/>
              </w:rPr>
              <w:t xml:space="preserve">eñados de tal forma que permita </w:t>
            </w:r>
            <w:r w:rsidRPr="00F22638">
              <w:rPr>
                <w:rFonts w:ascii="Adobe Caslon Pro" w:hAnsi="Adobe Caslon Pro" w:cs="Calibri"/>
                <w:i/>
                <w:color w:val="000000"/>
                <w:sz w:val="20"/>
                <w:szCs w:val="20"/>
                <w:lang w:eastAsia="es-MX"/>
              </w:rPr>
              <w:t>el logro del Propósito.</w:t>
            </w:r>
          </w:p>
          <w:p w:rsidR="008E4272" w:rsidRDefault="008E4272"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F22638">
              <w:rPr>
                <w:rFonts w:ascii="Adobe Caslon Pro" w:hAnsi="Adobe Caslon Pro" w:cs="Calibri"/>
                <w:i/>
                <w:color w:val="000000"/>
                <w:sz w:val="20"/>
                <w:szCs w:val="20"/>
                <w:lang w:eastAsia="es-MX"/>
              </w:rPr>
              <w:t>La entrega de bienes y servicios (Componentes</w:t>
            </w:r>
            <w:r>
              <w:rPr>
                <w:rFonts w:ascii="Adobe Caslon Pro" w:hAnsi="Adobe Caslon Pro" w:cs="Calibri"/>
                <w:i/>
                <w:color w:val="000000"/>
                <w:sz w:val="20"/>
                <w:szCs w:val="20"/>
                <w:lang w:eastAsia="es-MX"/>
              </w:rPr>
              <w:t>) no están claramente definidos.</w:t>
            </w:r>
          </w:p>
          <w:p w:rsidR="008E4272" w:rsidRDefault="008E4272"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F22638">
              <w:rPr>
                <w:rFonts w:ascii="Adobe Caslon Pro" w:hAnsi="Adobe Caslon Pro" w:cs="Calibri"/>
                <w:i/>
                <w:color w:val="000000"/>
                <w:sz w:val="20"/>
                <w:szCs w:val="20"/>
                <w:lang w:eastAsia="es-MX"/>
              </w:rPr>
              <w:t>No se identifican indicadores de eficacia en la operación de cada programa</w:t>
            </w:r>
            <w:r>
              <w:rPr>
                <w:rFonts w:ascii="Adobe Caslon Pro" w:hAnsi="Adobe Caslon Pro" w:cs="Calibri"/>
                <w:i/>
                <w:color w:val="000000"/>
                <w:sz w:val="20"/>
                <w:szCs w:val="20"/>
                <w:lang w:eastAsia="es-MX"/>
              </w:rPr>
              <w:t xml:space="preserve"> </w:t>
            </w:r>
            <w:r w:rsidRPr="00F22638">
              <w:rPr>
                <w:rFonts w:ascii="Adobe Caslon Pro" w:hAnsi="Adobe Caslon Pro" w:cs="Calibri"/>
                <w:i/>
                <w:color w:val="000000"/>
                <w:sz w:val="20"/>
                <w:szCs w:val="20"/>
                <w:lang w:eastAsia="es-MX"/>
              </w:rPr>
              <w:t>asociado al Fondo.</w:t>
            </w:r>
          </w:p>
          <w:p w:rsidR="008E4272" w:rsidRPr="00F22638" w:rsidRDefault="008E4272"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F22638">
              <w:rPr>
                <w:rFonts w:ascii="Adobe Caslon Pro" w:hAnsi="Adobe Caslon Pro" w:cs="Calibri"/>
                <w:i/>
                <w:color w:val="000000"/>
                <w:sz w:val="20"/>
                <w:szCs w:val="20"/>
                <w:lang w:eastAsia="es-MX"/>
              </w:rPr>
              <w:t>No se identifican indicadores de eficiencia.</w:t>
            </w:r>
          </w:p>
          <w:p w:rsidR="008E4272" w:rsidRDefault="008E4272" w:rsidP="00A56E05">
            <w:pPr>
              <w:jc w:val="both"/>
              <w:rPr>
                <w:rFonts w:ascii="Adobe Caslon Pro" w:hAnsi="Adobe Caslon Pro" w:cs="Calibri"/>
                <w:i/>
                <w:color w:val="000000"/>
                <w:sz w:val="20"/>
                <w:szCs w:val="20"/>
                <w:lang w:eastAsia="es-MX"/>
              </w:rPr>
            </w:pPr>
          </w:p>
          <w:p w:rsidR="008E4272" w:rsidRDefault="008E427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lastRenderedPageBreak/>
              <w:t>PERCEPCIÓN DE LA POBLACIÓN OBJETIVO</w:t>
            </w:r>
          </w:p>
          <w:p w:rsidR="008E4272" w:rsidRDefault="008E4272" w:rsidP="00F075EB">
            <w:pPr>
              <w:numPr>
                <w:ilvl w:val="0"/>
                <w:numId w:val="84"/>
              </w:numPr>
              <w:jc w:val="both"/>
              <w:rPr>
                <w:rFonts w:ascii="Adobe Caslon Pro" w:hAnsi="Adobe Caslon Pro" w:cs="Calibri"/>
                <w:i/>
                <w:color w:val="000000"/>
                <w:sz w:val="20"/>
                <w:szCs w:val="20"/>
                <w:lang w:eastAsia="es-MX"/>
              </w:rPr>
            </w:pPr>
            <w:r w:rsidRPr="002D27B8">
              <w:rPr>
                <w:rFonts w:ascii="Adobe Caslon Pro" w:hAnsi="Adobe Caslon Pro" w:cs="Calibri"/>
                <w:i/>
                <w:color w:val="000000"/>
                <w:sz w:val="20"/>
                <w:szCs w:val="20"/>
                <w:lang w:eastAsia="es-MX"/>
              </w:rPr>
              <w:t>No es posible identificar el grado de satisfacció</w:t>
            </w:r>
            <w:r>
              <w:rPr>
                <w:rFonts w:ascii="Adobe Caslon Pro" w:hAnsi="Adobe Caslon Pro" w:cs="Calibri"/>
                <w:i/>
                <w:color w:val="000000"/>
                <w:sz w:val="20"/>
                <w:szCs w:val="20"/>
                <w:lang w:eastAsia="es-MX"/>
              </w:rPr>
              <w:t xml:space="preserve">n de la población objetivo, con </w:t>
            </w:r>
            <w:r w:rsidRPr="002D27B8">
              <w:rPr>
                <w:rFonts w:ascii="Adobe Caslon Pro" w:hAnsi="Adobe Caslon Pro" w:cs="Calibri"/>
                <w:i/>
                <w:color w:val="000000"/>
                <w:sz w:val="20"/>
                <w:szCs w:val="20"/>
                <w:lang w:eastAsia="es-MX"/>
              </w:rPr>
              <w:t>los bienes y servicios que entregan los progra</w:t>
            </w:r>
            <w:r>
              <w:rPr>
                <w:rFonts w:ascii="Adobe Caslon Pro" w:hAnsi="Adobe Caslon Pro" w:cs="Calibri"/>
                <w:i/>
                <w:color w:val="000000"/>
                <w:sz w:val="20"/>
                <w:szCs w:val="20"/>
                <w:lang w:eastAsia="es-MX"/>
              </w:rPr>
              <w:t xml:space="preserve">mas estatales vinculados con el </w:t>
            </w:r>
            <w:r w:rsidRPr="002D27B8">
              <w:rPr>
                <w:rFonts w:ascii="Adobe Caslon Pro" w:hAnsi="Adobe Caslon Pro" w:cs="Calibri"/>
                <w:i/>
                <w:color w:val="000000"/>
                <w:sz w:val="20"/>
                <w:szCs w:val="20"/>
                <w:lang w:eastAsia="es-MX"/>
              </w:rPr>
              <w:t>Fondo.</w:t>
            </w:r>
          </w:p>
          <w:p w:rsidR="008E4272" w:rsidRDefault="008E4272" w:rsidP="00A56E05">
            <w:pPr>
              <w:jc w:val="both"/>
              <w:rPr>
                <w:rFonts w:ascii="Adobe Caslon Pro" w:hAnsi="Adobe Caslon Pro" w:cs="Calibri"/>
                <w:i/>
                <w:color w:val="000000"/>
                <w:sz w:val="20"/>
                <w:szCs w:val="20"/>
                <w:lang w:eastAsia="es-MX"/>
              </w:rPr>
            </w:pPr>
          </w:p>
          <w:p w:rsidR="008E4272" w:rsidRDefault="008E427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RESULTADOS</w:t>
            </w:r>
          </w:p>
          <w:p w:rsidR="008E4272" w:rsidRDefault="008E4272" w:rsidP="00F075EB">
            <w:pPr>
              <w:numPr>
                <w:ilvl w:val="0"/>
                <w:numId w:val="84"/>
              </w:numPr>
              <w:jc w:val="both"/>
              <w:rPr>
                <w:rFonts w:ascii="Adobe Caslon Pro" w:hAnsi="Adobe Caslon Pro" w:cs="Calibri"/>
                <w:i/>
                <w:color w:val="000000"/>
                <w:sz w:val="20"/>
                <w:szCs w:val="20"/>
                <w:lang w:eastAsia="es-MX"/>
              </w:rPr>
            </w:pPr>
            <w:r w:rsidRPr="002924AA">
              <w:rPr>
                <w:rFonts w:ascii="Adobe Caslon Pro" w:hAnsi="Adobe Caslon Pro" w:cs="Calibri"/>
                <w:i/>
                <w:color w:val="000000"/>
                <w:sz w:val="20"/>
                <w:szCs w:val="20"/>
                <w:lang w:eastAsia="es-MX"/>
              </w:rPr>
              <w:t>No se identifican resultados de evaluaciones</w:t>
            </w:r>
            <w:r>
              <w:rPr>
                <w:rFonts w:ascii="Adobe Caslon Pro" w:hAnsi="Adobe Caslon Pro" w:cs="Calibri"/>
                <w:i/>
                <w:color w:val="000000"/>
                <w:sz w:val="20"/>
                <w:szCs w:val="20"/>
                <w:lang w:eastAsia="es-MX"/>
              </w:rPr>
              <w:t xml:space="preserve"> externas, que permitan conocer </w:t>
            </w:r>
            <w:r w:rsidRPr="002924AA">
              <w:rPr>
                <w:rFonts w:ascii="Adobe Caslon Pro" w:hAnsi="Adobe Caslon Pro" w:cs="Calibri"/>
                <w:i/>
                <w:color w:val="000000"/>
                <w:sz w:val="20"/>
                <w:szCs w:val="20"/>
                <w:lang w:eastAsia="es-MX"/>
              </w:rPr>
              <w:t>el impacto que se ha registrado en la población objetivo.</w:t>
            </w:r>
          </w:p>
          <w:p w:rsidR="008E4272" w:rsidRDefault="008E4272" w:rsidP="00F075EB">
            <w:pPr>
              <w:numPr>
                <w:ilvl w:val="0"/>
                <w:numId w:val="84"/>
              </w:numPr>
              <w:jc w:val="both"/>
              <w:rPr>
                <w:rFonts w:ascii="Adobe Caslon Pro" w:hAnsi="Adobe Caslon Pro" w:cs="Calibri"/>
                <w:i/>
                <w:color w:val="000000"/>
                <w:sz w:val="20"/>
                <w:szCs w:val="20"/>
                <w:lang w:eastAsia="es-MX"/>
              </w:rPr>
            </w:pPr>
            <w:r w:rsidRPr="002924AA">
              <w:rPr>
                <w:rFonts w:ascii="Adobe Caslon Pro" w:hAnsi="Adobe Caslon Pro" w:cs="Calibri"/>
                <w:i/>
                <w:color w:val="000000"/>
                <w:sz w:val="20"/>
                <w:szCs w:val="20"/>
                <w:lang w:eastAsia="es-MX"/>
              </w:rPr>
              <w:t>No es posible realizar una evaluación de imp</w:t>
            </w:r>
            <w:r>
              <w:rPr>
                <w:rFonts w:ascii="Adobe Caslon Pro" w:hAnsi="Adobe Caslon Pro" w:cs="Calibri"/>
                <w:i/>
                <w:color w:val="000000"/>
                <w:sz w:val="20"/>
                <w:szCs w:val="20"/>
                <w:lang w:eastAsia="es-MX"/>
              </w:rPr>
              <w:t>acto del diseño y operación del Fondo en la entidad.</w:t>
            </w:r>
          </w:p>
          <w:p w:rsidR="008E4272" w:rsidRDefault="008E4272" w:rsidP="00F075EB">
            <w:pPr>
              <w:numPr>
                <w:ilvl w:val="0"/>
                <w:numId w:val="84"/>
              </w:numPr>
              <w:jc w:val="both"/>
              <w:rPr>
                <w:rFonts w:ascii="Adobe Caslon Pro" w:hAnsi="Adobe Caslon Pro" w:cs="Calibri"/>
                <w:i/>
                <w:color w:val="000000"/>
                <w:sz w:val="20"/>
                <w:szCs w:val="20"/>
                <w:lang w:eastAsia="es-MX"/>
              </w:rPr>
            </w:pPr>
            <w:r w:rsidRPr="002924AA">
              <w:rPr>
                <w:rFonts w:ascii="Adobe Caslon Pro" w:hAnsi="Adobe Caslon Pro" w:cs="Calibri"/>
                <w:i/>
                <w:color w:val="000000"/>
                <w:sz w:val="20"/>
                <w:szCs w:val="20"/>
                <w:lang w:eastAsia="es-MX"/>
              </w:rPr>
              <w:t>No es posible medir el grado de avance en e</w:t>
            </w:r>
            <w:r>
              <w:rPr>
                <w:rFonts w:ascii="Adobe Caslon Pro" w:hAnsi="Adobe Caslon Pro" w:cs="Calibri"/>
                <w:i/>
                <w:color w:val="000000"/>
                <w:sz w:val="20"/>
                <w:szCs w:val="20"/>
                <w:lang w:eastAsia="es-MX"/>
              </w:rPr>
              <w:t xml:space="preserve">l cumplimiento del programa por medio de los indicadores de los </w:t>
            </w:r>
            <w:r w:rsidRPr="002924AA">
              <w:rPr>
                <w:rFonts w:ascii="Adobe Caslon Pro" w:hAnsi="Adobe Caslon Pro" w:cs="Calibri"/>
                <w:i/>
                <w:color w:val="000000"/>
                <w:sz w:val="20"/>
                <w:szCs w:val="20"/>
                <w:lang w:eastAsia="es-MX"/>
              </w:rPr>
              <w:t>objetivos qu</w:t>
            </w:r>
            <w:r>
              <w:rPr>
                <w:rFonts w:ascii="Adobe Caslon Pro" w:hAnsi="Adobe Caslon Pro" w:cs="Calibri"/>
                <w:i/>
                <w:color w:val="000000"/>
                <w:sz w:val="20"/>
                <w:szCs w:val="20"/>
                <w:lang w:eastAsia="es-MX"/>
              </w:rPr>
              <w:t xml:space="preserve">e pueden identificar el impacto </w:t>
            </w:r>
            <w:r w:rsidRPr="002924AA">
              <w:rPr>
                <w:rFonts w:ascii="Adobe Caslon Pro" w:hAnsi="Adobe Caslon Pro" w:cs="Calibri"/>
                <w:i/>
                <w:color w:val="000000"/>
                <w:sz w:val="20"/>
                <w:szCs w:val="20"/>
                <w:lang w:eastAsia="es-MX"/>
              </w:rPr>
              <w:t>del programa (Fin y Propósito) debido a que los obj</w:t>
            </w:r>
            <w:r>
              <w:rPr>
                <w:rFonts w:ascii="Adobe Caslon Pro" w:hAnsi="Adobe Caslon Pro" w:cs="Calibri"/>
                <w:i/>
                <w:color w:val="000000"/>
                <w:sz w:val="20"/>
                <w:szCs w:val="20"/>
                <w:lang w:eastAsia="es-MX"/>
              </w:rPr>
              <w:t xml:space="preserve">etivos carecen de la aplicación </w:t>
            </w:r>
            <w:r w:rsidRPr="002924AA">
              <w:rPr>
                <w:rFonts w:ascii="Adobe Caslon Pro" w:hAnsi="Adobe Caslon Pro" w:cs="Calibri"/>
                <w:i/>
                <w:color w:val="000000"/>
                <w:sz w:val="20"/>
                <w:szCs w:val="20"/>
                <w:lang w:eastAsia="es-MX"/>
              </w:rPr>
              <w:t>de la Metodología del Marco Lógico en su definición.</w:t>
            </w:r>
          </w:p>
          <w:p w:rsidR="008E4272" w:rsidRDefault="008E4272" w:rsidP="00A56E05">
            <w:pPr>
              <w:jc w:val="both"/>
              <w:rPr>
                <w:rFonts w:ascii="Adobe Caslon Pro" w:hAnsi="Adobe Caslon Pro" w:cs="Calibri"/>
                <w:i/>
                <w:color w:val="000000"/>
                <w:sz w:val="20"/>
                <w:szCs w:val="20"/>
                <w:lang w:eastAsia="es-MX"/>
              </w:rPr>
            </w:pPr>
          </w:p>
          <w:p w:rsidR="008E4272" w:rsidRDefault="008E427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EVALUACIÓN DE LA APLICACIÓN DE LOS RECURSOS</w:t>
            </w:r>
          </w:p>
          <w:p w:rsidR="008E4272" w:rsidRDefault="008E4272" w:rsidP="00F075EB">
            <w:pPr>
              <w:numPr>
                <w:ilvl w:val="0"/>
                <w:numId w:val="85"/>
              </w:numPr>
              <w:jc w:val="both"/>
              <w:rPr>
                <w:rFonts w:ascii="Adobe Caslon Pro" w:hAnsi="Adobe Caslon Pro" w:cs="Calibri"/>
                <w:i/>
                <w:color w:val="000000"/>
                <w:sz w:val="20"/>
                <w:szCs w:val="20"/>
                <w:lang w:eastAsia="es-MX"/>
              </w:rPr>
            </w:pPr>
            <w:r w:rsidRPr="00092BD0">
              <w:rPr>
                <w:rFonts w:ascii="Adobe Caslon Pro" w:hAnsi="Adobe Caslon Pro" w:cs="Calibri"/>
                <w:i/>
                <w:color w:val="000000"/>
                <w:sz w:val="20"/>
                <w:szCs w:val="20"/>
                <w:lang w:eastAsia="es-MX"/>
              </w:rPr>
              <w:t>No se identifica el logro de los objetivos estra</w:t>
            </w:r>
            <w:r>
              <w:rPr>
                <w:rFonts w:ascii="Adobe Caslon Pro" w:hAnsi="Adobe Caslon Pro" w:cs="Calibri"/>
                <w:i/>
                <w:color w:val="000000"/>
                <w:sz w:val="20"/>
                <w:szCs w:val="20"/>
                <w:lang w:eastAsia="es-MX"/>
              </w:rPr>
              <w:t xml:space="preserve">tégicos, como parte esencial de </w:t>
            </w:r>
            <w:r w:rsidRPr="00092BD0">
              <w:rPr>
                <w:rFonts w:ascii="Adobe Caslon Pro" w:hAnsi="Adobe Caslon Pro" w:cs="Calibri"/>
                <w:i/>
                <w:color w:val="000000"/>
                <w:sz w:val="20"/>
                <w:szCs w:val="20"/>
                <w:lang w:eastAsia="es-MX"/>
              </w:rPr>
              <w:t>la planeación estratégica.</w:t>
            </w:r>
          </w:p>
          <w:p w:rsidR="008E4272" w:rsidRPr="00B86DD8" w:rsidRDefault="008E4272" w:rsidP="00A56E05">
            <w:pPr>
              <w:jc w:val="both"/>
              <w:rPr>
                <w:rFonts w:ascii="Adobe Caslon Pro" w:hAnsi="Adobe Caslon Pro" w:cs="Calibri"/>
                <w:color w:val="000000"/>
                <w:sz w:val="20"/>
                <w:szCs w:val="20"/>
                <w:lang w:eastAsia="es-MX"/>
              </w:rPr>
            </w:pP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2.2.4 Amenazas:</w:t>
            </w:r>
          </w:p>
        </w:tc>
      </w:tr>
      <w:tr w:rsidR="008E4272" w:rsidRPr="00BE4199" w:rsidTr="00A56E05">
        <w:trPr>
          <w:trHeight w:val="162"/>
          <w:jc w:val="center"/>
        </w:trPr>
        <w:tc>
          <w:tcPr>
            <w:tcW w:w="9436" w:type="dxa"/>
            <w:gridSpan w:val="14"/>
            <w:tcBorders>
              <w:top w:val="nil"/>
              <w:left w:val="nil"/>
              <w:bottom w:val="single" w:sz="4" w:space="0" w:color="auto"/>
              <w:right w:val="nil"/>
            </w:tcBorders>
            <w:shd w:val="clear" w:color="auto" w:fill="auto"/>
            <w:hideMark/>
          </w:tcPr>
          <w:p w:rsidR="008E4272" w:rsidRPr="00BE4199" w:rsidRDefault="008E4272" w:rsidP="00A56E05">
            <w:pPr>
              <w:jc w:val="center"/>
              <w:rPr>
                <w:rFonts w:ascii="Adobe Caslon Pro" w:hAnsi="Adobe Caslon Pro" w:cs="Calibri"/>
                <w:color w:val="000000"/>
                <w:sz w:val="20"/>
                <w:szCs w:val="20"/>
                <w:lang w:eastAsia="es-MX"/>
              </w:rPr>
            </w:pP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8E4272" w:rsidRPr="00BE4199" w:rsidTr="00A56E05">
        <w:trPr>
          <w:trHeight w:val="1435"/>
          <w:jc w:val="center"/>
        </w:trPr>
        <w:tc>
          <w:tcPr>
            <w:tcW w:w="9436" w:type="dxa"/>
            <w:gridSpan w:val="14"/>
            <w:tcBorders>
              <w:top w:val="single" w:sz="4" w:space="0" w:color="auto"/>
              <w:left w:val="single" w:sz="4" w:space="0" w:color="auto"/>
              <w:right w:val="single" w:sz="4" w:space="0" w:color="000000"/>
            </w:tcBorders>
            <w:shd w:val="clear" w:color="auto" w:fill="auto"/>
            <w:noWrap/>
            <w:hideMark/>
          </w:tcPr>
          <w:p w:rsidR="008E4272" w:rsidRDefault="008E4272" w:rsidP="00F075EB">
            <w:pPr>
              <w:numPr>
                <w:ilvl w:val="1"/>
                <w:numId w:val="76"/>
              </w:num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Describir brevemente las conclusiones de la evaluación: </w:t>
            </w:r>
          </w:p>
          <w:p w:rsidR="008E4272" w:rsidRDefault="008E4272" w:rsidP="00A56E05">
            <w:pPr>
              <w:ind w:left="360"/>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1.- </w:t>
            </w:r>
            <w:r w:rsidRPr="006A396E">
              <w:rPr>
                <w:rFonts w:ascii="Adobe Caslon Pro" w:hAnsi="Adobe Caslon Pro" w:cs="Calibri"/>
                <w:i/>
                <w:color w:val="000000"/>
                <w:sz w:val="20"/>
                <w:szCs w:val="20"/>
                <w:lang w:eastAsia="es-MX"/>
              </w:rPr>
              <w:t>El Fondo se encuentra alineado conforme a lo establecido en el Plan de Desarrollo del Estado; el Fin y el Propósito planteados en la MIR del Fondo están conforme a los resultados que pretende alcanzar el Fondo, mas no están redactados como lo establece la Metodología del Marco Lógico; además, los indicadores de desempeño que están planteados queda claro qué quieren medir, pero no cuentan con línea base ni frecuencia de medición.</w:t>
            </w:r>
          </w:p>
          <w:p w:rsidR="008E4272" w:rsidRDefault="008E4272" w:rsidP="00A56E05">
            <w:pPr>
              <w:ind w:left="360"/>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2.- Los </w:t>
            </w:r>
            <w:r w:rsidRPr="006A396E">
              <w:rPr>
                <w:rFonts w:ascii="Adobe Caslon Pro" w:hAnsi="Adobe Caslon Pro" w:cs="Calibri"/>
                <w:i/>
                <w:color w:val="000000"/>
                <w:sz w:val="20"/>
                <w:szCs w:val="20"/>
                <w:lang w:eastAsia="es-MX"/>
              </w:rPr>
              <w:t xml:space="preserve">reportes entregados muestran que fue atendida el </w:t>
            </w:r>
            <w:r>
              <w:rPr>
                <w:rFonts w:ascii="Adobe Caslon Pro" w:hAnsi="Adobe Caslon Pro" w:cs="Calibri"/>
                <w:i/>
                <w:color w:val="000000"/>
                <w:sz w:val="20"/>
                <w:szCs w:val="20"/>
                <w:lang w:eastAsia="es-MX"/>
              </w:rPr>
              <w:t xml:space="preserve">100 % de la población objetivo. Además, en la ficha </w:t>
            </w:r>
            <w:r w:rsidRPr="006A396E">
              <w:rPr>
                <w:rFonts w:ascii="Adobe Caslon Pro" w:hAnsi="Adobe Caslon Pro" w:cs="Calibri"/>
                <w:i/>
                <w:color w:val="000000"/>
                <w:sz w:val="20"/>
                <w:szCs w:val="20"/>
                <w:lang w:eastAsia="es-MX"/>
              </w:rPr>
              <w:t xml:space="preserve">técnica se menciona que </w:t>
            </w:r>
            <w:r>
              <w:rPr>
                <w:rFonts w:ascii="Adobe Caslon Pro" w:hAnsi="Adobe Caslon Pro" w:cs="Calibri"/>
                <w:i/>
                <w:color w:val="000000"/>
                <w:sz w:val="20"/>
                <w:szCs w:val="20"/>
                <w:lang w:eastAsia="es-MX"/>
              </w:rPr>
              <w:t xml:space="preserve">dentro la población objetivo se </w:t>
            </w:r>
            <w:r w:rsidRPr="006A396E">
              <w:rPr>
                <w:rFonts w:ascii="Adobe Caslon Pro" w:hAnsi="Adobe Caslon Pro" w:cs="Calibri"/>
                <w:i/>
                <w:color w:val="000000"/>
                <w:sz w:val="20"/>
                <w:szCs w:val="20"/>
                <w:lang w:eastAsia="es-MX"/>
              </w:rPr>
              <w:t xml:space="preserve">considera a la población indígena, pero no se entregó </w:t>
            </w:r>
            <w:r>
              <w:rPr>
                <w:rFonts w:ascii="Adobe Caslon Pro" w:hAnsi="Adobe Caslon Pro" w:cs="Calibri"/>
                <w:i/>
                <w:color w:val="000000"/>
                <w:sz w:val="20"/>
                <w:szCs w:val="20"/>
                <w:lang w:eastAsia="es-MX"/>
              </w:rPr>
              <w:t xml:space="preserve">información que dé cuenta </w:t>
            </w:r>
            <w:r w:rsidRPr="006A396E">
              <w:rPr>
                <w:rFonts w:ascii="Adobe Caslon Pro" w:hAnsi="Adobe Caslon Pro" w:cs="Calibri"/>
                <w:i/>
                <w:color w:val="000000"/>
                <w:sz w:val="20"/>
                <w:szCs w:val="20"/>
                <w:lang w:eastAsia="es-MX"/>
              </w:rPr>
              <w:t>de ello.</w:t>
            </w:r>
          </w:p>
          <w:p w:rsidR="008E4272" w:rsidRDefault="008E4272" w:rsidP="00A56E05">
            <w:pPr>
              <w:ind w:left="360"/>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3.- </w:t>
            </w:r>
            <w:r w:rsidRPr="006A396E">
              <w:rPr>
                <w:rFonts w:ascii="Adobe Caslon Pro" w:hAnsi="Adobe Caslon Pro" w:cs="Calibri"/>
                <w:i/>
                <w:color w:val="000000"/>
                <w:sz w:val="20"/>
                <w:szCs w:val="20"/>
                <w:lang w:eastAsia="es-MX"/>
              </w:rPr>
              <w:t>El Fondo opera conforme a lo establecido en la normatividad aplicable, la</w:t>
            </w:r>
            <w:r>
              <w:rPr>
                <w:rFonts w:ascii="Adobe Caslon Pro" w:hAnsi="Adobe Caslon Pro" w:cs="Calibri"/>
                <w:i/>
                <w:color w:val="000000"/>
                <w:sz w:val="20"/>
                <w:szCs w:val="20"/>
                <w:lang w:eastAsia="es-MX"/>
              </w:rPr>
              <w:t xml:space="preserve">s metas </w:t>
            </w:r>
            <w:r w:rsidRPr="006A396E">
              <w:rPr>
                <w:rFonts w:ascii="Adobe Caslon Pro" w:hAnsi="Adobe Caslon Pro" w:cs="Calibri"/>
                <w:i/>
                <w:color w:val="000000"/>
                <w:sz w:val="20"/>
                <w:szCs w:val="20"/>
                <w:lang w:eastAsia="es-MX"/>
              </w:rPr>
              <w:t>están siendo alcanzadas; se garantiza el manejo del</w:t>
            </w:r>
            <w:r>
              <w:rPr>
                <w:rFonts w:ascii="Adobe Caslon Pro" w:hAnsi="Adobe Caslon Pro" w:cs="Calibri"/>
                <w:i/>
                <w:color w:val="000000"/>
                <w:sz w:val="20"/>
                <w:szCs w:val="20"/>
                <w:lang w:eastAsia="es-MX"/>
              </w:rPr>
              <w:t xml:space="preserve"> Fondo y el uso de los recursos </w:t>
            </w:r>
            <w:r w:rsidRPr="006A396E">
              <w:rPr>
                <w:rFonts w:ascii="Adobe Caslon Pro" w:hAnsi="Adobe Caslon Pro" w:cs="Calibri"/>
                <w:i/>
                <w:color w:val="000000"/>
                <w:sz w:val="20"/>
                <w:szCs w:val="20"/>
                <w:lang w:eastAsia="es-MX"/>
              </w:rPr>
              <w:t>es transparente, ya que se da en los términos del marco</w:t>
            </w:r>
            <w:r>
              <w:rPr>
                <w:rFonts w:ascii="Adobe Caslon Pro" w:hAnsi="Adobe Caslon Pro" w:cs="Calibri"/>
                <w:i/>
                <w:color w:val="000000"/>
                <w:sz w:val="20"/>
                <w:szCs w:val="20"/>
                <w:lang w:eastAsia="es-MX"/>
              </w:rPr>
              <w:t xml:space="preserve"> legal aplicable y los recursos </w:t>
            </w:r>
            <w:r w:rsidRPr="006A396E">
              <w:rPr>
                <w:rFonts w:ascii="Adobe Caslon Pro" w:hAnsi="Adobe Caslon Pro" w:cs="Calibri"/>
                <w:i/>
                <w:color w:val="000000"/>
                <w:sz w:val="20"/>
                <w:szCs w:val="20"/>
                <w:lang w:eastAsia="es-MX"/>
              </w:rPr>
              <w:t>son transferidos a las instancias ejecutoras en tiempo y forma.</w:t>
            </w:r>
          </w:p>
          <w:p w:rsidR="008E4272" w:rsidRDefault="008E4272" w:rsidP="00A56E05">
            <w:pPr>
              <w:ind w:left="360"/>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4.- </w:t>
            </w:r>
            <w:r w:rsidRPr="006A396E">
              <w:rPr>
                <w:rFonts w:ascii="Adobe Caslon Pro" w:hAnsi="Adobe Caslon Pro" w:cs="Calibri"/>
                <w:i/>
                <w:color w:val="000000"/>
                <w:sz w:val="20"/>
                <w:szCs w:val="20"/>
                <w:lang w:eastAsia="es-MX"/>
              </w:rPr>
              <w:t>Los informes generad</w:t>
            </w:r>
            <w:r>
              <w:rPr>
                <w:rFonts w:ascii="Adobe Caslon Pro" w:hAnsi="Adobe Caslon Pro" w:cs="Calibri"/>
                <w:i/>
                <w:color w:val="000000"/>
                <w:sz w:val="20"/>
                <w:szCs w:val="20"/>
                <w:lang w:eastAsia="es-MX"/>
              </w:rPr>
              <w:t xml:space="preserve">os de la operación del Fondo se </w:t>
            </w:r>
            <w:r w:rsidRPr="006A396E">
              <w:rPr>
                <w:rFonts w:ascii="Adobe Caslon Pro" w:hAnsi="Adobe Caslon Pro" w:cs="Calibri"/>
                <w:i/>
                <w:color w:val="000000"/>
                <w:sz w:val="20"/>
                <w:szCs w:val="20"/>
                <w:lang w:eastAsia="es-MX"/>
              </w:rPr>
              <w:t xml:space="preserve">complementen con información que tiene que </w:t>
            </w:r>
            <w:r>
              <w:rPr>
                <w:rFonts w:ascii="Adobe Caslon Pro" w:hAnsi="Adobe Caslon Pro" w:cs="Calibri"/>
                <w:i/>
                <w:color w:val="000000"/>
                <w:sz w:val="20"/>
                <w:szCs w:val="20"/>
                <w:lang w:eastAsia="es-MX"/>
              </w:rPr>
              <w:t xml:space="preserve">ver con los costos de operación </w:t>
            </w:r>
            <w:r w:rsidRPr="006A396E">
              <w:rPr>
                <w:rFonts w:ascii="Adobe Caslon Pro" w:hAnsi="Adobe Caslon Pro" w:cs="Calibri"/>
                <w:i/>
                <w:color w:val="000000"/>
                <w:sz w:val="20"/>
                <w:szCs w:val="20"/>
                <w:lang w:eastAsia="es-MX"/>
              </w:rPr>
              <w:t>unitarios y el costo eficiencia del manejo de los recu</w:t>
            </w:r>
            <w:r>
              <w:rPr>
                <w:rFonts w:ascii="Adobe Caslon Pro" w:hAnsi="Adobe Caslon Pro" w:cs="Calibri"/>
                <w:i/>
                <w:color w:val="000000"/>
                <w:sz w:val="20"/>
                <w:szCs w:val="20"/>
                <w:lang w:eastAsia="es-MX"/>
              </w:rPr>
              <w:t xml:space="preserve">rsos del FAEB a nivel de centro </w:t>
            </w:r>
            <w:r w:rsidRPr="006A396E">
              <w:rPr>
                <w:rFonts w:ascii="Adobe Caslon Pro" w:hAnsi="Adobe Caslon Pro" w:cs="Calibri"/>
                <w:i/>
                <w:color w:val="000000"/>
                <w:sz w:val="20"/>
                <w:szCs w:val="20"/>
                <w:lang w:eastAsia="es-MX"/>
              </w:rPr>
              <w:t>educativo.</w:t>
            </w:r>
          </w:p>
          <w:p w:rsidR="008E4272" w:rsidRPr="006A396E" w:rsidRDefault="008E4272" w:rsidP="00A56E05">
            <w:pPr>
              <w:rPr>
                <w:rFonts w:ascii="Adobe Caslon Pro" w:hAnsi="Adobe Caslon Pro" w:cs="Calibri"/>
                <w:i/>
                <w:color w:val="000000"/>
                <w:sz w:val="20"/>
                <w:szCs w:val="20"/>
                <w:lang w:eastAsia="es-MX"/>
              </w:rPr>
            </w:pPr>
          </w:p>
        </w:tc>
      </w:tr>
      <w:tr w:rsidR="008E4272" w:rsidRPr="00BE4199" w:rsidTr="00A56E05">
        <w:trPr>
          <w:trHeight w:val="264"/>
          <w:jc w:val="center"/>
        </w:trPr>
        <w:tc>
          <w:tcPr>
            <w:tcW w:w="9436" w:type="dxa"/>
            <w:gridSpan w:val="14"/>
            <w:tcBorders>
              <w:top w:val="single" w:sz="4" w:space="0" w:color="auto"/>
              <w:left w:val="single" w:sz="4" w:space="0" w:color="auto"/>
              <w:bottom w:val="nil"/>
              <w:right w:val="single" w:sz="4" w:space="0" w:color="000000"/>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3.2 Describir las recomendaciones de acuerdo a su relevancia:</w:t>
            </w:r>
          </w:p>
        </w:tc>
      </w:tr>
      <w:tr w:rsidR="008E4272" w:rsidRPr="00BE4199" w:rsidTr="00A56E05">
        <w:trPr>
          <w:trHeight w:val="43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8E4272" w:rsidRDefault="008E427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DISEÑO</w:t>
            </w:r>
          </w:p>
          <w:p w:rsidR="008E4272"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w:t>
            </w:r>
            <w:r w:rsidRPr="00DE35A9">
              <w:rPr>
                <w:rFonts w:ascii="Adobe Caslon Pro" w:hAnsi="Adobe Caslon Pro" w:cs="Calibri"/>
                <w:i/>
                <w:color w:val="000000"/>
                <w:sz w:val="20"/>
                <w:szCs w:val="20"/>
                <w:lang w:eastAsia="es-MX"/>
              </w:rPr>
              <w:t>liminar el programa de educación básica, ya que por las características</w:t>
            </w:r>
            <w:r>
              <w:rPr>
                <w:rFonts w:ascii="Adobe Caslon Pro" w:hAnsi="Adobe Caslon Pro" w:cs="Calibri"/>
                <w:i/>
                <w:color w:val="000000"/>
                <w:sz w:val="20"/>
                <w:szCs w:val="20"/>
                <w:lang w:eastAsia="es-MX"/>
              </w:rPr>
              <w:t xml:space="preserve"> </w:t>
            </w:r>
            <w:r w:rsidRPr="00DE35A9">
              <w:rPr>
                <w:rFonts w:ascii="Adobe Caslon Pro" w:hAnsi="Adobe Caslon Pro" w:cs="Calibri"/>
                <w:i/>
                <w:color w:val="000000"/>
                <w:sz w:val="20"/>
                <w:szCs w:val="20"/>
                <w:lang w:eastAsia="es-MX"/>
              </w:rPr>
              <w:t>que presenta, contiene información concentradora de los otros</w:t>
            </w:r>
            <w:r>
              <w:rPr>
                <w:rFonts w:ascii="Adobe Caslon Pro" w:hAnsi="Adobe Caslon Pro" w:cs="Calibri"/>
                <w:i/>
                <w:color w:val="000000"/>
                <w:sz w:val="20"/>
                <w:szCs w:val="20"/>
                <w:lang w:eastAsia="es-MX"/>
              </w:rPr>
              <w:t xml:space="preserve"> programas estatales.</w:t>
            </w:r>
          </w:p>
          <w:p w:rsidR="008E4272"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E35A9">
              <w:rPr>
                <w:rFonts w:ascii="Adobe Caslon Pro" w:hAnsi="Adobe Caslon Pro" w:cs="Calibri"/>
                <w:i/>
                <w:color w:val="000000"/>
                <w:sz w:val="20"/>
                <w:szCs w:val="20"/>
                <w:lang w:eastAsia="es-MX"/>
              </w:rPr>
              <w:t>La identificación del problema que debe atender cada programa presupuestal</w:t>
            </w:r>
            <w:r>
              <w:rPr>
                <w:rFonts w:ascii="Adobe Caslon Pro" w:hAnsi="Adobe Caslon Pro" w:cs="Calibri"/>
                <w:i/>
                <w:color w:val="000000"/>
                <w:sz w:val="20"/>
                <w:szCs w:val="20"/>
                <w:lang w:eastAsia="es-MX"/>
              </w:rPr>
              <w:t xml:space="preserve"> </w:t>
            </w:r>
            <w:r w:rsidRPr="00DE35A9">
              <w:rPr>
                <w:rFonts w:ascii="Adobe Caslon Pro" w:hAnsi="Adobe Caslon Pro" w:cs="Calibri"/>
                <w:i/>
                <w:color w:val="000000"/>
                <w:sz w:val="20"/>
                <w:szCs w:val="20"/>
                <w:lang w:eastAsia="es-MX"/>
              </w:rPr>
              <w:t>deberá estar identificado conforme lo indica</w:t>
            </w:r>
            <w:r>
              <w:rPr>
                <w:rFonts w:ascii="Adobe Caslon Pro" w:hAnsi="Adobe Caslon Pro" w:cs="Calibri"/>
                <w:i/>
                <w:color w:val="000000"/>
                <w:sz w:val="20"/>
                <w:szCs w:val="20"/>
                <w:lang w:eastAsia="es-MX"/>
              </w:rPr>
              <w:t xml:space="preserve"> la Metodología del Marco Lógico.</w:t>
            </w:r>
          </w:p>
          <w:p w:rsidR="008E4272"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E35A9">
              <w:rPr>
                <w:rFonts w:ascii="Adobe Caslon Pro" w:hAnsi="Adobe Caslon Pro" w:cs="Calibri"/>
                <w:i/>
                <w:color w:val="000000"/>
                <w:sz w:val="20"/>
                <w:szCs w:val="20"/>
                <w:lang w:eastAsia="es-MX"/>
              </w:rPr>
              <w:t>El rediseño de cada uno de los programas estatales asociados al Fondo, deberá</w:t>
            </w:r>
            <w:r>
              <w:rPr>
                <w:rFonts w:ascii="Adobe Caslon Pro" w:hAnsi="Adobe Caslon Pro" w:cs="Calibri"/>
                <w:i/>
                <w:color w:val="000000"/>
                <w:sz w:val="20"/>
                <w:szCs w:val="20"/>
                <w:lang w:eastAsia="es-MX"/>
              </w:rPr>
              <w:t xml:space="preserve"> </w:t>
            </w:r>
            <w:r w:rsidRPr="00DE35A9">
              <w:rPr>
                <w:rFonts w:ascii="Adobe Caslon Pro" w:hAnsi="Adobe Caslon Pro" w:cs="Calibri"/>
                <w:i/>
                <w:color w:val="000000"/>
                <w:sz w:val="20"/>
                <w:szCs w:val="20"/>
                <w:lang w:eastAsia="es-MX"/>
              </w:rPr>
              <w:t xml:space="preserve">realizarse conforme a </w:t>
            </w:r>
            <w:r>
              <w:rPr>
                <w:rFonts w:ascii="Adobe Caslon Pro" w:hAnsi="Adobe Caslon Pro" w:cs="Calibri"/>
                <w:i/>
                <w:color w:val="000000"/>
                <w:sz w:val="20"/>
                <w:szCs w:val="20"/>
                <w:lang w:eastAsia="es-MX"/>
              </w:rPr>
              <w:t>la Metodología del Marco Lógico.</w:t>
            </w:r>
          </w:p>
          <w:p w:rsidR="008E4272" w:rsidRPr="002C3734" w:rsidRDefault="008E4272" w:rsidP="00A56E05">
            <w:pPr>
              <w:autoSpaceDE w:val="0"/>
              <w:autoSpaceDN w:val="0"/>
              <w:adjustRightInd w:val="0"/>
              <w:jc w:val="both"/>
              <w:rPr>
                <w:rFonts w:ascii="Adobe Caslon Pro" w:hAnsi="Adobe Caslon Pro" w:cs="Calibri"/>
                <w:i/>
                <w:color w:val="000000"/>
                <w:sz w:val="20"/>
                <w:szCs w:val="20"/>
                <w:lang w:eastAsia="es-MX"/>
              </w:rPr>
            </w:pPr>
          </w:p>
        </w:tc>
      </w:tr>
      <w:tr w:rsidR="008E4272" w:rsidRPr="00BE4199" w:rsidTr="00A56E05">
        <w:trPr>
          <w:trHeight w:val="43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tcPr>
          <w:p w:rsidR="008E4272" w:rsidRDefault="008E427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8E4272" w:rsidRDefault="008E4272" w:rsidP="00F075EB">
            <w:pPr>
              <w:numPr>
                <w:ilvl w:val="0"/>
                <w:numId w:val="73"/>
              </w:numPr>
              <w:autoSpaceDE w:val="0"/>
              <w:autoSpaceDN w:val="0"/>
              <w:adjustRightInd w:val="0"/>
              <w:jc w:val="both"/>
              <w:rPr>
                <w:rFonts w:ascii="Adobe Caslon Pro" w:hAnsi="Adobe Caslon Pro" w:cs="Calibri"/>
                <w:i/>
                <w:color w:val="000000"/>
                <w:sz w:val="20"/>
                <w:szCs w:val="20"/>
                <w:lang w:eastAsia="es-MX"/>
              </w:rPr>
            </w:pPr>
            <w:r w:rsidRPr="00DE35A9">
              <w:rPr>
                <w:rFonts w:ascii="Adobe Caslon Pro" w:hAnsi="Adobe Caslon Pro" w:cs="Calibri"/>
                <w:i/>
                <w:color w:val="000000"/>
                <w:sz w:val="20"/>
                <w:szCs w:val="20"/>
                <w:lang w:eastAsia="es-MX"/>
              </w:rPr>
              <w:t>Se deberán establecer metas conforme la frecuencia de medición de los indicadores,</w:t>
            </w:r>
            <w:r>
              <w:rPr>
                <w:rFonts w:ascii="Adobe Caslon Pro" w:hAnsi="Adobe Caslon Pro" w:cs="Calibri"/>
                <w:i/>
                <w:color w:val="000000"/>
                <w:sz w:val="20"/>
                <w:szCs w:val="20"/>
                <w:lang w:eastAsia="es-MX"/>
              </w:rPr>
              <w:t xml:space="preserve"> </w:t>
            </w:r>
            <w:r w:rsidRPr="00DE35A9">
              <w:rPr>
                <w:rFonts w:ascii="Adobe Caslon Pro" w:hAnsi="Adobe Caslon Pro" w:cs="Calibri"/>
                <w:i/>
                <w:color w:val="000000"/>
                <w:sz w:val="20"/>
                <w:szCs w:val="20"/>
                <w:lang w:eastAsia="es-MX"/>
              </w:rPr>
              <w:t>a corto plazo para que definan los resultados previstos de las asignaciones</w:t>
            </w:r>
            <w:r>
              <w:rPr>
                <w:rFonts w:ascii="Adobe Caslon Pro" w:hAnsi="Adobe Caslon Pro" w:cs="Calibri"/>
                <w:i/>
                <w:color w:val="000000"/>
                <w:sz w:val="20"/>
                <w:szCs w:val="20"/>
                <w:lang w:eastAsia="es-MX"/>
              </w:rPr>
              <w:t xml:space="preserve"> </w:t>
            </w:r>
            <w:r w:rsidRPr="00DE35A9">
              <w:rPr>
                <w:rFonts w:ascii="Adobe Caslon Pro" w:hAnsi="Adobe Caslon Pro" w:cs="Calibri"/>
                <w:i/>
                <w:color w:val="000000"/>
                <w:sz w:val="20"/>
                <w:szCs w:val="20"/>
                <w:lang w:eastAsia="es-MX"/>
              </w:rPr>
              <w:t>presupuestarias.</w:t>
            </w:r>
          </w:p>
          <w:p w:rsidR="008E4272" w:rsidRDefault="008E4272" w:rsidP="00F075EB">
            <w:pPr>
              <w:numPr>
                <w:ilvl w:val="0"/>
                <w:numId w:val="73"/>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w:t>
            </w:r>
            <w:r w:rsidRPr="00DE35A9">
              <w:rPr>
                <w:rFonts w:ascii="Adobe Caslon Pro" w:hAnsi="Adobe Caslon Pro" w:cs="Calibri"/>
                <w:i/>
                <w:color w:val="000000"/>
                <w:sz w:val="20"/>
                <w:szCs w:val="20"/>
                <w:lang w:eastAsia="es-MX"/>
              </w:rPr>
              <w:t>os responsables de los programas y las autoridades responsables</w:t>
            </w:r>
            <w:r>
              <w:rPr>
                <w:rFonts w:ascii="Adobe Caslon Pro" w:hAnsi="Adobe Caslon Pro" w:cs="Calibri"/>
                <w:i/>
                <w:color w:val="000000"/>
                <w:sz w:val="20"/>
                <w:szCs w:val="20"/>
                <w:lang w:eastAsia="es-MX"/>
              </w:rPr>
              <w:t xml:space="preserve"> </w:t>
            </w:r>
            <w:r w:rsidRPr="00DE35A9">
              <w:rPr>
                <w:rFonts w:ascii="Adobe Caslon Pro" w:hAnsi="Adobe Caslon Pro" w:cs="Calibri"/>
                <w:i/>
                <w:color w:val="000000"/>
                <w:sz w:val="20"/>
                <w:szCs w:val="20"/>
                <w:lang w:eastAsia="es-MX"/>
              </w:rPr>
              <w:t xml:space="preserve">del presupuesto participen </w:t>
            </w:r>
            <w:r w:rsidRPr="00DE35A9">
              <w:rPr>
                <w:rFonts w:ascii="Adobe Caslon Pro" w:hAnsi="Adobe Caslon Pro" w:cs="Calibri"/>
                <w:i/>
                <w:color w:val="000000"/>
                <w:sz w:val="20"/>
                <w:szCs w:val="20"/>
                <w:lang w:eastAsia="es-MX"/>
              </w:rPr>
              <w:lastRenderedPageBreak/>
              <w:t>coordinadamente en la definición de dichas metas con el propósito de que éstas sean relevantes, creíbles y factibles.</w:t>
            </w:r>
          </w:p>
          <w:p w:rsidR="008E4272" w:rsidRPr="00DE35A9" w:rsidRDefault="008E4272" w:rsidP="00A56E05">
            <w:pPr>
              <w:autoSpaceDE w:val="0"/>
              <w:autoSpaceDN w:val="0"/>
              <w:adjustRightInd w:val="0"/>
              <w:ind w:left="720"/>
              <w:jc w:val="both"/>
              <w:rPr>
                <w:rFonts w:ascii="Adobe Caslon Pro" w:hAnsi="Adobe Caslon Pro" w:cs="Calibri"/>
                <w:i/>
                <w:color w:val="000000"/>
                <w:sz w:val="20"/>
                <w:szCs w:val="20"/>
                <w:lang w:eastAsia="es-MX"/>
              </w:rPr>
            </w:pPr>
          </w:p>
        </w:tc>
      </w:tr>
      <w:tr w:rsidR="008E4272" w:rsidRPr="00BE4199" w:rsidTr="00A56E05">
        <w:trPr>
          <w:trHeight w:val="43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tcPr>
          <w:p w:rsidR="008E4272" w:rsidRDefault="008E427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lastRenderedPageBreak/>
              <w:t>COBERTURA Y FOCALIZACIÓN</w:t>
            </w:r>
          </w:p>
          <w:p w:rsidR="008E4272" w:rsidRPr="006C5A77" w:rsidRDefault="008E4272" w:rsidP="00F075EB">
            <w:pPr>
              <w:numPr>
                <w:ilvl w:val="0"/>
                <w:numId w:val="74"/>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w:t>
            </w:r>
            <w:r w:rsidRPr="006C5A77">
              <w:rPr>
                <w:rFonts w:ascii="Adobe Caslon Pro" w:hAnsi="Adobe Caslon Pro" w:cs="Calibri"/>
                <w:i/>
                <w:color w:val="000000"/>
                <w:sz w:val="20"/>
                <w:szCs w:val="20"/>
                <w:lang w:eastAsia="es-MX"/>
              </w:rPr>
              <w:t>esarrollar e implementar un mecanismo que permita</w:t>
            </w:r>
            <w:r>
              <w:rPr>
                <w:rFonts w:ascii="Adobe Caslon Pro" w:hAnsi="Adobe Caslon Pro" w:cs="Calibri"/>
                <w:i/>
                <w:color w:val="000000"/>
                <w:sz w:val="20"/>
                <w:szCs w:val="20"/>
                <w:lang w:eastAsia="es-MX"/>
              </w:rPr>
              <w:t xml:space="preserve"> </w:t>
            </w:r>
            <w:r w:rsidRPr="006C5A77">
              <w:rPr>
                <w:rFonts w:ascii="Adobe Caslon Pro" w:hAnsi="Adobe Caslon Pro" w:cs="Calibri"/>
                <w:i/>
                <w:color w:val="000000"/>
                <w:sz w:val="20"/>
                <w:szCs w:val="20"/>
                <w:lang w:eastAsia="es-MX"/>
              </w:rPr>
              <w:t>visualizar de manera oportuna y veraz, la actualización de la población objetivo, para cada uno de los programas estatales vinculados al FAEB.</w:t>
            </w:r>
          </w:p>
        </w:tc>
      </w:tr>
      <w:tr w:rsidR="008E4272"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tcPr>
          <w:p w:rsidR="008E4272" w:rsidRPr="00C71799" w:rsidRDefault="008E4272" w:rsidP="00A56E05">
            <w:p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OPERACIÓN</w:t>
            </w:r>
          </w:p>
          <w:p w:rsidR="008E4272" w:rsidRPr="00201554"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01554">
              <w:rPr>
                <w:rFonts w:ascii="Adobe Caslon Pro" w:hAnsi="Adobe Caslon Pro" w:cs="Calibri"/>
                <w:i/>
                <w:color w:val="000000"/>
                <w:sz w:val="20"/>
                <w:szCs w:val="20"/>
                <w:lang w:eastAsia="es-MX"/>
              </w:rPr>
              <w:t>Se sugiere diseñar los indicadores de los componentes conforme a la Metodología</w:t>
            </w:r>
            <w:r>
              <w:rPr>
                <w:rFonts w:ascii="Adobe Caslon Pro" w:hAnsi="Adobe Caslon Pro" w:cs="Calibri"/>
                <w:i/>
                <w:color w:val="000000"/>
                <w:sz w:val="20"/>
                <w:szCs w:val="20"/>
                <w:lang w:eastAsia="es-MX"/>
              </w:rPr>
              <w:t xml:space="preserve"> </w:t>
            </w:r>
            <w:r w:rsidRPr="00201554">
              <w:rPr>
                <w:rFonts w:ascii="Adobe Caslon Pro" w:hAnsi="Adobe Caslon Pro" w:cs="Calibri"/>
                <w:i/>
                <w:color w:val="000000"/>
                <w:sz w:val="20"/>
                <w:szCs w:val="20"/>
                <w:lang w:eastAsia="es-MX"/>
              </w:rPr>
              <w:t>del Marco Lógico.</w:t>
            </w:r>
          </w:p>
          <w:p w:rsidR="008E4272" w:rsidRPr="00736534"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01554">
              <w:rPr>
                <w:rFonts w:ascii="Adobe Caslon Pro" w:hAnsi="Adobe Caslon Pro" w:cs="Calibri"/>
                <w:i/>
                <w:color w:val="000000"/>
                <w:sz w:val="20"/>
                <w:szCs w:val="20"/>
                <w:lang w:eastAsia="es-MX"/>
              </w:rPr>
              <w:t>Implementación de la metodología del PBR, conforme a la Guía del CONEVAL,</w:t>
            </w:r>
            <w:r>
              <w:rPr>
                <w:rFonts w:ascii="Adobe Caslon Pro" w:hAnsi="Adobe Caslon Pro" w:cs="Calibri"/>
                <w:i/>
                <w:color w:val="000000"/>
                <w:sz w:val="20"/>
                <w:szCs w:val="20"/>
                <w:lang w:eastAsia="es-MX"/>
              </w:rPr>
              <w:t xml:space="preserve"> </w:t>
            </w:r>
            <w:r w:rsidRPr="00201554">
              <w:rPr>
                <w:rFonts w:ascii="Adobe Caslon Pro" w:hAnsi="Adobe Caslon Pro" w:cs="Calibri"/>
                <w:i/>
                <w:color w:val="000000"/>
                <w:sz w:val="20"/>
                <w:szCs w:val="20"/>
                <w:lang w:eastAsia="es-MX"/>
              </w:rPr>
              <w:t xml:space="preserve">para identificar </w:t>
            </w:r>
            <w:r w:rsidRPr="00736534">
              <w:rPr>
                <w:rFonts w:ascii="Adobe Caslon Pro" w:hAnsi="Adobe Caslon Pro" w:cs="Calibri"/>
                <w:i/>
                <w:color w:val="000000"/>
                <w:sz w:val="20"/>
                <w:szCs w:val="20"/>
                <w:lang w:eastAsia="es-MX"/>
              </w:rPr>
              <w:t>metodológicamente un problema que aqueja a la ciudadanía y así estar en condiciones de identificar qué bienes y servicios.</w:t>
            </w:r>
          </w:p>
          <w:p w:rsidR="008E4272" w:rsidRPr="00736534"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36534">
              <w:rPr>
                <w:rFonts w:ascii="Adobe Caslon Pro" w:hAnsi="Adobe Caslon Pro" w:cs="Calibri"/>
                <w:i/>
                <w:color w:val="000000"/>
                <w:sz w:val="20"/>
                <w:szCs w:val="20"/>
                <w:lang w:eastAsia="es-MX"/>
              </w:rPr>
              <w:t>Diseñar indicadores que representen la dimensión de eficacia y eficiencia de los objetivos establecidos.</w:t>
            </w:r>
          </w:p>
          <w:p w:rsidR="008E4272" w:rsidRPr="00201554" w:rsidRDefault="008E4272" w:rsidP="00A56E05">
            <w:pPr>
              <w:autoSpaceDE w:val="0"/>
              <w:autoSpaceDN w:val="0"/>
              <w:adjustRightInd w:val="0"/>
              <w:ind w:left="720"/>
              <w:jc w:val="both"/>
              <w:rPr>
                <w:rFonts w:ascii="Adobe Caslon Pro" w:hAnsi="Adobe Caslon Pro" w:cs="Calibri"/>
                <w:i/>
                <w:color w:val="000000"/>
                <w:sz w:val="20"/>
                <w:szCs w:val="20"/>
                <w:lang w:eastAsia="es-MX"/>
              </w:rPr>
            </w:pPr>
          </w:p>
        </w:tc>
      </w:tr>
      <w:tr w:rsidR="008E4272"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tcPr>
          <w:p w:rsidR="008E4272" w:rsidRDefault="008E427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8E4272" w:rsidRPr="00736534" w:rsidRDefault="008E4272"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201554">
              <w:rPr>
                <w:rFonts w:ascii="Adobe Caslon Pro" w:hAnsi="Adobe Caslon Pro" w:cs="Calibri"/>
                <w:i/>
                <w:color w:val="000000"/>
                <w:sz w:val="20"/>
                <w:szCs w:val="20"/>
                <w:lang w:eastAsia="es-MX"/>
              </w:rPr>
              <w:t>Desarrollar e implementar encuestas a los diferentes niveles educativos que el</w:t>
            </w:r>
            <w:r>
              <w:rPr>
                <w:rFonts w:ascii="Adobe Caslon Pro" w:hAnsi="Adobe Caslon Pro" w:cs="Calibri"/>
                <w:i/>
                <w:color w:val="000000"/>
                <w:sz w:val="20"/>
                <w:szCs w:val="20"/>
                <w:lang w:eastAsia="es-MX"/>
              </w:rPr>
              <w:t xml:space="preserve"> </w:t>
            </w:r>
            <w:r w:rsidRPr="00201554">
              <w:rPr>
                <w:rFonts w:ascii="Adobe Caslon Pro" w:hAnsi="Adobe Caslon Pro" w:cs="Calibri"/>
                <w:i/>
                <w:color w:val="000000"/>
                <w:sz w:val="20"/>
                <w:szCs w:val="20"/>
                <w:lang w:eastAsia="es-MX"/>
              </w:rPr>
              <w:t>Fondo apoya, tanto para alumnos como al plantel de profesores, con el objetivo</w:t>
            </w:r>
            <w:r>
              <w:rPr>
                <w:rFonts w:ascii="Adobe Caslon Pro" w:hAnsi="Adobe Caslon Pro" w:cs="Calibri"/>
                <w:i/>
                <w:color w:val="000000"/>
                <w:sz w:val="20"/>
                <w:szCs w:val="20"/>
                <w:lang w:eastAsia="es-MX"/>
              </w:rPr>
              <w:t xml:space="preserve"> </w:t>
            </w:r>
            <w:r w:rsidRPr="00201554">
              <w:rPr>
                <w:rFonts w:ascii="Adobe Caslon Pro" w:hAnsi="Adobe Caslon Pro" w:cs="Calibri"/>
                <w:i/>
                <w:color w:val="000000"/>
                <w:sz w:val="20"/>
                <w:szCs w:val="20"/>
                <w:lang w:eastAsia="es-MX"/>
              </w:rPr>
              <w:t>de conocer el grado de satisfacción de ellos referente a los bienes y servicios</w:t>
            </w:r>
            <w:r>
              <w:rPr>
                <w:rFonts w:ascii="Adobe Caslon Pro" w:hAnsi="Adobe Caslon Pro" w:cs="Calibri"/>
                <w:i/>
                <w:color w:val="000000"/>
                <w:sz w:val="20"/>
                <w:szCs w:val="20"/>
                <w:lang w:eastAsia="es-MX"/>
              </w:rPr>
              <w:t xml:space="preserve"> </w:t>
            </w:r>
            <w:r w:rsidRPr="00201554">
              <w:rPr>
                <w:rFonts w:ascii="Adobe Caslon Pro" w:hAnsi="Adobe Caslon Pro" w:cs="Calibri"/>
                <w:i/>
                <w:color w:val="000000"/>
                <w:sz w:val="20"/>
                <w:szCs w:val="20"/>
                <w:lang w:eastAsia="es-MX"/>
              </w:rPr>
              <w:t>que reciben por parte de los programas asociados al Fondo</w:t>
            </w:r>
            <w:r>
              <w:rPr>
                <w:rFonts w:ascii="Adobe Caslon Pro" w:hAnsi="Adobe Caslon Pro" w:cs="Calibri"/>
                <w:i/>
                <w:color w:val="000000"/>
                <w:sz w:val="20"/>
                <w:szCs w:val="20"/>
                <w:lang w:eastAsia="es-MX"/>
              </w:rPr>
              <w:t>.</w:t>
            </w:r>
          </w:p>
        </w:tc>
      </w:tr>
      <w:tr w:rsidR="008E4272"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tcPr>
          <w:p w:rsidR="008E4272" w:rsidRPr="00C71799" w:rsidRDefault="008E427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RESULTADOS</w:t>
            </w:r>
          </w:p>
          <w:p w:rsidR="008E4272" w:rsidRPr="00736534"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01554">
              <w:rPr>
                <w:rFonts w:ascii="Adobe Caslon Pro" w:hAnsi="Adobe Caslon Pro" w:cs="Calibri"/>
                <w:i/>
                <w:color w:val="000000"/>
                <w:sz w:val="20"/>
                <w:szCs w:val="20"/>
                <w:lang w:eastAsia="es-MX"/>
              </w:rPr>
              <w:t>Se sugiere diseñar los programas presupuestarios vinculados al Fondo con la</w:t>
            </w:r>
            <w:r>
              <w:rPr>
                <w:rFonts w:ascii="Adobe Caslon Pro" w:hAnsi="Adobe Caslon Pro" w:cs="Calibri"/>
                <w:i/>
                <w:color w:val="000000"/>
                <w:sz w:val="20"/>
                <w:szCs w:val="20"/>
                <w:lang w:eastAsia="es-MX"/>
              </w:rPr>
              <w:t xml:space="preserve"> </w:t>
            </w:r>
            <w:r w:rsidRPr="00201554">
              <w:rPr>
                <w:rFonts w:ascii="Adobe Caslon Pro" w:hAnsi="Adobe Caslon Pro" w:cs="Calibri"/>
                <w:i/>
                <w:color w:val="000000"/>
                <w:sz w:val="20"/>
                <w:szCs w:val="20"/>
                <w:lang w:eastAsia="es-MX"/>
              </w:rPr>
              <w:t>Metodología del Marco Lógico y la construcción de la Matriz de Indicadores para Resultados para verificar su avance e impacto.</w:t>
            </w:r>
          </w:p>
        </w:tc>
      </w:tr>
      <w:tr w:rsidR="008E4272" w:rsidRPr="00BE4199" w:rsidTr="00A56E05">
        <w:trPr>
          <w:trHeight w:val="105"/>
          <w:jc w:val="center"/>
        </w:trPr>
        <w:tc>
          <w:tcPr>
            <w:tcW w:w="579"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jc w:val="center"/>
        </w:trPr>
        <w:tc>
          <w:tcPr>
            <w:tcW w:w="6965" w:type="dxa"/>
            <w:gridSpan w:val="11"/>
            <w:tcBorders>
              <w:top w:val="single" w:sz="4" w:space="0" w:color="auto"/>
              <w:left w:val="single" w:sz="4" w:space="0" w:color="auto"/>
              <w:bottom w:val="nil"/>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4.1 Nombre del coordinador de la evaluación:</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Mtro. José de Jesús </w:t>
            </w:r>
            <w:proofErr w:type="spellStart"/>
            <w:r w:rsidRPr="00BE4199">
              <w:rPr>
                <w:rFonts w:ascii="Adobe Caslon Pro" w:hAnsi="Adobe Caslon Pro" w:cs="Calibri"/>
                <w:i/>
                <w:color w:val="000000"/>
                <w:sz w:val="20"/>
                <w:szCs w:val="20"/>
                <w:lang w:eastAsia="es-MX"/>
              </w:rPr>
              <w:t>Guizar</w:t>
            </w:r>
            <w:proofErr w:type="spellEnd"/>
            <w:r w:rsidRPr="00BE4199">
              <w:rPr>
                <w:rFonts w:ascii="Adobe Caslon Pro" w:hAnsi="Adobe Caslon Pro" w:cs="Calibri"/>
                <w:i/>
                <w:color w:val="000000"/>
                <w:sz w:val="20"/>
                <w:szCs w:val="20"/>
                <w:lang w:eastAsia="es-MX"/>
              </w:rPr>
              <w:t xml:space="preserve"> Jiménez</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4.2 Cargo:</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Consultor Investigador</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4.3 Institución a la que pertenece:  </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Instituto para el Desarrollo Técnico de las Haciendas Públicas (INDETEC)</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Default="008E4272"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4.4 Principales colaboradores:</w:t>
            </w:r>
          </w:p>
          <w:p w:rsidR="008E4272" w:rsidRPr="00F974F2" w:rsidRDefault="008E4272" w:rsidP="00A56E05">
            <w:pPr>
              <w:rPr>
                <w:rFonts w:ascii="Adobe Caslon Pro" w:hAnsi="Adobe Caslon Pro" w:cs="Calibri"/>
                <w:i/>
                <w:color w:val="000000"/>
                <w:sz w:val="20"/>
                <w:szCs w:val="20"/>
                <w:lang w:eastAsia="es-MX"/>
              </w:rPr>
            </w:pPr>
            <w:r w:rsidRPr="00F974F2">
              <w:rPr>
                <w:rFonts w:ascii="Adobe Caslon Pro" w:hAnsi="Adobe Caslon Pro" w:cs="Calibri"/>
                <w:i/>
                <w:color w:val="000000"/>
                <w:sz w:val="20"/>
                <w:szCs w:val="20"/>
                <w:lang w:eastAsia="es-MX"/>
              </w:rPr>
              <w:t>Mtro. Andrés Miranda</w:t>
            </w:r>
          </w:p>
          <w:p w:rsidR="008E4272" w:rsidRPr="00F974F2" w:rsidRDefault="008E4272" w:rsidP="00A56E05">
            <w:pPr>
              <w:rPr>
                <w:rFonts w:ascii="Adobe Caslon Pro" w:hAnsi="Adobe Caslon Pro" w:cs="Calibri"/>
                <w:color w:val="000000"/>
                <w:sz w:val="20"/>
                <w:szCs w:val="20"/>
                <w:lang w:eastAsia="es-MX"/>
              </w:rPr>
            </w:pPr>
            <w:r w:rsidRPr="00F974F2">
              <w:rPr>
                <w:rFonts w:ascii="Adobe Caslon Pro" w:hAnsi="Adobe Caslon Pro" w:cs="Calibri"/>
                <w:i/>
                <w:color w:val="000000"/>
                <w:sz w:val="20"/>
                <w:szCs w:val="20"/>
                <w:lang w:eastAsia="es-MX"/>
              </w:rPr>
              <w:t>Lic. René Alejandro Herrera Jiménez</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4.5 Correo electrónico del coordinador de la evaluación:</w:t>
            </w:r>
          </w:p>
          <w:p w:rsidR="008E4272" w:rsidRPr="00BE4199" w:rsidRDefault="009B1A50" w:rsidP="00A56E05">
            <w:pPr>
              <w:rPr>
                <w:rFonts w:ascii="Adobe Caslon Pro" w:hAnsi="Adobe Caslon Pro" w:cs="Calibri"/>
                <w:i/>
                <w:color w:val="000000"/>
                <w:sz w:val="20"/>
                <w:szCs w:val="20"/>
                <w:u w:val="single"/>
                <w:lang w:eastAsia="es-MX"/>
              </w:rPr>
            </w:pPr>
            <w:hyperlink r:id="rId146" w:history="1">
              <w:r w:rsidR="008E4272" w:rsidRPr="00774FDF">
                <w:rPr>
                  <w:rStyle w:val="Hipervnculo"/>
                  <w:rFonts w:ascii="Adobe Caslon Pro" w:hAnsi="Adobe Caslon Pro" w:cs="Calibri"/>
                  <w:i/>
                  <w:sz w:val="20"/>
                  <w:szCs w:val="20"/>
                  <w:lang w:eastAsia="es-MX"/>
                </w:rPr>
                <w:t>jguizarj@indetec.gob.mx</w:t>
              </w:r>
            </w:hyperlink>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4.6 Teléfono (con clave lada):</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(33) 36695550</w:t>
            </w:r>
            <w:r>
              <w:rPr>
                <w:rFonts w:ascii="Adobe Caslon Pro" w:hAnsi="Adobe Caslon Pro" w:cs="Calibri"/>
                <w:i/>
                <w:color w:val="000000"/>
                <w:sz w:val="20"/>
                <w:szCs w:val="20"/>
                <w:lang w:eastAsia="es-MX"/>
              </w:rPr>
              <w:t xml:space="preserve"> </w:t>
            </w:r>
            <w:proofErr w:type="spellStart"/>
            <w:r>
              <w:rPr>
                <w:rFonts w:ascii="Adobe Caslon Pro" w:hAnsi="Adobe Caslon Pro" w:cs="Calibri"/>
                <w:i/>
                <w:color w:val="000000"/>
                <w:sz w:val="20"/>
                <w:szCs w:val="20"/>
                <w:lang w:eastAsia="es-MX"/>
              </w:rPr>
              <w:t>ext</w:t>
            </w:r>
            <w:proofErr w:type="spellEnd"/>
            <w:r>
              <w:rPr>
                <w:rFonts w:ascii="Adobe Caslon Pro" w:hAnsi="Adobe Caslon Pro" w:cs="Calibri"/>
                <w:i/>
                <w:color w:val="000000"/>
                <w:sz w:val="20"/>
                <w:szCs w:val="20"/>
                <w:lang w:eastAsia="es-MX"/>
              </w:rPr>
              <w:t xml:space="preserve"> 136</w:t>
            </w:r>
          </w:p>
        </w:tc>
      </w:tr>
      <w:tr w:rsidR="008E4272" w:rsidRPr="00BE4199" w:rsidTr="00A56E05">
        <w:trPr>
          <w:trHeight w:val="75"/>
          <w:jc w:val="center"/>
        </w:trPr>
        <w:tc>
          <w:tcPr>
            <w:tcW w:w="999"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jc w:val="center"/>
        </w:trPr>
        <w:tc>
          <w:tcPr>
            <w:tcW w:w="696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Fondo de Aportaciones </w:t>
            </w:r>
            <w:r>
              <w:rPr>
                <w:rFonts w:ascii="Adobe Caslon Pro" w:hAnsi="Adobe Caslon Pro" w:cs="Calibri"/>
                <w:i/>
                <w:color w:val="000000"/>
                <w:sz w:val="20"/>
                <w:szCs w:val="20"/>
                <w:lang w:eastAsia="es-MX"/>
              </w:rPr>
              <w:t>para la Educación Básica y Normal</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8E4272" w:rsidRPr="00BE4199" w:rsidRDefault="008E4272"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FAEB</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w:t>
            </w:r>
            <w:r>
              <w:rPr>
                <w:rFonts w:ascii="Adobe Caslon Pro" w:hAnsi="Adobe Caslon Pro" w:cs="Calibri"/>
                <w:color w:val="000000"/>
                <w:sz w:val="20"/>
                <w:szCs w:val="20"/>
                <w:lang w:eastAsia="es-MX"/>
              </w:rPr>
              <w:t>dinador del (los) programa(s): </w:t>
            </w:r>
          </w:p>
          <w:p w:rsidR="008E4272" w:rsidRPr="00F974F2" w:rsidRDefault="008E4272" w:rsidP="00A56E05">
            <w:pPr>
              <w:rPr>
                <w:rFonts w:ascii="Adobe Caslon Pro" w:hAnsi="Adobe Caslon Pro" w:cs="Calibri"/>
                <w:i/>
                <w:color w:val="000000"/>
                <w:sz w:val="20"/>
                <w:szCs w:val="20"/>
                <w:lang w:eastAsia="es-MX"/>
              </w:rPr>
            </w:pPr>
            <w:r w:rsidRPr="00F974F2">
              <w:rPr>
                <w:rFonts w:ascii="Adobe Caslon Pro" w:hAnsi="Adobe Caslon Pro" w:cs="Calibri"/>
                <w:i/>
                <w:color w:val="000000"/>
                <w:sz w:val="20"/>
                <w:szCs w:val="20"/>
                <w:lang w:eastAsia="es-MX"/>
              </w:rPr>
              <w:t>Instituto Estatal de Educación Pública de Oaxaca (IEEPO)</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lastRenderedPageBreak/>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 Nombre de la(s) unidad(es) administrativa(s) y de (los) titular(es) a cargo del (los) programa(s):</w:t>
            </w:r>
          </w:p>
        </w:tc>
      </w:tr>
      <w:tr w:rsidR="008E4272" w:rsidRPr="00BE4199" w:rsidTr="00A56E05">
        <w:trPr>
          <w:trHeight w:val="408"/>
          <w:jc w:val="center"/>
        </w:trPr>
        <w:tc>
          <w:tcPr>
            <w:tcW w:w="9436" w:type="dxa"/>
            <w:gridSpan w:val="14"/>
            <w:tcBorders>
              <w:left w:val="single" w:sz="4" w:space="0" w:color="auto"/>
              <w:bottom w:val="single" w:sz="4" w:space="0" w:color="auto"/>
              <w:right w:val="single" w:sz="4" w:space="0" w:color="auto"/>
            </w:tcBorders>
            <w:vAlign w:val="center"/>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8E4272" w:rsidRPr="00BE4199" w:rsidTr="00A56E05">
        <w:trPr>
          <w:trHeight w:val="55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8E4272" w:rsidRPr="00BE4199" w:rsidRDefault="008E4272" w:rsidP="00A56E05">
            <w:pPr>
              <w:rPr>
                <w:rFonts w:ascii="Adobe Caslon Pro" w:hAnsi="Adobe Caslon Pro" w:cs="Calibri"/>
                <w:i/>
                <w:color w:val="000000"/>
                <w:sz w:val="20"/>
                <w:szCs w:val="20"/>
                <w:lang w:eastAsia="es-MX"/>
              </w:rPr>
            </w:pPr>
            <w:r w:rsidRPr="00F974F2">
              <w:rPr>
                <w:rFonts w:ascii="Adobe Caslon Pro" w:hAnsi="Adobe Caslon Pro" w:cs="Calibri"/>
                <w:i/>
                <w:color w:val="000000"/>
                <w:sz w:val="20"/>
                <w:szCs w:val="20"/>
                <w:lang w:eastAsia="es-MX"/>
              </w:rPr>
              <w:t>Instituto Estatal de Educación Pública de Oaxaca (IEEPO)</w:t>
            </w:r>
          </w:p>
        </w:tc>
      </w:tr>
      <w:tr w:rsidR="008E4272" w:rsidRPr="00BE4199" w:rsidTr="00A56E05">
        <w:trPr>
          <w:trHeight w:val="55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8E4272" w:rsidRPr="00BE4199" w:rsidTr="00A56E05">
        <w:trPr>
          <w:trHeight w:val="274"/>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555"/>
          <w:jc w:val="center"/>
        </w:trPr>
        <w:tc>
          <w:tcPr>
            <w:tcW w:w="4832" w:type="dxa"/>
            <w:gridSpan w:val="7"/>
            <w:tcBorders>
              <w:top w:val="single" w:sz="4" w:space="0" w:color="auto"/>
              <w:left w:val="single" w:sz="4" w:space="0" w:color="auto"/>
              <w:bottom w:val="single" w:sz="4" w:space="0" w:color="auto"/>
              <w:right w:val="single" w:sz="4" w:space="0" w:color="auto"/>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8E4272" w:rsidRPr="00BE4199"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Lic. Moisés Robles Cruz</w:t>
            </w:r>
          </w:p>
          <w:p w:rsidR="008E4272"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(951) 51 58019</w:t>
            </w:r>
          </w:p>
          <w:p w:rsidR="008E4272" w:rsidRDefault="009B1A50" w:rsidP="00A56E05">
            <w:pPr>
              <w:rPr>
                <w:rFonts w:ascii="Adobe Caslon Pro" w:hAnsi="Adobe Caslon Pro" w:cs="Calibri"/>
                <w:i/>
                <w:color w:val="000000"/>
                <w:sz w:val="20"/>
                <w:szCs w:val="20"/>
                <w:lang w:eastAsia="es-MX"/>
              </w:rPr>
            </w:pPr>
            <w:hyperlink r:id="rId147" w:history="1">
              <w:r w:rsidR="008E4272" w:rsidRPr="00204665">
                <w:rPr>
                  <w:rStyle w:val="Hipervnculo"/>
                  <w:rFonts w:ascii="Adobe Caslon Pro" w:hAnsi="Adobe Caslon Pro" w:cs="Calibri"/>
                  <w:i/>
                  <w:sz w:val="20"/>
                  <w:szCs w:val="20"/>
                  <w:lang w:eastAsia="es-MX"/>
                </w:rPr>
                <w:t>Ieepo.direcciongeneral@oaxaca.gob.mx</w:t>
              </w:r>
            </w:hyperlink>
          </w:p>
          <w:p w:rsidR="008E4272" w:rsidRDefault="009B1A50" w:rsidP="00A56E05">
            <w:pPr>
              <w:rPr>
                <w:rFonts w:ascii="Adobe Caslon Pro" w:hAnsi="Adobe Caslon Pro" w:cs="Calibri"/>
                <w:i/>
                <w:color w:val="000000"/>
                <w:sz w:val="20"/>
                <w:szCs w:val="20"/>
                <w:lang w:eastAsia="es-MX"/>
              </w:rPr>
            </w:pPr>
            <w:hyperlink r:id="rId148" w:history="1">
              <w:r w:rsidR="008E4272" w:rsidRPr="00204665">
                <w:rPr>
                  <w:rStyle w:val="Hipervnculo"/>
                  <w:rFonts w:ascii="Adobe Caslon Pro" w:hAnsi="Adobe Caslon Pro" w:cs="Calibri"/>
                  <w:i/>
                  <w:sz w:val="20"/>
                  <w:szCs w:val="20"/>
                  <w:lang w:eastAsia="es-MX"/>
                </w:rPr>
                <w:t>direcciongral@ieepo.edu.mx</w:t>
              </w:r>
            </w:hyperlink>
          </w:p>
          <w:p w:rsidR="008E4272" w:rsidRPr="0062525C" w:rsidRDefault="008E4272" w:rsidP="00A56E05">
            <w:pPr>
              <w:rPr>
                <w:rFonts w:ascii="Adobe Caslon Pro" w:hAnsi="Adobe Caslon Pro" w:cs="Calibri"/>
                <w:i/>
                <w:color w:val="000000"/>
                <w:sz w:val="20"/>
                <w:szCs w:val="20"/>
                <w:lang w:eastAsia="es-MX"/>
              </w:rPr>
            </w:pPr>
          </w:p>
        </w:tc>
        <w:tc>
          <w:tcPr>
            <w:tcW w:w="4604" w:type="dxa"/>
            <w:gridSpan w:val="7"/>
            <w:tcBorders>
              <w:top w:val="single" w:sz="4" w:space="0" w:color="auto"/>
              <w:left w:val="nil"/>
              <w:bottom w:val="single" w:sz="4" w:space="0" w:color="auto"/>
              <w:right w:val="single" w:sz="4" w:space="0" w:color="000000"/>
            </w:tcBorders>
            <w:shd w:val="clear" w:color="auto" w:fill="auto"/>
            <w:hideMark/>
          </w:tcPr>
          <w:p w:rsidR="008E4272" w:rsidRDefault="008E4272"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Unidad administrativa</w:t>
            </w:r>
          </w:p>
          <w:p w:rsidR="008E4272" w:rsidRPr="00BE4199" w:rsidRDefault="008E4272"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 xml:space="preserve"> Dirección General del</w:t>
            </w:r>
            <w:r w:rsidRPr="00F974F2">
              <w:rPr>
                <w:rFonts w:ascii="Adobe Caslon Pro" w:hAnsi="Adobe Caslon Pro" w:cs="Calibri"/>
                <w:i/>
                <w:color w:val="000000"/>
                <w:sz w:val="20"/>
                <w:szCs w:val="20"/>
                <w:lang w:eastAsia="es-MX"/>
              </w:rPr>
              <w:t xml:space="preserve"> Instituto Estatal de Educación Pública de Oaxaca (IEEPO</w:t>
            </w:r>
            <w:r>
              <w:rPr>
                <w:rFonts w:ascii="Adobe Caslon Pro" w:hAnsi="Adobe Caslon Pro" w:cs="Calibri"/>
                <w:i/>
                <w:color w:val="000000"/>
                <w:sz w:val="20"/>
                <w:szCs w:val="20"/>
                <w:lang w:eastAsia="es-MX"/>
              </w:rPr>
              <w:t>)</w:t>
            </w:r>
          </w:p>
        </w:tc>
      </w:tr>
      <w:tr w:rsidR="008E4272" w:rsidRPr="00BE4199" w:rsidTr="00A56E05">
        <w:trPr>
          <w:trHeight w:val="75"/>
          <w:jc w:val="center"/>
        </w:trPr>
        <w:tc>
          <w:tcPr>
            <w:tcW w:w="999" w:type="dxa"/>
            <w:gridSpan w:val="2"/>
            <w:tcBorders>
              <w:top w:val="nil"/>
              <w:left w:val="nil"/>
              <w:bottom w:val="nil"/>
              <w:right w:val="nil"/>
            </w:tcBorders>
            <w:shd w:val="clear" w:color="auto" w:fill="auto"/>
            <w:hideMark/>
          </w:tcPr>
          <w:p w:rsidR="008E4272" w:rsidRPr="00BE4199" w:rsidRDefault="008E4272"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hideMark/>
          </w:tcPr>
          <w:p w:rsidR="008E4272" w:rsidRPr="00BE4199" w:rsidRDefault="008E4272"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p>
        </w:tc>
        <w:tc>
          <w:tcPr>
            <w:tcW w:w="2526" w:type="dxa"/>
            <w:gridSpan w:val="5"/>
            <w:tcBorders>
              <w:top w:val="nil"/>
              <w:left w:val="nil"/>
              <w:bottom w:val="nil"/>
              <w:right w:val="nil"/>
            </w:tcBorders>
            <w:shd w:val="clear" w:color="auto" w:fill="auto"/>
            <w:hideMark/>
          </w:tcPr>
          <w:p w:rsidR="008E4272" w:rsidRPr="00BE4199" w:rsidRDefault="008E4272"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hideMark/>
          </w:tcPr>
          <w:p w:rsidR="008E4272" w:rsidRPr="00BE4199" w:rsidRDefault="008E4272"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hideMark/>
          </w:tcPr>
          <w:p w:rsidR="008E4272" w:rsidRPr="00BE4199" w:rsidRDefault="008E4272" w:rsidP="00A56E05">
            <w:pPr>
              <w:jc w:val="center"/>
              <w:rPr>
                <w:rFonts w:ascii="Adobe Caslon Pro" w:hAnsi="Adobe Caslon Pro" w:cs="Calibri"/>
                <w:color w:val="000000"/>
                <w:sz w:val="20"/>
                <w:szCs w:val="20"/>
                <w:lang w:eastAsia="es-MX"/>
              </w:rPr>
            </w:pPr>
          </w:p>
        </w:tc>
      </w:tr>
      <w:tr w:rsidR="008E4272" w:rsidRPr="00BE4199" w:rsidTr="00A56E05">
        <w:trPr>
          <w:trHeight w:val="420"/>
          <w:jc w:val="center"/>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Pr>
                <w:rFonts w:ascii="Adobe Caslon Pro" w:hAnsi="Adobe Caslon Pro" w:cs="Calibri"/>
                <w:color w:val="000000"/>
                <w:sz w:val="20"/>
                <w:szCs w:val="20"/>
                <w:lang w:eastAsia="es-MX"/>
              </w:rPr>
              <w:t>___ 6.1.5 Otro: C</w:t>
            </w:r>
            <w:r w:rsidRPr="000D3BE9">
              <w:rPr>
                <w:rFonts w:ascii="Adobe Caslon Pro" w:hAnsi="Adobe Caslon Pro" w:cs="Calibri"/>
                <w:color w:val="000000"/>
                <w:sz w:val="20"/>
                <w:szCs w:val="20"/>
                <w:lang w:eastAsia="es-MX"/>
              </w:rPr>
              <w:t>onveni</w:t>
            </w:r>
            <w:r>
              <w:rPr>
                <w:rFonts w:ascii="Adobe Caslon Pro" w:hAnsi="Adobe Caslon Pro" w:cs="Calibri"/>
                <w:color w:val="000000"/>
                <w:sz w:val="20"/>
                <w:szCs w:val="20"/>
                <w:lang w:eastAsia="es-MX"/>
              </w:rPr>
              <w:t>o de colaboración institucional</w:t>
            </w:r>
          </w:p>
        </w:tc>
      </w:tr>
      <w:tr w:rsidR="008E4272" w:rsidRPr="00BE4199" w:rsidTr="00A56E05">
        <w:trPr>
          <w:trHeight w:val="39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 xml:space="preserve">Costo total de la evaluación:    </w:t>
            </w:r>
            <w:r w:rsidRPr="00BE4199">
              <w:rPr>
                <w:rFonts w:ascii="Adobe Caslon Pro" w:hAnsi="Adobe Caslon Pro" w:cs="Calibri"/>
                <w:i/>
                <w:color w:val="000000"/>
                <w:sz w:val="20"/>
                <w:szCs w:val="20"/>
                <w:lang w:eastAsia="es-MX"/>
              </w:rPr>
              <w:t>$ 960,000.00 (Novecientos sesenta mil pesos 00/100 M.N.) El costo corresponde a la evaluación de ocho Fondos de Aportaciones del Ramo General 33</w:t>
            </w:r>
            <w:r w:rsidRPr="00BE4199">
              <w:rPr>
                <w:rFonts w:ascii="Adobe Caslon Pro" w:hAnsi="Adobe Caslon Pro" w:cs="Calibri"/>
                <w:color w:val="000000"/>
                <w:sz w:val="20"/>
                <w:szCs w:val="20"/>
                <w:lang w:eastAsia="es-MX"/>
              </w:rPr>
              <w:t>.</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8E4272" w:rsidRPr="00BE4199" w:rsidTr="00A56E05">
        <w:trPr>
          <w:trHeight w:val="162"/>
          <w:jc w:val="center"/>
        </w:trPr>
        <w:tc>
          <w:tcPr>
            <w:tcW w:w="999"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jc w:val="center"/>
        </w:trPr>
        <w:tc>
          <w:tcPr>
            <w:tcW w:w="4973"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Default="008E4272"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8E4272" w:rsidRDefault="009B1A50" w:rsidP="00A56E05">
            <w:pPr>
              <w:rPr>
                <w:rFonts w:ascii="Adobe Caslon Pro" w:hAnsi="Adobe Caslon Pro" w:cs="Calibri"/>
                <w:color w:val="000000"/>
                <w:sz w:val="20"/>
                <w:szCs w:val="20"/>
                <w:lang w:eastAsia="es-MX"/>
              </w:rPr>
            </w:pPr>
            <w:hyperlink r:id="rId149" w:history="1">
              <w:r w:rsidR="008E4272" w:rsidRPr="002F7F93">
                <w:rPr>
                  <w:rStyle w:val="Hipervnculo"/>
                  <w:rFonts w:ascii="Adobe Caslon Pro" w:hAnsi="Adobe Caslon Pro" w:cs="Calibri"/>
                  <w:sz w:val="20"/>
                  <w:szCs w:val="20"/>
                  <w:lang w:eastAsia="es-MX"/>
                </w:rPr>
                <w:t>http://www.jefaturadelagubernatura-evaluacion.oaxaca.gob.mx/index.php/pae-sidepanel/pae-2014</w:t>
              </w:r>
            </w:hyperlink>
          </w:p>
          <w:p w:rsidR="008E4272" w:rsidRPr="00642484" w:rsidRDefault="009B1A50" w:rsidP="00A56E05">
            <w:pPr>
              <w:rPr>
                <w:rFonts w:ascii="Adobe Caslon Pro" w:hAnsi="Adobe Caslon Pro" w:cs="Calibri"/>
                <w:color w:val="000000"/>
                <w:sz w:val="20"/>
                <w:szCs w:val="20"/>
                <w:lang w:eastAsia="es-MX"/>
              </w:rPr>
            </w:pPr>
            <w:hyperlink r:id="rId150" w:history="1">
              <w:r w:rsidR="008E4272" w:rsidRPr="002F7F93">
                <w:rPr>
                  <w:rStyle w:val="Hipervnculo"/>
                  <w:rFonts w:ascii="Adobe Caslon Pro" w:hAnsi="Adobe Caslon Pro" w:cs="Calibri"/>
                  <w:sz w:val="20"/>
                  <w:szCs w:val="20"/>
                  <w:lang w:eastAsia="es-MX"/>
                </w:rPr>
                <w:t>http://www.transparenciapresupuestaria.oaxaca.gob.mx/05_ev1_eprogramas.php</w:t>
              </w:r>
            </w:hyperlink>
          </w:p>
        </w:tc>
      </w:tr>
      <w:tr w:rsidR="008E4272"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Default="008E4272"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7.2  Difusión en internet del formato:</w:t>
            </w:r>
          </w:p>
          <w:p w:rsidR="008E4272" w:rsidRDefault="009B1A50" w:rsidP="00A56E05">
            <w:pPr>
              <w:rPr>
                <w:rFonts w:ascii="Adobe Caslon Pro" w:hAnsi="Adobe Caslon Pro" w:cs="Calibri"/>
                <w:color w:val="000000"/>
                <w:sz w:val="20"/>
                <w:szCs w:val="20"/>
                <w:lang w:eastAsia="es-MX"/>
              </w:rPr>
            </w:pPr>
            <w:hyperlink r:id="rId151" w:history="1">
              <w:r w:rsidR="008E4272" w:rsidRPr="002F7F93">
                <w:rPr>
                  <w:rStyle w:val="Hipervnculo"/>
                  <w:rFonts w:ascii="Adobe Caslon Pro" w:hAnsi="Adobe Caslon Pro" w:cs="Calibri"/>
                  <w:sz w:val="20"/>
                  <w:szCs w:val="20"/>
                  <w:lang w:eastAsia="es-MX"/>
                </w:rPr>
                <w:t>http://www.jefaturadelagubernatura-evaluacion.oaxaca.gob.mx/index.php/pae-sidepanel/pae-2014</w:t>
              </w:r>
            </w:hyperlink>
          </w:p>
          <w:p w:rsidR="008E4272" w:rsidRPr="00642484" w:rsidRDefault="008E4272" w:rsidP="00A56E05">
            <w:pPr>
              <w:rPr>
                <w:rFonts w:ascii="Adobe Caslon Pro" w:hAnsi="Adobe Caslon Pro" w:cs="Calibri"/>
                <w:color w:val="000000"/>
                <w:sz w:val="20"/>
                <w:szCs w:val="20"/>
                <w:lang w:eastAsia="es-MX"/>
              </w:rPr>
            </w:pPr>
          </w:p>
        </w:tc>
      </w:tr>
    </w:tbl>
    <w:p w:rsidR="008E4272" w:rsidRPr="00066E84" w:rsidRDefault="008E4272" w:rsidP="008E4272">
      <w:pPr>
        <w:rPr>
          <w:rFonts w:ascii="Adobe Caslon Pro" w:hAnsi="Adobe Caslon Pro"/>
          <w:b/>
          <w:sz w:val="20"/>
          <w:szCs w:val="20"/>
          <w:lang w:eastAsia="es-MX"/>
        </w:rPr>
      </w:pPr>
    </w:p>
    <w:p w:rsidR="008E4272" w:rsidRDefault="008E4272" w:rsidP="008E4272">
      <w:pPr>
        <w:autoSpaceDE w:val="0"/>
        <w:autoSpaceDN w:val="0"/>
        <w:adjustRightInd w:val="0"/>
        <w:jc w:val="both"/>
        <w:rPr>
          <w:rFonts w:cs="Calibri"/>
          <w:sz w:val="16"/>
          <w:szCs w:val="16"/>
        </w:rPr>
      </w:pPr>
    </w:p>
    <w:p w:rsidR="008E4272" w:rsidRDefault="008E4272">
      <w:pPr>
        <w:rPr>
          <w:rFonts w:ascii="Arial" w:hAnsi="Arial" w:cs="Arial"/>
          <w:b/>
        </w:rPr>
      </w:pPr>
      <w:r>
        <w:rPr>
          <w:rFonts w:ascii="Arial" w:hAnsi="Arial" w:cs="Arial"/>
          <w:b/>
        </w:rPr>
        <w:br w:type="page"/>
      </w:r>
    </w:p>
    <w:p w:rsidR="008E4272" w:rsidRPr="008E4272" w:rsidRDefault="008E4272" w:rsidP="008E4272">
      <w:pPr>
        <w:rPr>
          <w:rFonts w:ascii="Arial" w:hAnsi="Arial" w:cs="Arial"/>
          <w:b/>
        </w:rPr>
      </w:pPr>
      <w:r w:rsidRPr="008E4272">
        <w:rPr>
          <w:rFonts w:ascii="Arial" w:hAnsi="Arial" w:cs="Arial"/>
          <w:b/>
        </w:rPr>
        <w:lastRenderedPageBreak/>
        <w:t>14.</w:t>
      </w:r>
      <w:r w:rsidR="0072684E">
        <w:rPr>
          <w:rFonts w:ascii="Arial" w:hAnsi="Arial" w:cs="Arial"/>
          <w:b/>
        </w:rPr>
        <w:t>2</w:t>
      </w:r>
      <w:r w:rsidRPr="008E4272">
        <w:rPr>
          <w:rFonts w:ascii="Arial" w:hAnsi="Arial" w:cs="Arial"/>
          <w:b/>
        </w:rPr>
        <w:t>.1</w:t>
      </w:r>
      <w:r w:rsidR="00FB524A">
        <w:rPr>
          <w:rFonts w:ascii="Arial" w:hAnsi="Arial" w:cs="Arial"/>
          <w:b/>
        </w:rPr>
        <w:t>0</w:t>
      </w:r>
      <w:r w:rsidRPr="008E4272">
        <w:rPr>
          <w:rFonts w:ascii="Arial" w:hAnsi="Arial" w:cs="Arial"/>
          <w:b/>
        </w:rPr>
        <w:t xml:space="preserve">.- </w:t>
      </w:r>
      <w:r w:rsidR="00CC3D62" w:rsidRPr="008E4272">
        <w:rPr>
          <w:rFonts w:ascii="Arial" w:hAnsi="Arial" w:cs="Arial"/>
          <w:b/>
        </w:rPr>
        <w:t xml:space="preserve">FONDO DE APORTACIONES PARA EL FORTALECIMIENTO DE LAS ENTIDADES FEDERATIVAS (FAFEF) </w:t>
      </w:r>
    </w:p>
    <w:p w:rsidR="008E4272" w:rsidRDefault="008E4272" w:rsidP="008E4272">
      <w:pPr>
        <w:pStyle w:val="Prrafodelista"/>
        <w:ind w:left="0"/>
        <w:jc w:val="center"/>
        <w:rPr>
          <w:rFonts w:ascii="Adobe Caslon Pro" w:hAnsi="Adobe Caslon Pro" w:cs="Arial"/>
          <w:b/>
        </w:rPr>
      </w:pPr>
    </w:p>
    <w:tbl>
      <w:tblPr>
        <w:tblW w:w="9436" w:type="dxa"/>
        <w:tblInd w:w="58" w:type="dxa"/>
        <w:tblCellMar>
          <w:left w:w="70" w:type="dxa"/>
          <w:right w:w="70" w:type="dxa"/>
        </w:tblCellMar>
        <w:tblLook w:val="04A0"/>
      </w:tblPr>
      <w:tblGrid>
        <w:gridCol w:w="579"/>
        <w:gridCol w:w="420"/>
        <w:gridCol w:w="1955"/>
        <w:gridCol w:w="1311"/>
        <w:gridCol w:w="160"/>
        <w:gridCol w:w="237"/>
        <w:gridCol w:w="170"/>
        <w:gridCol w:w="141"/>
        <w:gridCol w:w="667"/>
        <w:gridCol w:w="1311"/>
        <w:gridCol w:w="14"/>
        <w:gridCol w:w="1160"/>
        <w:gridCol w:w="151"/>
        <w:gridCol w:w="1160"/>
      </w:tblGrid>
      <w:tr w:rsidR="008E4272" w:rsidRPr="00BE4199" w:rsidTr="00A56E05">
        <w:trPr>
          <w:trHeight w:val="420"/>
        </w:trPr>
        <w:tc>
          <w:tcPr>
            <w:tcW w:w="5640" w:type="dxa"/>
            <w:gridSpan w:val="9"/>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Evaluación </w:t>
            </w:r>
            <w:r>
              <w:rPr>
                <w:rFonts w:ascii="Adobe Caslon Pro" w:hAnsi="Adobe Caslon Pro" w:cs="Calibri"/>
                <w:i/>
                <w:color w:val="000000"/>
                <w:sz w:val="20"/>
                <w:szCs w:val="20"/>
                <w:lang w:eastAsia="es-MX"/>
              </w:rPr>
              <w:t xml:space="preserve">Específica sobre la Orientación de los Recursos </w:t>
            </w:r>
            <w:r w:rsidRPr="00BE4199">
              <w:rPr>
                <w:rFonts w:ascii="Adobe Caslon Pro" w:hAnsi="Adobe Caslon Pro" w:cs="Calibri"/>
                <w:i/>
                <w:color w:val="000000"/>
                <w:sz w:val="20"/>
                <w:szCs w:val="20"/>
                <w:lang w:eastAsia="es-MX"/>
              </w:rPr>
              <w:t xml:space="preserve">del Fondo de Aportaciones </w:t>
            </w:r>
            <w:r>
              <w:rPr>
                <w:rFonts w:ascii="Adobe Caslon Pro" w:hAnsi="Adobe Caslon Pro" w:cs="Calibri"/>
                <w:i/>
                <w:color w:val="000000"/>
                <w:sz w:val="20"/>
                <w:szCs w:val="20"/>
                <w:lang w:eastAsia="es-MX"/>
              </w:rPr>
              <w:t xml:space="preserve">para el Fortalecimiento de las Entidades Federativas (FAFEF) </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1.2 Fecha de inicio de la evaluación (</w:t>
            </w:r>
            <w:proofErr w:type="spellStart"/>
            <w:r w:rsidRPr="00BE4199">
              <w:rPr>
                <w:rFonts w:ascii="Adobe Caslon Pro" w:hAnsi="Adobe Caslon Pro" w:cs="Calibri"/>
                <w:color w:val="000000"/>
                <w:sz w:val="20"/>
                <w:szCs w:val="20"/>
                <w:lang w:eastAsia="es-MX"/>
              </w:rPr>
              <w:t>dd</w:t>
            </w:r>
            <w:proofErr w:type="spellEnd"/>
            <w:r w:rsidRPr="00BE4199">
              <w:rPr>
                <w:rFonts w:ascii="Adobe Caslon Pro" w:hAnsi="Adobe Caslon Pro" w:cs="Calibri"/>
                <w:color w:val="000000"/>
                <w:sz w:val="20"/>
                <w:szCs w:val="20"/>
                <w:lang w:eastAsia="es-MX"/>
              </w:rPr>
              <w:t>/mm/</w:t>
            </w:r>
            <w:proofErr w:type="spellStart"/>
            <w:r w:rsidRPr="00BE4199">
              <w:rPr>
                <w:rFonts w:ascii="Adobe Caslon Pro" w:hAnsi="Adobe Caslon Pro" w:cs="Calibri"/>
                <w:color w:val="000000"/>
                <w:sz w:val="20"/>
                <w:szCs w:val="20"/>
                <w:lang w:eastAsia="es-MX"/>
              </w:rPr>
              <w:t>aaaa</w:t>
            </w:r>
            <w:proofErr w:type="spellEnd"/>
            <w:r w:rsidRPr="00BE4199">
              <w:rPr>
                <w:rFonts w:ascii="Adobe Caslon Pro" w:hAnsi="Adobe Caslon Pro" w:cs="Calibri"/>
                <w:color w:val="000000"/>
                <w:sz w:val="20"/>
                <w:szCs w:val="20"/>
                <w:lang w:eastAsia="es-MX"/>
              </w:rPr>
              <w:t xml:space="preserve">): </w:t>
            </w:r>
            <w:r w:rsidRPr="00BE4199">
              <w:rPr>
                <w:rFonts w:ascii="Adobe Caslon Pro" w:hAnsi="Adobe Caslon Pro" w:cs="Calibri"/>
                <w:i/>
                <w:color w:val="000000"/>
                <w:sz w:val="20"/>
                <w:szCs w:val="20"/>
                <w:lang w:eastAsia="es-MX"/>
              </w:rPr>
              <w:t>21/08/2014</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1.3 Fecha de término de la evaluación (</w:t>
            </w:r>
            <w:proofErr w:type="spellStart"/>
            <w:r w:rsidRPr="000D3BE9">
              <w:rPr>
                <w:rFonts w:ascii="Adobe Caslon Pro" w:hAnsi="Adobe Caslon Pro" w:cs="Calibri"/>
                <w:color w:val="000000"/>
                <w:sz w:val="20"/>
                <w:szCs w:val="20"/>
                <w:lang w:eastAsia="es-MX"/>
              </w:rPr>
              <w:t>dd</w:t>
            </w:r>
            <w:proofErr w:type="spellEnd"/>
            <w:r w:rsidRPr="000D3BE9">
              <w:rPr>
                <w:rFonts w:ascii="Adobe Caslon Pro" w:hAnsi="Adobe Caslon Pro" w:cs="Calibri"/>
                <w:color w:val="000000"/>
                <w:sz w:val="20"/>
                <w:szCs w:val="20"/>
                <w:lang w:eastAsia="es-MX"/>
              </w:rPr>
              <w:t>/mm/</w:t>
            </w:r>
            <w:proofErr w:type="spellStart"/>
            <w:r w:rsidRPr="000D3BE9">
              <w:rPr>
                <w:rFonts w:ascii="Adobe Caslon Pro" w:hAnsi="Adobe Caslon Pro" w:cs="Calibri"/>
                <w:color w:val="000000"/>
                <w:sz w:val="20"/>
                <w:szCs w:val="20"/>
                <w:lang w:eastAsia="es-MX"/>
              </w:rPr>
              <w:t>aaaa</w:t>
            </w:r>
            <w:proofErr w:type="spellEnd"/>
            <w:r w:rsidRPr="000D3BE9">
              <w:rPr>
                <w:rFonts w:ascii="Adobe Caslon Pro" w:hAnsi="Adobe Caslon Pro" w:cs="Calibri"/>
                <w:color w:val="000000"/>
                <w:sz w:val="20"/>
                <w:szCs w:val="20"/>
                <w:lang w:eastAsia="es-MX"/>
              </w:rPr>
              <w:t xml:space="preserve">): </w:t>
            </w:r>
            <w:r w:rsidRPr="000D3BE9">
              <w:rPr>
                <w:rFonts w:ascii="Adobe Caslon Pro" w:hAnsi="Adobe Caslon Pro" w:cs="Calibri"/>
                <w:i/>
                <w:color w:val="000000"/>
                <w:sz w:val="20"/>
                <w:szCs w:val="20"/>
                <w:lang w:eastAsia="es-MX"/>
              </w:rPr>
              <w:t>09/04/2015</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8E4272" w:rsidRPr="00BE4199" w:rsidTr="00A56E05">
        <w:trPr>
          <w:trHeight w:val="420"/>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8E4272"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8E4272" w:rsidRPr="00BE4199" w:rsidRDefault="008E4272" w:rsidP="00A56E05">
            <w:pPr>
              <w:rPr>
                <w:rFonts w:ascii="Adobe Caslon Pro" w:hAnsi="Adobe Caslon Pro" w:cs="Calibri"/>
                <w:i/>
                <w:color w:val="000000"/>
                <w:sz w:val="20"/>
                <w:szCs w:val="20"/>
                <w:lang w:eastAsia="es-MX"/>
              </w:rPr>
            </w:pPr>
          </w:p>
        </w:tc>
        <w:tc>
          <w:tcPr>
            <w:tcW w:w="4774" w:type="dxa"/>
            <w:gridSpan w:val="8"/>
            <w:tcBorders>
              <w:top w:val="single" w:sz="4" w:space="0" w:color="auto"/>
              <w:left w:val="single" w:sz="4" w:space="0" w:color="auto"/>
              <w:bottom w:val="single" w:sz="4" w:space="0" w:color="auto"/>
              <w:right w:val="single" w:sz="4" w:space="0" w:color="000000"/>
            </w:tcBorders>
            <w:shd w:val="clear" w:color="auto" w:fill="auto"/>
            <w:vAlign w:val="bottom"/>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8E4272" w:rsidRPr="00BE4199" w:rsidRDefault="008E4272" w:rsidP="00A56E05">
            <w:pPr>
              <w:jc w:val="both"/>
              <w:rPr>
                <w:rFonts w:ascii="Adobe Caslon Pro" w:hAnsi="Adobe Caslon Pro" w:cs="Calibri"/>
                <w:i/>
                <w:color w:val="000000"/>
                <w:sz w:val="20"/>
                <w:szCs w:val="20"/>
                <w:lang w:eastAsia="es-MX"/>
              </w:rPr>
            </w:pPr>
            <w:r w:rsidRPr="00A73D7C">
              <w:rPr>
                <w:rFonts w:ascii="Adobe Caslon Pro" w:hAnsi="Adobe Caslon Pro" w:cs="Calibri"/>
                <w:i/>
                <w:color w:val="000000"/>
                <w:sz w:val="20"/>
                <w:szCs w:val="20"/>
                <w:lang w:eastAsia="es-MX"/>
              </w:rPr>
              <w:t xml:space="preserve">Coadyuvar en la Consolidación del Sistema de Evaluación del Desempeño en el Estado de </w:t>
            </w:r>
            <w:r>
              <w:rPr>
                <w:rFonts w:ascii="Adobe Caslon Pro" w:hAnsi="Adobe Caslon Pro" w:cs="Calibri"/>
                <w:i/>
                <w:color w:val="000000"/>
                <w:sz w:val="20"/>
                <w:szCs w:val="20"/>
                <w:lang w:eastAsia="es-MX"/>
              </w:rPr>
              <w:t xml:space="preserve">Oaxaca, a través de identificar </w:t>
            </w:r>
            <w:r w:rsidRPr="00A73D7C">
              <w:rPr>
                <w:rFonts w:ascii="Adobe Caslon Pro" w:hAnsi="Adobe Caslon Pro" w:cs="Calibri"/>
                <w:i/>
                <w:color w:val="000000"/>
                <w:sz w:val="20"/>
                <w:szCs w:val="20"/>
                <w:lang w:eastAsia="es-MX"/>
              </w:rPr>
              <w:t>y analizar el grado de cumplimiento en la aplicación de los recursos de acuerdo a los</w:t>
            </w:r>
            <w:r>
              <w:rPr>
                <w:rFonts w:ascii="Adobe Caslon Pro" w:hAnsi="Adobe Caslon Pro" w:cs="Calibri"/>
                <w:i/>
                <w:color w:val="000000"/>
                <w:sz w:val="20"/>
                <w:szCs w:val="20"/>
                <w:lang w:eastAsia="es-MX"/>
              </w:rPr>
              <w:t xml:space="preserve"> objetivos para los cuales está </w:t>
            </w:r>
            <w:r w:rsidRPr="00A73D7C">
              <w:rPr>
                <w:rFonts w:ascii="Adobe Caslon Pro" w:hAnsi="Adobe Caslon Pro" w:cs="Calibri"/>
                <w:i/>
                <w:color w:val="000000"/>
                <w:sz w:val="20"/>
                <w:szCs w:val="20"/>
                <w:lang w:eastAsia="es-MX"/>
              </w:rPr>
              <w:t>destinado el Fondo de Aportaciones para</w:t>
            </w:r>
            <w:r>
              <w:rPr>
                <w:rFonts w:ascii="Adobe Caslon Pro" w:hAnsi="Adobe Caslon Pro" w:cs="Calibri"/>
                <w:i/>
                <w:color w:val="000000"/>
                <w:sz w:val="20"/>
                <w:szCs w:val="20"/>
                <w:lang w:eastAsia="es-MX"/>
              </w:rPr>
              <w:t xml:space="preserve"> el Fortalecimiento de las Entidades Federativas</w:t>
            </w:r>
            <w:r w:rsidRPr="00A73D7C">
              <w:rPr>
                <w:rFonts w:ascii="Adobe Caslon Pro" w:hAnsi="Adobe Caslon Pro" w:cs="Calibri"/>
                <w:i/>
                <w:color w:val="000000"/>
                <w:sz w:val="20"/>
                <w:szCs w:val="20"/>
                <w:lang w:eastAsia="es-MX"/>
              </w:rPr>
              <w:t>, con la finalidad de conocer cómo sus procesos conducen al lo</w:t>
            </w:r>
            <w:r>
              <w:rPr>
                <w:rFonts w:ascii="Adobe Caslon Pro" w:hAnsi="Adobe Caslon Pro" w:cs="Calibri"/>
                <w:i/>
                <w:color w:val="000000"/>
                <w:sz w:val="20"/>
                <w:szCs w:val="20"/>
                <w:lang w:eastAsia="es-MX"/>
              </w:rPr>
              <w:t xml:space="preserve">gro de las metas y objetivo del </w:t>
            </w:r>
            <w:r w:rsidRPr="00A73D7C">
              <w:rPr>
                <w:rFonts w:ascii="Adobe Caslon Pro" w:hAnsi="Adobe Caslon Pro" w:cs="Calibri"/>
                <w:i/>
                <w:color w:val="000000"/>
                <w:sz w:val="20"/>
                <w:szCs w:val="20"/>
                <w:lang w:eastAsia="es-MX"/>
              </w:rPr>
              <w:t>fondo, así como detectar los problemas operativos a los que se enfrenta y las buenas práct</w:t>
            </w:r>
            <w:r>
              <w:rPr>
                <w:rFonts w:ascii="Adobe Caslon Pro" w:hAnsi="Adobe Caslon Pro" w:cs="Calibri"/>
                <w:i/>
                <w:color w:val="000000"/>
                <w:sz w:val="20"/>
                <w:szCs w:val="20"/>
                <w:lang w:eastAsia="es-MX"/>
              </w:rPr>
              <w:t xml:space="preserve">icas que se realizan, de manera </w:t>
            </w:r>
            <w:r w:rsidRPr="00A73D7C">
              <w:rPr>
                <w:rFonts w:ascii="Adobe Caslon Pro" w:hAnsi="Adobe Caslon Pro" w:cs="Calibri"/>
                <w:i/>
                <w:color w:val="000000"/>
                <w:sz w:val="20"/>
                <w:szCs w:val="20"/>
                <w:lang w:eastAsia="es-MX"/>
              </w:rPr>
              <w:t>que se puedan emitir recomendaciones que permitan mejorar la gestión</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8E4272" w:rsidRPr="00A73D7C" w:rsidRDefault="008E4272" w:rsidP="00A56E05">
            <w:pPr>
              <w:rPr>
                <w:rFonts w:ascii="Adobe Caslon Pro" w:hAnsi="Adobe Caslon Pro" w:cs="Calibri"/>
                <w:i/>
                <w:color w:val="000000"/>
                <w:sz w:val="20"/>
                <w:szCs w:val="20"/>
                <w:lang w:eastAsia="es-MX"/>
              </w:rPr>
            </w:pPr>
            <w:r w:rsidRPr="00A73D7C">
              <w:rPr>
                <w:rFonts w:ascii="Adobe Caslon Pro" w:hAnsi="Adobe Caslon Pro" w:cs="Calibri"/>
                <w:i/>
                <w:color w:val="000000"/>
                <w:sz w:val="20"/>
                <w:szCs w:val="20"/>
                <w:lang w:eastAsia="es-MX"/>
              </w:rPr>
              <w:t>• Describir las principales características del fondo.</w:t>
            </w:r>
          </w:p>
          <w:p w:rsidR="008E4272" w:rsidRPr="00A73D7C" w:rsidRDefault="008E4272" w:rsidP="00A56E05">
            <w:pPr>
              <w:rPr>
                <w:rFonts w:ascii="Adobe Caslon Pro" w:hAnsi="Adobe Caslon Pro" w:cs="Calibri"/>
                <w:i/>
                <w:color w:val="000000"/>
                <w:sz w:val="20"/>
                <w:szCs w:val="20"/>
                <w:lang w:eastAsia="es-MX"/>
              </w:rPr>
            </w:pPr>
            <w:r w:rsidRPr="00A73D7C">
              <w:rPr>
                <w:rFonts w:ascii="Adobe Caslon Pro" w:hAnsi="Adobe Caslon Pro" w:cs="Calibri"/>
                <w:i/>
                <w:color w:val="000000"/>
                <w:sz w:val="20"/>
                <w:szCs w:val="20"/>
                <w:lang w:eastAsia="es-MX"/>
              </w:rPr>
              <w:t>• Detectar aquellos procesos de ejecución establecidos que estén presentando des</w:t>
            </w:r>
            <w:r>
              <w:rPr>
                <w:rFonts w:ascii="Adobe Caslon Pro" w:hAnsi="Adobe Caslon Pro" w:cs="Calibri"/>
                <w:i/>
                <w:color w:val="000000"/>
                <w:sz w:val="20"/>
                <w:szCs w:val="20"/>
                <w:lang w:eastAsia="es-MX"/>
              </w:rPr>
              <w:t xml:space="preserve">viaciones y que estén afectando </w:t>
            </w:r>
            <w:r w:rsidRPr="00A73D7C">
              <w:rPr>
                <w:rFonts w:ascii="Adobe Caslon Pro" w:hAnsi="Adobe Caslon Pro" w:cs="Calibri"/>
                <w:i/>
                <w:color w:val="000000"/>
                <w:sz w:val="20"/>
                <w:szCs w:val="20"/>
                <w:lang w:eastAsia="es-MX"/>
              </w:rPr>
              <w:t>en alguna medida, el desempeño eficaz del fondo.</w:t>
            </w:r>
          </w:p>
          <w:p w:rsidR="008E4272" w:rsidRPr="00A73D7C" w:rsidRDefault="008E4272" w:rsidP="00A56E05">
            <w:pPr>
              <w:rPr>
                <w:rFonts w:ascii="Adobe Caslon Pro" w:hAnsi="Adobe Caslon Pro" w:cs="Calibri"/>
                <w:i/>
                <w:color w:val="000000"/>
                <w:sz w:val="20"/>
                <w:szCs w:val="20"/>
                <w:lang w:eastAsia="es-MX"/>
              </w:rPr>
            </w:pPr>
            <w:r w:rsidRPr="00A73D7C">
              <w:rPr>
                <w:rFonts w:ascii="Adobe Caslon Pro" w:hAnsi="Adobe Caslon Pro" w:cs="Calibri"/>
                <w:i/>
                <w:color w:val="000000"/>
                <w:sz w:val="20"/>
                <w:szCs w:val="20"/>
                <w:lang w:eastAsia="es-MX"/>
              </w:rPr>
              <w:t>• Identificar y describir las fortalezas, oportunidades, debilidades y recomendaciones del fondo.</w:t>
            </w:r>
          </w:p>
          <w:p w:rsidR="008E4272" w:rsidRPr="00A73D7C" w:rsidRDefault="008E4272" w:rsidP="00A56E05">
            <w:pPr>
              <w:rPr>
                <w:rFonts w:ascii="Adobe Caslon Pro" w:hAnsi="Adobe Caslon Pro" w:cs="Calibri"/>
                <w:i/>
                <w:color w:val="000000"/>
                <w:sz w:val="20"/>
                <w:szCs w:val="20"/>
                <w:lang w:eastAsia="es-MX"/>
              </w:rPr>
            </w:pPr>
            <w:r w:rsidRPr="00A73D7C">
              <w:rPr>
                <w:rFonts w:ascii="Adobe Caslon Pro" w:hAnsi="Adobe Caslon Pro" w:cs="Calibri"/>
                <w:i/>
                <w:color w:val="000000"/>
                <w:sz w:val="20"/>
                <w:szCs w:val="20"/>
                <w:lang w:eastAsia="es-MX"/>
              </w:rPr>
              <w:t>• Elaborar recomendaciones específicas para que el fondo ponga en operación, o me</w:t>
            </w:r>
            <w:r>
              <w:rPr>
                <w:rFonts w:ascii="Adobe Caslon Pro" w:hAnsi="Adobe Caslon Pro" w:cs="Calibri"/>
                <w:i/>
                <w:color w:val="000000"/>
                <w:sz w:val="20"/>
                <w:szCs w:val="20"/>
                <w:lang w:eastAsia="es-MX"/>
              </w:rPr>
              <w:t xml:space="preserve">jore la entrega de los recursos </w:t>
            </w:r>
            <w:r w:rsidRPr="00A73D7C">
              <w:rPr>
                <w:rFonts w:ascii="Adobe Caslon Pro" w:hAnsi="Adobe Caslon Pro" w:cs="Calibri"/>
                <w:i/>
                <w:color w:val="000000"/>
                <w:sz w:val="20"/>
                <w:szCs w:val="20"/>
                <w:lang w:eastAsia="es-MX"/>
              </w:rPr>
              <w:t>con oportunidad, con el fin de alcanzar sus objeti</w:t>
            </w:r>
            <w:r>
              <w:rPr>
                <w:rFonts w:ascii="Adobe Caslon Pro" w:hAnsi="Adobe Caslon Pro" w:cs="Calibri"/>
                <w:i/>
                <w:color w:val="000000"/>
                <w:sz w:val="20"/>
                <w:szCs w:val="20"/>
                <w:lang w:eastAsia="es-MX"/>
              </w:rPr>
              <w:t>vos.</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8E4272" w:rsidRPr="00BE4199" w:rsidTr="00A56E05">
        <w:trPr>
          <w:trHeight w:val="420"/>
        </w:trPr>
        <w:tc>
          <w:tcPr>
            <w:tcW w:w="9436" w:type="dxa"/>
            <w:gridSpan w:val="14"/>
            <w:tcBorders>
              <w:top w:val="single" w:sz="4" w:space="0" w:color="auto"/>
              <w:left w:val="single" w:sz="4" w:space="0" w:color="auto"/>
              <w:right w:val="single" w:sz="4" w:space="0" w:color="000000"/>
            </w:tcBorders>
            <w:shd w:val="clear" w:color="auto" w:fill="auto"/>
            <w:noWrap/>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8E4272" w:rsidRDefault="008E4272"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p w:rsidR="008E4272" w:rsidRPr="009B1103" w:rsidRDefault="008E4272" w:rsidP="00A56E05">
            <w:pPr>
              <w:ind w:left="720"/>
              <w:jc w:val="both"/>
              <w:rPr>
                <w:rFonts w:ascii="Adobe Caslon Pro" w:hAnsi="Adobe Caslon Pro" w:cs="Calibri"/>
                <w:i/>
                <w:color w:val="000000"/>
                <w:sz w:val="20"/>
                <w:szCs w:val="20"/>
                <w:lang w:eastAsia="es-MX"/>
              </w:rPr>
            </w:pPr>
          </w:p>
        </w:tc>
      </w:tr>
      <w:tr w:rsidR="008E4272" w:rsidRPr="00BE4199" w:rsidTr="00A56E05">
        <w:trPr>
          <w:trHeight w:val="599"/>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8E4272"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Descripción de las técnicas y modelos utilizados: </w:t>
            </w:r>
          </w:p>
          <w:p w:rsidR="008E4272" w:rsidRPr="00BE4199" w:rsidRDefault="008E4272"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 xml:space="preserve">nes y el proceso presupuestario, los cuales se encuentran en los Términos de Referencia en la siguiente liga: </w:t>
            </w:r>
            <w:hyperlink r:id="rId152" w:history="1">
              <w:r w:rsidRPr="002F7F93">
                <w:rPr>
                  <w:rStyle w:val="Hipervnculo"/>
                  <w:rFonts w:ascii="Adobe Caslon Pro" w:hAnsi="Adobe Caslon Pro" w:cs="Calibri"/>
                  <w:i/>
                  <w:sz w:val="20"/>
                  <w:szCs w:val="20"/>
                  <w:lang w:eastAsia="es-MX"/>
                </w:rPr>
                <w:t>http://www.jefaturadelagubernatura-evaluacion.oaxaca.gob.mx/index.php/pae-sidepanel/pae-2014</w:t>
              </w:r>
            </w:hyperlink>
          </w:p>
        </w:tc>
      </w:tr>
      <w:tr w:rsidR="008E4272" w:rsidRPr="00BE4199" w:rsidTr="00A56E05">
        <w:trPr>
          <w:trHeight w:val="58"/>
        </w:trPr>
        <w:tc>
          <w:tcPr>
            <w:tcW w:w="999" w:type="dxa"/>
            <w:gridSpan w:val="2"/>
            <w:tcBorders>
              <w:top w:val="single" w:sz="4" w:space="0" w:color="auto"/>
              <w:bottom w:val="single" w:sz="4" w:space="0" w:color="auto"/>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w:t>
            </w:r>
          </w:p>
        </w:tc>
        <w:tc>
          <w:tcPr>
            <w:tcW w:w="8437" w:type="dxa"/>
            <w:gridSpan w:val="12"/>
            <w:tcBorders>
              <w:top w:val="single" w:sz="4" w:space="0" w:color="auto"/>
              <w:bottom w:val="single" w:sz="4" w:space="0" w:color="auto"/>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61"/>
        </w:trPr>
        <w:tc>
          <w:tcPr>
            <w:tcW w:w="9436" w:type="dxa"/>
            <w:gridSpan w:val="14"/>
            <w:tcBorders>
              <w:top w:val="single" w:sz="4" w:space="0" w:color="auto"/>
              <w:left w:val="single" w:sz="4" w:space="0" w:color="auto"/>
              <w:right w:val="single" w:sz="4" w:space="0" w:color="000000"/>
            </w:tcBorders>
            <w:shd w:val="clear" w:color="auto" w:fill="auto"/>
            <w:noWrap/>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2.1 Describir los hallazgos más relevantes de la evaluación: </w:t>
            </w:r>
          </w:p>
        </w:tc>
      </w:tr>
      <w:tr w:rsidR="008E4272" w:rsidRPr="00BE4199" w:rsidTr="00A56E05">
        <w:trPr>
          <w:trHeight w:val="420"/>
        </w:trPr>
        <w:tc>
          <w:tcPr>
            <w:tcW w:w="9436" w:type="dxa"/>
            <w:gridSpan w:val="14"/>
            <w:vMerge w:val="restart"/>
            <w:tcBorders>
              <w:top w:val="single" w:sz="4" w:space="0" w:color="auto"/>
              <w:left w:val="single" w:sz="4" w:space="0" w:color="auto"/>
              <w:bottom w:val="nil"/>
              <w:right w:val="single" w:sz="4" w:space="0" w:color="000000"/>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2.2 Señalar cuáles son las principales Fortalezas, Oportunidades, Debilidades y Amenazas (FODA), de acuerdo con </w:t>
            </w:r>
            <w:r w:rsidRPr="00BE4199">
              <w:rPr>
                <w:rFonts w:ascii="Adobe Caslon Pro" w:hAnsi="Adobe Caslon Pro" w:cs="Calibri"/>
                <w:color w:val="000000"/>
                <w:sz w:val="20"/>
                <w:szCs w:val="20"/>
                <w:lang w:eastAsia="es-MX"/>
              </w:rPr>
              <w:lastRenderedPageBreak/>
              <w:t>los temas del programa, estrategia o instituciones.</w:t>
            </w:r>
          </w:p>
        </w:tc>
      </w:tr>
      <w:tr w:rsidR="008E4272" w:rsidRPr="00BE4199" w:rsidTr="00A56E05">
        <w:trPr>
          <w:trHeight w:val="340"/>
        </w:trPr>
        <w:tc>
          <w:tcPr>
            <w:tcW w:w="9436" w:type="dxa"/>
            <w:gridSpan w:val="14"/>
            <w:vMerge/>
            <w:tcBorders>
              <w:top w:val="single" w:sz="4" w:space="0" w:color="auto"/>
              <w:left w:val="single" w:sz="4" w:space="0" w:color="auto"/>
              <w:bottom w:val="nil"/>
              <w:right w:val="single" w:sz="4" w:space="0" w:color="000000"/>
            </w:tcBorders>
            <w:vAlign w:val="center"/>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8E4272" w:rsidRPr="00E71100" w:rsidRDefault="008E4272" w:rsidP="00F075EB">
            <w:pPr>
              <w:numPr>
                <w:ilvl w:val="2"/>
                <w:numId w:val="86"/>
              </w:numPr>
              <w:jc w:val="both"/>
              <w:rPr>
                <w:rFonts w:ascii="Adobe Caslon Pro" w:hAnsi="Adobe Caslon Pro" w:cs="Calibri"/>
                <w:i/>
                <w:color w:val="000000"/>
                <w:sz w:val="20"/>
                <w:szCs w:val="20"/>
                <w:lang w:eastAsia="es-MX"/>
              </w:rPr>
            </w:pPr>
            <w:r w:rsidRPr="00E71100">
              <w:rPr>
                <w:rFonts w:ascii="Adobe Caslon Pro" w:hAnsi="Adobe Caslon Pro" w:cs="Calibri"/>
                <w:i/>
                <w:color w:val="000000"/>
                <w:sz w:val="20"/>
                <w:szCs w:val="20"/>
                <w:lang w:eastAsia="es-MX"/>
              </w:rPr>
              <w:lastRenderedPageBreak/>
              <w:t>Fortalezas:</w:t>
            </w:r>
          </w:p>
          <w:p w:rsidR="008E4272"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3C0508">
              <w:rPr>
                <w:rFonts w:ascii="Adobe Caslon Pro" w:hAnsi="Adobe Caslon Pro" w:cs="Calibri"/>
                <w:i/>
                <w:color w:val="000000"/>
                <w:sz w:val="20"/>
                <w:szCs w:val="20"/>
                <w:lang w:eastAsia="es-MX"/>
              </w:rPr>
              <w:t>Cuenta con los indicadores</w:t>
            </w:r>
            <w:r>
              <w:rPr>
                <w:rFonts w:ascii="Adobe Caslon Pro" w:hAnsi="Adobe Caslon Pro" w:cs="Calibri"/>
                <w:i/>
                <w:color w:val="000000"/>
                <w:sz w:val="20"/>
                <w:szCs w:val="20"/>
                <w:lang w:eastAsia="es-MX"/>
              </w:rPr>
              <w:t xml:space="preserve"> </w:t>
            </w:r>
            <w:r w:rsidRPr="003C0508">
              <w:rPr>
                <w:rFonts w:ascii="Adobe Caslon Pro" w:hAnsi="Adobe Caslon Pro" w:cs="Calibri"/>
                <w:i/>
                <w:color w:val="000000"/>
                <w:sz w:val="20"/>
                <w:szCs w:val="20"/>
                <w:lang w:eastAsia="es-MX"/>
              </w:rPr>
              <w:t>pertinentes, los planes y programas, así como una MIR para medir el desempeño de la utilización de los recursos del Fondo. Asimismo se les da el adecuado seguimiento para generar resultados y apegarse a la planeación estratégica mediante metas.</w:t>
            </w:r>
          </w:p>
          <w:p w:rsidR="008E4272"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3C0508">
              <w:rPr>
                <w:rFonts w:ascii="Adobe Caslon Pro" w:hAnsi="Adobe Caslon Pro" w:cs="Calibri"/>
                <w:i/>
                <w:color w:val="000000"/>
                <w:sz w:val="20"/>
                <w:szCs w:val="20"/>
                <w:lang w:eastAsia="es-MX"/>
              </w:rPr>
              <w:t>Se observa que se cuenta</w:t>
            </w:r>
            <w:r>
              <w:rPr>
                <w:rFonts w:ascii="Adobe Caslon Pro" w:hAnsi="Adobe Caslon Pro" w:cs="Calibri"/>
                <w:i/>
                <w:color w:val="000000"/>
                <w:sz w:val="20"/>
                <w:szCs w:val="20"/>
                <w:lang w:eastAsia="es-MX"/>
              </w:rPr>
              <w:t xml:space="preserve"> </w:t>
            </w:r>
            <w:r w:rsidRPr="003C0508">
              <w:rPr>
                <w:rFonts w:ascii="Adobe Caslon Pro" w:hAnsi="Adobe Caslon Pro" w:cs="Calibri"/>
                <w:i/>
                <w:color w:val="000000"/>
                <w:sz w:val="20"/>
                <w:szCs w:val="20"/>
                <w:lang w:eastAsia="es-MX"/>
              </w:rPr>
              <w:t xml:space="preserve">con los elementos de avance Físico-Financiero, actas de entrega-recepción, cierre del ejercicio y los recursos no devengados. Por consecuencia, se considera que </w:t>
            </w:r>
            <w:r>
              <w:rPr>
                <w:rFonts w:ascii="Adobe Caslon Pro" w:hAnsi="Adobe Caslon Pro" w:cs="Calibri"/>
                <w:i/>
                <w:color w:val="000000"/>
                <w:sz w:val="20"/>
                <w:szCs w:val="20"/>
                <w:lang w:eastAsia="es-MX"/>
              </w:rPr>
              <w:t>t</w:t>
            </w:r>
            <w:r w:rsidRPr="003C0508">
              <w:rPr>
                <w:rFonts w:ascii="Adobe Caslon Pro" w:hAnsi="Adobe Caslon Pro" w:cs="Calibri"/>
                <w:i/>
                <w:color w:val="000000"/>
                <w:sz w:val="20"/>
                <w:szCs w:val="20"/>
                <w:lang w:eastAsia="es-MX"/>
              </w:rPr>
              <w:t>iene una adecuada práctica administrativa financiera.</w:t>
            </w:r>
          </w:p>
          <w:p w:rsidR="008E4272" w:rsidRDefault="008E427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04BCE">
              <w:rPr>
                <w:rFonts w:ascii="Adobe Caslon Pro" w:hAnsi="Adobe Caslon Pro" w:cs="Calibri"/>
                <w:i/>
                <w:color w:val="000000"/>
                <w:sz w:val="20"/>
                <w:szCs w:val="20"/>
                <w:lang w:eastAsia="es-MX"/>
              </w:rPr>
              <w:t>Se determina que cumple</w:t>
            </w:r>
            <w:r>
              <w:rPr>
                <w:rFonts w:ascii="Adobe Caslon Pro" w:hAnsi="Adobe Caslon Pro" w:cs="Calibri"/>
                <w:i/>
                <w:color w:val="000000"/>
                <w:sz w:val="20"/>
                <w:szCs w:val="20"/>
                <w:lang w:eastAsia="es-MX"/>
              </w:rPr>
              <w:t xml:space="preserve"> </w:t>
            </w:r>
            <w:r w:rsidRPr="00D04BCE">
              <w:rPr>
                <w:rFonts w:ascii="Adobe Caslon Pro" w:hAnsi="Adobe Caslon Pro" w:cs="Calibri"/>
                <w:i/>
                <w:color w:val="000000"/>
                <w:sz w:val="20"/>
                <w:szCs w:val="20"/>
                <w:lang w:eastAsia="es-MX"/>
              </w:rPr>
              <w:t>con la normatividad para llevar a cabo el cumplimiento y seguimiento de los recursos recibidos de la Federación.</w:t>
            </w:r>
          </w:p>
          <w:p w:rsidR="008E4272" w:rsidRPr="00D04BCE" w:rsidRDefault="008E4272" w:rsidP="00A56E05">
            <w:pPr>
              <w:autoSpaceDE w:val="0"/>
              <w:autoSpaceDN w:val="0"/>
              <w:adjustRightInd w:val="0"/>
              <w:ind w:left="720"/>
              <w:jc w:val="both"/>
              <w:rPr>
                <w:rFonts w:ascii="Adobe Caslon Pro" w:hAnsi="Adobe Caslon Pro" w:cs="Calibri"/>
                <w:i/>
                <w:color w:val="000000"/>
                <w:sz w:val="20"/>
                <w:szCs w:val="20"/>
                <w:lang w:eastAsia="es-MX"/>
              </w:rPr>
            </w:pP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2.2.2 Oportunidades:</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2.2.3 Debilidades:</w:t>
            </w:r>
          </w:p>
          <w:p w:rsidR="008E4272" w:rsidRPr="00D04BCE" w:rsidRDefault="008E4272" w:rsidP="00F075EB">
            <w:pPr>
              <w:numPr>
                <w:ilvl w:val="0"/>
                <w:numId w:val="87"/>
              </w:numPr>
              <w:jc w:val="both"/>
              <w:rPr>
                <w:rFonts w:ascii="Adobe Caslon Pro" w:hAnsi="Adobe Caslon Pro" w:cs="Calibri"/>
                <w:i/>
                <w:color w:val="000000"/>
                <w:sz w:val="20"/>
                <w:szCs w:val="20"/>
                <w:lang w:eastAsia="es-MX"/>
              </w:rPr>
            </w:pPr>
            <w:r w:rsidRPr="00D04BCE">
              <w:rPr>
                <w:rFonts w:ascii="Adobe Caslon Pro" w:hAnsi="Adobe Caslon Pro" w:cs="Calibri"/>
                <w:i/>
                <w:color w:val="000000"/>
                <w:sz w:val="20"/>
                <w:szCs w:val="20"/>
                <w:lang w:eastAsia="es-MX"/>
              </w:rPr>
              <w:t>No se ejerció todo el presupuesto</w:t>
            </w:r>
            <w:r>
              <w:rPr>
                <w:rFonts w:ascii="Adobe Caslon Pro" w:hAnsi="Adobe Caslon Pro" w:cs="Calibri"/>
                <w:i/>
                <w:color w:val="000000"/>
                <w:sz w:val="20"/>
                <w:szCs w:val="20"/>
                <w:lang w:eastAsia="es-MX"/>
              </w:rPr>
              <w:t xml:space="preserve"> </w:t>
            </w:r>
            <w:r w:rsidRPr="00D04BCE">
              <w:rPr>
                <w:rFonts w:ascii="Adobe Caslon Pro" w:hAnsi="Adobe Caslon Pro" w:cs="Calibri"/>
                <w:i/>
                <w:color w:val="000000"/>
                <w:sz w:val="20"/>
                <w:szCs w:val="20"/>
                <w:lang w:eastAsia="es-MX"/>
              </w:rPr>
              <w:t>que se le destinó al Fondo, por lo que se presupone que no se realizaron todos los proyectos que había planeado cada unidad responsable</w:t>
            </w:r>
            <w:r w:rsidRPr="00D04BCE">
              <w:rPr>
                <w:rFonts w:ascii="Adobe Caslon Pro" w:hAnsi="Adobe Caslon Pro" w:cs="Calibri"/>
                <w:color w:val="000000"/>
                <w:sz w:val="20"/>
                <w:szCs w:val="20"/>
                <w:lang w:eastAsia="es-MX"/>
              </w:rPr>
              <w:t>.</w:t>
            </w:r>
          </w:p>
          <w:p w:rsidR="008E4272" w:rsidRDefault="008E4272" w:rsidP="00F075EB">
            <w:pPr>
              <w:numPr>
                <w:ilvl w:val="0"/>
                <w:numId w:val="87"/>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w:t>
            </w:r>
            <w:r w:rsidRPr="00D04BCE">
              <w:rPr>
                <w:rFonts w:ascii="Adobe Caslon Pro" w:hAnsi="Adobe Caslon Pro" w:cs="Calibri"/>
                <w:i/>
                <w:color w:val="000000"/>
                <w:sz w:val="20"/>
                <w:szCs w:val="20"/>
                <w:lang w:eastAsia="es-MX"/>
              </w:rPr>
              <w:t>as dependencias</w:t>
            </w:r>
            <w:r>
              <w:rPr>
                <w:rFonts w:ascii="Adobe Caslon Pro" w:hAnsi="Adobe Caslon Pro" w:cs="Calibri"/>
                <w:i/>
                <w:color w:val="000000"/>
                <w:sz w:val="20"/>
                <w:szCs w:val="20"/>
                <w:lang w:eastAsia="es-MX"/>
              </w:rPr>
              <w:t xml:space="preserve"> </w:t>
            </w:r>
            <w:r w:rsidRPr="00D04BCE">
              <w:rPr>
                <w:rFonts w:ascii="Adobe Caslon Pro" w:hAnsi="Adobe Caslon Pro" w:cs="Calibri"/>
                <w:i/>
                <w:color w:val="000000"/>
                <w:sz w:val="20"/>
                <w:szCs w:val="20"/>
                <w:lang w:eastAsia="es-MX"/>
              </w:rPr>
              <w:t>no establecieron metas (Comisión Estatal del Agua, y el Instituto del Patrimonio Cultural del Estado de Oaxaca).</w:t>
            </w:r>
          </w:p>
          <w:p w:rsidR="008E4272" w:rsidRDefault="008E4272" w:rsidP="00F075EB">
            <w:pPr>
              <w:numPr>
                <w:ilvl w:val="0"/>
                <w:numId w:val="87"/>
              </w:numPr>
              <w:jc w:val="both"/>
              <w:rPr>
                <w:rFonts w:ascii="Adobe Caslon Pro" w:hAnsi="Adobe Caslon Pro" w:cs="Calibri"/>
                <w:i/>
                <w:color w:val="000000"/>
                <w:sz w:val="20"/>
                <w:szCs w:val="20"/>
                <w:lang w:eastAsia="es-MX"/>
              </w:rPr>
            </w:pPr>
            <w:r w:rsidRPr="00D04BCE">
              <w:rPr>
                <w:rFonts w:ascii="Adobe Caslon Pro" w:hAnsi="Adobe Caslon Pro" w:cs="Calibri"/>
                <w:i/>
                <w:color w:val="000000"/>
                <w:sz w:val="20"/>
                <w:szCs w:val="20"/>
                <w:lang w:eastAsia="es-MX"/>
              </w:rPr>
              <w:t>Se observó que no todas</w:t>
            </w:r>
            <w:r>
              <w:rPr>
                <w:rFonts w:ascii="Adobe Caslon Pro" w:hAnsi="Adobe Caslon Pro" w:cs="Calibri"/>
                <w:i/>
                <w:color w:val="000000"/>
                <w:sz w:val="20"/>
                <w:szCs w:val="20"/>
                <w:lang w:eastAsia="es-MX"/>
              </w:rPr>
              <w:t xml:space="preserve"> </w:t>
            </w:r>
            <w:r w:rsidRPr="00D04BCE">
              <w:rPr>
                <w:rFonts w:ascii="Adobe Caslon Pro" w:hAnsi="Adobe Caslon Pro" w:cs="Calibri"/>
                <w:i/>
                <w:color w:val="000000"/>
                <w:sz w:val="20"/>
                <w:szCs w:val="20"/>
                <w:lang w:eastAsia="es-MX"/>
              </w:rPr>
              <w:t xml:space="preserve">las dependencias proporcionan </w:t>
            </w:r>
            <w:r>
              <w:rPr>
                <w:rFonts w:ascii="Adobe Caslon Pro" w:hAnsi="Adobe Caslon Pro" w:cs="Calibri"/>
                <w:i/>
                <w:color w:val="000000"/>
                <w:sz w:val="20"/>
                <w:szCs w:val="20"/>
                <w:lang w:eastAsia="es-MX"/>
              </w:rPr>
              <w:t>l</w:t>
            </w:r>
            <w:r w:rsidRPr="00D04BCE">
              <w:rPr>
                <w:rFonts w:ascii="Adobe Caslon Pro" w:hAnsi="Adobe Caslon Pro" w:cs="Calibri"/>
                <w:i/>
                <w:color w:val="000000"/>
                <w:sz w:val="20"/>
                <w:szCs w:val="20"/>
                <w:lang w:eastAsia="es-MX"/>
              </w:rPr>
              <w:t xml:space="preserve">ínea base en sus proyectos y, referente a las metas solamente la Comisión Estatal de Vivienda y la Comisión Estatal del Agua las muestran, mientas que la Universidad de la Sierra de Juárez muestra algunas </w:t>
            </w:r>
            <w:r>
              <w:rPr>
                <w:rFonts w:ascii="Adobe Caslon Pro" w:hAnsi="Adobe Caslon Pro" w:cs="Calibri"/>
                <w:i/>
                <w:color w:val="000000"/>
                <w:sz w:val="20"/>
                <w:szCs w:val="20"/>
                <w:lang w:eastAsia="es-MX"/>
              </w:rPr>
              <w:t>metas de los beneficiarios.</w:t>
            </w:r>
          </w:p>
          <w:p w:rsidR="008E4272" w:rsidRPr="00D04BCE" w:rsidRDefault="008E4272" w:rsidP="00A56E05">
            <w:pPr>
              <w:ind w:left="720"/>
              <w:jc w:val="both"/>
              <w:rPr>
                <w:rFonts w:ascii="Adobe Caslon Pro" w:hAnsi="Adobe Caslon Pro" w:cs="Calibri"/>
                <w:i/>
                <w:color w:val="000000"/>
                <w:sz w:val="20"/>
                <w:szCs w:val="20"/>
                <w:lang w:eastAsia="es-MX"/>
              </w:rPr>
            </w:pP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2.2.4 Amenazas:</w:t>
            </w:r>
          </w:p>
        </w:tc>
      </w:tr>
      <w:tr w:rsidR="008E4272" w:rsidRPr="00BE4199" w:rsidTr="00A56E05">
        <w:trPr>
          <w:trHeight w:val="162"/>
        </w:trPr>
        <w:tc>
          <w:tcPr>
            <w:tcW w:w="9436" w:type="dxa"/>
            <w:gridSpan w:val="14"/>
            <w:tcBorders>
              <w:top w:val="nil"/>
              <w:left w:val="nil"/>
              <w:bottom w:val="single" w:sz="4" w:space="0" w:color="auto"/>
              <w:right w:val="nil"/>
            </w:tcBorders>
            <w:shd w:val="clear" w:color="auto" w:fill="auto"/>
            <w:hideMark/>
          </w:tcPr>
          <w:p w:rsidR="008E4272" w:rsidRPr="00BE4199" w:rsidRDefault="008E4272" w:rsidP="00A56E05">
            <w:pPr>
              <w:jc w:val="center"/>
              <w:rPr>
                <w:rFonts w:ascii="Adobe Caslon Pro" w:hAnsi="Adobe Caslon Pro" w:cs="Calibri"/>
                <w:color w:val="000000"/>
                <w:sz w:val="20"/>
                <w:szCs w:val="20"/>
                <w:lang w:eastAsia="es-MX"/>
              </w:rPr>
            </w:pP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8E4272" w:rsidRPr="00BE4199" w:rsidTr="00A56E05">
        <w:trPr>
          <w:trHeight w:val="397"/>
        </w:trPr>
        <w:tc>
          <w:tcPr>
            <w:tcW w:w="9436" w:type="dxa"/>
            <w:gridSpan w:val="14"/>
            <w:tcBorders>
              <w:top w:val="single" w:sz="4" w:space="0" w:color="auto"/>
              <w:left w:val="single" w:sz="4" w:space="0" w:color="auto"/>
              <w:right w:val="single" w:sz="4" w:space="0" w:color="000000"/>
            </w:tcBorders>
            <w:shd w:val="clear" w:color="auto" w:fill="auto"/>
            <w:noWrap/>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3.1 Describir brevemente las conclusiones de la evaluación: </w:t>
            </w:r>
          </w:p>
          <w:p w:rsidR="008E4272" w:rsidRDefault="008E4272" w:rsidP="00F075EB">
            <w:pPr>
              <w:numPr>
                <w:ilvl w:val="0"/>
                <w:numId w:val="89"/>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w:t>
            </w:r>
            <w:r w:rsidRPr="00186AC6">
              <w:rPr>
                <w:rFonts w:ascii="Adobe Caslon Pro" w:hAnsi="Adobe Caslon Pro" w:cs="Calibri"/>
                <w:i/>
                <w:color w:val="000000"/>
                <w:sz w:val="20"/>
                <w:szCs w:val="20"/>
                <w:lang w:eastAsia="es-MX"/>
              </w:rPr>
              <w:t xml:space="preserve">e cuenta </w:t>
            </w:r>
            <w:r>
              <w:rPr>
                <w:rFonts w:ascii="Adobe Caslon Pro" w:hAnsi="Adobe Caslon Pro" w:cs="Calibri"/>
                <w:i/>
                <w:color w:val="000000"/>
                <w:sz w:val="20"/>
                <w:szCs w:val="20"/>
                <w:lang w:eastAsia="es-MX"/>
              </w:rPr>
              <w:t xml:space="preserve">con una planeación estratégica, </w:t>
            </w:r>
            <w:r w:rsidRPr="00186AC6">
              <w:rPr>
                <w:rFonts w:ascii="Adobe Caslon Pro" w:hAnsi="Adobe Caslon Pro" w:cs="Calibri"/>
                <w:i/>
                <w:color w:val="000000"/>
                <w:sz w:val="20"/>
                <w:szCs w:val="20"/>
                <w:lang w:eastAsia="es-MX"/>
              </w:rPr>
              <w:t xml:space="preserve">ya que para cada instancia ejecutora desarrollo sus </w:t>
            </w:r>
            <w:r>
              <w:rPr>
                <w:rFonts w:ascii="Adobe Caslon Pro" w:hAnsi="Adobe Caslon Pro" w:cs="Calibri"/>
                <w:i/>
                <w:color w:val="000000"/>
                <w:sz w:val="20"/>
                <w:szCs w:val="20"/>
                <w:lang w:eastAsia="es-MX"/>
              </w:rPr>
              <w:t xml:space="preserve">planes y programas de operación </w:t>
            </w:r>
            <w:r w:rsidRPr="00186AC6">
              <w:rPr>
                <w:rFonts w:ascii="Adobe Caslon Pro" w:hAnsi="Adobe Caslon Pro" w:cs="Calibri"/>
                <w:i/>
                <w:color w:val="000000"/>
                <w:sz w:val="20"/>
                <w:szCs w:val="20"/>
                <w:lang w:eastAsia="es-MX"/>
              </w:rPr>
              <w:t>mediante proyectos y obras de inversión con base en el artículo 47 de la LCF</w:t>
            </w:r>
            <w:r>
              <w:rPr>
                <w:rFonts w:ascii="Adobe Caslon Pro" w:hAnsi="Adobe Caslon Pro" w:cs="Calibri"/>
                <w:i/>
                <w:color w:val="000000"/>
                <w:sz w:val="20"/>
                <w:szCs w:val="20"/>
                <w:lang w:eastAsia="es-MX"/>
              </w:rPr>
              <w:t>.</w:t>
            </w:r>
          </w:p>
          <w:p w:rsidR="008E4272" w:rsidRDefault="008E4272" w:rsidP="00F075EB">
            <w:pPr>
              <w:numPr>
                <w:ilvl w:val="0"/>
                <w:numId w:val="89"/>
              </w:numPr>
              <w:autoSpaceDE w:val="0"/>
              <w:autoSpaceDN w:val="0"/>
              <w:adjustRightInd w:val="0"/>
              <w:jc w:val="both"/>
              <w:rPr>
                <w:rFonts w:ascii="Adobe Caslon Pro" w:hAnsi="Adobe Caslon Pro" w:cs="Calibri"/>
                <w:i/>
                <w:color w:val="000000"/>
                <w:sz w:val="20"/>
                <w:szCs w:val="20"/>
                <w:lang w:eastAsia="es-MX"/>
              </w:rPr>
            </w:pPr>
            <w:r w:rsidRPr="00186AC6">
              <w:rPr>
                <w:rFonts w:ascii="Adobe Caslon Pro" w:hAnsi="Adobe Caslon Pro" w:cs="Calibri"/>
                <w:i/>
                <w:color w:val="000000"/>
                <w:sz w:val="20"/>
                <w:szCs w:val="20"/>
                <w:lang w:eastAsia="es-MX"/>
              </w:rPr>
              <w:t>En la parte de los avances Físico-Financieros, indica de manera clara la ejecución</w:t>
            </w:r>
            <w:r>
              <w:rPr>
                <w:rFonts w:ascii="Adobe Caslon Pro" w:hAnsi="Adobe Caslon Pro" w:cs="Calibri"/>
                <w:i/>
                <w:color w:val="000000"/>
                <w:sz w:val="20"/>
                <w:szCs w:val="20"/>
                <w:lang w:eastAsia="es-MX"/>
              </w:rPr>
              <w:t xml:space="preserve"> </w:t>
            </w:r>
            <w:r w:rsidRPr="00186AC6">
              <w:rPr>
                <w:rFonts w:ascii="Adobe Caslon Pro" w:hAnsi="Adobe Caslon Pro" w:cs="Calibri"/>
                <w:i/>
                <w:color w:val="000000"/>
                <w:sz w:val="20"/>
                <w:szCs w:val="20"/>
                <w:lang w:eastAsia="es-MX"/>
              </w:rPr>
              <w:t>de los proyectos que se realizan por unidad responsable de los recursos, con base en la recepción, destino y el ejercicio de los mismos.</w:t>
            </w:r>
          </w:p>
          <w:p w:rsidR="008E4272" w:rsidRPr="00BF3300" w:rsidRDefault="008E4272" w:rsidP="00F075EB">
            <w:pPr>
              <w:numPr>
                <w:ilvl w:val="0"/>
                <w:numId w:val="89"/>
              </w:numPr>
              <w:autoSpaceDE w:val="0"/>
              <w:autoSpaceDN w:val="0"/>
              <w:adjustRightInd w:val="0"/>
              <w:jc w:val="both"/>
              <w:rPr>
                <w:rFonts w:ascii="Adobe Caslon Pro" w:hAnsi="Adobe Caslon Pro" w:cs="Calibri"/>
                <w:i/>
                <w:color w:val="000000"/>
                <w:sz w:val="20"/>
                <w:szCs w:val="20"/>
                <w:lang w:eastAsia="es-MX"/>
              </w:rPr>
            </w:pPr>
            <w:r w:rsidRPr="00186AC6">
              <w:rPr>
                <w:rFonts w:ascii="Adobe Caslon Pro" w:hAnsi="Adobe Caslon Pro" w:cs="Calibri"/>
                <w:i/>
                <w:color w:val="000000"/>
                <w:sz w:val="20"/>
                <w:szCs w:val="20"/>
                <w:lang w:eastAsia="es-MX"/>
              </w:rPr>
              <w:t>En la parte de las metas se observó que se identifican las suficientes para medir</w:t>
            </w:r>
            <w:r>
              <w:rPr>
                <w:rFonts w:ascii="Adobe Caslon Pro" w:hAnsi="Adobe Caslon Pro" w:cs="Calibri"/>
                <w:i/>
                <w:color w:val="000000"/>
                <w:sz w:val="20"/>
                <w:szCs w:val="20"/>
                <w:lang w:eastAsia="es-MX"/>
              </w:rPr>
              <w:t xml:space="preserve"> </w:t>
            </w:r>
            <w:r w:rsidRPr="00186AC6">
              <w:rPr>
                <w:rFonts w:ascii="Adobe Caslon Pro" w:hAnsi="Adobe Caslon Pro" w:cs="Calibri"/>
                <w:i/>
                <w:color w:val="000000"/>
                <w:sz w:val="20"/>
                <w:szCs w:val="20"/>
                <w:lang w:eastAsia="es-MX"/>
              </w:rPr>
              <w:t>las acciones y generar resultados con base en los indicadores establecidos en los planes y programas, así como en la Matriz de Indicadores para Resultados que se utiliza de manera genérica para el FAFEF, sin embargo en la parte comparativa (línea o año base) en la mayoría no se establecen en la planeación estratégica.</w:t>
            </w:r>
          </w:p>
        </w:tc>
      </w:tr>
      <w:tr w:rsidR="008E4272" w:rsidRPr="00BE4199" w:rsidTr="00A56E05">
        <w:trPr>
          <w:trHeight w:val="264"/>
        </w:trPr>
        <w:tc>
          <w:tcPr>
            <w:tcW w:w="9436" w:type="dxa"/>
            <w:gridSpan w:val="14"/>
            <w:tcBorders>
              <w:top w:val="single" w:sz="4" w:space="0" w:color="auto"/>
              <w:left w:val="single" w:sz="4" w:space="0" w:color="auto"/>
              <w:bottom w:val="nil"/>
              <w:right w:val="single" w:sz="4" w:space="0" w:color="000000"/>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3.2 Describir las recomendaciones de acuerdo a su relevancia:</w:t>
            </w:r>
          </w:p>
        </w:tc>
      </w:tr>
      <w:tr w:rsidR="008E4272"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8E4272" w:rsidRPr="00BE4199" w:rsidRDefault="008E4272" w:rsidP="00F075EB">
            <w:pPr>
              <w:numPr>
                <w:ilvl w:val="0"/>
                <w:numId w:val="88"/>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Ejecutar adecuadamente los recursos con respecto a todos los proyectos establecidos en la </w:t>
            </w:r>
            <w:r w:rsidRPr="00581629">
              <w:rPr>
                <w:rFonts w:ascii="Adobe Caslon Pro" w:hAnsi="Adobe Caslon Pro" w:cs="Calibri"/>
                <w:i/>
                <w:color w:val="000000"/>
                <w:sz w:val="20"/>
                <w:szCs w:val="20"/>
                <w:lang w:eastAsia="es-MX"/>
              </w:rPr>
              <w:t>planeación estratégica po</w:t>
            </w:r>
            <w:r>
              <w:rPr>
                <w:rFonts w:ascii="Adobe Caslon Pro" w:hAnsi="Adobe Caslon Pro" w:cs="Calibri"/>
                <w:i/>
                <w:color w:val="000000"/>
                <w:sz w:val="20"/>
                <w:szCs w:val="20"/>
                <w:lang w:eastAsia="es-MX"/>
              </w:rPr>
              <w:t xml:space="preserve">r sus unidades responsables, y que de este modo se mejore </w:t>
            </w:r>
            <w:r w:rsidRPr="00581629">
              <w:rPr>
                <w:rFonts w:ascii="Adobe Caslon Pro" w:hAnsi="Adobe Caslon Pro" w:cs="Calibri"/>
                <w:i/>
                <w:color w:val="000000"/>
                <w:sz w:val="20"/>
                <w:szCs w:val="20"/>
                <w:lang w:eastAsia="es-MX"/>
              </w:rPr>
              <w:t>el ejercicio de los recursos.</w:t>
            </w:r>
          </w:p>
        </w:tc>
      </w:tr>
      <w:tr w:rsidR="008E4272"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8E4272" w:rsidRPr="00581629" w:rsidRDefault="008E4272" w:rsidP="00F075EB">
            <w:pPr>
              <w:numPr>
                <w:ilvl w:val="0"/>
                <w:numId w:val="88"/>
              </w:numPr>
              <w:autoSpaceDE w:val="0"/>
              <w:autoSpaceDN w:val="0"/>
              <w:adjustRightInd w:val="0"/>
              <w:jc w:val="both"/>
              <w:rPr>
                <w:rFonts w:ascii="Adobe Caslon Pro" w:hAnsi="Adobe Caslon Pro" w:cs="Calibri"/>
                <w:i/>
                <w:color w:val="000000"/>
                <w:sz w:val="20"/>
                <w:szCs w:val="20"/>
                <w:lang w:eastAsia="es-MX"/>
              </w:rPr>
            </w:pPr>
            <w:r w:rsidRPr="00581629">
              <w:rPr>
                <w:rFonts w:ascii="Adobe Caslon Pro" w:hAnsi="Adobe Caslon Pro" w:cs="Calibri"/>
                <w:i/>
                <w:color w:val="000000"/>
                <w:sz w:val="20"/>
                <w:szCs w:val="20"/>
                <w:lang w:eastAsia="es-MX"/>
              </w:rPr>
              <w:t>Complementar</w:t>
            </w:r>
            <w:r>
              <w:rPr>
                <w:rFonts w:ascii="Adobe Caslon Pro" w:hAnsi="Adobe Caslon Pro" w:cs="Calibri"/>
                <w:i/>
                <w:color w:val="000000"/>
                <w:sz w:val="20"/>
                <w:szCs w:val="20"/>
                <w:lang w:eastAsia="es-MX"/>
              </w:rPr>
              <w:t xml:space="preserve"> </w:t>
            </w:r>
            <w:r w:rsidRPr="00581629">
              <w:rPr>
                <w:rFonts w:ascii="Adobe Caslon Pro" w:hAnsi="Adobe Caslon Pro" w:cs="Calibri"/>
                <w:i/>
                <w:color w:val="000000"/>
                <w:sz w:val="20"/>
                <w:szCs w:val="20"/>
                <w:lang w:eastAsia="es-MX"/>
              </w:rPr>
              <w:t>las metas en los planes y programas de las unidades ejecutoras, lo cual ayudará a dar seguimiento, medir los avances, generar resultados y evaluar el impacto de los proyectos realizados en una serie de tiempo.</w:t>
            </w:r>
          </w:p>
        </w:tc>
      </w:tr>
      <w:tr w:rsidR="008E4272"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8E4272" w:rsidRPr="00C71799" w:rsidRDefault="008E4272" w:rsidP="00F075EB">
            <w:pPr>
              <w:numPr>
                <w:ilvl w:val="0"/>
                <w:numId w:val="88"/>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Establecer las líneas base de todos los </w:t>
            </w:r>
            <w:r w:rsidRPr="00581629">
              <w:rPr>
                <w:rFonts w:ascii="Adobe Caslon Pro" w:hAnsi="Adobe Caslon Pro" w:cs="Calibri"/>
                <w:i/>
                <w:color w:val="000000"/>
                <w:sz w:val="20"/>
                <w:szCs w:val="20"/>
                <w:lang w:eastAsia="es-MX"/>
              </w:rPr>
              <w:t>proyectos de las dependencia</w:t>
            </w:r>
            <w:r>
              <w:rPr>
                <w:rFonts w:ascii="Adobe Caslon Pro" w:hAnsi="Adobe Caslon Pro" w:cs="Calibri"/>
                <w:i/>
                <w:color w:val="000000"/>
                <w:sz w:val="20"/>
                <w:szCs w:val="20"/>
                <w:lang w:eastAsia="es-MX"/>
              </w:rPr>
              <w:t xml:space="preserve"> involucradas, con el fin de la evaluar los resultados </w:t>
            </w:r>
            <w:r w:rsidRPr="00581629">
              <w:rPr>
                <w:rFonts w:ascii="Adobe Caslon Pro" w:hAnsi="Adobe Caslon Pro" w:cs="Calibri"/>
                <w:i/>
                <w:color w:val="000000"/>
                <w:sz w:val="20"/>
                <w:szCs w:val="20"/>
                <w:lang w:eastAsia="es-MX"/>
              </w:rPr>
              <w:t>y el impacto de sus metas.</w:t>
            </w:r>
          </w:p>
        </w:tc>
      </w:tr>
      <w:tr w:rsidR="008E4272" w:rsidRPr="00BE4199" w:rsidTr="00A56E05">
        <w:trPr>
          <w:trHeight w:val="105"/>
        </w:trPr>
        <w:tc>
          <w:tcPr>
            <w:tcW w:w="579"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trPr>
        <w:tc>
          <w:tcPr>
            <w:tcW w:w="6965" w:type="dxa"/>
            <w:gridSpan w:val="11"/>
            <w:tcBorders>
              <w:top w:val="single" w:sz="4" w:space="0" w:color="auto"/>
              <w:left w:val="single" w:sz="4" w:space="0" w:color="auto"/>
              <w:bottom w:val="nil"/>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4.1 Nombre del coordinador de la evaluación:</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lastRenderedPageBreak/>
              <w:t xml:space="preserve">Mtro. José de Jesús </w:t>
            </w:r>
            <w:proofErr w:type="spellStart"/>
            <w:r w:rsidRPr="00BE4199">
              <w:rPr>
                <w:rFonts w:ascii="Adobe Caslon Pro" w:hAnsi="Adobe Caslon Pro" w:cs="Calibri"/>
                <w:i/>
                <w:color w:val="000000"/>
                <w:sz w:val="20"/>
                <w:szCs w:val="20"/>
                <w:lang w:eastAsia="es-MX"/>
              </w:rPr>
              <w:t>Guizar</w:t>
            </w:r>
            <w:proofErr w:type="spellEnd"/>
            <w:r w:rsidRPr="00BE4199">
              <w:rPr>
                <w:rFonts w:ascii="Adobe Caslon Pro" w:hAnsi="Adobe Caslon Pro" w:cs="Calibri"/>
                <w:i/>
                <w:color w:val="000000"/>
                <w:sz w:val="20"/>
                <w:szCs w:val="20"/>
                <w:lang w:eastAsia="es-MX"/>
              </w:rPr>
              <w:t xml:space="preserve"> Jiménez</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4.2 Cargo:</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Consultor Investigador</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4.3 Institución a la que pertenece:  </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Instituto para el Desarrollo Técnico de las Haciendas Públicas (INDETEC)</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4.4 Principales colaboradores:</w:t>
            </w:r>
          </w:p>
          <w:p w:rsidR="008E4272"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Lic. </w:t>
            </w:r>
            <w:r>
              <w:rPr>
                <w:rFonts w:ascii="Adobe Caslon Pro" w:hAnsi="Adobe Caslon Pro" w:cs="Calibri"/>
                <w:i/>
                <w:color w:val="000000"/>
                <w:sz w:val="20"/>
                <w:szCs w:val="20"/>
                <w:lang w:eastAsia="es-MX"/>
              </w:rPr>
              <w:t>Arturo Alejandro Preciado Marín</w:t>
            </w:r>
          </w:p>
          <w:p w:rsidR="008E4272" w:rsidRPr="00BE4199"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Lic. Camilo Roberto García Carmona</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4.5 Correo electrónico del coordinador de la evaluación:</w:t>
            </w:r>
          </w:p>
          <w:p w:rsidR="008E4272" w:rsidRPr="00BE4199" w:rsidRDefault="008E4272" w:rsidP="00A56E05">
            <w:pPr>
              <w:rPr>
                <w:rFonts w:ascii="Adobe Caslon Pro" w:hAnsi="Adobe Caslon Pro" w:cs="Calibri"/>
                <w:i/>
                <w:color w:val="000000"/>
                <w:sz w:val="20"/>
                <w:szCs w:val="20"/>
                <w:u w:val="single"/>
                <w:lang w:eastAsia="es-MX"/>
              </w:rPr>
            </w:pPr>
            <w:r w:rsidRPr="00BE4199">
              <w:rPr>
                <w:rFonts w:ascii="Adobe Caslon Pro" w:hAnsi="Adobe Caslon Pro" w:cs="Calibri"/>
                <w:i/>
                <w:color w:val="000000"/>
                <w:sz w:val="20"/>
                <w:szCs w:val="20"/>
                <w:u w:val="single"/>
                <w:lang w:eastAsia="es-MX"/>
              </w:rPr>
              <w:t>jguizarj@indetec.gob.mx</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4.6 Teléfono (con clave lada):</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(33) 36695550</w:t>
            </w:r>
            <w:r>
              <w:rPr>
                <w:rFonts w:ascii="Adobe Caslon Pro" w:hAnsi="Adobe Caslon Pro" w:cs="Calibri"/>
                <w:i/>
                <w:color w:val="000000"/>
                <w:sz w:val="20"/>
                <w:szCs w:val="20"/>
                <w:lang w:eastAsia="es-MX"/>
              </w:rPr>
              <w:t xml:space="preserve"> ext. 136</w:t>
            </w:r>
          </w:p>
        </w:tc>
      </w:tr>
      <w:tr w:rsidR="008E4272" w:rsidRPr="00BE4199" w:rsidTr="00A56E05">
        <w:trPr>
          <w:trHeight w:val="75"/>
        </w:trPr>
        <w:tc>
          <w:tcPr>
            <w:tcW w:w="999"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trPr>
        <w:tc>
          <w:tcPr>
            <w:tcW w:w="696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Fondo de Aportaciones </w:t>
            </w:r>
            <w:r>
              <w:rPr>
                <w:rFonts w:ascii="Adobe Caslon Pro" w:hAnsi="Adobe Caslon Pro" w:cs="Calibri"/>
                <w:i/>
                <w:color w:val="000000"/>
                <w:sz w:val="20"/>
                <w:szCs w:val="20"/>
                <w:lang w:eastAsia="es-MX"/>
              </w:rPr>
              <w:t xml:space="preserve">para el Fortalecimiento de las Entidades Federativas  </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8E4272" w:rsidRPr="00BE4199" w:rsidRDefault="008E4272"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FAFEF</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coordinador del (los) programa(s): </w:t>
            </w:r>
          </w:p>
          <w:p w:rsidR="008E4272" w:rsidRPr="00BE4199"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Secretaría de Finanzas del Gobierno del Estado de Oaxaca.</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 Nombre de la(s) unidad(es) administrativa(s) y de (los) titular(es) a cargo del (los) programa(s):</w:t>
            </w:r>
          </w:p>
        </w:tc>
      </w:tr>
      <w:tr w:rsidR="008E4272" w:rsidRPr="00BE4199" w:rsidTr="00A56E05">
        <w:trPr>
          <w:trHeight w:val="408"/>
        </w:trPr>
        <w:tc>
          <w:tcPr>
            <w:tcW w:w="9436" w:type="dxa"/>
            <w:gridSpan w:val="14"/>
            <w:tcBorders>
              <w:left w:val="single" w:sz="4" w:space="0" w:color="auto"/>
              <w:bottom w:val="single" w:sz="4" w:space="0" w:color="auto"/>
              <w:right w:val="single" w:sz="4" w:space="0" w:color="auto"/>
            </w:tcBorders>
            <w:vAlign w:val="center"/>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8E4272" w:rsidRPr="00BE4199" w:rsidTr="00A56E05">
        <w:trPr>
          <w:trHeight w:val="55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8E4272" w:rsidRDefault="008E427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Caminos y Aeropistas de Oaxaca</w:t>
            </w:r>
          </w:p>
          <w:p w:rsidR="008E4272" w:rsidRDefault="008E427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Comisión Estatal del Agua</w:t>
            </w:r>
          </w:p>
          <w:p w:rsidR="008E4272" w:rsidRDefault="008E427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Comisión Estatal de la Vivienda</w:t>
            </w:r>
          </w:p>
          <w:p w:rsidR="008E4272" w:rsidRDefault="008E427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Colegio de Bachilleres del Estado de Oaxaca</w:t>
            </w:r>
          </w:p>
          <w:p w:rsidR="008E4272" w:rsidRDefault="008E427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Instituto Oaxaqueño Constructor de Infraestructura Física Educativa</w:t>
            </w:r>
          </w:p>
          <w:p w:rsidR="008E4272" w:rsidRDefault="008E427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Secretaría de las Infraestructuras y el Ordenamiento Territorial Sustentable</w:t>
            </w:r>
          </w:p>
          <w:p w:rsidR="008E4272" w:rsidRDefault="008E427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Secretaría de Salud del Estado de Oaxaca</w:t>
            </w:r>
          </w:p>
          <w:p w:rsidR="008E4272" w:rsidRPr="00BE4199"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Sistema de Universidades Estatales de Oaxaca</w:t>
            </w:r>
          </w:p>
        </w:tc>
      </w:tr>
      <w:tr w:rsidR="008E4272" w:rsidRPr="00BE4199" w:rsidTr="00A56E05">
        <w:trPr>
          <w:trHeight w:val="55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8E4272" w:rsidRPr="00BE4199" w:rsidTr="00A56E05">
        <w:trPr>
          <w:trHeight w:val="274"/>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hideMark/>
          </w:tcPr>
          <w:p w:rsidR="008E4272" w:rsidRPr="00894465" w:rsidRDefault="008E4272" w:rsidP="00A56E05">
            <w:pPr>
              <w:rPr>
                <w:rFonts w:ascii="Adobe Caslon Pro" w:hAnsi="Adobe Caslon Pro" w:cs="Calibri"/>
                <w:color w:val="000000"/>
                <w:sz w:val="20"/>
                <w:szCs w:val="20"/>
                <w:lang w:eastAsia="es-MX"/>
              </w:rPr>
            </w:pPr>
            <w:r w:rsidRPr="00894465">
              <w:rPr>
                <w:rFonts w:ascii="Adobe Caslon Pro" w:hAnsi="Adobe Caslon Pro" w:cs="Calibri"/>
                <w:color w:val="000000"/>
                <w:sz w:val="20"/>
                <w:szCs w:val="20"/>
                <w:lang w:eastAsia="es-MX"/>
              </w:rPr>
              <w:t>Nombre:</w:t>
            </w:r>
          </w:p>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Arq. Guillermo Martínez Gómez</w:t>
            </w:r>
          </w:p>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Tel (951) 5016900 ext. 24376, 24390</w:t>
            </w:r>
          </w:p>
          <w:p w:rsidR="008E4272" w:rsidRPr="00D111E2" w:rsidRDefault="009B1A50" w:rsidP="00A56E05">
            <w:pPr>
              <w:rPr>
                <w:rFonts w:ascii="Adobe Caslon Pro" w:hAnsi="Adobe Caslon Pro" w:cs="Calibri"/>
                <w:i/>
                <w:sz w:val="20"/>
                <w:szCs w:val="20"/>
                <w:lang w:eastAsia="es-MX"/>
              </w:rPr>
            </w:pPr>
            <w:hyperlink r:id="rId153" w:history="1">
              <w:r w:rsidR="008E4272" w:rsidRPr="00D111E2">
                <w:rPr>
                  <w:rStyle w:val="Hipervnculo"/>
                  <w:rFonts w:ascii="Adobe Caslon Pro" w:hAnsi="Adobe Caslon Pro" w:cs="Calibri"/>
                  <w:i/>
                  <w:sz w:val="20"/>
                  <w:szCs w:val="20"/>
                  <w:lang w:eastAsia="es-MX"/>
                </w:rPr>
                <w:t>Guillermomartinez.cao@oaxaca.gob.mx</w:t>
              </w:r>
            </w:hyperlink>
          </w:p>
        </w:tc>
        <w:tc>
          <w:tcPr>
            <w:tcW w:w="4604" w:type="dxa"/>
            <w:gridSpan w:val="7"/>
            <w:tcBorders>
              <w:top w:val="single" w:sz="4" w:space="0" w:color="auto"/>
              <w:left w:val="nil"/>
              <w:bottom w:val="single" w:sz="4" w:space="0" w:color="auto"/>
              <w:right w:val="single" w:sz="4" w:space="0" w:color="000000"/>
            </w:tcBorders>
            <w:shd w:val="clear" w:color="auto" w:fill="auto"/>
            <w:hideMark/>
          </w:tcPr>
          <w:p w:rsidR="008E4272" w:rsidRPr="00894465" w:rsidRDefault="008E4272" w:rsidP="00A56E05">
            <w:pPr>
              <w:rPr>
                <w:rFonts w:ascii="Adobe Caslon Pro" w:hAnsi="Adobe Caslon Pro" w:cs="Calibri"/>
                <w:color w:val="000000"/>
                <w:sz w:val="20"/>
                <w:szCs w:val="20"/>
                <w:lang w:eastAsia="es-MX"/>
              </w:rPr>
            </w:pPr>
            <w:r w:rsidRPr="00894465">
              <w:rPr>
                <w:rFonts w:ascii="Adobe Caslon Pro" w:hAnsi="Adobe Caslon Pro" w:cs="Calibri"/>
                <w:color w:val="000000"/>
                <w:sz w:val="20"/>
                <w:szCs w:val="20"/>
                <w:lang w:eastAsia="es-MX"/>
              </w:rPr>
              <w:t>Unidad administrativa:</w:t>
            </w:r>
          </w:p>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Dirección General Caminos y Aeropistas de Oaxaca</w:t>
            </w:r>
          </w:p>
        </w:tc>
      </w:tr>
      <w:tr w:rsidR="008E427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lastRenderedPageBreak/>
              <w:t>Ing. Julián Rubén Ríos Ángeles</w:t>
            </w:r>
          </w:p>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Tel (951) 5016900 ext. 22502, 22516</w:t>
            </w:r>
          </w:p>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ceadirgral@gmail.com</w:t>
            </w:r>
          </w:p>
        </w:tc>
        <w:tc>
          <w:tcPr>
            <w:tcW w:w="4604" w:type="dxa"/>
            <w:gridSpan w:val="7"/>
            <w:tcBorders>
              <w:top w:val="single" w:sz="4" w:space="0" w:color="auto"/>
              <w:left w:val="nil"/>
              <w:bottom w:val="single" w:sz="4" w:space="0" w:color="auto"/>
              <w:right w:val="single" w:sz="4" w:space="0" w:color="000000"/>
            </w:tcBorders>
            <w:shd w:val="clear" w:color="auto" w:fill="auto"/>
          </w:tcPr>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Dirección General Comisión Estatal del Agua</w:t>
            </w:r>
          </w:p>
        </w:tc>
      </w:tr>
      <w:tr w:rsidR="008E427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Ing. Salvador Gerardo Cerna Gil</w:t>
            </w:r>
          </w:p>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Tel (951) 5016900 ext. 24751, 24250</w:t>
            </w:r>
          </w:p>
          <w:p w:rsidR="008E4272" w:rsidRPr="00D111E2" w:rsidRDefault="009B1A50" w:rsidP="00A56E05">
            <w:pPr>
              <w:rPr>
                <w:rFonts w:ascii="Adobe Caslon Pro" w:hAnsi="Adobe Caslon Pro" w:cs="Calibri"/>
                <w:i/>
                <w:sz w:val="20"/>
                <w:szCs w:val="20"/>
                <w:lang w:eastAsia="es-MX"/>
              </w:rPr>
            </w:pPr>
            <w:hyperlink r:id="rId154" w:history="1">
              <w:r w:rsidR="008E4272" w:rsidRPr="00D111E2">
                <w:rPr>
                  <w:rStyle w:val="Hipervnculo"/>
                  <w:rFonts w:ascii="Adobe Caslon Pro" w:hAnsi="Adobe Caslon Pro" w:cs="Calibri"/>
                  <w:i/>
                  <w:sz w:val="20"/>
                  <w:szCs w:val="20"/>
                  <w:lang w:eastAsia="es-MX"/>
                </w:rPr>
                <w:t>Salvadorcernacevi@gmail.com</w:t>
              </w:r>
            </w:hyperlink>
          </w:p>
        </w:tc>
        <w:tc>
          <w:tcPr>
            <w:tcW w:w="4604" w:type="dxa"/>
            <w:gridSpan w:val="7"/>
            <w:tcBorders>
              <w:top w:val="single" w:sz="4" w:space="0" w:color="auto"/>
              <w:left w:val="nil"/>
              <w:bottom w:val="single" w:sz="4" w:space="0" w:color="auto"/>
              <w:right w:val="single" w:sz="4" w:space="0" w:color="000000"/>
            </w:tcBorders>
            <w:shd w:val="clear" w:color="auto" w:fill="auto"/>
          </w:tcPr>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Dirección General Comisión Estatal de Vivienda</w:t>
            </w:r>
          </w:p>
        </w:tc>
      </w:tr>
      <w:tr w:rsidR="008E427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 xml:space="preserve">Mtro. En Arq. Elí </w:t>
            </w:r>
            <w:proofErr w:type="spellStart"/>
            <w:r w:rsidRPr="00894465">
              <w:rPr>
                <w:rFonts w:ascii="Adobe Caslon Pro" w:hAnsi="Adobe Caslon Pro" w:cs="Calibri"/>
                <w:i/>
                <w:color w:val="000000"/>
                <w:sz w:val="20"/>
                <w:szCs w:val="20"/>
                <w:lang w:eastAsia="es-MX"/>
              </w:rPr>
              <w:t>Élfego</w:t>
            </w:r>
            <w:proofErr w:type="spellEnd"/>
            <w:r w:rsidRPr="00894465">
              <w:rPr>
                <w:rFonts w:ascii="Adobe Caslon Pro" w:hAnsi="Adobe Caslon Pro" w:cs="Calibri"/>
                <w:i/>
                <w:color w:val="000000"/>
                <w:sz w:val="20"/>
                <w:szCs w:val="20"/>
                <w:lang w:eastAsia="es-MX"/>
              </w:rPr>
              <w:t xml:space="preserve"> Pérez Matos</w:t>
            </w:r>
          </w:p>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Tel (951) 5020150 ext. 151</w:t>
            </w:r>
          </w:p>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 xml:space="preserve">elipm@oaxaca.gob.mx </w:t>
            </w:r>
          </w:p>
        </w:tc>
        <w:tc>
          <w:tcPr>
            <w:tcW w:w="4604" w:type="dxa"/>
            <w:gridSpan w:val="7"/>
            <w:tcBorders>
              <w:top w:val="single" w:sz="4" w:space="0" w:color="auto"/>
              <w:left w:val="nil"/>
              <w:bottom w:val="single" w:sz="4" w:space="0" w:color="auto"/>
              <w:right w:val="single" w:sz="4" w:space="0" w:color="000000"/>
            </w:tcBorders>
            <w:shd w:val="clear" w:color="auto" w:fill="auto"/>
          </w:tcPr>
          <w:p w:rsidR="008E4272" w:rsidRPr="00894465" w:rsidRDefault="008E427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Dirección General del Instituto Oaxaqueño Constructor de Infraestructura Física Educativa</w:t>
            </w:r>
          </w:p>
          <w:p w:rsidR="008E4272" w:rsidRPr="00894465" w:rsidRDefault="008E4272" w:rsidP="00A56E05">
            <w:pPr>
              <w:rPr>
                <w:rFonts w:ascii="Adobe Caslon Pro" w:hAnsi="Adobe Caslon Pro" w:cs="Calibri"/>
                <w:i/>
                <w:color w:val="000000"/>
                <w:sz w:val="20"/>
                <w:szCs w:val="20"/>
                <w:lang w:eastAsia="es-MX"/>
              </w:rPr>
            </w:pPr>
          </w:p>
        </w:tc>
      </w:tr>
      <w:tr w:rsidR="008E427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8E4272" w:rsidRPr="00BE4199"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Dr. Germán de Jesús Tenorio Vasconcelos</w:t>
            </w:r>
          </w:p>
          <w:p w:rsidR="008E4272"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(951) 51 634 64</w:t>
            </w:r>
          </w:p>
          <w:p w:rsidR="008E4272" w:rsidRPr="00894465"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drgermantenorio@salud-oaxaca.gob.mx</w:t>
            </w:r>
          </w:p>
        </w:tc>
        <w:tc>
          <w:tcPr>
            <w:tcW w:w="4604" w:type="dxa"/>
            <w:gridSpan w:val="7"/>
            <w:tcBorders>
              <w:top w:val="single" w:sz="4" w:space="0" w:color="auto"/>
              <w:left w:val="nil"/>
              <w:bottom w:val="single" w:sz="4" w:space="0" w:color="auto"/>
              <w:right w:val="single" w:sz="4" w:space="0" w:color="000000"/>
            </w:tcBorders>
            <w:shd w:val="clear" w:color="auto" w:fill="auto"/>
          </w:tcPr>
          <w:p w:rsidR="008E4272" w:rsidRPr="00894465" w:rsidRDefault="008E427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Dirección General de Servicios de Salud de Oaxaca</w:t>
            </w:r>
          </w:p>
        </w:tc>
      </w:tr>
      <w:tr w:rsidR="008E427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8E4272" w:rsidRPr="00D111E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 xml:space="preserve">Dr. Modesto </w:t>
            </w:r>
            <w:proofErr w:type="spellStart"/>
            <w:r w:rsidRPr="00D111E2">
              <w:rPr>
                <w:rFonts w:ascii="Adobe Caslon Pro" w:hAnsi="Adobe Caslon Pro" w:cs="Calibri"/>
                <w:i/>
                <w:color w:val="000000"/>
                <w:sz w:val="20"/>
                <w:szCs w:val="20"/>
                <w:lang w:eastAsia="es-MX"/>
              </w:rPr>
              <w:t>Seara</w:t>
            </w:r>
            <w:proofErr w:type="spellEnd"/>
            <w:r w:rsidRPr="00D111E2">
              <w:rPr>
                <w:rFonts w:ascii="Adobe Caslon Pro" w:hAnsi="Adobe Caslon Pro" w:cs="Calibri"/>
                <w:i/>
                <w:color w:val="000000"/>
                <w:sz w:val="20"/>
                <w:szCs w:val="20"/>
                <w:lang w:eastAsia="es-MX"/>
              </w:rPr>
              <w:t xml:space="preserve"> Vázquez</w:t>
            </w:r>
          </w:p>
          <w:p w:rsidR="008E4272" w:rsidRPr="00D111E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(01) 958-587-25-61</w:t>
            </w:r>
          </w:p>
          <w:p w:rsidR="008E427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msv@huatulco.umar.mx</w:t>
            </w:r>
          </w:p>
        </w:tc>
        <w:tc>
          <w:tcPr>
            <w:tcW w:w="4604" w:type="dxa"/>
            <w:gridSpan w:val="7"/>
            <w:tcBorders>
              <w:top w:val="single" w:sz="4" w:space="0" w:color="auto"/>
              <w:left w:val="nil"/>
              <w:bottom w:val="single" w:sz="4" w:space="0" w:color="auto"/>
              <w:right w:val="single" w:sz="4" w:space="0" w:color="000000"/>
            </w:tcBorders>
            <w:shd w:val="clear" w:color="auto" w:fill="auto"/>
          </w:tcPr>
          <w:p w:rsidR="008E4272" w:rsidRPr="00D111E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Rector del Sistema de Universidades Estatales de Oaxaca</w:t>
            </w:r>
          </w:p>
          <w:p w:rsidR="008E427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(SUNEO)</w:t>
            </w:r>
          </w:p>
        </w:tc>
      </w:tr>
      <w:tr w:rsidR="008E427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8E4272" w:rsidRPr="00D111E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Ing. Netzahualcóyotl Salvatierra López</w:t>
            </w:r>
          </w:p>
          <w:p w:rsidR="008E4272" w:rsidRPr="00D111E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Tel. 01 951 5016900 ext. 25001</w:t>
            </w:r>
          </w:p>
          <w:p w:rsidR="008E4272" w:rsidRPr="00D111E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netza.salvatierra@oaxaca.gob.mx</w:t>
            </w:r>
          </w:p>
        </w:tc>
        <w:tc>
          <w:tcPr>
            <w:tcW w:w="4604" w:type="dxa"/>
            <w:gridSpan w:val="7"/>
            <w:tcBorders>
              <w:top w:val="single" w:sz="4" w:space="0" w:color="auto"/>
              <w:left w:val="nil"/>
              <w:bottom w:val="single" w:sz="4" w:space="0" w:color="auto"/>
              <w:right w:val="single" w:sz="4" w:space="0" w:color="000000"/>
            </w:tcBorders>
            <w:shd w:val="clear" w:color="auto" w:fill="auto"/>
          </w:tcPr>
          <w:p w:rsidR="008E4272" w:rsidRPr="00D111E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Secretario de las Infraestructuras y el Ordenamiento</w:t>
            </w:r>
          </w:p>
          <w:p w:rsidR="008E4272" w:rsidRPr="00D111E2" w:rsidRDefault="008E427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Territorial Sustentable</w:t>
            </w:r>
          </w:p>
        </w:tc>
      </w:tr>
      <w:tr w:rsidR="008E4272" w:rsidRPr="00BE4199" w:rsidTr="00A56E05">
        <w:trPr>
          <w:trHeight w:val="75"/>
        </w:trPr>
        <w:tc>
          <w:tcPr>
            <w:tcW w:w="999" w:type="dxa"/>
            <w:gridSpan w:val="2"/>
            <w:tcBorders>
              <w:top w:val="nil"/>
              <w:left w:val="nil"/>
              <w:bottom w:val="nil"/>
              <w:right w:val="nil"/>
            </w:tcBorders>
            <w:shd w:val="clear" w:color="auto" w:fill="auto"/>
            <w:hideMark/>
          </w:tcPr>
          <w:p w:rsidR="008E4272" w:rsidRPr="00BE4199" w:rsidRDefault="008E4272"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hideMark/>
          </w:tcPr>
          <w:p w:rsidR="008E4272" w:rsidRPr="00BE4199" w:rsidRDefault="008E4272"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hideMark/>
          </w:tcPr>
          <w:p w:rsidR="008E4272" w:rsidRPr="00BE4199" w:rsidRDefault="008E4272" w:rsidP="00A56E05">
            <w:pPr>
              <w:rPr>
                <w:rFonts w:ascii="Adobe Caslon Pro" w:hAnsi="Adobe Caslon Pro" w:cs="Calibri"/>
                <w:color w:val="000000"/>
                <w:sz w:val="20"/>
                <w:szCs w:val="20"/>
                <w:lang w:eastAsia="es-MX"/>
              </w:rPr>
            </w:pPr>
          </w:p>
        </w:tc>
        <w:tc>
          <w:tcPr>
            <w:tcW w:w="2526" w:type="dxa"/>
            <w:gridSpan w:val="5"/>
            <w:tcBorders>
              <w:top w:val="nil"/>
              <w:left w:val="nil"/>
              <w:bottom w:val="nil"/>
              <w:right w:val="nil"/>
            </w:tcBorders>
            <w:shd w:val="clear" w:color="auto" w:fill="auto"/>
            <w:hideMark/>
          </w:tcPr>
          <w:p w:rsidR="008E4272" w:rsidRPr="00BE4199" w:rsidRDefault="008E4272"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hideMark/>
          </w:tcPr>
          <w:p w:rsidR="008E4272" w:rsidRPr="00BE4199" w:rsidRDefault="008E4272"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hideMark/>
          </w:tcPr>
          <w:p w:rsidR="008E4272" w:rsidRPr="00BE4199" w:rsidRDefault="008E4272" w:rsidP="00A56E05">
            <w:pPr>
              <w:jc w:val="center"/>
              <w:rPr>
                <w:rFonts w:ascii="Adobe Caslon Pro" w:hAnsi="Adobe Caslon Pro" w:cs="Calibri"/>
                <w:color w:val="000000"/>
                <w:sz w:val="20"/>
                <w:szCs w:val="20"/>
                <w:lang w:eastAsia="es-MX"/>
              </w:rPr>
            </w:pPr>
          </w:p>
        </w:tc>
      </w:tr>
      <w:tr w:rsidR="008E4272" w:rsidRPr="00BE4199" w:rsidTr="00A56E05">
        <w:trPr>
          <w:trHeight w:val="420"/>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Pr>
                <w:rFonts w:ascii="Adobe Caslon Pro" w:hAnsi="Adobe Caslon Pro" w:cs="Calibri"/>
                <w:color w:val="000000"/>
                <w:sz w:val="20"/>
                <w:szCs w:val="20"/>
                <w:lang w:eastAsia="es-MX"/>
              </w:rPr>
              <w:t>___ 6.1.5 Otro: C</w:t>
            </w:r>
            <w:r w:rsidRPr="000D3BE9">
              <w:rPr>
                <w:rFonts w:ascii="Adobe Caslon Pro" w:hAnsi="Adobe Caslon Pro" w:cs="Calibri"/>
                <w:color w:val="000000"/>
                <w:sz w:val="20"/>
                <w:szCs w:val="20"/>
                <w:lang w:eastAsia="es-MX"/>
              </w:rPr>
              <w:t>onveni</w:t>
            </w:r>
            <w:r>
              <w:rPr>
                <w:rFonts w:ascii="Adobe Caslon Pro" w:hAnsi="Adobe Caslon Pro" w:cs="Calibri"/>
                <w:color w:val="000000"/>
                <w:sz w:val="20"/>
                <w:szCs w:val="20"/>
                <w:lang w:eastAsia="es-MX"/>
              </w:rPr>
              <w:t>o de colaboración institucional</w:t>
            </w:r>
          </w:p>
        </w:tc>
      </w:tr>
      <w:tr w:rsidR="008E4272" w:rsidRPr="00BE4199" w:rsidTr="00A56E05">
        <w:trPr>
          <w:trHeight w:val="39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Pr>
                <w:rFonts w:ascii="Times New Roman" w:hAnsi="Times New Roman"/>
                <w:color w:val="000000"/>
                <w:sz w:val="20"/>
                <w:szCs w:val="20"/>
                <w:lang w:eastAsia="es-MX"/>
              </w:rPr>
              <w:t> </w:t>
            </w:r>
            <w:r w:rsidRPr="00BE4199">
              <w:rPr>
                <w:rFonts w:ascii="Adobe Caslon Pro" w:hAnsi="Adobe Caslon Pro" w:cs="Calibri"/>
                <w:color w:val="000000"/>
                <w:sz w:val="20"/>
                <w:szCs w:val="20"/>
                <w:lang w:eastAsia="es-MX"/>
              </w:rPr>
              <w:t xml:space="preserve">Costo total de la evaluación:    </w:t>
            </w:r>
            <w:r w:rsidRPr="00BE4199">
              <w:rPr>
                <w:rFonts w:ascii="Adobe Caslon Pro" w:hAnsi="Adobe Caslon Pro" w:cs="Calibri"/>
                <w:i/>
                <w:color w:val="000000"/>
                <w:sz w:val="20"/>
                <w:szCs w:val="20"/>
                <w:lang w:eastAsia="es-MX"/>
              </w:rPr>
              <w:t>$ 960,000.00 (Novecientos sesenta mil pesos 00/100 M.N.) El costo corresponde a la evaluación de ocho Fondos de Aportaciones del Ramo General 33</w:t>
            </w:r>
            <w:r w:rsidRPr="00BE4199">
              <w:rPr>
                <w:rFonts w:ascii="Adobe Caslon Pro" w:hAnsi="Adobe Caslon Pro" w:cs="Calibri"/>
                <w:color w:val="000000"/>
                <w:sz w:val="20"/>
                <w:szCs w:val="20"/>
                <w:lang w:eastAsia="es-MX"/>
              </w:rPr>
              <w:t>.</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8E4272" w:rsidRPr="00BE4199" w:rsidRDefault="008E427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8E4272" w:rsidRPr="00BE4199" w:rsidTr="00A56E05">
        <w:trPr>
          <w:trHeight w:val="162"/>
        </w:trPr>
        <w:tc>
          <w:tcPr>
            <w:tcW w:w="999"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8E4272" w:rsidRPr="00BE4199" w:rsidRDefault="008E4272" w:rsidP="00A56E05">
            <w:pPr>
              <w:rPr>
                <w:rFonts w:ascii="Adobe Caslon Pro" w:hAnsi="Adobe Caslon Pro" w:cs="Calibri"/>
                <w:color w:val="000000"/>
                <w:sz w:val="20"/>
                <w:szCs w:val="20"/>
                <w:lang w:eastAsia="es-MX"/>
              </w:rPr>
            </w:pPr>
          </w:p>
        </w:tc>
      </w:tr>
      <w:tr w:rsidR="008E4272" w:rsidRPr="00BE4199" w:rsidTr="00A56E05">
        <w:trPr>
          <w:trHeight w:val="420"/>
        </w:trPr>
        <w:tc>
          <w:tcPr>
            <w:tcW w:w="4973"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8E4272" w:rsidRPr="00BE4199" w:rsidRDefault="008E427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8E4272" w:rsidRPr="00BE4199" w:rsidRDefault="008E427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Default="008E4272"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8E4272" w:rsidRDefault="009B1A50" w:rsidP="00A56E05">
            <w:pPr>
              <w:rPr>
                <w:rFonts w:ascii="Adobe Caslon Pro" w:hAnsi="Adobe Caslon Pro" w:cs="Calibri"/>
                <w:color w:val="000000"/>
                <w:sz w:val="20"/>
                <w:szCs w:val="20"/>
                <w:lang w:eastAsia="es-MX"/>
              </w:rPr>
            </w:pPr>
            <w:hyperlink r:id="rId155" w:history="1">
              <w:r w:rsidR="008E4272" w:rsidRPr="002F7F93">
                <w:rPr>
                  <w:rStyle w:val="Hipervnculo"/>
                  <w:rFonts w:ascii="Adobe Caslon Pro" w:hAnsi="Adobe Caslon Pro" w:cs="Calibri"/>
                  <w:sz w:val="20"/>
                  <w:szCs w:val="20"/>
                  <w:lang w:eastAsia="es-MX"/>
                </w:rPr>
                <w:t>http://www.jefaturadelagubernatura-evaluacion.oaxaca.gob.mx/index.php/pae-sidepanel/pae-2014</w:t>
              </w:r>
            </w:hyperlink>
          </w:p>
          <w:p w:rsidR="008E4272" w:rsidRPr="00642484" w:rsidRDefault="009B1A50" w:rsidP="00A56E05">
            <w:pPr>
              <w:rPr>
                <w:rFonts w:ascii="Adobe Caslon Pro" w:hAnsi="Adobe Caslon Pro" w:cs="Calibri"/>
                <w:color w:val="000000"/>
                <w:sz w:val="20"/>
                <w:szCs w:val="20"/>
                <w:lang w:eastAsia="es-MX"/>
              </w:rPr>
            </w:pPr>
            <w:hyperlink r:id="rId156" w:history="1">
              <w:r w:rsidR="008E4272" w:rsidRPr="002F7F93">
                <w:rPr>
                  <w:rStyle w:val="Hipervnculo"/>
                  <w:rFonts w:ascii="Adobe Caslon Pro" w:hAnsi="Adobe Caslon Pro" w:cs="Calibri"/>
                  <w:sz w:val="20"/>
                  <w:szCs w:val="20"/>
                  <w:lang w:eastAsia="es-MX"/>
                </w:rPr>
                <w:t>http://www.transparenciapresupuestaria.oaxaca.gob.mx/05_ev1_eprogramas.php</w:t>
              </w:r>
            </w:hyperlink>
          </w:p>
        </w:tc>
      </w:tr>
      <w:tr w:rsidR="008E427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E4272" w:rsidRDefault="008E4272"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7.2  Difusión en internet del formato:</w:t>
            </w:r>
          </w:p>
          <w:p w:rsidR="008E4272" w:rsidRDefault="009B1A50" w:rsidP="00A56E05">
            <w:pPr>
              <w:rPr>
                <w:rFonts w:ascii="Adobe Caslon Pro" w:hAnsi="Adobe Caslon Pro" w:cs="Calibri"/>
                <w:color w:val="000000"/>
                <w:sz w:val="20"/>
                <w:szCs w:val="20"/>
                <w:lang w:eastAsia="es-MX"/>
              </w:rPr>
            </w:pPr>
            <w:hyperlink r:id="rId157" w:history="1">
              <w:r w:rsidR="008E4272" w:rsidRPr="002F7F93">
                <w:rPr>
                  <w:rStyle w:val="Hipervnculo"/>
                  <w:rFonts w:ascii="Adobe Caslon Pro" w:hAnsi="Adobe Caslon Pro" w:cs="Calibri"/>
                  <w:sz w:val="20"/>
                  <w:szCs w:val="20"/>
                  <w:lang w:eastAsia="es-MX"/>
                </w:rPr>
                <w:t>http://www.jefaturadelagubernatura-evaluacion.oaxaca.gob.mx/index.php/pae-sidepanel/pae-2014</w:t>
              </w:r>
            </w:hyperlink>
          </w:p>
          <w:p w:rsidR="008E4272" w:rsidRPr="00642484" w:rsidRDefault="008E4272" w:rsidP="00A56E05">
            <w:pPr>
              <w:rPr>
                <w:rFonts w:ascii="Adobe Caslon Pro" w:hAnsi="Adobe Caslon Pro" w:cs="Calibri"/>
                <w:color w:val="000000"/>
                <w:sz w:val="20"/>
                <w:szCs w:val="20"/>
                <w:lang w:eastAsia="es-MX"/>
              </w:rPr>
            </w:pPr>
          </w:p>
        </w:tc>
      </w:tr>
    </w:tbl>
    <w:p w:rsidR="008E4272" w:rsidRPr="00066E84" w:rsidRDefault="008E4272" w:rsidP="008E4272">
      <w:pPr>
        <w:rPr>
          <w:rFonts w:ascii="Adobe Caslon Pro" w:hAnsi="Adobe Caslon Pro"/>
          <w:b/>
          <w:sz w:val="20"/>
          <w:szCs w:val="20"/>
          <w:lang w:eastAsia="es-MX"/>
        </w:rPr>
      </w:pPr>
    </w:p>
    <w:p w:rsidR="008E4272" w:rsidRDefault="008E4272" w:rsidP="008E4272">
      <w:pPr>
        <w:autoSpaceDE w:val="0"/>
        <w:autoSpaceDN w:val="0"/>
        <w:adjustRightInd w:val="0"/>
        <w:jc w:val="both"/>
        <w:rPr>
          <w:rFonts w:cs="Calibri"/>
          <w:sz w:val="16"/>
          <w:szCs w:val="16"/>
        </w:rPr>
      </w:pPr>
    </w:p>
    <w:p w:rsidR="008E4272" w:rsidRDefault="008E4272">
      <w:pPr>
        <w:rPr>
          <w:rFonts w:ascii="Arial" w:hAnsi="Arial" w:cs="Arial"/>
          <w:b/>
        </w:rPr>
      </w:pPr>
      <w:r>
        <w:rPr>
          <w:rFonts w:ascii="Arial" w:hAnsi="Arial" w:cs="Arial"/>
          <w:b/>
        </w:rPr>
        <w:br w:type="page"/>
      </w:r>
    </w:p>
    <w:p w:rsidR="007D438C" w:rsidRDefault="007D438C">
      <w:pPr>
        <w:rPr>
          <w:rFonts w:ascii="Arial" w:hAnsi="Arial" w:cs="Arial"/>
          <w:b/>
        </w:rPr>
      </w:pPr>
    </w:p>
    <w:p w:rsidR="007456F1" w:rsidRPr="007456F1" w:rsidRDefault="007456F1" w:rsidP="007456F1">
      <w:pPr>
        <w:jc w:val="both"/>
        <w:rPr>
          <w:rFonts w:ascii="Arial" w:hAnsi="Arial" w:cs="Arial"/>
          <w:b/>
        </w:rPr>
      </w:pPr>
      <w:r w:rsidRPr="007456F1">
        <w:rPr>
          <w:rFonts w:ascii="Arial" w:hAnsi="Arial" w:cs="Arial"/>
          <w:b/>
        </w:rPr>
        <w:t>14.</w:t>
      </w:r>
      <w:r w:rsidR="0072684E">
        <w:rPr>
          <w:rFonts w:ascii="Arial" w:hAnsi="Arial" w:cs="Arial"/>
          <w:b/>
        </w:rPr>
        <w:t>2</w:t>
      </w:r>
      <w:r w:rsidRPr="007456F1">
        <w:rPr>
          <w:rFonts w:ascii="Arial" w:hAnsi="Arial" w:cs="Arial"/>
          <w:b/>
        </w:rPr>
        <w:t>.1</w:t>
      </w:r>
      <w:r w:rsidR="00FB524A">
        <w:rPr>
          <w:rFonts w:ascii="Arial" w:hAnsi="Arial" w:cs="Arial"/>
          <w:b/>
        </w:rPr>
        <w:t>1</w:t>
      </w:r>
      <w:r w:rsidRPr="007456F1">
        <w:rPr>
          <w:rFonts w:ascii="Arial" w:hAnsi="Arial" w:cs="Arial"/>
          <w:b/>
        </w:rPr>
        <w:t xml:space="preserve">.- </w:t>
      </w:r>
      <w:r w:rsidR="00CC3D62" w:rsidRPr="007456F1">
        <w:rPr>
          <w:rFonts w:ascii="Arial" w:hAnsi="Arial" w:cs="Arial"/>
          <w:b/>
        </w:rPr>
        <w:t xml:space="preserve">FONDO DE APORTACIONES </w:t>
      </w:r>
      <w:proofErr w:type="gramStart"/>
      <w:r w:rsidR="00CC3D62" w:rsidRPr="007456F1">
        <w:rPr>
          <w:rFonts w:ascii="Arial" w:hAnsi="Arial" w:cs="Arial"/>
          <w:b/>
        </w:rPr>
        <w:t>MÚLTIPLES(</w:t>
      </w:r>
      <w:proofErr w:type="gramEnd"/>
      <w:r w:rsidR="00CC3D62" w:rsidRPr="007456F1">
        <w:rPr>
          <w:rFonts w:ascii="Arial" w:hAnsi="Arial" w:cs="Arial"/>
          <w:b/>
        </w:rPr>
        <w:t>FAM) EN SU COMPONENTE DE ASISTENCIA SOCIAL (FAM)</w:t>
      </w:r>
    </w:p>
    <w:p w:rsidR="007456F1" w:rsidRDefault="007456F1" w:rsidP="007456F1">
      <w:pPr>
        <w:pStyle w:val="Prrafodelista"/>
        <w:ind w:left="0"/>
        <w:jc w:val="center"/>
        <w:rPr>
          <w:rFonts w:ascii="Adobe Caslon Pro" w:hAnsi="Adobe Caslon Pro" w:cs="Calibri"/>
          <w:i/>
          <w:color w:val="000000"/>
          <w:lang w:eastAsia="es-MX"/>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7456F1" w:rsidRPr="00BE4199"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Evaluación Estratégica de Consistencia y Resultados del Fondo de Aportaciones Múltiples(FAM)</w:t>
            </w:r>
            <w:r>
              <w:rPr>
                <w:rFonts w:ascii="Adobe Caslon Pro" w:hAnsi="Adobe Caslon Pro" w:cs="Calibri"/>
                <w:i/>
                <w:color w:val="000000"/>
                <w:sz w:val="20"/>
                <w:szCs w:val="20"/>
                <w:lang w:eastAsia="es-MX"/>
              </w:rPr>
              <w:t xml:space="preserve"> en su componente de Asistencia Social</w:t>
            </w:r>
            <w:r w:rsidRPr="00BE4199">
              <w:rPr>
                <w:rFonts w:ascii="Adobe Caslon Pro" w:hAnsi="Adobe Caslon Pro" w:cs="Calibri"/>
                <w:i/>
                <w:color w:val="000000"/>
                <w:sz w:val="20"/>
                <w:szCs w:val="20"/>
                <w:lang w:eastAsia="es-MX"/>
              </w:rPr>
              <w:t xml:space="preserve"> (FAM)</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1.2 Fecha de inicio de la evaluación (</w:t>
            </w:r>
            <w:proofErr w:type="spellStart"/>
            <w:r w:rsidRPr="00BE4199">
              <w:rPr>
                <w:rFonts w:ascii="Adobe Caslon Pro" w:hAnsi="Adobe Caslon Pro" w:cs="Calibri"/>
                <w:color w:val="000000"/>
                <w:sz w:val="20"/>
                <w:szCs w:val="20"/>
                <w:lang w:eastAsia="es-MX"/>
              </w:rPr>
              <w:t>dd</w:t>
            </w:r>
            <w:proofErr w:type="spellEnd"/>
            <w:r w:rsidRPr="00BE4199">
              <w:rPr>
                <w:rFonts w:ascii="Adobe Caslon Pro" w:hAnsi="Adobe Caslon Pro" w:cs="Calibri"/>
                <w:color w:val="000000"/>
                <w:sz w:val="20"/>
                <w:szCs w:val="20"/>
                <w:lang w:eastAsia="es-MX"/>
              </w:rPr>
              <w:t>/mm/</w:t>
            </w:r>
            <w:proofErr w:type="spellStart"/>
            <w:r w:rsidRPr="00BE4199">
              <w:rPr>
                <w:rFonts w:ascii="Adobe Caslon Pro" w:hAnsi="Adobe Caslon Pro" w:cs="Calibri"/>
                <w:color w:val="000000"/>
                <w:sz w:val="20"/>
                <w:szCs w:val="20"/>
                <w:lang w:eastAsia="es-MX"/>
              </w:rPr>
              <w:t>aaaa</w:t>
            </w:r>
            <w:proofErr w:type="spellEnd"/>
            <w:r w:rsidRPr="00BE4199">
              <w:rPr>
                <w:rFonts w:ascii="Adobe Caslon Pro" w:hAnsi="Adobe Caslon Pro" w:cs="Calibri"/>
                <w:color w:val="000000"/>
                <w:sz w:val="20"/>
                <w:szCs w:val="20"/>
                <w:lang w:eastAsia="es-MX"/>
              </w:rPr>
              <w:t xml:space="preserve">): </w:t>
            </w:r>
            <w:r w:rsidRPr="00BE4199">
              <w:rPr>
                <w:rFonts w:ascii="Adobe Caslon Pro" w:hAnsi="Adobe Caslon Pro" w:cs="Calibri"/>
                <w:i/>
                <w:color w:val="000000"/>
                <w:sz w:val="20"/>
                <w:szCs w:val="20"/>
                <w:lang w:eastAsia="es-MX"/>
              </w:rPr>
              <w:t>21/08/2014</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1.3 Fecha de término de la evaluación (</w:t>
            </w:r>
            <w:proofErr w:type="spellStart"/>
            <w:r w:rsidRPr="000D3BE9">
              <w:rPr>
                <w:rFonts w:ascii="Adobe Caslon Pro" w:hAnsi="Adobe Caslon Pro" w:cs="Calibri"/>
                <w:color w:val="000000"/>
                <w:sz w:val="20"/>
                <w:szCs w:val="20"/>
                <w:lang w:eastAsia="es-MX"/>
              </w:rPr>
              <w:t>dd</w:t>
            </w:r>
            <w:proofErr w:type="spellEnd"/>
            <w:r w:rsidRPr="000D3BE9">
              <w:rPr>
                <w:rFonts w:ascii="Adobe Caslon Pro" w:hAnsi="Adobe Caslon Pro" w:cs="Calibri"/>
                <w:color w:val="000000"/>
                <w:sz w:val="20"/>
                <w:szCs w:val="20"/>
                <w:lang w:eastAsia="es-MX"/>
              </w:rPr>
              <w:t>/mm/</w:t>
            </w:r>
            <w:proofErr w:type="spellStart"/>
            <w:r w:rsidRPr="000D3BE9">
              <w:rPr>
                <w:rFonts w:ascii="Adobe Caslon Pro" w:hAnsi="Adobe Caslon Pro" w:cs="Calibri"/>
                <w:color w:val="000000"/>
                <w:sz w:val="20"/>
                <w:szCs w:val="20"/>
                <w:lang w:eastAsia="es-MX"/>
              </w:rPr>
              <w:t>aaaa</w:t>
            </w:r>
            <w:proofErr w:type="spellEnd"/>
            <w:r w:rsidRPr="000D3BE9">
              <w:rPr>
                <w:rFonts w:ascii="Adobe Caslon Pro" w:hAnsi="Adobe Caslon Pro" w:cs="Calibri"/>
                <w:color w:val="000000"/>
                <w:sz w:val="20"/>
                <w:szCs w:val="20"/>
                <w:lang w:eastAsia="es-MX"/>
              </w:rPr>
              <w:t xml:space="preserve">): </w:t>
            </w:r>
            <w:r w:rsidRPr="000D3BE9">
              <w:rPr>
                <w:rFonts w:ascii="Adobe Caslon Pro" w:hAnsi="Adobe Caslon Pro" w:cs="Calibri"/>
                <w:i/>
                <w:color w:val="000000"/>
                <w:sz w:val="20"/>
                <w:szCs w:val="20"/>
                <w:lang w:eastAsia="es-MX"/>
              </w:rPr>
              <w:t>09/04/2015</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7456F1" w:rsidRPr="00BE4199"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6F1"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7456F1" w:rsidRPr="00BE4199" w:rsidRDefault="007456F1" w:rsidP="00A56E05">
            <w:pPr>
              <w:rPr>
                <w:rFonts w:ascii="Adobe Caslon Pro" w:hAnsi="Adobe Caslon Pro" w:cs="Calibri"/>
                <w:i/>
                <w:color w:val="000000"/>
                <w:sz w:val="20"/>
                <w:szCs w:val="20"/>
                <w:lang w:eastAsia="es-MX"/>
              </w:rPr>
            </w:pP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7456F1" w:rsidRDefault="007456F1"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Coadyuvar en la Consolidación del Sistema de Evaluación del Desempeño en el Estado de Oaxaca, a través de identificar y analizar la consistencia y resultados del Fondo</w:t>
            </w:r>
            <w:r>
              <w:rPr>
                <w:rFonts w:ascii="Adobe Caslon Pro" w:hAnsi="Adobe Caslon Pro" w:cs="Calibri"/>
                <w:i/>
                <w:color w:val="000000"/>
                <w:sz w:val="20"/>
                <w:szCs w:val="20"/>
                <w:lang w:eastAsia="es-MX"/>
              </w:rPr>
              <w:t xml:space="preserve"> de Aportaciones Múltiples</w:t>
            </w:r>
            <w:r w:rsidRPr="00BE4199">
              <w:rPr>
                <w:rFonts w:ascii="Adobe Caslon Pro" w:hAnsi="Adobe Caslon Pro" w:cs="Calibri"/>
                <w:i/>
                <w:color w:val="000000"/>
                <w:sz w:val="20"/>
                <w:szCs w:val="20"/>
                <w:lang w:eastAsia="es-MX"/>
              </w:rPr>
              <w:t xml:space="preserve"> en su componente de </w:t>
            </w:r>
            <w:r>
              <w:rPr>
                <w:rFonts w:ascii="Adobe Caslon Pro" w:hAnsi="Adobe Caslon Pro" w:cs="Calibri"/>
                <w:i/>
                <w:color w:val="000000"/>
                <w:sz w:val="20"/>
                <w:szCs w:val="20"/>
                <w:lang w:eastAsia="es-MX"/>
              </w:rPr>
              <w:t>Asistencia Social</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p w:rsidR="007456F1" w:rsidRPr="00BE4199" w:rsidRDefault="007456F1" w:rsidP="00A56E05">
            <w:pPr>
              <w:jc w:val="both"/>
              <w:rPr>
                <w:rFonts w:ascii="Adobe Caslon Pro" w:hAnsi="Adobe Caslon Pro" w:cs="Calibri"/>
                <w: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Diseño. Es un proceso analítico global que se enfoca en identificar los objetivos de los Programas para luego determinar la consistencia de su diseño y los resultados con tales objetivos.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Planeación Estratégica. Implica analizar los instrumentos de planeación de los Programas, y corroborar si tal planeación tiene una orientación para resultados.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Cobertura y Focalización. Corresponde cuantificar y determinar la población potencial y la población objetivo que está siendo atendida a través de los Programas.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Operación. Analiza las principales actividades y procesos establecidos en la normatividad aplicable; la eficiencia, eficacia y economía operativa de los Programas; y el cumplimiento y avance en los indicadores estratégicos y de gestión.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Percepción de la Población. Analiza el grado de satisfacción de los beneficiarios de los bienes y servicios que conforman cada Programa.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Resultados. Analiza los resultados intermedios y de impacto alcanzado por cada uno de los Programas, en términos de mejora o solución del problema por el cual fue creado cada uno de éstos. </w:t>
            </w:r>
          </w:p>
          <w:p w:rsidR="007456F1" w:rsidRPr="009B1103" w:rsidRDefault="007456F1" w:rsidP="00F075EB">
            <w:pPr>
              <w:numPr>
                <w:ilvl w:val="0"/>
                <w:numId w:val="72"/>
              </w:numPr>
              <w:jc w:val="both"/>
              <w:rPr>
                <w:rFonts w:ascii="Adobe Caslon Pro" w:hAnsi="Adobe Caslon Pro" w:cs="Calibri"/>
                <w:color w:val="000000"/>
                <w:sz w:val="20"/>
                <w:szCs w:val="20"/>
                <w:lang w:eastAsia="es-MX"/>
              </w:rPr>
            </w:pPr>
            <w:r w:rsidRPr="00A92C63">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r>
              <w:t>.</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7456F1" w:rsidRPr="00BE4199"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7456F1" w:rsidRDefault="007456F1"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lastRenderedPageBreak/>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p w:rsidR="007456F1" w:rsidRPr="009B1103" w:rsidRDefault="007456F1" w:rsidP="00A56E05">
            <w:pPr>
              <w:ind w:left="720"/>
              <w:jc w:val="both"/>
              <w:rPr>
                <w:rFonts w:ascii="Adobe Caslon Pro" w:hAnsi="Adobe Caslon Pro" w:cs="Calibri"/>
                <w:i/>
                <w:color w:val="000000"/>
                <w:sz w:val="20"/>
                <w:szCs w:val="20"/>
                <w:lang w:eastAsia="es-MX"/>
              </w:rPr>
            </w:pPr>
          </w:p>
        </w:tc>
      </w:tr>
      <w:tr w:rsidR="007456F1" w:rsidRPr="00BE4199"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Descripción de las técnicas y modelos utilizados: </w:t>
            </w:r>
          </w:p>
          <w:p w:rsidR="007456F1"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 xml:space="preserve">nes y el proceso presupuestario, los cuales se encuentran en los Términos de Referencia en la siguiente liga: </w:t>
            </w:r>
            <w:hyperlink r:id="rId158" w:history="1">
              <w:r w:rsidRPr="002F7F93">
                <w:rPr>
                  <w:rStyle w:val="Hipervnculo"/>
                  <w:rFonts w:ascii="Adobe Caslon Pro" w:hAnsi="Adobe Caslon Pro" w:cs="Calibri"/>
                  <w:i/>
                  <w:sz w:val="20"/>
                  <w:szCs w:val="20"/>
                  <w:lang w:eastAsia="es-MX"/>
                </w:rPr>
                <w:t>http://www.jefaturadelagubernatura-evaluacion.oaxaca.gob.mx/index.php/pae-sidepanel/pae-2014</w:t>
              </w:r>
            </w:hyperlink>
          </w:p>
          <w:p w:rsidR="007456F1" w:rsidRDefault="007456F1" w:rsidP="00A56E05">
            <w:pPr>
              <w:rPr>
                <w:rFonts w:ascii="Adobe Caslon Pro" w:hAnsi="Adobe Caslon Pro" w:cs="Calibri"/>
                <w:i/>
                <w:color w:val="000000"/>
                <w:sz w:val="20"/>
                <w:szCs w:val="20"/>
                <w:lang w:eastAsia="es-MX"/>
              </w:rPr>
            </w:pP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Base de datos de gabinete utilizados para el análisis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Ficha Técnica del Fondo y de los Programas estatales y Federales.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Diagnostico Situacional del Fondo</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Ley de Coordinación Fiscal.</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Ley Federal de Presupuesto y Responsabilidad Hacendaria.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Ley General de Contabilidad Gubernamental.</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Calendario de Ejecución del Recurso del Fondo.</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Plan Nacional de Desarrollo.</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Plan Estatal de Desarrollo del Estado de Oaxaca.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Plan Estratégico del Sistema DIF Oaxaca.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Plan Sectorial de Desarrollo Social y Humano (2011-2016)</w:t>
            </w:r>
          </w:p>
          <w:p w:rsidR="007456F1"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Objetivos Estratégicos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Programa Participación Comunitaria para el Desarrollo Humano con Asistencia</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Alimentaria.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Documento Técnico del Problema.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Reglas de Operación del Programa Participación Comunitaria para el Desarrollo</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Humano con Asistencia Alimentaria.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Matriz de Indicadores de Resultados del Programa Participación Comunitaria</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para el Desarrollo Humano con Asistencia Alimentaria.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Matriz de Indicadores de Resultados del Fondo de Aportaciones Múltiples en su</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vertiente Asistencia Social.</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Listado de Indicadores del Fondo.</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Indicadores de Resultados de la MIR.</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Presupuesto Aprobado.</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Presupuesto Ejercido.</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Recursos no Devengados.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Población Potencial.</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Población Objetivo.</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Población Atendida.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Características Socio-económicas de los beneficiarios.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Padrón de Beneficiarios.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Criterios de Elegibilidad.</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Manual de Programación.</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Acuerdo por el que se da a conocer a los gobiernos de las entidades federativas la distribución y calendarización para la ministración durante el ejercicio fiscal 2013, de los recursos correspondientes a los Ramos Generales 28 Participaciones a Entidades Federativas y Municipios, y 33 Aportaciones Federales para Entidades</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Federativas y Municipios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Reportes Financieros.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Avances Físico-financieros.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Seguimiento de Metas.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Reporte de Cuenta y Estados Financieros.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Formato de Resultados PASH (Situación Económica, las Finanzas Públicas y la</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Deuda Pública.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Cierre del Ejercicio Fiscal.</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lastRenderedPageBreak/>
              <w:t>Manual Organizacional.</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Costos de Operación.</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Indicadores de Eficiencia.</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Sistema de Rendición de Cuentas.</w:t>
            </w:r>
          </w:p>
          <w:p w:rsidR="007456F1" w:rsidRPr="00DA418A"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Sistema de Seguimiento de CCNC (SISCCNC).</w:t>
            </w:r>
          </w:p>
          <w:p w:rsidR="007456F1" w:rsidRPr="00BE4199" w:rsidRDefault="007456F1" w:rsidP="00F075EB">
            <w:pPr>
              <w:numPr>
                <w:ilvl w:val="0"/>
                <w:numId w:val="91"/>
              </w:numPr>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Reportes de Cuenta.</w:t>
            </w:r>
          </w:p>
        </w:tc>
      </w:tr>
      <w:tr w:rsidR="007456F1" w:rsidRPr="00BE4199" w:rsidTr="00A56E05">
        <w:trPr>
          <w:trHeight w:val="427"/>
          <w:jc w:val="center"/>
        </w:trPr>
        <w:tc>
          <w:tcPr>
            <w:tcW w:w="999" w:type="dxa"/>
            <w:gridSpan w:val="2"/>
            <w:tcBorders>
              <w:top w:val="single" w:sz="4" w:space="0" w:color="auto"/>
              <w:bottom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2.1 Describir los hallazgos más relevantes de la evaluación: </w:t>
            </w:r>
          </w:p>
        </w:tc>
      </w:tr>
      <w:tr w:rsidR="007456F1" w:rsidRPr="00BE4199"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 Señalar cuáles son las principales Fortalezas, Oportunidades, Debilidades y Amenazas (FODA), de acuerdo con los temas del programa, estrategia o instituciones.</w:t>
            </w:r>
          </w:p>
        </w:tc>
      </w:tr>
      <w:tr w:rsidR="007456F1" w:rsidRPr="00BE4199" w:rsidTr="00A56E05">
        <w:trPr>
          <w:trHeight w:val="34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2.2.1 Fortalezas:</w:t>
            </w: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DISEÑO</w:t>
            </w:r>
          </w:p>
          <w:p w:rsidR="007456F1" w:rsidRPr="00DA418A"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 xml:space="preserve">El Fin y el Propósito de la MIR del Fondo y del </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Programa</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 están claramente definidos conforme a lo señalado en la MML y contribuyen a la solución del</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problema.</w:t>
            </w:r>
          </w:p>
          <w:p w:rsidR="007456F1" w:rsidRPr="00DA418A"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 xml:space="preserve">Los procesos de ejecución del </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Programa</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 xml:space="preserve"> y del Fondo son los adecuados para entregar bienes y servicios a la población que se pretende atender, con base en la MML.</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 xml:space="preserve">Los bienes y servicios que se entregan son claros y contribuyen al Fin y Propósito. </w:t>
            </w:r>
          </w:p>
          <w:p w:rsidR="007456F1" w:rsidRPr="00DA418A"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Con base en la MML se establece una lógica coherente con los objetivos de</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los ámbitos de desempeño (Fin, Propósito, Componente y Actividad).</w:t>
            </w:r>
          </w:p>
          <w:p w:rsidR="007456F1" w:rsidRPr="00DA418A"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 xml:space="preserve">El diseño de los indicadores es el adecuado para medir los objetivos del ámbito de desempeño de la MIR, y con los suficientes para generar resultados de desempeño. Por otro lado, cuentan con los elementos de validación (claros, relevantes, económicos, adecuados y </w:t>
            </w:r>
            <w:proofErr w:type="spellStart"/>
            <w:r w:rsidRPr="00DA418A">
              <w:rPr>
                <w:rFonts w:ascii="Adobe Caslon Pro" w:hAnsi="Adobe Caslon Pro" w:cs="Calibri"/>
                <w:i/>
                <w:color w:val="000000"/>
                <w:sz w:val="20"/>
                <w:szCs w:val="20"/>
                <w:lang w:eastAsia="es-MX"/>
              </w:rPr>
              <w:t>monitoreables</w:t>
            </w:r>
            <w:proofErr w:type="spellEnd"/>
            <w:r w:rsidRPr="00DA418A">
              <w:rPr>
                <w:rFonts w:ascii="Adobe Caslon Pro" w:hAnsi="Adobe Caslon Pro" w:cs="Calibri"/>
                <w:i/>
                <w:color w:val="000000"/>
                <w:sz w:val="20"/>
                <w:szCs w:val="20"/>
                <w:lang w:eastAsia="es-MX"/>
              </w:rPr>
              <w:t>).</w:t>
            </w:r>
          </w:p>
          <w:p w:rsidR="007456F1" w:rsidRPr="00DA418A"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Los medios de verificación son los adecuados para alimentar los indicadores y tener una medición acertada de los objetivos del ámbito de desempeño del MIR. Solo en una de las actividades se observa que el medio de verificación no es el pertinente para alimentar el indicador.</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 xml:space="preserve">Se consideran validos los supuestos establecidos en la MIR del </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Programa</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w:t>
            </w:r>
          </w:p>
          <w:p w:rsidR="007456F1" w:rsidRDefault="007456F1" w:rsidP="00A56E05">
            <w:pPr>
              <w:spacing w:line="360" w:lineRule="auto"/>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PLANEACIÓN ESTRATÉGICA</w:t>
            </w:r>
          </w:p>
          <w:p w:rsidR="007456F1" w:rsidRPr="00DA418A"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Se cuenta con una planeación estratégica donde se establecen objetivos claros</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 xml:space="preserve">de la dependencia con relación a los objetivos del </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Programa</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DA418A">
              <w:rPr>
                <w:rFonts w:ascii="Adobe Caslon Pro" w:hAnsi="Adobe Caslon Pro" w:cs="Calibri"/>
                <w:i/>
                <w:color w:val="000000"/>
                <w:sz w:val="20"/>
                <w:szCs w:val="20"/>
                <w:lang w:eastAsia="es-MX"/>
              </w:rPr>
              <w:t>La relación con la planeación Nacional y del Estado es pertinente con base a</w:t>
            </w:r>
            <w:r>
              <w:rPr>
                <w:rFonts w:ascii="Adobe Caslon Pro" w:hAnsi="Adobe Caslon Pro" w:cs="Calibri"/>
                <w:i/>
                <w:color w:val="000000"/>
                <w:sz w:val="20"/>
                <w:szCs w:val="20"/>
                <w:lang w:eastAsia="es-MX"/>
              </w:rPr>
              <w:t xml:space="preserve"> </w:t>
            </w:r>
            <w:r w:rsidRPr="00DA418A">
              <w:rPr>
                <w:rFonts w:ascii="Adobe Caslon Pro" w:hAnsi="Adobe Caslon Pro" w:cs="Calibri"/>
                <w:i/>
                <w:color w:val="000000"/>
                <w:sz w:val="20"/>
                <w:szCs w:val="20"/>
                <w:lang w:eastAsia="es-MX"/>
              </w:rPr>
              <w:t xml:space="preserve">los objetivos de la dependencia y del </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Programa</w:t>
            </w:r>
            <w:r w:rsidRPr="00DA418A">
              <w:rPr>
                <w:rFonts w:ascii="Adobe Caslon Pro" w:hAnsi="Adobe Caslon Pro" w:cs="Calibri" w:hint="eastAsia"/>
                <w:i/>
                <w:color w:val="000000"/>
                <w:sz w:val="20"/>
                <w:szCs w:val="20"/>
                <w:lang w:eastAsia="es-MX"/>
              </w:rPr>
              <w:t>”</w:t>
            </w:r>
            <w:r w:rsidRPr="00DA418A">
              <w:rPr>
                <w:rFonts w:ascii="Adobe Caslon Pro" w:hAnsi="Adobe Caslon Pro" w:cs="Calibri"/>
                <w:i/>
                <w:color w:val="000000"/>
                <w:sz w:val="20"/>
                <w:szCs w:val="20"/>
                <w:lang w:eastAsia="es-MX"/>
              </w:rPr>
              <w:t>.</w:t>
            </w:r>
          </w:p>
          <w:p w:rsidR="007456F1" w:rsidRPr="00DA418A" w:rsidRDefault="007456F1" w:rsidP="00A56E05">
            <w:pPr>
              <w:ind w:left="509"/>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COBERTURA Y FOCALIZACIÓN</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La población que desea atender 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xml:space="preserve"> con recursos del FAM en su vertiente de Asistencia Social se define de manera concreta y clara, por características de vulnerabilidad, condiciones de pobreza extrema y por región geográfica. Lo anterior se regula mediante las Reglas de Operación del Programa. </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Se cuenta con un padrón de beneficiarios, con características (socio-económicas,</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 xml:space="preserve">edad, sexo, etc.) para identificar a la población atendida del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w:t>
            </w:r>
          </w:p>
          <w:p w:rsidR="007456F1" w:rsidRPr="00BE4199" w:rsidRDefault="007456F1" w:rsidP="00A56E05">
            <w:pPr>
              <w:ind w:left="720"/>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OPERACIÓN</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lastRenderedPageBreak/>
              <w:t xml:space="preserve">La operación de los recursos del Fondo se da mediante 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con base en la normatividad, este coadyuva con los programas de la Federación y del Estado con la planeación estratégica para el desarrollo.</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Establecen sistemas de información para recolectar información oportuna y veraz sobre el ejercicio y los resultados obtenidos del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Se cumple con la normatividad referente a la información financiera (avances físicos-financieros, actas de entrega recepción y cierre del ejercicio.</w:t>
            </w:r>
          </w:p>
          <w:p w:rsidR="007456F1" w:rsidRPr="00C41A47" w:rsidRDefault="007456F1" w:rsidP="00A56E05">
            <w:pPr>
              <w:ind w:left="720"/>
              <w:jc w:val="both"/>
              <w:rPr>
                <w:rFonts w:ascii="Adobe Caslon Pro" w:hAnsi="Adobe Caslon Pro" w:cs="Calibri"/>
                <w: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La población que desea atender 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xml:space="preserve"> con recursos del FAM en su vertiente de Asistencia Social se define de manera concreta y clara, por características de vulnerabilidad, condiciones de pobreza extrema y por </w:t>
            </w:r>
            <w:r>
              <w:rPr>
                <w:rFonts w:ascii="Adobe Caslon Pro" w:hAnsi="Adobe Caslon Pro" w:cs="Calibri"/>
                <w:i/>
                <w:color w:val="000000"/>
                <w:sz w:val="20"/>
                <w:szCs w:val="20"/>
                <w:lang w:eastAsia="es-MX"/>
              </w:rPr>
              <w:t xml:space="preserve">región </w:t>
            </w:r>
            <w:r w:rsidRPr="00F235FF">
              <w:rPr>
                <w:rFonts w:ascii="Adobe Caslon Pro" w:hAnsi="Adobe Caslon Pro" w:cs="Calibri"/>
                <w:i/>
                <w:color w:val="000000"/>
                <w:sz w:val="20"/>
                <w:szCs w:val="20"/>
                <w:lang w:eastAsia="es-MX"/>
              </w:rPr>
              <w:t>geográfica. Lo anterior se regula mediante las Reglas de Operación del Programa.</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Se cuenta con un padrón de beneficiarios, con características (socio-económicas, edad, sexo, etc.) para identificar a la población atendida del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w:t>
            </w:r>
            <w:r>
              <w:rPr>
                <w:rFonts w:ascii="Adobe Caslon Pro" w:hAnsi="Adobe Caslon Pro" w:cs="Calibri"/>
                <w:i/>
                <w:color w:val="000000"/>
                <w:sz w:val="20"/>
                <w:szCs w:val="20"/>
                <w:lang w:eastAsia="es-MX"/>
              </w:rPr>
              <w:t xml:space="preserve"> </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Se cuenta con reglas para la operación del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xml:space="preserve"> donde se definen a las</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poblaciones que pretende atender</w:t>
            </w:r>
            <w:r>
              <w:rPr>
                <w:rFonts w:ascii="Adobe Caslon Pro" w:hAnsi="Adobe Caslon Pro" w:cs="Calibri"/>
                <w:i/>
                <w:color w:val="000000"/>
                <w:sz w:val="20"/>
                <w:szCs w:val="20"/>
                <w:lang w:eastAsia="es-MX"/>
              </w:rPr>
              <w:t>.</w:t>
            </w:r>
          </w:p>
          <w:p w:rsidR="007456F1" w:rsidRPr="00F235FF" w:rsidRDefault="007456F1" w:rsidP="00A56E05">
            <w:pPr>
              <w:ind w:left="509"/>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RESULTADOS</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Se cuenta con las metas pertinentes y su seguimiento mediante un sistema de información, así como las Metas de la Planeación Estratégica Nacional y del Estado.</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ü Se cuenta con el avance de los indicadores por ámbito de desempeño de la MIR del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xml:space="preserve"> y del Fondo, lo cual nos muestra resultados e información para la toma de decisiones.</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Referente a las dimensiones de los objetivos para su adecuada medición, se establecen los siguientes: de eficacia, eficiencia y calidad.</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Se cuenta con el seguimiento de las metas establecidas en la Planeación Estratégica.</w:t>
            </w:r>
          </w:p>
          <w:p w:rsidR="007456F1" w:rsidRPr="00F235FF" w:rsidRDefault="007456F1" w:rsidP="00A56E05">
            <w:pPr>
              <w:ind w:left="509"/>
              <w:jc w:val="both"/>
              <w:rPr>
                <w:rFonts w:ascii="Adobe Caslon Pro" w:hAnsi="Adobe Caslon Pro" w:cs="Calibri"/>
                <w: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 DE LOS RECURSOS</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En la parte de la recepción y entrega del recurso se observa que fue en tiempo</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 xml:space="preserve">y forma para la operación del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de la Federación al Estado de Oaxaca.</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Referente al ejercicio de los recursos del FAM en su vertiente de Asistencia Social utilizados por 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se monitorea y cuantifica el presupuesto</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que se ejerció y el que no se ejerció.</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Se establece un sistema de información que ayuda a la transparencia y rendición de cuentas, establecido en la normatividad para la utilización de los</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recursos federales.</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Se presenta la información pertinente sobre la recepción, ejercicio y destino de los recursos, así como los resultados obtenidos de los programas públicos en la página oficial del Estado de Oaxaca, como mecanismo para transparentar y rendir cuentas a la sociedad</w:t>
            </w:r>
          </w:p>
          <w:p w:rsidR="007456F1" w:rsidRPr="00BE4199" w:rsidRDefault="007456F1" w:rsidP="00A56E05">
            <w:pPr>
              <w:jc w:val="both"/>
              <w:rPr>
                <w:rFonts w:ascii="Adobe Caslon Pro" w:hAnsi="Adobe Caslon Pro" w:cs="Calibri"/>
                <w: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2.2.3 Debilidades:</w:t>
            </w:r>
          </w:p>
          <w:p w:rsidR="007456F1" w:rsidRPr="000D3BE9" w:rsidRDefault="007456F1" w:rsidP="00A56E05">
            <w:pPr>
              <w:spacing w:line="360" w:lineRule="auto"/>
              <w:jc w:val="both"/>
              <w:rPr>
                <w:rFonts w:ascii="Adobe Caslon Pro" w:hAnsi="Adobe Caslon Pro" w:cs="Calibri"/>
                <w:i/>
                <w:color w:val="000000"/>
                <w:sz w:val="20"/>
                <w:szCs w:val="20"/>
                <w:lang w:eastAsia="es-MX"/>
              </w:rPr>
            </w:pPr>
            <w:r w:rsidRPr="000D3BE9">
              <w:rPr>
                <w:rFonts w:ascii="Adobe Caslon Pro" w:hAnsi="Adobe Caslon Pro" w:cs="Calibri"/>
                <w:i/>
                <w:color w:val="000000"/>
                <w:sz w:val="20"/>
                <w:szCs w:val="20"/>
                <w:lang w:eastAsia="es-MX"/>
              </w:rPr>
              <w:t>DISEÑO</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Para el caso de la frecuencia de medición se observa que es anual para todos los objetivos de los ámbitos de desempeño de la MIR, lo cual puede generar</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resultados sesgados.</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No se establece una línea base, lo cual puede generar problemas en la comparación de la relación de los datos en una serie de tiempo, esto para establecer</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mejores resultados.</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El medio de verificación que alimenta el indicador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porcentaje de alimentos que cumplen con las especificaciones de calidad</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no indica ni una base de datos o informe donde mencione dichas especificaciones.</w:t>
            </w:r>
          </w:p>
          <w:p w:rsidR="007456F1"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lastRenderedPageBreak/>
              <w:t>La observación se hace por la necesidad de establecer los supuestos como tal, ya que la parte exógena se define de manera clara, pero en la cuestión endógena se observan supuestos que pueden ser atendidos por actividades del mismo programa</w:t>
            </w:r>
            <w:r>
              <w:rPr>
                <w:rFonts w:ascii="Adobe Caslon Pro" w:hAnsi="Adobe Caslon Pro" w:cs="Calibri"/>
                <w:i/>
                <w:color w:val="000000"/>
                <w:sz w:val="20"/>
                <w:szCs w:val="20"/>
                <w:lang w:eastAsia="es-MX"/>
              </w:rPr>
              <w:t>.</w:t>
            </w:r>
          </w:p>
          <w:p w:rsidR="007456F1" w:rsidRPr="00F235FF" w:rsidRDefault="007456F1" w:rsidP="00A56E05">
            <w:pPr>
              <w:ind w:left="509"/>
              <w:jc w:val="both"/>
              <w:rPr>
                <w:rFonts w:ascii="Adobe Caslon Pro" w:hAnsi="Adobe Caslon Pro" w:cs="Calibri"/>
                <w:i/>
                <w:color w:val="000000"/>
                <w:sz w:val="20"/>
                <w:szCs w:val="20"/>
                <w:lang w:eastAsia="es-MX"/>
              </w:rPr>
            </w:pPr>
          </w:p>
          <w:p w:rsidR="007456F1" w:rsidRPr="000D3BE9" w:rsidRDefault="007456F1" w:rsidP="00A56E05">
            <w:pPr>
              <w:spacing w:line="360" w:lineRule="auto"/>
              <w:jc w:val="both"/>
              <w:rPr>
                <w:rFonts w:ascii="Adobe Caslon Pro" w:hAnsi="Adobe Caslon Pro" w:cs="Calibri"/>
                <w:i/>
                <w:color w:val="000000"/>
                <w:sz w:val="20"/>
                <w:szCs w:val="20"/>
                <w:lang w:eastAsia="es-MX"/>
              </w:rPr>
            </w:pPr>
            <w:r w:rsidRPr="000D3BE9">
              <w:rPr>
                <w:rFonts w:ascii="Adobe Caslon Pro" w:hAnsi="Adobe Caslon Pro" w:cs="Calibri"/>
                <w:i/>
                <w:color w:val="000000"/>
                <w:sz w:val="20"/>
                <w:szCs w:val="20"/>
                <w:lang w:eastAsia="es-MX"/>
              </w:rPr>
              <w:t>OPERACIÓN</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No se cuenta con un análisis econométrico que relacione variables para saber</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 xml:space="preserve">el costo-efectividad del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Programa</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w:t>
            </w:r>
          </w:p>
          <w:p w:rsidR="007456F1" w:rsidRDefault="007456F1" w:rsidP="00A56E05">
            <w:pPr>
              <w:jc w:val="both"/>
              <w:rPr>
                <w:rFonts w:ascii="Adobe Caslon Pro" w:hAnsi="Adobe Caslon Pro" w:cs="Calibri"/>
                <w:i/>
                <w:color w:val="000000"/>
                <w:sz w:val="20"/>
                <w:szCs w:val="20"/>
                <w:lang w:eastAsia="es-MX"/>
              </w:rPr>
            </w:pPr>
          </w:p>
          <w:p w:rsidR="007456F1" w:rsidRPr="00BE4199" w:rsidRDefault="007456F1" w:rsidP="00A56E05">
            <w:pPr>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RESULTADOS</w:t>
            </w:r>
          </w:p>
          <w:p w:rsidR="007456F1" w:rsidRPr="00F235FF"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 xml:space="preserve">Para el caso del indicador que mide la dimensión de calidad, no es posible medir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la satisfacción</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 xml:space="preserve"> sin una herramienta que se acerque a la población que se atiende, como se mencionó para el medio de verificación </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porcentaje de</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alimentos que cumplen con las especificaciones de calidad</w:t>
            </w:r>
            <w:r w:rsidRPr="00F235FF">
              <w:rPr>
                <w:rFonts w:ascii="Adobe Caslon Pro" w:hAnsi="Adobe Caslon Pro" w:cs="Calibri" w:hint="eastAsia"/>
                <w:i/>
                <w:color w:val="000000"/>
                <w:sz w:val="20"/>
                <w:szCs w:val="20"/>
                <w:lang w:eastAsia="es-MX"/>
              </w:rPr>
              <w:t>”</w:t>
            </w:r>
            <w:r w:rsidRPr="00F235FF">
              <w:rPr>
                <w:rFonts w:ascii="Adobe Caslon Pro" w:hAnsi="Adobe Caslon Pro" w:cs="Calibri"/>
                <w:i/>
                <w:color w:val="000000"/>
                <w:sz w:val="20"/>
                <w:szCs w:val="20"/>
                <w:lang w:eastAsia="es-MX"/>
              </w:rPr>
              <w:t>.</w:t>
            </w:r>
          </w:p>
          <w:p w:rsidR="007456F1" w:rsidRDefault="007456F1" w:rsidP="00A56E05">
            <w:pPr>
              <w:jc w:val="both"/>
              <w:rPr>
                <w:rFonts w:ascii="Adobe Caslon Pro" w:hAnsi="Adobe Caslon Pro" w:cs="Calibri"/>
                <w:i/>
                <w:color w:val="000000"/>
                <w:sz w:val="20"/>
                <w:szCs w:val="20"/>
                <w:lang w:eastAsia="es-MX"/>
              </w:rPr>
            </w:pPr>
          </w:p>
          <w:p w:rsidR="007456F1" w:rsidRPr="00F235FF" w:rsidRDefault="007456F1" w:rsidP="00A56E05">
            <w:pPr>
              <w:jc w:val="both"/>
              <w:rPr>
                <w:rFonts w:ascii="Adobe Caslon Pro" w:hAnsi="Adobe Caslon Pro" w:cs="Calibri"/>
                <w:i/>
                <w:color w:val="000000"/>
                <w:sz w:val="20"/>
                <w:szCs w:val="20"/>
                <w:lang w:eastAsia="es-MX"/>
              </w:rPr>
            </w:pPr>
            <w:r w:rsidRPr="00F235FF">
              <w:rPr>
                <w:rFonts w:ascii="Adobe Caslon Pro" w:hAnsi="Adobe Caslon Pro" w:cs="Calibri"/>
                <w:i/>
                <w:color w:val="000000"/>
                <w:sz w:val="20"/>
                <w:szCs w:val="20"/>
                <w:lang w:eastAsia="es-MX"/>
              </w:rPr>
              <w:t>EJERCICIO DE LOS RECURSOS</w:t>
            </w:r>
          </w:p>
          <w:p w:rsidR="007456F1" w:rsidRPr="00F235FF" w:rsidRDefault="007456F1" w:rsidP="00F075EB">
            <w:pPr>
              <w:numPr>
                <w:ilvl w:val="0"/>
                <w:numId w:val="71"/>
              </w:numPr>
              <w:ind w:left="509" w:hanging="283"/>
              <w:jc w:val="both"/>
              <w:rPr>
                <w:rFonts w:ascii="Adobe Caslon Pro" w:hAnsi="Adobe Caslon Pro" w:cs="Calibri"/>
                <w:color w:val="000000"/>
                <w:sz w:val="20"/>
                <w:szCs w:val="20"/>
                <w:lang w:eastAsia="es-MX"/>
              </w:rPr>
            </w:pPr>
            <w:r w:rsidRPr="00F235FF">
              <w:rPr>
                <w:rFonts w:ascii="Adobe Caslon Pro" w:hAnsi="Adobe Caslon Pro" w:cs="Calibri"/>
                <w:i/>
                <w:color w:val="000000"/>
                <w:sz w:val="20"/>
                <w:szCs w:val="20"/>
                <w:lang w:eastAsia="es-MX"/>
              </w:rPr>
              <w:t>Generar información referente a la recepción de los recursos del Estado a la</w:t>
            </w:r>
            <w:r>
              <w:rPr>
                <w:rFonts w:ascii="Adobe Caslon Pro" w:hAnsi="Adobe Caslon Pro" w:cs="Calibri"/>
                <w:i/>
                <w:color w:val="000000"/>
                <w:sz w:val="20"/>
                <w:szCs w:val="20"/>
                <w:lang w:eastAsia="es-MX"/>
              </w:rPr>
              <w:t xml:space="preserve"> </w:t>
            </w:r>
            <w:r w:rsidRPr="00F235FF">
              <w:rPr>
                <w:rFonts w:ascii="Adobe Caslon Pro" w:hAnsi="Adobe Caslon Pro" w:cs="Calibri"/>
                <w:i/>
                <w:color w:val="000000"/>
                <w:sz w:val="20"/>
                <w:szCs w:val="20"/>
                <w:lang w:eastAsia="es-MX"/>
              </w:rPr>
              <w:t>Instancia Ejecutora de los recursos del Fondo</w:t>
            </w:r>
          </w:p>
          <w:p w:rsidR="007456F1" w:rsidRPr="009D2A6D" w:rsidRDefault="007456F1" w:rsidP="00A56E05">
            <w:pPr>
              <w:ind w:left="509"/>
              <w:jc w:val="both"/>
              <w:rPr>
                <w:rFonts w:ascii="Adobe Caslon Pro" w:hAnsi="Adobe Caslon Pro" w:cs="Calibr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2.2.4 Amenazas:</w:t>
            </w:r>
          </w:p>
        </w:tc>
      </w:tr>
      <w:tr w:rsidR="007456F1" w:rsidRPr="00BE4199"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7456F1" w:rsidRPr="00BE4199" w:rsidTr="00A56E05">
        <w:trPr>
          <w:trHeight w:val="143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3.1 Describir brevemente las conclusiones de la evaluación: </w:t>
            </w:r>
          </w:p>
          <w:p w:rsidR="007456F1" w:rsidRPr="00226041" w:rsidRDefault="007456F1" w:rsidP="00A56E05">
            <w:pPr>
              <w:jc w:val="both"/>
              <w:rPr>
                <w:rFonts w:ascii="Adobe Caslon Pro" w:hAnsi="Adobe Caslon Pro" w:cs="Calibri"/>
                <w:i/>
                <w:color w:val="000000"/>
                <w:sz w:val="20"/>
                <w:szCs w:val="20"/>
                <w:lang w:eastAsia="es-MX"/>
              </w:rPr>
            </w:pPr>
            <w:r w:rsidRPr="00226041">
              <w:rPr>
                <w:rFonts w:ascii="Adobe Caslon Pro" w:hAnsi="Adobe Caslon Pro" w:cs="Calibri"/>
                <w:i/>
                <w:color w:val="000000"/>
                <w:sz w:val="20"/>
                <w:szCs w:val="20"/>
                <w:lang w:eastAsia="es-MX"/>
              </w:rPr>
              <w:t xml:space="preserve">El Fondo y el </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Programa</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 xml:space="preserve"> cuentan con una Matriz de Indicadores de Resultados</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con base en los objetivos estratégicos de la planeación del desarrollo, y llevan</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una lógica hacia resultados como lo señala la Metodología del Marco Lógico. La lógica horizontal y vertical, se validan de manera satisfactoria por el cumplimiento</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de los elementos establecidos en la Metodología del Marco Lógico para el</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diseño de P</w:t>
            </w:r>
            <w:r>
              <w:rPr>
                <w:rFonts w:ascii="Adobe Caslon Pro" w:hAnsi="Adobe Caslon Pro" w:cs="Calibri"/>
                <w:i/>
                <w:color w:val="000000"/>
                <w:sz w:val="20"/>
                <w:szCs w:val="20"/>
                <w:lang w:eastAsia="es-MX"/>
              </w:rPr>
              <w:t>rogramas Públicos; sin embargo,</w:t>
            </w:r>
            <w:r w:rsidRPr="00226041">
              <w:rPr>
                <w:rFonts w:ascii="Adobe Caslon Pro" w:hAnsi="Adobe Caslon Pro" w:cs="Calibri"/>
                <w:i/>
                <w:color w:val="000000"/>
                <w:sz w:val="20"/>
                <w:szCs w:val="20"/>
                <w:lang w:eastAsia="es-MX"/>
              </w:rPr>
              <w:t xml:space="preserve"> se pueden mejorar los supuestos de la Matriz de Indicadores para</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Resultados del Programa</w:t>
            </w:r>
            <w:r>
              <w:rPr>
                <w:rFonts w:ascii="Adobe Caslon Pro" w:hAnsi="Adobe Caslon Pro" w:cs="Calibri"/>
                <w:i/>
                <w:color w:val="000000"/>
                <w:sz w:val="20"/>
                <w:szCs w:val="20"/>
                <w:lang w:eastAsia="es-MX"/>
              </w:rPr>
              <w:t>.</w:t>
            </w:r>
          </w:p>
          <w:p w:rsidR="007456F1" w:rsidRPr="00226041" w:rsidRDefault="007456F1" w:rsidP="00A56E05">
            <w:pPr>
              <w:jc w:val="both"/>
              <w:rPr>
                <w:rFonts w:ascii="Adobe Caslon Pro" w:hAnsi="Adobe Caslon Pro" w:cs="Calibri"/>
                <w:i/>
                <w:color w:val="000000"/>
                <w:sz w:val="20"/>
                <w:szCs w:val="20"/>
                <w:lang w:eastAsia="es-MX"/>
              </w:rPr>
            </w:pPr>
          </w:p>
          <w:p w:rsidR="007456F1" w:rsidRPr="0022604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Por otro lado el diseño de los indicadores para el monitoreo y la evaluación del</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Programa es el adecuado, ya que cumplen con las características de validación</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y la información para relacionar los datos es alcanzable con los medios y fuentes</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de información.</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problema y la población objetivo del Programa se definen conforme lo establecido</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en la normatividad de la LCF para la utilización de los recursos del FAM en su</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vertiente Asistencia Social y la Estrategia Integral de Asistencia Social Alimentaria</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(EIASA); como clave del diseño para la operación se cuenta con las Reglas de Operación, donde se establecen los criterios de elegibilidad para participar en la</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entrega de los apoyos mediante las paginas oficiales de información estadística</w:t>
            </w:r>
          </w:p>
          <w:p w:rsidR="007456F1"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sidRPr="00226041">
              <w:rPr>
                <w:rFonts w:ascii="Adobe Caslon Pro" w:hAnsi="Adobe Caslon Pro" w:cs="Calibri"/>
                <w:i/>
                <w:color w:val="000000"/>
                <w:sz w:val="20"/>
                <w:szCs w:val="20"/>
                <w:lang w:eastAsia="es-MX"/>
              </w:rPr>
              <w:t xml:space="preserve">En la </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Planeación Estratégica</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 xml:space="preserve"> del Sistema para el Desarrollo Integral de la Familia</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 xml:space="preserve">del Estado de Oaxaca, se cuenta con el </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Programa de Participación Comunitaria</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para el Desarrollo Humano con Asistencia Alimentaria</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 con el Plan Estratégico del</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Sistema DIF Oaxaca y con el Plan Sectorial de Desarrollo Social y Humano (2011</w:t>
            </w:r>
            <w:r w:rsidRPr="00226041">
              <w:rPr>
                <w:rFonts w:ascii="Adobe Caslon Pro" w:hAnsi="Adobe Caslon Pro" w:cs="Calibri" w:hint="eastAsia"/>
                <w:i/>
                <w:color w:val="000000"/>
                <w:sz w:val="20"/>
                <w:szCs w:val="20"/>
                <w:lang w:eastAsia="es-MX"/>
              </w:rPr>
              <w:t>–</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2016), donde se establecen objetivos y metas referentes a la problemática antes</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mencionada. Asimismo, para alimentar de información a las acciones realizadas</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se utilizan sistemas de información como son: el Sistema de Formato Único (SFU)</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con los reportes sobre el ejercicio y los resultados en el Portal Aplicativo de la</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Secretaria de Hacienda (PASH, el SINPRES derivado de la información establecida en el Presupuesto de Egresos</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del Estado de Oaxaca y el Sistema de Seguimiento de CCNC (SISCCNC), para contribuir</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en el mejor seguimiento de las comunidades y beneficiarios apoyados por</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 xml:space="preserve">el </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Programa</w:t>
            </w:r>
            <w:r>
              <w:rPr>
                <w:rFonts w:ascii="Adobe Caslon Pro" w:hAnsi="Adobe Caslon Pro" w:cs="Calibri"/>
                <w:i/>
                <w:color w:val="000000"/>
                <w:sz w:val="20"/>
                <w:szCs w:val="20"/>
                <w:lang w:eastAsia="es-MX"/>
              </w:rPr>
              <w:t>.</w:t>
            </w:r>
          </w:p>
          <w:p w:rsidR="007456F1" w:rsidRDefault="007456F1" w:rsidP="00A56E05">
            <w:pPr>
              <w:autoSpaceDE w:val="0"/>
              <w:autoSpaceDN w:val="0"/>
              <w:adjustRightInd w:val="0"/>
              <w:rPr>
                <w:rFonts w:ascii="MyriadPro-Regular" w:eastAsia="MyriadPro-Regular" w:cs="MyriadPro-Regular"/>
                <w:lang w:eastAsia="es-MX"/>
              </w:rPr>
            </w:pPr>
          </w:p>
          <w:p w:rsidR="007456F1" w:rsidRDefault="007456F1" w:rsidP="00A56E05">
            <w:pPr>
              <w:autoSpaceDE w:val="0"/>
              <w:autoSpaceDN w:val="0"/>
              <w:adjustRightInd w:val="0"/>
              <w:rPr>
                <w:rFonts w:ascii="Adobe Caslon Pro" w:hAnsi="Adobe Caslon Pro" w:cs="Calibri"/>
                <w:i/>
                <w:color w:val="000000"/>
                <w:sz w:val="20"/>
                <w:szCs w:val="20"/>
                <w:lang w:eastAsia="es-MX"/>
              </w:rPr>
            </w:pPr>
            <w:r w:rsidRPr="00226041">
              <w:rPr>
                <w:rFonts w:ascii="Adobe Caslon Pro" w:hAnsi="Adobe Caslon Pro" w:cs="Calibri"/>
                <w:i/>
                <w:color w:val="000000"/>
                <w:sz w:val="20"/>
                <w:szCs w:val="20"/>
                <w:lang w:eastAsia="es-MX"/>
              </w:rPr>
              <w:t xml:space="preserve">La </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Cobertura y Focalización</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 xml:space="preserve"> con base en lo establecido en el artículo 40 de la LCF</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y el destino de los recursos, se establece las Reglas de Operación del Programa</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 xml:space="preserve">con los criterios de elegibilidad. Con esta selección focalizada </w:t>
            </w:r>
            <w:r w:rsidRPr="00226041">
              <w:rPr>
                <w:rFonts w:ascii="Adobe Caslon Pro" w:hAnsi="Adobe Caslon Pro" w:cs="Calibri"/>
                <w:i/>
                <w:color w:val="000000"/>
                <w:sz w:val="20"/>
                <w:szCs w:val="20"/>
                <w:lang w:eastAsia="es-MX"/>
              </w:rPr>
              <w:lastRenderedPageBreak/>
              <w:t>se utiliza un padrón</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de beneficiarios donde se controla la cobertura de la población atendida, padrón</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que cuenta con un estudio socio-económico, rangos de edad, sexo, escolaridad,</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entre otras características sobre la situación del beneficiario, y se actualiza cada</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ano.</w:t>
            </w:r>
          </w:p>
          <w:p w:rsidR="007456F1" w:rsidRDefault="007456F1" w:rsidP="00A56E05">
            <w:pPr>
              <w:autoSpaceDE w:val="0"/>
              <w:autoSpaceDN w:val="0"/>
              <w:adjustRightInd w:val="0"/>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sidRPr="00226041">
              <w:rPr>
                <w:rFonts w:ascii="Adobe Caslon Pro" w:hAnsi="Adobe Caslon Pro" w:cs="Calibri"/>
                <w:i/>
                <w:color w:val="000000"/>
                <w:sz w:val="20"/>
                <w:szCs w:val="20"/>
                <w:lang w:eastAsia="es-MX"/>
              </w:rPr>
              <w:t>Los resultados establecidos en las MIR del Fondo y del “Programa” son claros y</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reflejan trabajo de monitoreo y levantamiento de información; las dimensiones</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para medir la parte sustantiva de los objetivos de la MIR muestran la entrega de</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los bienes y servicios, así como su contribución en la condición de la población.</w:t>
            </w:r>
            <w:r>
              <w:rPr>
                <w:rFonts w:ascii="Adobe Caslon Pro" w:hAnsi="Adobe Caslon Pro" w:cs="Calibri"/>
                <w:i/>
                <w:color w:val="000000"/>
                <w:sz w:val="20"/>
                <w:szCs w:val="20"/>
                <w:lang w:eastAsia="es-MX"/>
              </w:rPr>
              <w:t xml:space="preserve"> </w:t>
            </w:r>
            <w:r w:rsidRPr="00226041">
              <w:rPr>
                <w:rFonts w:ascii="Adobe Caslon Pro" w:hAnsi="Adobe Caslon Pro" w:cs="Calibri"/>
                <w:i/>
                <w:color w:val="000000"/>
                <w:sz w:val="20"/>
                <w:szCs w:val="20"/>
                <w:lang w:eastAsia="es-MX"/>
              </w:rPr>
              <w:t>Como referencia a los resultados, el Estado de Oaxaca cuenta con el documento</w:t>
            </w:r>
            <w:r>
              <w:rPr>
                <w:rFonts w:ascii="Adobe Caslon Pro" w:hAnsi="Adobe Caslon Pro" w:cs="Calibri"/>
                <w:i/>
                <w:color w:val="000000"/>
                <w:sz w:val="20"/>
                <w:szCs w:val="20"/>
                <w:lang w:eastAsia="es-MX"/>
              </w:rPr>
              <w:t xml:space="preserve"> </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Indicadores para la Evaluación de la Operación del FAM</w:t>
            </w:r>
            <w:r w:rsidRPr="00226041">
              <w:rPr>
                <w:rFonts w:ascii="Adobe Caslon Pro" w:hAnsi="Adobe Caslon Pro" w:cs="Calibri" w:hint="eastAsia"/>
                <w:i/>
                <w:color w:val="000000"/>
                <w:sz w:val="20"/>
                <w:szCs w:val="20"/>
                <w:lang w:eastAsia="es-MX"/>
              </w:rPr>
              <w:t>”</w:t>
            </w:r>
            <w:r w:rsidRPr="00226041">
              <w:rPr>
                <w:rFonts w:ascii="Adobe Caslon Pro" w:hAnsi="Adobe Caslon Pro" w:cs="Calibri"/>
                <w:i/>
                <w:color w:val="000000"/>
                <w:sz w:val="20"/>
                <w:szCs w:val="20"/>
                <w:lang w:eastAsia="es-MX"/>
              </w:rPr>
              <w:t>, documento que muestra</w:t>
            </w:r>
            <w:r>
              <w:rPr>
                <w:rFonts w:ascii="Adobe Caslon Pro" w:hAnsi="Adobe Caslon Pro" w:cs="Calibri"/>
                <w:i/>
                <w:color w:val="000000"/>
                <w:sz w:val="20"/>
                <w:szCs w:val="20"/>
                <w:lang w:eastAsia="es-MX"/>
              </w:rPr>
              <w:t>, l</w:t>
            </w:r>
            <w:r w:rsidRPr="00226041">
              <w:rPr>
                <w:rFonts w:ascii="Adobe Caslon Pro" w:hAnsi="Adobe Caslon Pro" w:cs="Calibri"/>
                <w:i/>
                <w:color w:val="000000"/>
                <w:sz w:val="20"/>
                <w:szCs w:val="20"/>
                <w:lang w:eastAsia="es-MX"/>
              </w:rPr>
              <w:t>os indicadores por los que mide la operación de los recursos del Fondo</w:t>
            </w:r>
          </w:p>
          <w:p w:rsidR="007456F1" w:rsidRPr="00BE4199" w:rsidRDefault="007456F1" w:rsidP="00A56E05">
            <w:pPr>
              <w:autoSpaceDE w:val="0"/>
              <w:autoSpaceDN w:val="0"/>
              <w:adjustRightInd w:val="0"/>
              <w:jc w:val="both"/>
              <w:rPr>
                <w:rFonts w:ascii="Adobe Caslon Pro" w:hAnsi="Adobe Caslon Pro" w:cs="Calibri"/>
                <w:color w:val="000000"/>
                <w:sz w:val="20"/>
                <w:szCs w:val="20"/>
                <w:lang w:eastAsia="es-MX"/>
              </w:rPr>
            </w:pPr>
          </w:p>
        </w:tc>
      </w:tr>
      <w:tr w:rsidR="007456F1" w:rsidRPr="00BE4199" w:rsidTr="00A56E05">
        <w:trPr>
          <w:trHeight w:val="264"/>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3.2 Describir las recomendaciones de acuerdo a su relevancia:</w:t>
            </w:r>
          </w:p>
        </w:tc>
      </w:tr>
      <w:tr w:rsidR="007456F1" w:rsidRPr="00BE4199"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DISEÑO</w:t>
            </w:r>
          </w:p>
          <w:p w:rsidR="007456F1" w:rsidRDefault="007456F1" w:rsidP="00F075EB">
            <w:pPr>
              <w:numPr>
                <w:ilvl w:val="0"/>
                <w:numId w:val="71"/>
              </w:numPr>
              <w:jc w:val="both"/>
              <w:rPr>
                <w:rFonts w:ascii="Adobe Caslon Pro" w:hAnsi="Adobe Caslon Pro" w:cs="Calibri"/>
                <w:i/>
                <w:color w:val="000000"/>
                <w:sz w:val="20"/>
                <w:szCs w:val="20"/>
                <w:lang w:eastAsia="es-MX"/>
              </w:rPr>
            </w:pPr>
            <w:r w:rsidRPr="00AE2E3C">
              <w:rPr>
                <w:rFonts w:ascii="Adobe Caslon Pro" w:hAnsi="Adobe Caslon Pro" w:cs="Calibri"/>
                <w:i/>
                <w:color w:val="000000"/>
                <w:sz w:val="20"/>
                <w:szCs w:val="20"/>
                <w:lang w:eastAsia="es-MX"/>
              </w:rPr>
              <w:t xml:space="preserve">Los indicadores están bien definidos, con la salvedad del indicador de la actividad número 2 del componente número 2, en el que se recomienda adecuar conforme a la respuesta de la pregunta 12, ya </w:t>
            </w:r>
            <w:r>
              <w:rPr>
                <w:rFonts w:ascii="Adobe Caslon Pro" w:hAnsi="Adobe Caslon Pro" w:cs="Calibri"/>
                <w:i/>
                <w:color w:val="000000"/>
                <w:sz w:val="20"/>
                <w:szCs w:val="20"/>
                <w:lang w:eastAsia="es-MX"/>
              </w:rPr>
              <w:t>q</w:t>
            </w:r>
            <w:r w:rsidRPr="00AE2E3C">
              <w:rPr>
                <w:rFonts w:ascii="Adobe Caslon Pro" w:hAnsi="Adobe Caslon Pro" w:cs="Calibri"/>
                <w:i/>
                <w:color w:val="000000"/>
                <w:sz w:val="20"/>
                <w:szCs w:val="20"/>
                <w:lang w:eastAsia="es-MX"/>
              </w:rPr>
              <w:t xml:space="preserve">ue la unidad de medida es un promedio y en la formula se multiplica por </w:t>
            </w:r>
            <w:r>
              <w:rPr>
                <w:rFonts w:ascii="Adobe Caslon Pro" w:hAnsi="Adobe Caslon Pro" w:cs="Calibri"/>
                <w:i/>
                <w:color w:val="000000"/>
                <w:sz w:val="20"/>
                <w:szCs w:val="20"/>
                <w:lang w:eastAsia="es-MX"/>
              </w:rPr>
              <w:t>cien, siendo este un porcentaje.</w:t>
            </w:r>
          </w:p>
          <w:p w:rsidR="007456F1" w:rsidRDefault="007456F1" w:rsidP="00F075EB">
            <w:pPr>
              <w:numPr>
                <w:ilvl w:val="0"/>
                <w:numId w:val="71"/>
              </w:numPr>
              <w:jc w:val="both"/>
              <w:rPr>
                <w:rFonts w:ascii="Adobe Caslon Pro" w:hAnsi="Adobe Caslon Pro" w:cs="Calibri"/>
                <w:i/>
                <w:color w:val="000000"/>
                <w:sz w:val="20"/>
                <w:szCs w:val="20"/>
                <w:lang w:eastAsia="es-MX"/>
              </w:rPr>
            </w:pPr>
            <w:r w:rsidRPr="00AE2E3C">
              <w:rPr>
                <w:rFonts w:ascii="Adobe Caslon Pro" w:hAnsi="Adobe Caslon Pro" w:cs="Calibri"/>
                <w:i/>
                <w:color w:val="000000"/>
                <w:sz w:val="20"/>
                <w:szCs w:val="20"/>
                <w:lang w:eastAsia="es-MX"/>
              </w:rPr>
              <w:t xml:space="preserve">Se recomienda que la frecuencia de medición para Componentes y Actividades sea menor a la de Fin y Propósito, ya que se podría mejorar la implementación de los procesos y los insumos del </w:t>
            </w:r>
            <w:r w:rsidRPr="00AE2E3C">
              <w:rPr>
                <w:rFonts w:ascii="Adobe Caslon Pro" w:hAnsi="Adobe Caslon Pro" w:cs="Calibri" w:hint="eastAsia"/>
                <w:i/>
                <w:color w:val="000000"/>
                <w:sz w:val="20"/>
                <w:szCs w:val="20"/>
                <w:lang w:eastAsia="es-MX"/>
              </w:rPr>
              <w:t>“</w:t>
            </w:r>
            <w:r w:rsidRPr="00AE2E3C">
              <w:rPr>
                <w:rFonts w:ascii="Adobe Caslon Pro" w:hAnsi="Adobe Caslon Pro" w:cs="Calibri"/>
                <w:i/>
                <w:color w:val="000000"/>
                <w:sz w:val="20"/>
                <w:szCs w:val="20"/>
                <w:lang w:eastAsia="es-MX"/>
              </w:rPr>
              <w:t>Programa</w:t>
            </w:r>
            <w:r w:rsidRPr="00AE2E3C">
              <w:rPr>
                <w:rFonts w:ascii="Adobe Caslon Pro" w:hAnsi="Adobe Caslon Pro" w:cs="Calibri" w:hint="eastAsia"/>
                <w:i/>
                <w:color w:val="000000"/>
                <w:sz w:val="20"/>
                <w:szCs w:val="20"/>
                <w:lang w:eastAsia="es-MX"/>
              </w:rPr>
              <w:t>”</w:t>
            </w:r>
            <w:r w:rsidRPr="00AE2E3C">
              <w:rPr>
                <w:rFonts w:ascii="Adobe Caslon Pro" w:hAnsi="Adobe Caslon Pro" w:cs="Calibri"/>
                <w:i/>
                <w:color w:val="000000"/>
                <w:sz w:val="20"/>
                <w:szCs w:val="20"/>
                <w:lang w:eastAsia="es-MX"/>
              </w:rPr>
              <w:t xml:space="preserve"> por medio del monitoreo acertado a menor tiempo.</w:t>
            </w:r>
          </w:p>
          <w:p w:rsidR="007456F1" w:rsidRPr="00AE2E3C"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E2E3C">
              <w:rPr>
                <w:rFonts w:ascii="Adobe Caslon Pro" w:hAnsi="Adobe Caslon Pro" w:cs="Calibri"/>
                <w:i/>
                <w:color w:val="000000"/>
                <w:sz w:val="20"/>
                <w:szCs w:val="20"/>
                <w:lang w:eastAsia="es-MX"/>
              </w:rPr>
              <w:t xml:space="preserve">Para obtener mejores resultados mediante la comparación con otros años se recomienda agregar líneas bases o anos de referencia. </w:t>
            </w:r>
          </w:p>
          <w:p w:rsidR="007456F1" w:rsidRPr="00AE2E3C"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E2E3C">
              <w:rPr>
                <w:rFonts w:ascii="Adobe Caslon Pro" w:hAnsi="Adobe Caslon Pro" w:cs="Calibri"/>
                <w:i/>
                <w:color w:val="000000"/>
                <w:sz w:val="20"/>
                <w:szCs w:val="20"/>
                <w:lang w:eastAsia="es-MX"/>
              </w:rPr>
              <w:t>Se recomienda establecer una base de datos que muestre la interacción de los beneficiarios con los bienes y servicios que se entregan, para medir la satisfacción de los mismos, para este caso utilizar la ENHINA establecida en los</w:t>
            </w:r>
            <w:r>
              <w:rPr>
                <w:rFonts w:ascii="Adobe Caslon Pro" w:hAnsi="Adobe Caslon Pro" w:cs="Calibri"/>
                <w:i/>
                <w:color w:val="000000"/>
                <w:sz w:val="20"/>
                <w:szCs w:val="20"/>
                <w:lang w:eastAsia="es-MX"/>
              </w:rPr>
              <w:t xml:space="preserve"> </w:t>
            </w:r>
            <w:r w:rsidRPr="00AE2E3C">
              <w:rPr>
                <w:rFonts w:ascii="Adobe Caslon Pro" w:hAnsi="Adobe Caslon Pro" w:cs="Calibri"/>
                <w:i/>
                <w:color w:val="000000"/>
                <w:sz w:val="20"/>
                <w:szCs w:val="20"/>
                <w:lang w:eastAsia="es-MX"/>
              </w:rPr>
              <w:t>lineamientos del EIASA.</w:t>
            </w:r>
          </w:p>
          <w:p w:rsidR="007456F1" w:rsidRPr="00BE4199"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E2E3C">
              <w:rPr>
                <w:rFonts w:ascii="Adobe Caslon Pro" w:hAnsi="Adobe Caslon Pro" w:cs="Calibri"/>
                <w:i/>
                <w:color w:val="000000"/>
                <w:sz w:val="20"/>
                <w:szCs w:val="20"/>
                <w:lang w:eastAsia="es-MX"/>
              </w:rPr>
              <w:t>Se recomienda revisar para mejorar la redacción y el enfoque de los supue</w:t>
            </w:r>
            <w:r>
              <w:rPr>
                <w:rFonts w:ascii="Adobe Caslon Pro" w:hAnsi="Adobe Caslon Pro" w:cs="Calibri"/>
                <w:i/>
                <w:color w:val="000000"/>
                <w:sz w:val="20"/>
                <w:szCs w:val="20"/>
                <w:lang w:eastAsia="es-MX"/>
              </w:rPr>
              <w:t>stos.</w:t>
            </w:r>
          </w:p>
        </w:tc>
      </w:tr>
      <w:tr w:rsidR="007456F1" w:rsidRPr="00BE4199"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OPERACIÓN</w:t>
            </w:r>
          </w:p>
          <w:p w:rsidR="007456F1" w:rsidRPr="00C71799"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E2E3C">
              <w:rPr>
                <w:rFonts w:ascii="Adobe Caslon Pro" w:hAnsi="Adobe Caslon Pro" w:cs="Calibri"/>
                <w:i/>
                <w:color w:val="000000"/>
                <w:sz w:val="20"/>
                <w:szCs w:val="20"/>
                <w:lang w:eastAsia="es-MX"/>
              </w:rPr>
              <w:t>Se recomienda realizar un análisis econométrico para determinar el costo-</w:t>
            </w:r>
            <w:r>
              <w:rPr>
                <w:rFonts w:ascii="Adobe Caslon Pro" w:hAnsi="Adobe Caslon Pro" w:cs="Calibri"/>
                <w:i/>
                <w:color w:val="000000"/>
                <w:sz w:val="20"/>
                <w:szCs w:val="20"/>
                <w:lang w:eastAsia="es-MX"/>
              </w:rPr>
              <w:t xml:space="preserve"> </w:t>
            </w:r>
            <w:r w:rsidRPr="00AE2E3C">
              <w:rPr>
                <w:rFonts w:ascii="Adobe Caslon Pro" w:hAnsi="Adobe Caslon Pro" w:cs="Calibri"/>
                <w:i/>
                <w:color w:val="000000"/>
                <w:sz w:val="20"/>
                <w:szCs w:val="20"/>
                <w:lang w:eastAsia="es-MX"/>
              </w:rPr>
              <w:t xml:space="preserve">efectividad del </w:t>
            </w:r>
            <w:r w:rsidRPr="00AE2E3C">
              <w:rPr>
                <w:rFonts w:ascii="Adobe Caslon Pro" w:hAnsi="Adobe Caslon Pro" w:cs="Calibri" w:hint="eastAsia"/>
                <w:i/>
                <w:color w:val="000000"/>
                <w:sz w:val="20"/>
                <w:szCs w:val="20"/>
                <w:lang w:eastAsia="es-MX"/>
              </w:rPr>
              <w:t>“</w:t>
            </w:r>
            <w:r w:rsidRPr="00AE2E3C">
              <w:rPr>
                <w:rFonts w:ascii="Adobe Caslon Pro" w:hAnsi="Adobe Caslon Pro" w:cs="Calibri"/>
                <w:i/>
                <w:color w:val="000000"/>
                <w:sz w:val="20"/>
                <w:szCs w:val="20"/>
                <w:lang w:eastAsia="es-MX"/>
              </w:rPr>
              <w:t>Programa</w:t>
            </w:r>
            <w:r w:rsidRPr="00AE2E3C">
              <w:rPr>
                <w:rFonts w:ascii="Adobe Caslon Pro" w:hAnsi="Adobe Caslon Pro" w:cs="Calibri" w:hint="eastAsia"/>
                <w:i/>
                <w:color w:val="000000"/>
                <w:sz w:val="20"/>
                <w:szCs w:val="20"/>
                <w:lang w:eastAsia="es-MX"/>
              </w:rPr>
              <w:t>”</w:t>
            </w:r>
            <w:r w:rsidRPr="00AE2E3C">
              <w:rPr>
                <w:rFonts w:ascii="Adobe Caslon Pro" w:hAnsi="Adobe Caslon Pro" w:cs="Calibri"/>
                <w:i/>
                <w:color w:val="000000"/>
                <w:sz w:val="20"/>
                <w:szCs w:val="20"/>
                <w:lang w:eastAsia="es-MX"/>
              </w:rPr>
              <w:t xml:space="preserve"> y tener elementos de decisiones en los procesos</w:t>
            </w:r>
            <w:r>
              <w:rPr>
                <w:rFonts w:ascii="Adobe Caslon Pro" w:hAnsi="Adobe Caslon Pro" w:cs="Calibri"/>
                <w:i/>
                <w:color w:val="000000"/>
                <w:sz w:val="20"/>
                <w:szCs w:val="20"/>
                <w:lang w:eastAsia="es-MX"/>
              </w:rPr>
              <w:t xml:space="preserve"> </w:t>
            </w:r>
            <w:r w:rsidRPr="00AE2E3C">
              <w:rPr>
                <w:rFonts w:ascii="Adobe Caslon Pro" w:hAnsi="Adobe Caslon Pro" w:cs="Calibri"/>
                <w:i/>
                <w:color w:val="000000"/>
                <w:sz w:val="20"/>
                <w:szCs w:val="20"/>
                <w:lang w:eastAsia="es-MX"/>
              </w:rPr>
              <w:t>de implementación.</w:t>
            </w:r>
          </w:p>
        </w:tc>
      </w:tr>
      <w:tr w:rsidR="007456F1" w:rsidRPr="00BE4199"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RESULTADOS</w:t>
            </w:r>
          </w:p>
          <w:p w:rsidR="007456F1" w:rsidRPr="00C71799"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E2E3C">
              <w:rPr>
                <w:rFonts w:ascii="Adobe Caslon Pro" w:hAnsi="Adobe Caslon Pro" w:cs="Calibri"/>
                <w:i/>
                <w:color w:val="000000"/>
                <w:sz w:val="20"/>
                <w:szCs w:val="20"/>
                <w:lang w:eastAsia="es-MX"/>
              </w:rPr>
              <w:t>Se recomienda utilizar la ENHINA establecida en los lineamientos del EIASA,</w:t>
            </w:r>
            <w:r>
              <w:rPr>
                <w:rFonts w:ascii="Adobe Caslon Pro" w:hAnsi="Adobe Caslon Pro" w:cs="Calibri"/>
                <w:i/>
                <w:color w:val="000000"/>
                <w:sz w:val="20"/>
                <w:szCs w:val="20"/>
                <w:lang w:eastAsia="es-MX"/>
              </w:rPr>
              <w:t xml:space="preserve"> </w:t>
            </w:r>
            <w:r w:rsidRPr="00AE2E3C">
              <w:rPr>
                <w:rFonts w:ascii="Adobe Caslon Pro" w:hAnsi="Adobe Caslon Pro" w:cs="Calibri"/>
                <w:i/>
                <w:color w:val="000000"/>
                <w:sz w:val="20"/>
                <w:szCs w:val="20"/>
                <w:lang w:eastAsia="es-MX"/>
              </w:rPr>
              <w:t>que ayude a medir la satisfacción de los beneficiarios, como se mencionó con</w:t>
            </w:r>
            <w:r>
              <w:rPr>
                <w:rFonts w:ascii="Adobe Caslon Pro" w:hAnsi="Adobe Caslon Pro" w:cs="Calibri"/>
                <w:i/>
                <w:color w:val="000000"/>
                <w:sz w:val="20"/>
                <w:szCs w:val="20"/>
                <w:lang w:eastAsia="es-MX"/>
              </w:rPr>
              <w:t xml:space="preserve"> </w:t>
            </w:r>
            <w:r w:rsidRPr="00AE2E3C">
              <w:rPr>
                <w:rFonts w:ascii="Adobe Caslon Pro" w:hAnsi="Adobe Caslon Pro" w:cs="Calibri"/>
                <w:i/>
                <w:color w:val="000000"/>
                <w:sz w:val="20"/>
                <w:szCs w:val="20"/>
                <w:lang w:eastAsia="es-MX"/>
              </w:rPr>
              <w:t>anterioridad.</w:t>
            </w:r>
          </w:p>
        </w:tc>
      </w:tr>
      <w:tr w:rsidR="007456F1" w:rsidRPr="00BE4199"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w:t>
            </w:r>
            <w:r w:rsidRPr="00C71799">
              <w:rPr>
                <w:rFonts w:ascii="Adobe Caslon Pro" w:hAnsi="Adobe Caslon Pro" w:cs="Calibri"/>
                <w:i/>
                <w:color w:val="000000"/>
                <w:sz w:val="20"/>
                <w:szCs w:val="20"/>
                <w:lang w:eastAsia="es-MX"/>
              </w:rPr>
              <w:t xml:space="preserve"> DE LOS RECURSOS</w:t>
            </w:r>
          </w:p>
          <w:p w:rsidR="007456F1" w:rsidRPr="00C717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sidRPr="00AE2E3C">
              <w:rPr>
                <w:rFonts w:ascii="Adobe Caslon Pro" w:hAnsi="Adobe Caslon Pro" w:cs="Calibri"/>
                <w:i/>
                <w:color w:val="000000"/>
                <w:sz w:val="20"/>
                <w:szCs w:val="20"/>
                <w:lang w:eastAsia="es-MX"/>
              </w:rPr>
              <w:t>Se recomienda llevar un control contable- financiero de la recepción de los</w:t>
            </w:r>
            <w:r>
              <w:rPr>
                <w:rFonts w:ascii="Adobe Caslon Pro" w:hAnsi="Adobe Caslon Pro" w:cs="Calibri"/>
                <w:i/>
                <w:color w:val="000000"/>
                <w:sz w:val="20"/>
                <w:szCs w:val="20"/>
                <w:lang w:eastAsia="es-MX"/>
              </w:rPr>
              <w:t xml:space="preserve"> </w:t>
            </w:r>
            <w:r w:rsidRPr="00AE2E3C">
              <w:rPr>
                <w:rFonts w:ascii="Adobe Caslon Pro" w:hAnsi="Adobe Caslon Pro" w:cs="Calibri"/>
                <w:i/>
                <w:color w:val="000000"/>
                <w:sz w:val="20"/>
                <w:szCs w:val="20"/>
                <w:lang w:eastAsia="es-MX"/>
              </w:rPr>
              <w:t xml:space="preserve">recursos del Estado </w:t>
            </w:r>
            <w:r>
              <w:rPr>
                <w:rFonts w:ascii="Adobe Caslon Pro" w:hAnsi="Adobe Caslon Pro" w:cs="Calibri"/>
                <w:i/>
                <w:color w:val="000000"/>
                <w:sz w:val="20"/>
                <w:szCs w:val="20"/>
                <w:lang w:eastAsia="es-MX"/>
              </w:rPr>
              <w:t>(</w:t>
            </w:r>
            <w:r w:rsidRPr="00AE2E3C">
              <w:rPr>
                <w:rFonts w:ascii="Adobe Caslon Pro" w:hAnsi="Adobe Caslon Pro" w:cs="Calibri"/>
                <w:i/>
                <w:color w:val="000000"/>
                <w:sz w:val="20"/>
                <w:szCs w:val="20"/>
                <w:lang w:eastAsia="es-MX"/>
              </w:rPr>
              <w:t>Secretaria de Finanzas) a las Instancias Ejecutoras.</w:t>
            </w:r>
          </w:p>
        </w:tc>
      </w:tr>
      <w:tr w:rsidR="007456F1" w:rsidRPr="00BE4199" w:rsidTr="00A56E05">
        <w:trPr>
          <w:trHeight w:val="105"/>
          <w:jc w:val="center"/>
        </w:trPr>
        <w:tc>
          <w:tcPr>
            <w:tcW w:w="579"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4.1 Nombre del coordinador de la evaluación:</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Mtro. José de Jesús </w:t>
            </w:r>
            <w:proofErr w:type="spellStart"/>
            <w:r w:rsidRPr="00BE4199">
              <w:rPr>
                <w:rFonts w:ascii="Adobe Caslon Pro" w:hAnsi="Adobe Caslon Pro" w:cs="Calibri"/>
                <w:i/>
                <w:color w:val="000000"/>
                <w:sz w:val="20"/>
                <w:szCs w:val="20"/>
                <w:lang w:eastAsia="es-MX"/>
              </w:rPr>
              <w:t>Guizar</w:t>
            </w:r>
            <w:proofErr w:type="spellEnd"/>
            <w:r w:rsidRPr="00BE4199">
              <w:rPr>
                <w:rFonts w:ascii="Adobe Caslon Pro" w:hAnsi="Adobe Caslon Pro" w:cs="Calibri"/>
                <w:i/>
                <w:color w:val="000000"/>
                <w:sz w:val="20"/>
                <w:szCs w:val="20"/>
                <w:lang w:eastAsia="es-MX"/>
              </w:rPr>
              <w:t xml:space="preserve"> Jiménez</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4.2 Cargo:</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Consultor Investigador</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4.3 Institución a la que pertenece: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Instituto para el Desarrollo Técnico de las Haciendas Públicas (INDETEC)</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4.4 Principales colaboradores:</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Lic. </w:t>
            </w:r>
            <w:r>
              <w:rPr>
                <w:rFonts w:ascii="Adobe Caslon Pro" w:hAnsi="Adobe Caslon Pro" w:cs="Calibri"/>
                <w:i/>
                <w:color w:val="000000"/>
                <w:sz w:val="20"/>
                <w:szCs w:val="20"/>
                <w:lang w:eastAsia="es-MX"/>
              </w:rPr>
              <w:t>Arturo Alejandro Preciado Marín</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4.5 Correo electrónico del coordinador de la evaluación:</w:t>
            </w:r>
          </w:p>
          <w:p w:rsidR="007456F1" w:rsidRPr="00BE4199" w:rsidRDefault="007456F1" w:rsidP="00A56E05">
            <w:pPr>
              <w:rPr>
                <w:rFonts w:ascii="Adobe Caslon Pro" w:hAnsi="Adobe Caslon Pro" w:cs="Calibri"/>
                <w:i/>
                <w:color w:val="000000"/>
                <w:sz w:val="20"/>
                <w:szCs w:val="20"/>
                <w:u w:val="single"/>
                <w:lang w:eastAsia="es-MX"/>
              </w:rPr>
            </w:pPr>
            <w:r w:rsidRPr="00BE4199">
              <w:rPr>
                <w:rFonts w:ascii="Adobe Caslon Pro" w:hAnsi="Adobe Caslon Pro" w:cs="Calibri"/>
                <w:i/>
                <w:color w:val="000000"/>
                <w:sz w:val="20"/>
                <w:szCs w:val="20"/>
                <w:u w:val="single"/>
                <w:lang w:eastAsia="es-MX"/>
              </w:rPr>
              <w:t>jguizarj@indetec.gob.mx</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4.6 Teléfono (con clave lada):</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(33) 36695550</w:t>
            </w:r>
            <w:r>
              <w:rPr>
                <w:rFonts w:ascii="Adobe Caslon Pro" w:hAnsi="Adobe Caslon Pro" w:cs="Calibri"/>
                <w:i/>
                <w:color w:val="000000"/>
                <w:sz w:val="20"/>
                <w:szCs w:val="20"/>
                <w:lang w:eastAsia="es-MX"/>
              </w:rPr>
              <w:t xml:space="preserve"> </w:t>
            </w:r>
            <w:proofErr w:type="spellStart"/>
            <w:r>
              <w:rPr>
                <w:rFonts w:ascii="Adobe Caslon Pro" w:hAnsi="Adobe Caslon Pro" w:cs="Calibri"/>
                <w:i/>
                <w:color w:val="000000"/>
                <w:sz w:val="20"/>
                <w:szCs w:val="20"/>
                <w:lang w:eastAsia="es-MX"/>
              </w:rPr>
              <w:t>ext</w:t>
            </w:r>
            <w:proofErr w:type="spellEnd"/>
            <w:r>
              <w:rPr>
                <w:rFonts w:ascii="Adobe Caslon Pro" w:hAnsi="Adobe Caslon Pro" w:cs="Calibri"/>
                <w:i/>
                <w:color w:val="000000"/>
                <w:sz w:val="20"/>
                <w:szCs w:val="20"/>
                <w:lang w:eastAsia="es-MX"/>
              </w:rPr>
              <w:t xml:space="preserve"> 130</w:t>
            </w:r>
          </w:p>
        </w:tc>
      </w:tr>
      <w:tr w:rsidR="007456F1" w:rsidRPr="00BE4199" w:rsidTr="00A56E05">
        <w:trPr>
          <w:trHeight w:val="75"/>
          <w:jc w:val="center"/>
        </w:trPr>
        <w:tc>
          <w:tcPr>
            <w:tcW w:w="999"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lastRenderedPageBreak/>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Fondo de Aportaciones Múltiples</w:t>
            </w:r>
            <w:r>
              <w:rPr>
                <w:rFonts w:ascii="Adobe Caslon Pro" w:hAnsi="Adobe Caslon Pro" w:cs="Calibri"/>
                <w:i/>
                <w:color w:val="000000"/>
                <w:sz w:val="20"/>
                <w:szCs w:val="20"/>
                <w:lang w:eastAsia="es-MX"/>
              </w:rPr>
              <w:t xml:space="preserve"> en su componente de Asistencia Social</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FAM</w:t>
            </w:r>
            <w:r>
              <w:rPr>
                <w:rFonts w:ascii="Adobe Caslon Pro" w:hAnsi="Adobe Caslon Pro" w:cs="Calibri"/>
                <w:i/>
                <w:color w:val="000000"/>
                <w:sz w:val="20"/>
                <w:szCs w:val="20"/>
                <w:lang w:eastAsia="es-MX"/>
              </w:rPr>
              <w:t xml:space="preserve"> Asistencia Social</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coordinador del (los) programa(s):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Sistema </w:t>
            </w:r>
            <w:r>
              <w:rPr>
                <w:rFonts w:ascii="Adobe Caslon Pro" w:hAnsi="Adobe Caslon Pro" w:cs="Calibri"/>
                <w:i/>
                <w:color w:val="000000"/>
                <w:sz w:val="20"/>
                <w:szCs w:val="20"/>
                <w:lang w:eastAsia="es-MX"/>
              </w:rPr>
              <w:t>para el Desarrollo Integral de la Familia (Sistema DIF)</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 Nombre de la(s) unidad(es) administrativa(s) y de (los) titular(es) a cargo del (los) programa(s):</w:t>
            </w:r>
          </w:p>
        </w:tc>
      </w:tr>
      <w:tr w:rsidR="007456F1" w:rsidRPr="00BE4199"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7456F1" w:rsidRPr="00BE4199"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Sistema </w:t>
            </w:r>
            <w:r>
              <w:rPr>
                <w:rFonts w:ascii="Adobe Caslon Pro" w:hAnsi="Adobe Caslon Pro" w:cs="Calibri"/>
                <w:i/>
                <w:color w:val="000000"/>
                <w:sz w:val="20"/>
                <w:szCs w:val="20"/>
                <w:lang w:eastAsia="es-MX"/>
              </w:rPr>
              <w:t>para el Desarrollo Integral de la Familia (Sistema DIF)</w:t>
            </w:r>
          </w:p>
        </w:tc>
      </w:tr>
      <w:tr w:rsidR="007456F1" w:rsidRPr="00BE4199"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7456F1" w:rsidRPr="00BE4199" w:rsidTr="00A56E05">
        <w:trPr>
          <w:trHeight w:val="274"/>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Lic. María de Fátima García León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01 (951) 501-50-50 Ext. 1050, 1051</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fatym_@hotmail.com direcciongral@ieepo.edu.mx</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Unidad administrativa:</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Directora General del Sistema para el Desarrollo Integral de la Familia</w:t>
            </w:r>
          </w:p>
        </w:tc>
      </w:tr>
      <w:tr w:rsidR="007456F1" w:rsidRPr="00BE4199" w:rsidTr="00A56E05">
        <w:trPr>
          <w:trHeight w:val="75"/>
          <w:jc w:val="center"/>
        </w:trPr>
        <w:tc>
          <w:tcPr>
            <w:tcW w:w="999" w:type="dxa"/>
            <w:gridSpan w:val="2"/>
            <w:tcBorders>
              <w:top w:val="nil"/>
              <w:left w:val="nil"/>
              <w:bottom w:val="nil"/>
              <w:right w:val="nil"/>
            </w:tcBorders>
            <w:shd w:val="clear" w:color="auto" w:fill="auto"/>
            <w:hideMark/>
          </w:tcPr>
          <w:p w:rsidR="007456F1" w:rsidRPr="00BE4199" w:rsidRDefault="007456F1"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hideMark/>
          </w:tcPr>
          <w:p w:rsidR="007456F1" w:rsidRPr="00BE4199" w:rsidRDefault="007456F1"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p>
        </w:tc>
        <w:tc>
          <w:tcPr>
            <w:tcW w:w="2526" w:type="dxa"/>
            <w:gridSpan w:val="4"/>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sidRPr="000D3BE9">
              <w:rPr>
                <w:rFonts w:ascii="Adobe Caslon Pro" w:hAnsi="Adobe Caslon Pro" w:cs="Calibri"/>
                <w:color w:val="000000"/>
                <w:sz w:val="20"/>
                <w:szCs w:val="20"/>
                <w:lang w:eastAsia="es-MX"/>
              </w:rPr>
              <w:t>___ 6.1.5 Otro: (Señalar)_ Convenio de colaboración institucional __</w:t>
            </w:r>
          </w:p>
        </w:tc>
      </w:tr>
      <w:tr w:rsidR="007456F1" w:rsidRPr="00BE4199"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 xml:space="preserve">Costo total de la evaluación:    </w:t>
            </w:r>
            <w:r w:rsidRPr="00BE4199">
              <w:rPr>
                <w:rFonts w:ascii="Adobe Caslon Pro" w:hAnsi="Adobe Caslon Pro" w:cs="Calibri"/>
                <w:i/>
                <w:color w:val="000000"/>
                <w:sz w:val="20"/>
                <w:szCs w:val="20"/>
                <w:lang w:eastAsia="es-MX"/>
              </w:rPr>
              <w:t>$ 960,000.00 (Novecientos sesenta mil pesos 00/100 M.N.) El costo corresponde a la evaluación de ocho Fondos de Aportaciones del Ramo General 33</w:t>
            </w:r>
            <w:r w:rsidRPr="00BE4199">
              <w:rPr>
                <w:rFonts w:ascii="Adobe Caslon Pro" w:hAnsi="Adobe Caslon Pro" w:cs="Calibri"/>
                <w:color w:val="000000"/>
                <w:sz w:val="20"/>
                <w:szCs w:val="20"/>
                <w:lang w:eastAsia="es-MX"/>
              </w:rPr>
              <w:t>.</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7456F1" w:rsidRPr="00BE4199" w:rsidTr="00A56E05">
        <w:trPr>
          <w:trHeight w:val="162"/>
          <w:jc w:val="center"/>
        </w:trPr>
        <w:tc>
          <w:tcPr>
            <w:tcW w:w="999"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7456F1" w:rsidRDefault="009B1A50" w:rsidP="00A56E05">
            <w:pPr>
              <w:rPr>
                <w:rFonts w:ascii="Adobe Caslon Pro" w:hAnsi="Adobe Caslon Pro" w:cs="Calibri"/>
                <w:color w:val="000000"/>
                <w:sz w:val="20"/>
                <w:szCs w:val="20"/>
                <w:lang w:eastAsia="es-MX"/>
              </w:rPr>
            </w:pPr>
            <w:hyperlink r:id="rId159"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642484" w:rsidRDefault="009B1A50" w:rsidP="00A56E05">
            <w:pPr>
              <w:rPr>
                <w:rFonts w:ascii="Adobe Caslon Pro" w:hAnsi="Adobe Caslon Pro" w:cs="Calibri"/>
                <w:color w:val="000000"/>
                <w:sz w:val="20"/>
                <w:szCs w:val="20"/>
                <w:lang w:eastAsia="es-MX"/>
              </w:rPr>
            </w:pPr>
            <w:hyperlink r:id="rId160" w:history="1">
              <w:r w:rsidR="007456F1" w:rsidRPr="002F7F93">
                <w:rPr>
                  <w:rStyle w:val="Hipervnculo"/>
                  <w:rFonts w:ascii="Adobe Caslon Pro" w:hAnsi="Adobe Caslon Pro" w:cs="Calibri"/>
                  <w:sz w:val="20"/>
                  <w:szCs w:val="20"/>
                  <w:lang w:eastAsia="es-MX"/>
                </w:rPr>
                <w:t>http://www.transparenciapresupuestaria.oaxaca.gob.mx/05_ev1_eprogramas.php</w:t>
              </w:r>
            </w:hyperlink>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7.2  Difusión en internet del formato:</w:t>
            </w:r>
          </w:p>
          <w:p w:rsidR="007456F1" w:rsidRDefault="009B1A50" w:rsidP="00A56E05">
            <w:pPr>
              <w:rPr>
                <w:rFonts w:ascii="Adobe Caslon Pro" w:hAnsi="Adobe Caslon Pro" w:cs="Calibri"/>
                <w:color w:val="000000"/>
                <w:sz w:val="20"/>
                <w:szCs w:val="20"/>
                <w:lang w:eastAsia="es-MX"/>
              </w:rPr>
            </w:pPr>
            <w:hyperlink r:id="rId161"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642484" w:rsidRDefault="007456F1" w:rsidP="00A56E05">
            <w:pPr>
              <w:rPr>
                <w:rFonts w:ascii="Adobe Caslon Pro" w:hAnsi="Adobe Caslon Pro" w:cs="Calibri"/>
                <w:color w:val="000000"/>
                <w:sz w:val="20"/>
                <w:szCs w:val="20"/>
                <w:lang w:eastAsia="es-MX"/>
              </w:rPr>
            </w:pPr>
          </w:p>
        </w:tc>
      </w:tr>
    </w:tbl>
    <w:p w:rsidR="007456F1" w:rsidRPr="007456F1" w:rsidRDefault="007456F1" w:rsidP="007456F1">
      <w:pPr>
        <w:jc w:val="both"/>
        <w:rPr>
          <w:rFonts w:ascii="Arial" w:hAnsi="Arial" w:cs="Arial"/>
          <w:b/>
        </w:rPr>
      </w:pPr>
      <w:r w:rsidRPr="007456F1">
        <w:rPr>
          <w:rFonts w:ascii="Arial" w:hAnsi="Arial" w:cs="Arial"/>
          <w:b/>
        </w:rPr>
        <w:lastRenderedPageBreak/>
        <w:t>14.</w:t>
      </w:r>
      <w:r w:rsidR="0072684E">
        <w:rPr>
          <w:rFonts w:ascii="Arial" w:hAnsi="Arial" w:cs="Arial"/>
          <w:b/>
        </w:rPr>
        <w:t>2</w:t>
      </w:r>
      <w:r w:rsidRPr="007456F1">
        <w:rPr>
          <w:rFonts w:ascii="Arial" w:hAnsi="Arial" w:cs="Arial"/>
          <w:b/>
        </w:rPr>
        <w:t>.1</w:t>
      </w:r>
      <w:r w:rsidR="00FB524A">
        <w:rPr>
          <w:rFonts w:ascii="Arial" w:hAnsi="Arial" w:cs="Arial"/>
          <w:b/>
        </w:rPr>
        <w:t>2</w:t>
      </w:r>
      <w:r w:rsidRPr="007456F1">
        <w:rPr>
          <w:rFonts w:ascii="Arial" w:hAnsi="Arial" w:cs="Arial"/>
          <w:b/>
        </w:rPr>
        <w:t xml:space="preserve">.- </w:t>
      </w:r>
      <w:r w:rsidR="00CC3D62" w:rsidRPr="007456F1">
        <w:rPr>
          <w:rFonts w:ascii="Arial" w:hAnsi="Arial" w:cs="Arial"/>
          <w:b/>
        </w:rPr>
        <w:t xml:space="preserve">FONDO DE APORTACIONES </w:t>
      </w:r>
      <w:proofErr w:type="gramStart"/>
      <w:r w:rsidR="00CC3D62" w:rsidRPr="007456F1">
        <w:rPr>
          <w:rFonts w:ascii="Arial" w:hAnsi="Arial" w:cs="Arial"/>
          <w:b/>
        </w:rPr>
        <w:t>MÚLTIPLES(</w:t>
      </w:r>
      <w:proofErr w:type="gramEnd"/>
      <w:r w:rsidR="00CC3D62" w:rsidRPr="007456F1">
        <w:rPr>
          <w:rFonts w:ascii="Arial" w:hAnsi="Arial" w:cs="Arial"/>
          <w:b/>
        </w:rPr>
        <w:t>FAM) EN SU COMPONENTE DE INFRAESTRUCTURA EDUCATIVA (FAM)</w:t>
      </w:r>
    </w:p>
    <w:p w:rsidR="007456F1" w:rsidRDefault="007456F1" w:rsidP="007456F1">
      <w:pPr>
        <w:pStyle w:val="Prrafodelista"/>
        <w:ind w:left="0"/>
        <w:jc w:val="center"/>
        <w:rPr>
          <w:rFonts w:ascii="Adobe Caslon Pro" w:hAnsi="Adobe Caslon Pro" w:cs="Calibri"/>
          <w:i/>
          <w:color w:val="000000"/>
          <w:lang w:eastAsia="es-MX"/>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7456F1" w:rsidRPr="00BE4199"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7456F1" w:rsidRPr="00BE4199" w:rsidRDefault="007456F1"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Evaluación Estratégica de Consistencia y Resultados del Fondo de Aportaciones Múltiples(FAM)</w:t>
            </w:r>
            <w:r>
              <w:rPr>
                <w:rFonts w:ascii="Adobe Caslon Pro" w:hAnsi="Adobe Caslon Pro" w:cs="Calibri"/>
                <w:i/>
                <w:color w:val="000000"/>
                <w:sz w:val="20"/>
                <w:szCs w:val="20"/>
                <w:lang w:eastAsia="es-MX"/>
              </w:rPr>
              <w:t xml:space="preserve"> en su componente de </w:t>
            </w:r>
            <w:r w:rsidRPr="00BE4199">
              <w:rPr>
                <w:rFonts w:ascii="Adobe Caslon Pro" w:hAnsi="Adobe Caslon Pro" w:cs="Calibri"/>
                <w:i/>
                <w:color w:val="000000"/>
                <w:sz w:val="20"/>
                <w:szCs w:val="20"/>
                <w:lang w:eastAsia="es-MX"/>
              </w:rPr>
              <w:t>Infraestructura Educativa (FAM)</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1.2 Fecha de inicio de la evaluación (</w:t>
            </w:r>
            <w:proofErr w:type="spellStart"/>
            <w:r w:rsidRPr="00BE4199">
              <w:rPr>
                <w:rFonts w:ascii="Adobe Caslon Pro" w:hAnsi="Adobe Caslon Pro" w:cs="Calibri"/>
                <w:color w:val="000000"/>
                <w:sz w:val="20"/>
                <w:szCs w:val="20"/>
                <w:lang w:eastAsia="es-MX"/>
              </w:rPr>
              <w:t>dd</w:t>
            </w:r>
            <w:proofErr w:type="spellEnd"/>
            <w:r w:rsidRPr="00BE4199">
              <w:rPr>
                <w:rFonts w:ascii="Adobe Caslon Pro" w:hAnsi="Adobe Caslon Pro" w:cs="Calibri"/>
                <w:color w:val="000000"/>
                <w:sz w:val="20"/>
                <w:szCs w:val="20"/>
                <w:lang w:eastAsia="es-MX"/>
              </w:rPr>
              <w:t>/mm/</w:t>
            </w:r>
            <w:proofErr w:type="spellStart"/>
            <w:r w:rsidRPr="00BE4199">
              <w:rPr>
                <w:rFonts w:ascii="Adobe Caslon Pro" w:hAnsi="Adobe Caslon Pro" w:cs="Calibri"/>
                <w:color w:val="000000"/>
                <w:sz w:val="20"/>
                <w:szCs w:val="20"/>
                <w:lang w:eastAsia="es-MX"/>
              </w:rPr>
              <w:t>aaaa</w:t>
            </w:r>
            <w:proofErr w:type="spellEnd"/>
            <w:r w:rsidRPr="00BE4199">
              <w:rPr>
                <w:rFonts w:ascii="Adobe Caslon Pro" w:hAnsi="Adobe Caslon Pro" w:cs="Calibri"/>
                <w:color w:val="000000"/>
                <w:sz w:val="20"/>
                <w:szCs w:val="20"/>
                <w:lang w:eastAsia="es-MX"/>
              </w:rPr>
              <w:t xml:space="preserve">): </w:t>
            </w:r>
            <w:r w:rsidRPr="00BE4199">
              <w:rPr>
                <w:rFonts w:ascii="Adobe Caslon Pro" w:hAnsi="Adobe Caslon Pro" w:cs="Calibri"/>
                <w:i/>
                <w:color w:val="000000"/>
                <w:sz w:val="20"/>
                <w:szCs w:val="20"/>
                <w:lang w:eastAsia="es-MX"/>
              </w:rPr>
              <w:t>21/08/2014</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015891">
              <w:rPr>
                <w:rFonts w:ascii="Adobe Caslon Pro" w:hAnsi="Adobe Caslon Pro" w:cs="Calibri"/>
                <w:color w:val="000000"/>
                <w:sz w:val="20"/>
                <w:szCs w:val="20"/>
                <w:lang w:eastAsia="es-MX"/>
              </w:rPr>
              <w:t>1.3 Fecha de término de la evaluación (</w:t>
            </w:r>
            <w:proofErr w:type="spellStart"/>
            <w:r w:rsidRPr="00015891">
              <w:rPr>
                <w:rFonts w:ascii="Adobe Caslon Pro" w:hAnsi="Adobe Caslon Pro" w:cs="Calibri"/>
                <w:color w:val="000000"/>
                <w:sz w:val="20"/>
                <w:szCs w:val="20"/>
                <w:lang w:eastAsia="es-MX"/>
              </w:rPr>
              <w:t>dd</w:t>
            </w:r>
            <w:proofErr w:type="spellEnd"/>
            <w:r w:rsidRPr="00015891">
              <w:rPr>
                <w:rFonts w:ascii="Adobe Caslon Pro" w:hAnsi="Adobe Caslon Pro" w:cs="Calibri"/>
                <w:color w:val="000000"/>
                <w:sz w:val="20"/>
                <w:szCs w:val="20"/>
                <w:lang w:eastAsia="es-MX"/>
              </w:rPr>
              <w:t>/mm/</w:t>
            </w:r>
            <w:proofErr w:type="spellStart"/>
            <w:r w:rsidRPr="00015891">
              <w:rPr>
                <w:rFonts w:ascii="Adobe Caslon Pro" w:hAnsi="Adobe Caslon Pro" w:cs="Calibri"/>
                <w:color w:val="000000"/>
                <w:sz w:val="20"/>
                <w:szCs w:val="20"/>
                <w:lang w:eastAsia="es-MX"/>
              </w:rPr>
              <w:t>aaaa</w:t>
            </w:r>
            <w:proofErr w:type="spellEnd"/>
            <w:r w:rsidRPr="00015891">
              <w:rPr>
                <w:rFonts w:ascii="Adobe Caslon Pro" w:hAnsi="Adobe Caslon Pro" w:cs="Calibri"/>
                <w:color w:val="000000"/>
                <w:sz w:val="20"/>
                <w:szCs w:val="20"/>
                <w:lang w:eastAsia="es-MX"/>
              </w:rPr>
              <w:t>):</w:t>
            </w:r>
            <w:r w:rsidRPr="00BE4199">
              <w:rPr>
                <w:rFonts w:ascii="Adobe Caslon Pro" w:hAnsi="Adobe Caslon Pro" w:cs="Calibri"/>
                <w:color w:val="000000"/>
                <w:sz w:val="20"/>
                <w:szCs w:val="20"/>
                <w:lang w:eastAsia="es-MX"/>
              </w:rPr>
              <w:t xml:space="preserve"> </w:t>
            </w:r>
            <w:r w:rsidRPr="00015891">
              <w:rPr>
                <w:rFonts w:ascii="Adobe Caslon Pro" w:hAnsi="Adobe Caslon Pro" w:cs="Calibri"/>
                <w:i/>
                <w:color w:val="000000"/>
                <w:sz w:val="20"/>
                <w:szCs w:val="20"/>
                <w:lang w:eastAsia="es-MX"/>
              </w:rPr>
              <w:t>09/04/2015</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7456F1" w:rsidRPr="00BE4199"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6F1"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7456F1" w:rsidRPr="00BE4199" w:rsidRDefault="007456F1" w:rsidP="00A56E05">
            <w:pPr>
              <w:rPr>
                <w:rFonts w:ascii="Adobe Caslon Pro" w:hAnsi="Adobe Caslon Pro" w:cs="Calibri"/>
                <w:i/>
                <w:color w:val="000000"/>
                <w:sz w:val="20"/>
                <w:szCs w:val="20"/>
                <w:lang w:eastAsia="es-MX"/>
              </w:rPr>
            </w:pP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 xml:space="preserve">Coordinación de </w:t>
            </w:r>
            <w:r>
              <w:rPr>
                <w:rFonts w:ascii="Adobe Caslon Pro" w:hAnsi="Adobe Caslon Pro" w:cs="Calibri"/>
                <w:i/>
                <w:color w:val="000000"/>
                <w:sz w:val="20"/>
                <w:szCs w:val="20"/>
                <w:lang w:eastAsia="es-MX"/>
              </w:rPr>
              <w:t>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7456F1" w:rsidRDefault="007456F1"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Coadyuvar en la Consolidación del Sistema de Evaluación del Desempeño en el Estado de Oaxaca, a través de identificar y analizar la consistencia y resultados del Fondo </w:t>
            </w:r>
            <w:r>
              <w:rPr>
                <w:rFonts w:ascii="Adobe Caslon Pro" w:hAnsi="Adobe Caslon Pro" w:cs="Calibri"/>
                <w:i/>
                <w:color w:val="000000"/>
                <w:sz w:val="20"/>
                <w:szCs w:val="20"/>
                <w:lang w:eastAsia="es-MX"/>
              </w:rPr>
              <w:t xml:space="preserve">de Aportaciones Múltiples </w:t>
            </w:r>
            <w:r w:rsidRPr="00BE4199">
              <w:rPr>
                <w:rFonts w:ascii="Adobe Caslon Pro" w:hAnsi="Adobe Caslon Pro" w:cs="Calibri"/>
                <w:i/>
                <w:color w:val="000000"/>
                <w:sz w:val="20"/>
                <w:szCs w:val="20"/>
                <w:lang w:eastAsia="es-MX"/>
              </w:rPr>
              <w:t>en su componente de Infraestructura Educativa,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p w:rsidR="007456F1" w:rsidRPr="00BE4199" w:rsidRDefault="007456F1" w:rsidP="00A56E05">
            <w:pPr>
              <w:jc w:val="both"/>
              <w:rPr>
                <w:rFonts w:ascii="Adobe Caslon Pro" w:hAnsi="Adobe Caslon Pro" w:cs="Calibri"/>
                <w: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Diseño. Es un proceso analítico global que se enfoca en identificar los objetivos de los Programas para luego determinar la consistencia de su diseño y los resultados con tales objetivos.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Planeación Estratégica. Implica analizar los instrumentos de planeación de los Programas, y corroborar si tal planeación tiene una orientación para resultados.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Cobertura y Focalización. Corresponde cuantificar y determinar la población potencial y la población objetivo que está siendo atendida a través de los Programas.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Operación. Analiza las principales actividades y procesos establecidos en la normatividad aplicable; la eficiencia, eficacia y economía operativa de los Programas; y el cumplimiento y avance en los indicadores estratégicos y de gestión.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Percepción de la Población. Analiza el grado de satisfacción de los beneficiarios de los bienes y servicios que conforman cada Programa.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Resultados. Analiza los resultados intermedios y de impacto alcanzado por cada uno de los Programas, en términos de mejora o solución del problema por el cual fue creado cada uno de éstos. </w:t>
            </w:r>
          </w:p>
          <w:p w:rsidR="007456F1" w:rsidRPr="009B1103" w:rsidRDefault="007456F1" w:rsidP="00F075EB">
            <w:pPr>
              <w:numPr>
                <w:ilvl w:val="0"/>
                <w:numId w:val="72"/>
              </w:numPr>
              <w:jc w:val="both"/>
              <w:rPr>
                <w:rFonts w:ascii="Adobe Caslon Pro" w:hAnsi="Adobe Caslon Pro" w:cs="Calibri"/>
                <w:color w:val="000000"/>
                <w:sz w:val="20"/>
                <w:szCs w:val="20"/>
                <w:lang w:eastAsia="es-MX"/>
              </w:rPr>
            </w:pPr>
            <w:r w:rsidRPr="00A92C63">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r>
              <w:t>.</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7456F1" w:rsidRPr="00BE4199"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7456F1" w:rsidRDefault="007456F1"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a sitios web.</w:t>
            </w:r>
          </w:p>
          <w:p w:rsidR="007456F1" w:rsidRPr="009B1103" w:rsidRDefault="007456F1" w:rsidP="00A56E05">
            <w:pPr>
              <w:ind w:left="720"/>
              <w:jc w:val="both"/>
              <w:rPr>
                <w:rFonts w:ascii="Adobe Caslon Pro" w:hAnsi="Adobe Caslon Pro" w:cs="Calibri"/>
                <w:i/>
                <w:color w:val="000000"/>
                <w:sz w:val="20"/>
                <w:szCs w:val="20"/>
                <w:lang w:eastAsia="es-MX"/>
              </w:rPr>
            </w:pPr>
          </w:p>
        </w:tc>
      </w:tr>
      <w:tr w:rsidR="007456F1" w:rsidRPr="00BE4199"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Descripción de las técnicas y modelos utilizados: </w:t>
            </w:r>
          </w:p>
          <w:p w:rsidR="007456F1"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 xml:space="preserve">nes y el proceso presupuestario, los cuales se encuentran en los Términos de Referencia en la siguiente liga: </w:t>
            </w:r>
            <w:hyperlink r:id="rId162" w:history="1">
              <w:r w:rsidRPr="002F7F93">
                <w:rPr>
                  <w:rStyle w:val="Hipervnculo"/>
                  <w:rFonts w:ascii="Adobe Caslon Pro" w:hAnsi="Adobe Caslon Pro" w:cs="Calibri"/>
                  <w:i/>
                  <w:sz w:val="20"/>
                  <w:szCs w:val="20"/>
                  <w:lang w:eastAsia="es-MX"/>
                </w:rPr>
                <w:t>http://www.jefaturadelagubernatura-evaluacion.oaxaca.gob.mx/index.php/pae-sidepanel/pae-2014</w:t>
              </w:r>
            </w:hyperlink>
          </w:p>
          <w:p w:rsidR="007456F1" w:rsidRDefault="007456F1" w:rsidP="00A56E05">
            <w:pPr>
              <w:rPr>
                <w:rFonts w:ascii="Adobe Caslon Pro" w:hAnsi="Adobe Caslon Pro" w:cs="Calibri"/>
                <w:i/>
                <w:color w:val="000000"/>
                <w:sz w:val="20"/>
                <w:szCs w:val="20"/>
                <w:lang w:eastAsia="es-MX"/>
              </w:rPr>
            </w:pP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Base de datos de gabinete utilizados para el análisis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Ficha Técnica del Fondo</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Matriz de Marco Lógico</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Plan Estatal de Desarrollo</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Plan Nacional de Desarrollo</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Documento Técnico del Análisis del Problema</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Objetivos Estratégicos de las Dependencias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Diagnóstico Situacional del Fondo</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Padrón de Beneficiarios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Características de Selección de Beneficiarios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Reglas de Operación</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Ficha Técnica de Programas Federales y Estatales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Plan Estratégico Sectorial de la Dependencia</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Manual de Programación</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Reporte de Evaluación</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Planes de Mejora</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Población Potencial, Objetivo y Atendida</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Reporte de Seguimiento de Metas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Docto para Selección de Beneficiarios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Criterios de Elegibilidad Aplicados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Avance Físico- Financiero</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Cierre de Ejercicio</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Recursos No Devengados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Manual Organizacional de la Dependencia</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Doctos de Procesos de Entrega y Recepción de los Documentos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Doctos Información de Estados Financieros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Indicadores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Costos de Operación</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Costo-Efectividad</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Presupuesto aprobado y ejercido</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Instrumentos de Recuperación de Deuda</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Calendario de Transferencia de Recursos</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Cuenta Pública Oaxaca 2013</w:t>
            </w:r>
          </w:p>
          <w:p w:rsidR="007456F1" w:rsidRPr="009B1103" w:rsidRDefault="007456F1" w:rsidP="00F075EB">
            <w:pPr>
              <w:numPr>
                <w:ilvl w:val="0"/>
                <w:numId w:val="93"/>
              </w:numPr>
              <w:autoSpaceDE w:val="0"/>
              <w:autoSpaceDN w:val="0"/>
              <w:adjustRightInd w:val="0"/>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Manual de Desempeño</w:t>
            </w:r>
          </w:p>
          <w:p w:rsidR="007456F1" w:rsidRPr="00BE4199" w:rsidRDefault="007456F1" w:rsidP="00F075EB">
            <w:pPr>
              <w:numPr>
                <w:ilvl w:val="0"/>
                <w:numId w:val="93"/>
              </w:numPr>
              <w:rPr>
                <w:rFonts w:ascii="Adobe Caslon Pro" w:hAnsi="Adobe Caslon Pro" w:cs="Calibri"/>
                <w:i/>
                <w:color w:val="000000"/>
                <w:sz w:val="20"/>
                <w:szCs w:val="20"/>
                <w:lang w:eastAsia="es-MX"/>
              </w:rPr>
            </w:pPr>
            <w:r w:rsidRPr="009B1103">
              <w:rPr>
                <w:rFonts w:ascii="Adobe Caslon Pro" w:hAnsi="Adobe Caslon Pro" w:cs="Calibri"/>
                <w:i/>
                <w:color w:val="000000"/>
                <w:sz w:val="20"/>
                <w:szCs w:val="20"/>
                <w:lang w:eastAsia="es-MX"/>
              </w:rPr>
              <w:t>Informe de Finanzas PASH</w:t>
            </w:r>
          </w:p>
        </w:tc>
      </w:tr>
      <w:tr w:rsidR="007456F1" w:rsidRPr="00BE4199" w:rsidTr="00A56E05">
        <w:trPr>
          <w:trHeight w:val="58"/>
          <w:jc w:val="center"/>
        </w:trPr>
        <w:tc>
          <w:tcPr>
            <w:tcW w:w="999" w:type="dxa"/>
            <w:gridSpan w:val="2"/>
            <w:tcBorders>
              <w:top w:val="single" w:sz="4" w:space="0" w:color="auto"/>
              <w:bottom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w:t>
            </w:r>
          </w:p>
        </w:tc>
        <w:tc>
          <w:tcPr>
            <w:tcW w:w="8437" w:type="dxa"/>
            <w:gridSpan w:val="11"/>
            <w:tcBorders>
              <w:top w:val="single" w:sz="4" w:space="0" w:color="auto"/>
              <w:bottom w:val="single" w:sz="4" w:space="0" w:color="auto"/>
            </w:tcBorders>
            <w:shd w:val="clear" w:color="auto" w:fill="auto"/>
            <w:noWrap/>
            <w:vAlign w:val="bottom"/>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49"/>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2.1 Describir los hallazgos más relevantes de la evaluación: </w:t>
            </w:r>
          </w:p>
        </w:tc>
      </w:tr>
      <w:tr w:rsidR="007456F1" w:rsidRPr="00BE4199"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 Señalar cuáles son las principales Fortalezas, Oportunidades, Debilidades y Amenazas (FODA), de acuerdo con los temas del programa, estrategia o instituciones.</w:t>
            </w:r>
          </w:p>
        </w:tc>
      </w:tr>
      <w:tr w:rsidR="007456F1" w:rsidRPr="00BE4199" w:rsidTr="00A56E05">
        <w:trPr>
          <w:trHeight w:val="34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2.2.1 Fortalezas:</w:t>
            </w:r>
          </w:p>
          <w:p w:rsidR="007456F1" w:rsidRPr="00BE4199" w:rsidRDefault="007456F1" w:rsidP="00A56E05">
            <w:pPr>
              <w:rPr>
                <w:rFonts w:ascii="Adobe Caslon Pro" w:hAnsi="Adobe Caslon Pro" w:cs="Calibr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DISEÑO</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El Fin y el Propósito del Programa están bien definidos y corresponden a la solución del problema.</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Existe una relación lógica de los programas asociados al Fondo, con los objetivos del Plan Nacional de Desarrollo y del Plan Estatal de Desarrollo.</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Los Componentes del Programa son los necesarios y suficientes para lograr el Propósito.</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El logro del Propósito establecido en el Programa, sí contribuye con el Fin del mismo.</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La lógica interna del Programa es lógica y clara.</w:t>
            </w:r>
          </w:p>
          <w:p w:rsidR="007456F1" w:rsidRDefault="007456F1" w:rsidP="00A56E05">
            <w:pPr>
              <w:ind w:left="720"/>
              <w:jc w:val="both"/>
              <w:rPr>
                <w:rFonts w:ascii="Adobe Caslon Pro" w:hAnsi="Adobe Caslon Pro" w:cs="Calibri"/>
                <w:i/>
                <w:color w:val="000000"/>
                <w:sz w:val="20"/>
                <w:szCs w:val="20"/>
                <w:lang w:eastAsia="es-MX"/>
              </w:rPr>
            </w:pPr>
          </w:p>
          <w:p w:rsidR="007456F1" w:rsidRPr="00BE4199" w:rsidRDefault="007456F1" w:rsidP="00A56E05">
            <w:pPr>
              <w:ind w:left="720"/>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PLANEACIÓN ESTRATÉGICA</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El Programa, a través de sus planes institucionales establece con claridad los resultados que busca alcanzar.</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Se recolecta con regularidad información oportuna y veraz que permita monitorear el desempeño del Programa.</w:t>
            </w:r>
          </w:p>
          <w:p w:rsidR="007456F1" w:rsidRPr="00BE4199" w:rsidRDefault="007456F1" w:rsidP="00F075EB">
            <w:pPr>
              <w:numPr>
                <w:ilvl w:val="0"/>
                <w:numId w:val="71"/>
              </w:numPr>
              <w:ind w:left="509" w:hanging="283"/>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Los requerimientos de presupuesto están explícitamente ligados al cumplimiento de las metas de desempeño.</w:t>
            </w:r>
          </w:p>
          <w:p w:rsidR="007456F1" w:rsidRPr="00BE4199" w:rsidRDefault="007456F1" w:rsidP="00A56E05">
            <w:pPr>
              <w:ind w:left="720"/>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COBERTURA Y FOCALIZACIÓN</w:t>
            </w:r>
          </w:p>
          <w:p w:rsidR="007456F1" w:rsidRPr="00BE4199" w:rsidRDefault="007456F1" w:rsidP="00F075EB">
            <w:pPr>
              <w:numPr>
                <w:ilvl w:val="0"/>
                <w:numId w:val="71"/>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El Programa sí logra atender a la población objetivo.</w:t>
            </w:r>
          </w:p>
          <w:p w:rsidR="007456F1" w:rsidRPr="00BE4199" w:rsidRDefault="007456F1" w:rsidP="00F075EB">
            <w:pPr>
              <w:numPr>
                <w:ilvl w:val="0"/>
                <w:numId w:val="71"/>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El Programa cuenta con mecanismos de actualización y depuración del padrón de beneficiarios.</w:t>
            </w:r>
          </w:p>
          <w:p w:rsidR="007456F1" w:rsidRPr="00BE4199" w:rsidRDefault="007456F1" w:rsidP="00A56E05">
            <w:pPr>
              <w:ind w:left="720"/>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OPERACIÓN</w:t>
            </w:r>
          </w:p>
          <w:p w:rsidR="007456F1" w:rsidRPr="00C41A47" w:rsidRDefault="007456F1" w:rsidP="00F075EB">
            <w:pPr>
              <w:numPr>
                <w:ilvl w:val="0"/>
                <w:numId w:val="71"/>
              </w:num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El Programa cuenta con procedimientos estandarizados y adecuados para la selección de beneficiarios.</w:t>
            </w:r>
          </w:p>
          <w:p w:rsidR="007456F1" w:rsidRPr="00C41A47" w:rsidRDefault="007456F1" w:rsidP="00F075EB">
            <w:pPr>
              <w:numPr>
                <w:ilvl w:val="0"/>
                <w:numId w:val="71"/>
              </w:num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La selección de beneficiarios cumple con los criterios de elegibilidad y requisitos establecidos en la normatividad aplicable.</w:t>
            </w:r>
          </w:p>
          <w:p w:rsidR="007456F1" w:rsidRPr="00C41A47" w:rsidRDefault="007456F1" w:rsidP="00F075EB">
            <w:pPr>
              <w:numPr>
                <w:ilvl w:val="0"/>
                <w:numId w:val="71"/>
              </w:num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El Programa cumple con los procesos de ejecución establecidos en la normatividad.</w:t>
            </w:r>
          </w:p>
          <w:p w:rsidR="007456F1" w:rsidRPr="00C41A47" w:rsidRDefault="007456F1" w:rsidP="00F075EB">
            <w:pPr>
              <w:numPr>
                <w:ilvl w:val="0"/>
                <w:numId w:val="71"/>
              </w:num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El Programa cuenta con una estructura organizacional que le permita entregar y/o producir los Componentes  que le permiten el logro del Propósito.</w:t>
            </w:r>
          </w:p>
          <w:p w:rsidR="007456F1" w:rsidRPr="00C41A47" w:rsidRDefault="007456F1" w:rsidP="00A56E05">
            <w:pPr>
              <w:ind w:left="720"/>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RESULTADOS</w:t>
            </w:r>
          </w:p>
          <w:p w:rsidR="007456F1" w:rsidRPr="00BE4199" w:rsidRDefault="007456F1" w:rsidP="00F075EB">
            <w:pPr>
              <w:numPr>
                <w:ilvl w:val="0"/>
                <w:numId w:val="71"/>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El Programa recolecta regularmente información veraz y oportuna sobre sus indicadores de Propósito y Fin.</w:t>
            </w:r>
          </w:p>
          <w:p w:rsidR="007456F1" w:rsidRPr="00BE4199" w:rsidRDefault="007456F1" w:rsidP="00F075EB">
            <w:pPr>
              <w:numPr>
                <w:ilvl w:val="0"/>
                <w:numId w:val="71"/>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La información que se proporciona en la Matriz permite hacer una rigurosa evaluación de impacto.</w:t>
            </w:r>
          </w:p>
          <w:p w:rsidR="007456F1" w:rsidRPr="00BE4199" w:rsidRDefault="007456F1" w:rsidP="00F075EB">
            <w:pPr>
              <w:numPr>
                <w:ilvl w:val="0"/>
                <w:numId w:val="71"/>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El Programa ha demostrado adecuado progreso en alcanzar su Propósito y Fin.</w:t>
            </w:r>
          </w:p>
          <w:p w:rsidR="007456F1" w:rsidRPr="00BE4199" w:rsidRDefault="007456F1" w:rsidP="00A56E05">
            <w:pPr>
              <w:spacing w:line="360" w:lineRule="auto"/>
              <w:jc w:val="both"/>
              <w:rPr>
                <w:rFonts w:ascii="Adobe Caslon Pro" w:hAnsi="Adobe Caslon Pro" w:cs="Calibr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EVALUACIÓN DE LA APLICACIÓN DE LOS RECURSOS</w:t>
            </w:r>
          </w:p>
          <w:p w:rsidR="007456F1" w:rsidRPr="00BE4199" w:rsidRDefault="007456F1" w:rsidP="00F075EB">
            <w:pPr>
              <w:numPr>
                <w:ilvl w:val="0"/>
                <w:numId w:val="71"/>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Se cuenta con una planeación estratégica previa que defina las acciones, obras, proyectos, actividades, y bienes y servicios a entregar.</w:t>
            </w:r>
          </w:p>
          <w:p w:rsidR="007456F1" w:rsidRPr="00BE4199" w:rsidRDefault="007456F1" w:rsidP="00F075EB">
            <w:pPr>
              <w:numPr>
                <w:ilvl w:val="0"/>
                <w:numId w:val="71"/>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Se tiene pleno conocimiento de la normatividad aplicable para efectos de proporcionar información, en términos de trasparencia y rendición de cuentas.</w:t>
            </w:r>
          </w:p>
          <w:p w:rsidR="007456F1" w:rsidRPr="00BE4199" w:rsidRDefault="007456F1" w:rsidP="00F075EB">
            <w:pPr>
              <w:numPr>
                <w:ilvl w:val="0"/>
                <w:numId w:val="71"/>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Se cumple con los ordenamientos de normatividad aplicable en materia de información de resultados y financiera.</w:t>
            </w:r>
          </w:p>
          <w:p w:rsidR="007456F1" w:rsidRPr="00BE4199" w:rsidRDefault="007456F1" w:rsidP="00A56E05">
            <w:pPr>
              <w:ind w:left="360"/>
              <w:jc w:val="both"/>
              <w:rPr>
                <w:rFonts w:ascii="Adobe Caslon Pro" w:hAnsi="Adobe Caslon Pro" w:cs="Calibri"/>
                <w: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2.2.3 Debilidades:</w:t>
            </w:r>
          </w:p>
          <w:p w:rsidR="007456F1" w:rsidRPr="00BE4199" w:rsidRDefault="007456F1" w:rsidP="00A56E05">
            <w:pPr>
              <w:spacing w:line="360" w:lineRule="auto"/>
              <w:jc w:val="both"/>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DISEÑO</w:t>
            </w:r>
          </w:p>
          <w:p w:rsidR="007456F1" w:rsidRPr="00BE419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No se presentó la información de la Matriz del Programa a nivel de Educación Básica.</w:t>
            </w:r>
          </w:p>
          <w:p w:rsidR="007456F1" w:rsidRPr="00BE419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Las Actividades del Programa no son las suficientes.</w:t>
            </w:r>
          </w:p>
          <w:p w:rsidR="007456F1" w:rsidRPr="00BE419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Los indicadores no tienen identificada su línea base.</w:t>
            </w:r>
          </w:p>
          <w:p w:rsidR="007456F1"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El padrón de beneficiarios del Programa no fue presentado, ni se encuentra disponible en los sitios web correspondientes.</w:t>
            </w:r>
          </w:p>
          <w:p w:rsidR="007456F1" w:rsidRPr="00BE4199" w:rsidRDefault="007456F1" w:rsidP="00A56E05">
            <w:pPr>
              <w:ind w:left="720"/>
              <w:jc w:val="both"/>
              <w:rPr>
                <w:rFonts w:ascii="Adobe Caslon Pro" w:hAnsi="Adobe Caslon Pro" w:cs="Calibri"/>
                <w:i/>
                <w:color w:val="000000"/>
                <w:sz w:val="20"/>
                <w:szCs w:val="20"/>
                <w:lang w:eastAsia="es-MX"/>
              </w:rPr>
            </w:pPr>
          </w:p>
          <w:p w:rsidR="007456F1" w:rsidRPr="00BE4199" w:rsidRDefault="007456F1" w:rsidP="00A56E05">
            <w:pPr>
              <w:spacing w:line="360" w:lineRule="auto"/>
              <w:jc w:val="both"/>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PLANEACIÓN ESTRATÉGICA</w:t>
            </w:r>
          </w:p>
          <w:p w:rsidR="007456F1" w:rsidRPr="00CD757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La Matriz del Programa de Infraestructura Educativa no contiene las metas para los indicadores de desempeño.</w:t>
            </w:r>
          </w:p>
          <w:p w:rsidR="007456F1" w:rsidRPr="00BE4199" w:rsidRDefault="007456F1" w:rsidP="00A56E05">
            <w:pPr>
              <w:spacing w:line="360" w:lineRule="auto"/>
              <w:jc w:val="both"/>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COBERTURA Y FOCALIZACIÓN</w:t>
            </w:r>
          </w:p>
          <w:p w:rsidR="007456F1" w:rsidRPr="00BE419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No se presentó información sobre el método que se utiliza para cuantificar y determinar la población po</w:t>
            </w:r>
            <w:r>
              <w:rPr>
                <w:rFonts w:ascii="Adobe Caslon Pro" w:hAnsi="Adobe Caslon Pro" w:cs="Calibri"/>
                <w:i/>
                <w:color w:val="000000"/>
                <w:sz w:val="20"/>
                <w:szCs w:val="20"/>
                <w:lang w:eastAsia="es-MX"/>
              </w:rPr>
              <w:t xml:space="preserve">tencial y objetivo del </w:t>
            </w:r>
            <w:r w:rsidRPr="00015891">
              <w:rPr>
                <w:rFonts w:ascii="Adobe Caslon Pro" w:hAnsi="Adobe Caslon Pro" w:cs="Calibri"/>
                <w:i/>
                <w:color w:val="000000"/>
                <w:sz w:val="20"/>
                <w:szCs w:val="20"/>
                <w:lang w:eastAsia="es-MX"/>
              </w:rPr>
              <w:t>Programa a nivel de Educación Básica</w:t>
            </w:r>
            <w:r>
              <w:rPr>
                <w:rFonts w:ascii="Adobe Caslon Pro" w:hAnsi="Adobe Caslon Pro" w:cs="Calibri"/>
                <w:i/>
                <w:color w:val="000000"/>
                <w:sz w:val="20"/>
                <w:szCs w:val="20"/>
                <w:lang w:eastAsia="es-MX"/>
              </w:rPr>
              <w:t>.</w:t>
            </w:r>
          </w:p>
          <w:p w:rsidR="007456F1" w:rsidRPr="00BE4199" w:rsidRDefault="007456F1" w:rsidP="00A56E05">
            <w:pPr>
              <w:spacing w:line="360" w:lineRule="auto"/>
              <w:jc w:val="both"/>
              <w:rPr>
                <w:rFonts w:ascii="Adobe Caslon Pro" w:hAnsi="Adobe Caslon Pro" w:cs="Calibri"/>
                <w:color w:val="000000"/>
                <w:sz w:val="20"/>
                <w:szCs w:val="20"/>
                <w:lang w:eastAsia="es-MX"/>
              </w:rPr>
            </w:pPr>
          </w:p>
          <w:p w:rsidR="007456F1" w:rsidRPr="00BE4199" w:rsidRDefault="007456F1" w:rsidP="00A56E05">
            <w:pPr>
              <w:spacing w:line="360" w:lineRule="auto"/>
              <w:jc w:val="both"/>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OPERACIÓN</w:t>
            </w:r>
          </w:p>
          <w:p w:rsidR="007456F1" w:rsidRPr="00BE419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Los mecanismos de transferencias de recursos hacia las dependencias o entidades responsables de los programas asociados al Fondo no operan eficaz y eficientemente.</w:t>
            </w:r>
          </w:p>
          <w:p w:rsidR="007456F1" w:rsidRPr="00BE419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No se entregó evidencia del avance de los indicadores a nivel de Componentes </w:t>
            </w:r>
            <w:r>
              <w:rPr>
                <w:rFonts w:ascii="Adobe Caslon Pro" w:hAnsi="Adobe Caslon Pro" w:cs="Calibri"/>
                <w:i/>
                <w:color w:val="000000"/>
                <w:sz w:val="20"/>
                <w:szCs w:val="20"/>
                <w:lang w:eastAsia="es-MX"/>
              </w:rPr>
              <w:t>del Programa.</w:t>
            </w:r>
          </w:p>
          <w:p w:rsidR="007456F1" w:rsidRPr="00BE419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No se cuenta con los elementos necesarios para poder conocer un costeo a nivel de Propósito y Componentes establecidos en la MIR.</w:t>
            </w:r>
          </w:p>
          <w:p w:rsidR="007456F1" w:rsidRPr="00BE4199" w:rsidRDefault="007456F1" w:rsidP="00A56E05">
            <w:pPr>
              <w:spacing w:line="360" w:lineRule="auto"/>
              <w:jc w:val="both"/>
              <w:rPr>
                <w:rFonts w:ascii="Adobe Caslon Pro" w:hAnsi="Adobe Caslon Pro" w:cs="Calibri"/>
                <w:color w:val="000000"/>
                <w:sz w:val="20"/>
                <w:szCs w:val="20"/>
                <w:lang w:eastAsia="es-MX"/>
              </w:rPr>
            </w:pPr>
          </w:p>
          <w:p w:rsidR="007456F1" w:rsidRPr="00BE4199" w:rsidRDefault="007456F1" w:rsidP="00A56E05">
            <w:pPr>
              <w:spacing w:line="360" w:lineRule="auto"/>
              <w:jc w:val="both"/>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PERCEPCIÓN DE LA POBLACIÓN OBJETIVO</w:t>
            </w:r>
          </w:p>
          <w:p w:rsidR="007456F1" w:rsidRPr="00BE4199" w:rsidRDefault="007456F1" w:rsidP="00F075EB">
            <w:pPr>
              <w:numPr>
                <w:ilvl w:val="0"/>
                <w:numId w:val="92"/>
              </w:num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No existe evidencia de mecanismos para medir el grado de satisfacción de la población objetivo.</w:t>
            </w:r>
          </w:p>
          <w:p w:rsidR="007456F1" w:rsidRPr="00BE4199" w:rsidRDefault="007456F1" w:rsidP="00A56E05">
            <w:pPr>
              <w:spacing w:line="360" w:lineRule="auto"/>
              <w:jc w:val="both"/>
              <w:rPr>
                <w:rFonts w:ascii="Adobe Caslon Pro" w:hAnsi="Adobe Caslon Pro" w:cs="Calibri"/>
                <w:color w:val="000000"/>
                <w:sz w:val="20"/>
                <w:szCs w:val="20"/>
                <w:lang w:eastAsia="es-MX"/>
              </w:rPr>
            </w:pPr>
          </w:p>
          <w:p w:rsidR="007456F1" w:rsidRPr="00BE4199" w:rsidRDefault="007456F1" w:rsidP="00A56E05">
            <w:pPr>
              <w:spacing w:line="360" w:lineRule="auto"/>
              <w:jc w:val="both"/>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EVALUACIÓN DE LA APLICACIÓN DE LOS RECURSOS</w:t>
            </w:r>
          </w:p>
          <w:p w:rsidR="007456F1" w:rsidRPr="009D2A6D" w:rsidRDefault="007456F1" w:rsidP="00F075EB">
            <w:pPr>
              <w:numPr>
                <w:ilvl w:val="0"/>
                <w:numId w:val="92"/>
              </w:numPr>
              <w:spacing w:line="360" w:lineRule="auto"/>
              <w:jc w:val="both"/>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El recurso ministrado no fue transferido a las instancias ejecutoras en tiempo y forma.</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2.2.4 Amenazas:</w:t>
            </w:r>
          </w:p>
        </w:tc>
      </w:tr>
      <w:tr w:rsidR="007456F1" w:rsidRPr="00BE4199"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7456F1" w:rsidRPr="00BE4199" w:rsidTr="00A56E05">
        <w:trPr>
          <w:trHeight w:val="822"/>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3.1 Describir brevemente las conclusiones de la evaluación: </w:t>
            </w:r>
          </w:p>
          <w:p w:rsidR="007456F1" w:rsidRPr="00BE4199" w:rsidRDefault="007456F1" w:rsidP="00A56E05">
            <w:pPr>
              <w:rPr>
                <w:rFonts w:ascii="Adobe Caslon Pro" w:hAnsi="Adobe Caslon Pro" w:cs="Calibr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sidRPr="006E022F">
              <w:rPr>
                <w:rFonts w:ascii="Adobe Caslon Pro" w:hAnsi="Adobe Caslon Pro" w:cs="Calibri"/>
                <w:i/>
                <w:color w:val="000000"/>
                <w:sz w:val="20"/>
                <w:szCs w:val="20"/>
                <w:lang w:eastAsia="es-MX"/>
              </w:rPr>
              <w:t>En términos de diseño, el</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Programa cuenta con un Fin y Propósito bien definido, los cuales corresponden</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con la solución del problema. Sumado a esto, existe una relación lógica del Programa</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con los objetivos del Plan Nacional de Desarrollo 2013-2018 y del Plan Estatal</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de Desarrollo 2011-2016. En lo que corresponde a los bienes y servicios que</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entrega el Programa (Componentes), éstos son los necesarios y suficientes para</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lograr el Propósito, mismo que contribuye con el Fin. Estos elementos hacen que</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la lógica interna del Programa sea clara.</w:t>
            </w:r>
            <w:r>
              <w:rPr>
                <w:rFonts w:ascii="Adobe Caslon Pro" w:hAnsi="Adobe Caslon Pro" w:cs="Calibri"/>
                <w:i/>
                <w:color w:val="000000"/>
                <w:sz w:val="20"/>
                <w:szCs w:val="20"/>
                <w:lang w:eastAsia="es-MX"/>
              </w:rPr>
              <w:t xml:space="preserve"> </w:t>
            </w:r>
          </w:p>
          <w:p w:rsidR="007456F1"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sidRPr="006E022F">
              <w:rPr>
                <w:rFonts w:ascii="Adobe Caslon Pro" w:hAnsi="Adobe Caslon Pro" w:cs="Calibri"/>
                <w:i/>
                <w:color w:val="000000"/>
                <w:sz w:val="20"/>
                <w:szCs w:val="20"/>
                <w:lang w:eastAsia="es-MX"/>
              </w:rPr>
              <w:t>El Programa establece con</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claridad los resultados que busca obtener a través de sus planes institucionales.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Para ello recolecta con regularidad información necesaria, oportuna y veraz con</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la que realiza el monitoreo del desempeño del Programa. Asimismo, los requerimientos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 xml:space="preserve">de presupuesto para operar el Programa están </w:t>
            </w:r>
            <w:r w:rsidRPr="006E022F">
              <w:rPr>
                <w:rFonts w:ascii="Adobe Caslon Pro" w:hAnsi="Adobe Caslon Pro" w:cs="Calibri"/>
                <w:i/>
                <w:color w:val="000000"/>
                <w:sz w:val="20"/>
                <w:szCs w:val="20"/>
                <w:lang w:eastAsia="es-MX"/>
              </w:rPr>
              <w:lastRenderedPageBreak/>
              <w:t>explícitamente ligados al</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cumplimiento de las metas de desempeño.</w:t>
            </w:r>
          </w:p>
          <w:p w:rsidR="007456F1" w:rsidRPr="006E022F"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El </w:t>
            </w:r>
            <w:r w:rsidRPr="006E022F">
              <w:rPr>
                <w:rFonts w:ascii="Adobe Caslon Pro" w:hAnsi="Adobe Caslon Pro" w:cs="Calibri"/>
                <w:i/>
                <w:color w:val="000000"/>
                <w:sz w:val="20"/>
                <w:szCs w:val="20"/>
                <w:lang w:eastAsia="es-MX"/>
              </w:rPr>
              <w:t>Programa sí logra atender a la población</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objetivo, además cuenta con mecanismos de actualización y depuración del</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padrón de beneficiarios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el Programa cuenta con procedimientos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estandarizados y adecuados para la selección de beneficiarios; aunado a ello, la</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selección de beneficiarios cumple con los criterios de elegibilidad y requisitos establecidos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en la normatividad aplicable; igualmente el Programa cumple con los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procesos de ejecución establecidos en la normatividad. Además, cuenta con una</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estructura organizacional que le permite entregar y/o producir los Componentes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que a su vez le posibilitan el logro del Propósito</w:t>
            </w:r>
          </w:p>
          <w:p w:rsidR="007456F1" w:rsidRPr="006E022F" w:rsidRDefault="007456F1" w:rsidP="00A56E05">
            <w:pPr>
              <w:jc w:val="both"/>
              <w:rPr>
                <w:rFonts w:ascii="Adobe Caslon Pro" w:hAnsi="Adobe Caslon Pro" w:cs="Calibri"/>
                <w:i/>
                <w:color w:val="000000"/>
                <w:sz w:val="20"/>
                <w:szCs w:val="20"/>
                <w:lang w:eastAsia="es-MX"/>
              </w:rPr>
            </w:pPr>
          </w:p>
          <w:p w:rsidR="007456F1" w:rsidRDefault="007456F1" w:rsidP="00A56E05">
            <w:pPr>
              <w:autoSpaceDE w:val="0"/>
              <w:autoSpaceDN w:val="0"/>
              <w:adjustRightInd w:val="0"/>
              <w:rPr>
                <w:rFonts w:ascii="Adobe Caslon Pro" w:hAnsi="Adobe Caslon Pro" w:cs="Calibri"/>
                <w:i/>
                <w:color w:val="000000"/>
                <w:sz w:val="20"/>
                <w:szCs w:val="20"/>
                <w:lang w:eastAsia="es-MX"/>
              </w:rPr>
            </w:pPr>
            <w:r w:rsidRPr="006E022F">
              <w:rPr>
                <w:rFonts w:ascii="Adobe Caslon Pro" w:hAnsi="Adobe Caslon Pro" w:cs="Calibri"/>
                <w:i/>
                <w:color w:val="000000"/>
                <w:sz w:val="20"/>
                <w:szCs w:val="20"/>
                <w:lang w:eastAsia="es-MX"/>
              </w:rPr>
              <w:t>Referente a la población objetivo del Programa, se carece de evidencia de mecanismos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para medir el grado de satisf</w:t>
            </w:r>
            <w:r>
              <w:rPr>
                <w:rFonts w:ascii="Adobe Caslon Pro" w:hAnsi="Adobe Caslon Pro" w:cs="Calibri"/>
                <w:i/>
                <w:color w:val="000000"/>
                <w:sz w:val="20"/>
                <w:szCs w:val="20"/>
                <w:lang w:eastAsia="es-MX"/>
              </w:rPr>
              <w:t>acción de la población objetivo.</w:t>
            </w:r>
          </w:p>
          <w:p w:rsidR="007456F1" w:rsidRPr="006E022F" w:rsidRDefault="007456F1" w:rsidP="00A56E05">
            <w:pPr>
              <w:autoSpaceDE w:val="0"/>
              <w:autoSpaceDN w:val="0"/>
              <w:adjustRightInd w:val="0"/>
              <w:rPr>
                <w:rFonts w:ascii="Adobe Caslon Pro" w:hAnsi="Adobe Caslon Pro" w:cs="Calibri"/>
                <w:i/>
                <w:color w:val="000000"/>
                <w:sz w:val="20"/>
                <w:szCs w:val="20"/>
                <w:lang w:eastAsia="es-MX"/>
              </w:rPr>
            </w:pPr>
          </w:p>
          <w:p w:rsidR="007456F1" w:rsidRDefault="007456F1" w:rsidP="00A56E05">
            <w:pPr>
              <w:autoSpaceDE w:val="0"/>
              <w:autoSpaceDN w:val="0"/>
              <w:adjustRightInd w:val="0"/>
              <w:rPr>
                <w:rFonts w:ascii="Adobe Caslon Pro" w:hAnsi="Adobe Caslon Pro" w:cs="Calibri"/>
                <w:i/>
                <w:color w:val="000000"/>
                <w:sz w:val="20"/>
                <w:szCs w:val="20"/>
                <w:lang w:eastAsia="es-MX"/>
              </w:rPr>
            </w:pPr>
            <w:r w:rsidRPr="006E022F">
              <w:rPr>
                <w:rFonts w:ascii="Adobe Caslon Pro" w:hAnsi="Adobe Caslon Pro" w:cs="Calibri"/>
                <w:i/>
                <w:color w:val="000000"/>
                <w:sz w:val="20"/>
                <w:szCs w:val="20"/>
                <w:lang w:eastAsia="es-MX"/>
              </w:rPr>
              <w:t>En lo que a resultados del Programa se refiere, se observa que el mismo recolecta</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regularmente información veraz y oportuna sobre sus indicadores de Propósito y</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Fin.</w:t>
            </w:r>
          </w:p>
          <w:p w:rsidR="007456F1" w:rsidRPr="006E022F" w:rsidRDefault="007456F1" w:rsidP="00A56E05">
            <w:pPr>
              <w:autoSpaceDE w:val="0"/>
              <w:autoSpaceDN w:val="0"/>
              <w:adjustRightInd w:val="0"/>
              <w:rPr>
                <w:rFonts w:ascii="Adobe Caslon Pro" w:hAnsi="Adobe Caslon Pro" w:cs="Calibri"/>
                <w:i/>
                <w:color w:val="000000"/>
                <w:sz w:val="20"/>
                <w:szCs w:val="20"/>
                <w:lang w:eastAsia="es-MX"/>
              </w:rPr>
            </w:pPr>
          </w:p>
          <w:p w:rsidR="007456F1" w:rsidRPr="00BE4199" w:rsidRDefault="007456F1" w:rsidP="00A56E05">
            <w:pPr>
              <w:autoSpaceDE w:val="0"/>
              <w:autoSpaceDN w:val="0"/>
              <w:adjustRightInd w:val="0"/>
              <w:jc w:val="both"/>
              <w:rPr>
                <w:rFonts w:ascii="Adobe Caslon Pro" w:hAnsi="Adobe Caslon Pro" w:cs="Calibri"/>
                <w:color w:val="000000"/>
                <w:sz w:val="20"/>
                <w:szCs w:val="20"/>
                <w:lang w:eastAsia="es-MX"/>
              </w:rPr>
            </w:pPr>
            <w:r w:rsidRPr="006E022F">
              <w:rPr>
                <w:rFonts w:ascii="Adobe Caslon Pro" w:hAnsi="Adobe Caslon Pro" w:cs="Calibri"/>
                <w:i/>
                <w:color w:val="000000"/>
                <w:sz w:val="20"/>
                <w:szCs w:val="20"/>
                <w:lang w:eastAsia="es-MX"/>
              </w:rPr>
              <w:t>El Programa ha demostrado adecuado progreso en alcanzar su Propósito y Fin.</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Pese a que falta agregar la línea base y metas a la Matriz, con la información que</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se proporciona es posible hacer una rigurosa evaluación de impacto, ya que recolecta</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regularmente información veraz y oportuna sobre sus indicadores</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se cuenta con una planeación</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estratégica previa que defina las acciones, obras, proyectos, actividades, y</w:t>
            </w:r>
            <w:r>
              <w:rPr>
                <w:rFonts w:ascii="Adobe Caslon Pro" w:hAnsi="Adobe Caslon Pro" w:cs="Calibri"/>
                <w:i/>
                <w:color w:val="000000"/>
                <w:sz w:val="20"/>
                <w:szCs w:val="20"/>
                <w:lang w:eastAsia="es-MX"/>
              </w:rPr>
              <w:t xml:space="preserve"> </w:t>
            </w:r>
            <w:r w:rsidRPr="006E022F">
              <w:rPr>
                <w:rFonts w:ascii="Adobe Caslon Pro" w:hAnsi="Adobe Caslon Pro" w:cs="Calibri"/>
                <w:i/>
                <w:color w:val="000000"/>
                <w:sz w:val="20"/>
                <w:szCs w:val="20"/>
                <w:lang w:eastAsia="es-MX"/>
              </w:rPr>
              <w:t>bienes y servicios a entregar. Asimismo, se tiene pleno conocimiento de la normatividad</w:t>
            </w:r>
            <w:r>
              <w:rPr>
                <w:rFonts w:ascii="Adobe Caslon Pro" w:hAnsi="Adobe Caslon Pro" w:cs="Calibri"/>
                <w:i/>
                <w:color w:val="000000"/>
                <w:sz w:val="20"/>
                <w:szCs w:val="20"/>
                <w:lang w:eastAsia="es-MX"/>
              </w:rPr>
              <w:t xml:space="preserve"> </w:t>
            </w:r>
            <w:r w:rsidRPr="007B5F0D">
              <w:rPr>
                <w:rFonts w:ascii="Adobe Caslon Pro" w:hAnsi="Adobe Caslon Pro" w:cs="Calibri"/>
                <w:i/>
                <w:color w:val="000000"/>
                <w:sz w:val="20"/>
                <w:szCs w:val="20"/>
                <w:lang w:eastAsia="es-MX"/>
              </w:rPr>
              <w:t>aplicable para efectos de  proporcionar información, en términos de trasparencia y rendición de cuentas, y se cumple con los ordenamientos de normatividad aplicable en materia de información de resultados y financiera.</w:t>
            </w:r>
          </w:p>
        </w:tc>
      </w:tr>
      <w:tr w:rsidR="007456F1" w:rsidRPr="00BE4199" w:rsidTr="00A56E05">
        <w:trPr>
          <w:trHeight w:val="410"/>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3.2 Describir las recomendaciones de acuerdo a su relevancia:</w:t>
            </w:r>
          </w:p>
        </w:tc>
      </w:tr>
      <w:tr w:rsidR="007456F1" w:rsidRPr="00BE4199"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456F1" w:rsidRDefault="007456F1" w:rsidP="00A56E05">
            <w:pPr>
              <w:autoSpaceDE w:val="0"/>
              <w:autoSpaceDN w:val="0"/>
              <w:adjustRightInd w:val="0"/>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DISEÑO</w:t>
            </w:r>
          </w:p>
          <w:p w:rsidR="007456F1" w:rsidRDefault="007456F1" w:rsidP="00F075EB">
            <w:pPr>
              <w:numPr>
                <w:ilvl w:val="0"/>
                <w:numId w:val="92"/>
              </w:numPr>
              <w:autoSpaceDE w:val="0"/>
              <w:autoSpaceDN w:val="0"/>
              <w:adjustRightInd w:val="0"/>
              <w:rPr>
                <w:rFonts w:ascii="Adobe Caslon Pro" w:hAnsi="Adobe Caslon Pro" w:cs="Calibri"/>
                <w:i/>
                <w:color w:val="000000"/>
                <w:sz w:val="20"/>
                <w:szCs w:val="20"/>
                <w:lang w:eastAsia="es-MX"/>
              </w:rPr>
            </w:pPr>
            <w:r w:rsidRPr="00683B38">
              <w:rPr>
                <w:rFonts w:ascii="Adobe Caslon Pro" w:hAnsi="Adobe Caslon Pro" w:cs="Calibri"/>
                <w:i/>
                <w:color w:val="000000"/>
                <w:sz w:val="20"/>
                <w:szCs w:val="20"/>
                <w:lang w:eastAsia="es-MX"/>
              </w:rPr>
              <w:t xml:space="preserve">Presentar la Matriz de Indicadores del Programa de Infraestructura </w:t>
            </w:r>
            <w:r>
              <w:rPr>
                <w:rFonts w:ascii="Adobe Caslon Pro" w:hAnsi="Adobe Caslon Pro" w:cs="Calibri"/>
                <w:i/>
                <w:color w:val="000000"/>
                <w:sz w:val="20"/>
                <w:szCs w:val="20"/>
                <w:lang w:eastAsia="es-MX"/>
              </w:rPr>
              <w:t xml:space="preserve">a nivel </w:t>
            </w:r>
            <w:r w:rsidRPr="00683B38">
              <w:rPr>
                <w:rFonts w:ascii="Adobe Caslon Pro" w:hAnsi="Adobe Caslon Pro" w:cs="Calibri"/>
                <w:i/>
                <w:color w:val="000000"/>
                <w:sz w:val="20"/>
                <w:szCs w:val="20"/>
                <w:lang w:eastAsia="es-MX"/>
              </w:rPr>
              <w:t>de Educación Básica.</w:t>
            </w:r>
          </w:p>
          <w:p w:rsidR="007456F1" w:rsidRDefault="007456F1" w:rsidP="00F075EB">
            <w:pPr>
              <w:numPr>
                <w:ilvl w:val="0"/>
                <w:numId w:val="92"/>
              </w:numPr>
              <w:autoSpaceDE w:val="0"/>
              <w:autoSpaceDN w:val="0"/>
              <w:adjustRightInd w:val="0"/>
              <w:rPr>
                <w:rFonts w:ascii="Adobe Caslon Pro" w:hAnsi="Adobe Caslon Pro" w:cs="Calibri"/>
                <w:i/>
                <w:color w:val="000000"/>
                <w:sz w:val="20"/>
                <w:szCs w:val="20"/>
                <w:lang w:eastAsia="es-MX"/>
              </w:rPr>
            </w:pPr>
            <w:r w:rsidRPr="00683B38">
              <w:rPr>
                <w:rFonts w:ascii="Adobe Caslon Pro" w:hAnsi="Adobe Caslon Pro" w:cs="Calibri"/>
                <w:i/>
                <w:color w:val="000000"/>
                <w:sz w:val="20"/>
                <w:szCs w:val="20"/>
                <w:lang w:eastAsia="es-MX"/>
              </w:rPr>
              <w:t>Incluir actividades en torno a que se cumpla con los criterios de “necesarias” y “suficientes” establecidos en la Metodología.</w:t>
            </w:r>
          </w:p>
          <w:p w:rsidR="007456F1" w:rsidRDefault="007456F1" w:rsidP="00F075EB">
            <w:pPr>
              <w:numPr>
                <w:ilvl w:val="0"/>
                <w:numId w:val="92"/>
              </w:numPr>
              <w:autoSpaceDE w:val="0"/>
              <w:autoSpaceDN w:val="0"/>
              <w:adjustRightInd w:val="0"/>
              <w:rPr>
                <w:rFonts w:ascii="Adobe Caslon Pro" w:hAnsi="Adobe Caslon Pro" w:cs="Calibri"/>
                <w:i/>
                <w:color w:val="000000"/>
                <w:sz w:val="20"/>
                <w:szCs w:val="20"/>
                <w:lang w:eastAsia="es-MX"/>
              </w:rPr>
            </w:pPr>
            <w:r w:rsidRPr="00683B38">
              <w:rPr>
                <w:rFonts w:ascii="Adobe Caslon Pro" w:hAnsi="Adobe Caslon Pro" w:cs="Calibri"/>
                <w:i/>
                <w:color w:val="000000"/>
                <w:sz w:val="20"/>
                <w:szCs w:val="20"/>
                <w:lang w:eastAsia="es-MX"/>
              </w:rPr>
              <w:t>Agregar a la información de indicadores, ya sea en la Matriz o en otro documento, la línea base de cada uno de los indicadores.</w:t>
            </w:r>
          </w:p>
          <w:p w:rsidR="007456F1" w:rsidRPr="00BE4199" w:rsidRDefault="007456F1" w:rsidP="00F075EB">
            <w:pPr>
              <w:numPr>
                <w:ilvl w:val="0"/>
                <w:numId w:val="92"/>
              </w:numPr>
              <w:autoSpaceDE w:val="0"/>
              <w:autoSpaceDN w:val="0"/>
              <w:adjustRightInd w:val="0"/>
              <w:rPr>
                <w:rFonts w:ascii="Adobe Caslon Pro" w:hAnsi="Adobe Caslon Pro" w:cs="Calibri"/>
                <w:i/>
                <w:color w:val="000000"/>
                <w:sz w:val="20"/>
                <w:szCs w:val="20"/>
                <w:lang w:eastAsia="es-MX"/>
              </w:rPr>
            </w:pPr>
            <w:r w:rsidRPr="00683B38">
              <w:rPr>
                <w:rFonts w:ascii="Adobe Caslon Pro" w:hAnsi="Adobe Caslon Pro" w:cs="Calibri"/>
                <w:i/>
                <w:color w:val="000000"/>
                <w:sz w:val="20"/>
                <w:szCs w:val="20"/>
                <w:lang w:eastAsia="es-MX"/>
              </w:rPr>
              <w:t>Es importante que el padrón de beneficiarios sea accesible de revisar para</w:t>
            </w:r>
            <w:r>
              <w:rPr>
                <w:rFonts w:ascii="Adobe Caslon Pro" w:hAnsi="Adobe Caslon Pro" w:cs="Calibri"/>
                <w:i/>
                <w:color w:val="000000"/>
                <w:sz w:val="20"/>
                <w:szCs w:val="20"/>
                <w:lang w:eastAsia="es-MX"/>
              </w:rPr>
              <w:t xml:space="preserve"> </w:t>
            </w:r>
            <w:r w:rsidRPr="00683B38">
              <w:rPr>
                <w:rFonts w:ascii="Adobe Caslon Pro" w:hAnsi="Adobe Caslon Pro" w:cs="Calibri"/>
                <w:i/>
                <w:color w:val="000000"/>
                <w:sz w:val="20"/>
                <w:szCs w:val="20"/>
                <w:lang w:eastAsia="es-MX"/>
              </w:rPr>
              <w:t>cualquier ciudadano, por lo que se recomienda incluirlo en los portales de</w:t>
            </w:r>
            <w:r>
              <w:rPr>
                <w:rFonts w:ascii="Adobe Caslon Pro" w:hAnsi="Adobe Caslon Pro" w:cs="Calibri"/>
                <w:i/>
                <w:color w:val="000000"/>
                <w:sz w:val="20"/>
                <w:szCs w:val="20"/>
                <w:lang w:eastAsia="es-MX"/>
              </w:rPr>
              <w:t xml:space="preserve"> </w:t>
            </w:r>
            <w:r w:rsidRPr="00683B38">
              <w:rPr>
                <w:rFonts w:ascii="Adobe Caslon Pro" w:hAnsi="Adobe Caslon Pro" w:cs="Calibri"/>
                <w:i/>
                <w:color w:val="000000"/>
                <w:sz w:val="20"/>
                <w:szCs w:val="20"/>
                <w:lang w:eastAsia="es-MX"/>
              </w:rPr>
              <w:t>transparencia en la información del Programa</w:t>
            </w:r>
          </w:p>
        </w:tc>
      </w:tr>
      <w:tr w:rsidR="007456F1" w:rsidRPr="00BE4199"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tcPr>
          <w:p w:rsidR="007456F1" w:rsidRDefault="007456F1" w:rsidP="00A56E05">
            <w:pPr>
              <w:spacing w:line="360" w:lineRule="auto"/>
              <w:contextualSpacing/>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7456F1" w:rsidRPr="00C717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Se recomienda añadir a la Matriz las metas de los indicadores, ya que representan</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una fuente de información eficaz.</w:t>
            </w:r>
          </w:p>
          <w:p w:rsidR="007456F1" w:rsidRPr="00BE41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Se recomienda incluir la </w:t>
            </w:r>
            <w:r w:rsidRPr="00C71799">
              <w:rPr>
                <w:rFonts w:ascii="Adobe Caslon Pro" w:hAnsi="Adobe Caslon Pro" w:cs="Calibri"/>
                <w:i/>
                <w:color w:val="000000"/>
                <w:sz w:val="20"/>
                <w:szCs w:val="20"/>
                <w:lang w:eastAsia="es-MX"/>
              </w:rPr>
              <w:t>línea base es la</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que le otorga el valor al indicador.</w:t>
            </w:r>
          </w:p>
        </w:tc>
      </w:tr>
      <w:tr w:rsidR="007456F1" w:rsidRPr="00BE4199"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spacing w:line="360" w:lineRule="auto"/>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COBERTURA Y FOCALIZACIÓN</w:t>
            </w:r>
          </w:p>
          <w:p w:rsidR="007456F1" w:rsidRPr="00C717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Si se cuenta con un método para cuantificar y determinar la población potencial</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y objetivo, es importante ponerlo a disposición no sólo para fines de</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 xml:space="preserve">evaluación del Programa </w:t>
            </w:r>
            <w:r>
              <w:rPr>
                <w:rFonts w:ascii="Adobe Caslon Pro" w:hAnsi="Adobe Caslon Pro" w:cs="Calibri"/>
                <w:i/>
                <w:color w:val="000000"/>
                <w:sz w:val="20"/>
                <w:szCs w:val="20"/>
                <w:lang w:eastAsia="es-MX"/>
              </w:rPr>
              <w:t xml:space="preserve">a nivel de Educación Básica, </w:t>
            </w:r>
            <w:r w:rsidRPr="00C71799">
              <w:rPr>
                <w:rFonts w:ascii="Adobe Caslon Pro" w:hAnsi="Adobe Caslon Pro" w:cs="Calibri"/>
                <w:i/>
                <w:color w:val="000000"/>
                <w:sz w:val="20"/>
                <w:szCs w:val="20"/>
                <w:lang w:eastAsia="es-MX"/>
              </w:rPr>
              <w:t>sino para información de transparencia presupuestal.</w:t>
            </w:r>
          </w:p>
        </w:tc>
      </w:tr>
      <w:tr w:rsidR="007456F1" w:rsidRPr="00BE4199"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OPERACIÓN</w:t>
            </w:r>
          </w:p>
          <w:p w:rsidR="007456F1" w:rsidRPr="00C717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Puesto que los mecanismos de transferencias de recursos no son responsabilidad de la dependencia encargada de la operación del Programa, se les recomienda diseñar una estrategia que les permita operar los recursos con</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las deficiencias que presenta la transferencia de los mismos.</w:t>
            </w:r>
          </w:p>
          <w:p w:rsidR="007456F1" w:rsidRPr="00C717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Se recomienda la incorporación del avance de los indicadores a nivel de componentes, para dar cumplimiento a lo establecido en los artículos 48 y 49 de la Ley de Coordinación Fiscal, así como la normatividad en materia de</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transparencia y acceso a la información.</w:t>
            </w:r>
          </w:p>
          <w:p w:rsidR="007456F1" w:rsidRPr="00C717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Se sugiere incorporar un costeo a nivel de Propósito y Componentes, tanto</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 xml:space="preserve">en la Matriz como en los </w:t>
            </w:r>
            <w:r w:rsidRPr="00C71799">
              <w:rPr>
                <w:rFonts w:ascii="Adobe Caslon Pro" w:hAnsi="Adobe Caslon Pro" w:cs="Calibri"/>
                <w:i/>
                <w:color w:val="000000"/>
                <w:sz w:val="20"/>
                <w:szCs w:val="20"/>
                <w:lang w:eastAsia="es-MX"/>
              </w:rPr>
              <w:lastRenderedPageBreak/>
              <w:t>informes trimestrales, ya que esta información</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enriquecería el seguimiento y consecución de las metas al tener un mayor</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número de indicadores.</w:t>
            </w:r>
          </w:p>
        </w:tc>
      </w:tr>
      <w:tr w:rsidR="007456F1" w:rsidRPr="00BE4199"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lastRenderedPageBreak/>
              <w:t>PERCEPCIÓN DE LA POBLACIÓN OBJETIVO</w:t>
            </w:r>
          </w:p>
          <w:p w:rsidR="007456F1" w:rsidRPr="00C717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En caso de no contar con un mecanismo para medir el grado de satisfacción de la población, se recomienda diseñar uno. Al tratarse de programas de infraestructura</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educativa se sugiere levantar encuestas entre los alumnos de</w:t>
            </w:r>
            <w:r>
              <w:rPr>
                <w:rFonts w:ascii="Adobe Caslon Pro" w:hAnsi="Adobe Caslon Pro" w:cs="Calibri"/>
                <w:i/>
                <w:color w:val="000000"/>
                <w:sz w:val="20"/>
                <w:szCs w:val="20"/>
                <w:lang w:eastAsia="es-MX"/>
              </w:rPr>
              <w:t xml:space="preserve"> </w:t>
            </w:r>
            <w:r w:rsidRPr="00C71799">
              <w:rPr>
                <w:rFonts w:ascii="Adobe Caslon Pro" w:hAnsi="Adobe Caslon Pro" w:cs="Calibri"/>
                <w:i/>
                <w:color w:val="000000"/>
                <w:sz w:val="20"/>
                <w:szCs w:val="20"/>
                <w:lang w:eastAsia="es-MX"/>
              </w:rPr>
              <w:t>los diferentes planteles beneficiados con el Programa.</w:t>
            </w:r>
          </w:p>
        </w:tc>
      </w:tr>
      <w:tr w:rsidR="007456F1" w:rsidRPr="00BE4199"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EVALUACIÓN DE LA APLICACIÓN DE LOS RECURSOS</w:t>
            </w:r>
          </w:p>
          <w:p w:rsidR="007456F1" w:rsidRPr="00C71799" w:rsidRDefault="007456F1" w:rsidP="00F075EB">
            <w:pPr>
              <w:numPr>
                <w:ilvl w:val="0"/>
                <w:numId w:val="90"/>
              </w:num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Buscar un mecanismo que permita que el r</w:t>
            </w:r>
            <w:r>
              <w:rPr>
                <w:rFonts w:ascii="Adobe Caslon Pro" w:hAnsi="Adobe Caslon Pro" w:cs="Calibri"/>
                <w:i/>
                <w:color w:val="000000"/>
                <w:sz w:val="20"/>
                <w:szCs w:val="20"/>
                <w:lang w:eastAsia="es-MX"/>
              </w:rPr>
              <w:t>ecurso llegue en tiempo y forma o a</w:t>
            </w:r>
            <w:r w:rsidRPr="00C71799">
              <w:rPr>
                <w:rFonts w:ascii="Adobe Caslon Pro" w:hAnsi="Adobe Caslon Pro" w:cs="Calibri"/>
                <w:i/>
                <w:color w:val="000000"/>
                <w:sz w:val="20"/>
                <w:szCs w:val="20"/>
                <w:lang w:eastAsia="es-MX"/>
              </w:rPr>
              <w:t>justar la programación al calendario real de los últimos ejercicios fiscales.</w:t>
            </w:r>
          </w:p>
        </w:tc>
      </w:tr>
      <w:tr w:rsidR="007456F1" w:rsidRPr="00BE4199" w:rsidTr="00A56E05">
        <w:trPr>
          <w:trHeight w:val="105"/>
          <w:jc w:val="center"/>
        </w:trPr>
        <w:tc>
          <w:tcPr>
            <w:tcW w:w="579"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4.1 Nombre del coordinador de la evaluación:</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Mtro. José de Jesús </w:t>
            </w:r>
            <w:proofErr w:type="spellStart"/>
            <w:r w:rsidRPr="00BE4199">
              <w:rPr>
                <w:rFonts w:ascii="Adobe Caslon Pro" w:hAnsi="Adobe Caslon Pro" w:cs="Calibri"/>
                <w:i/>
                <w:color w:val="000000"/>
                <w:sz w:val="20"/>
                <w:szCs w:val="20"/>
                <w:lang w:eastAsia="es-MX"/>
              </w:rPr>
              <w:t>Guizar</w:t>
            </w:r>
            <w:proofErr w:type="spellEnd"/>
            <w:r w:rsidRPr="00BE4199">
              <w:rPr>
                <w:rFonts w:ascii="Adobe Caslon Pro" w:hAnsi="Adobe Caslon Pro" w:cs="Calibri"/>
                <w:i/>
                <w:color w:val="000000"/>
                <w:sz w:val="20"/>
                <w:szCs w:val="20"/>
                <w:lang w:eastAsia="es-MX"/>
              </w:rPr>
              <w:t xml:space="preserve"> Jiménez</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4.2 Cargo:</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Consultor Investigador</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4.3 Institución a la que pertenece: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Instituto para el Desarrollo Técnico de las Haciendas Públicas (INDETEC)</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4.4 Principales colaboradores:</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Lic. Dolores Buenrostro Bermúdez</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4.5 Correo electrónico del coordinador de la evaluación:</w:t>
            </w:r>
          </w:p>
          <w:p w:rsidR="007456F1" w:rsidRPr="00BE4199" w:rsidRDefault="007456F1" w:rsidP="00A56E05">
            <w:pPr>
              <w:rPr>
                <w:rFonts w:ascii="Adobe Caslon Pro" w:hAnsi="Adobe Caslon Pro" w:cs="Calibri"/>
                <w:i/>
                <w:color w:val="000000"/>
                <w:sz w:val="20"/>
                <w:szCs w:val="20"/>
                <w:u w:val="single"/>
                <w:lang w:eastAsia="es-MX"/>
              </w:rPr>
            </w:pPr>
            <w:r w:rsidRPr="00BE4199">
              <w:rPr>
                <w:rFonts w:ascii="Adobe Caslon Pro" w:hAnsi="Adobe Caslon Pro" w:cs="Calibri"/>
                <w:i/>
                <w:color w:val="000000"/>
                <w:sz w:val="20"/>
                <w:szCs w:val="20"/>
                <w:u w:val="single"/>
                <w:lang w:eastAsia="es-MX"/>
              </w:rPr>
              <w:t>jguizarj@indetec.gob.mx</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4.6 Teléfono (con clave lada):</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(33) 36695550</w:t>
            </w:r>
          </w:p>
        </w:tc>
      </w:tr>
      <w:tr w:rsidR="007456F1" w:rsidRPr="00BE4199" w:rsidTr="00A56E05">
        <w:trPr>
          <w:trHeight w:val="75"/>
          <w:jc w:val="center"/>
        </w:trPr>
        <w:tc>
          <w:tcPr>
            <w:tcW w:w="999"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Fondo de Aportaciones Múltiples</w:t>
            </w:r>
            <w:r>
              <w:rPr>
                <w:rFonts w:ascii="Adobe Caslon Pro" w:hAnsi="Adobe Caslon Pro" w:cs="Calibri"/>
                <w:i/>
                <w:color w:val="000000"/>
                <w:sz w:val="20"/>
                <w:szCs w:val="20"/>
                <w:lang w:eastAsia="es-MX"/>
              </w:rPr>
              <w:t xml:space="preserve"> en su componente de Infraestructura Educativa.</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FAM</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coordinador del (los) programa(s):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Instituto Estatal de Educación Pública de Oaxaca</w:t>
            </w:r>
            <w:r>
              <w:rPr>
                <w:rFonts w:ascii="Adobe Caslon Pro" w:hAnsi="Adobe Caslon Pro" w:cs="Calibri"/>
                <w:i/>
                <w:color w:val="000000"/>
                <w:sz w:val="20"/>
                <w:szCs w:val="20"/>
                <w:lang w:eastAsia="es-MX"/>
              </w:rPr>
              <w:t xml:space="preserve"> (IEEPO)</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Sistema de Universidades Estatales de Oaxaca</w:t>
            </w:r>
            <w:r>
              <w:rPr>
                <w:rFonts w:ascii="Adobe Caslon Pro" w:hAnsi="Adobe Caslon Pro" w:cs="Calibri"/>
                <w:i/>
                <w:color w:val="000000"/>
                <w:sz w:val="20"/>
                <w:szCs w:val="20"/>
                <w:lang w:eastAsia="es-MX"/>
              </w:rPr>
              <w:t xml:space="preserve"> (SUNEO)</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F04D66" w:rsidRDefault="007456F1" w:rsidP="00A56E05">
            <w:pPr>
              <w:rPr>
                <w:rFonts w:ascii="Adobe Caslon Pro" w:hAnsi="Adobe Caslon Pro" w:cs="Calibri"/>
                <w:color w:val="000000"/>
                <w:sz w:val="20"/>
                <w:szCs w:val="20"/>
                <w:lang w:eastAsia="es-MX"/>
              </w:rPr>
            </w:pPr>
            <w:proofErr w:type="spellStart"/>
            <w:r w:rsidRPr="00F04D66">
              <w:rPr>
                <w:rFonts w:ascii="Adobe Caslon Pro" w:hAnsi="Adobe Caslon Pro" w:cs="Calibri"/>
                <w:color w:val="000000"/>
                <w:sz w:val="20"/>
                <w:szCs w:val="20"/>
                <w:lang w:eastAsia="es-MX"/>
              </w:rPr>
              <w:t>Federal_X</w:t>
            </w:r>
            <w:proofErr w:type="spellEnd"/>
            <w:r w:rsidRPr="00F04D66">
              <w:rPr>
                <w:rFonts w:ascii="Adobe Caslon Pro" w:hAnsi="Adobe Caslon Pro" w:cs="Calibri"/>
                <w:color w:val="000000"/>
                <w:sz w:val="20"/>
                <w:szCs w:val="20"/>
                <w:lang w:eastAsia="es-MX"/>
              </w:rPr>
              <w:t>__       Estatal___     Local___</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F04D66" w:rsidRDefault="007456F1" w:rsidP="00A56E05">
            <w:pPr>
              <w:rPr>
                <w:rFonts w:ascii="Adobe Caslon Pro" w:hAnsi="Adobe Caslon Pro" w:cs="Calibri"/>
                <w:color w:val="000000"/>
                <w:sz w:val="20"/>
                <w:szCs w:val="20"/>
                <w:lang w:eastAsia="es-MX"/>
              </w:rPr>
            </w:pPr>
            <w:r w:rsidRPr="00F04D66">
              <w:rPr>
                <w:rFonts w:ascii="Adobe Caslon Pro" w:hAnsi="Adobe Caslon Pro" w:cs="Calibri"/>
                <w:color w:val="000000"/>
                <w:sz w:val="20"/>
                <w:szCs w:val="20"/>
                <w:lang w:eastAsia="es-MX"/>
              </w:rPr>
              <w:t>5.6 Nombre de la(s) unidad(es) administrativa(s) y de (los) titular(es) a cargo del (los) programa(s):</w:t>
            </w:r>
          </w:p>
        </w:tc>
      </w:tr>
      <w:tr w:rsidR="007456F1" w:rsidRPr="00BE4199"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7456F1" w:rsidRPr="00BE4199"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Instituto Oaxaqueño Constructor de Infraestructura Física Educativa (IOCIFED)</w:t>
            </w:r>
          </w:p>
          <w:p w:rsidR="007456F1"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Universidad Autónoma Benito Juárez</w:t>
            </w:r>
            <w:r>
              <w:rPr>
                <w:rFonts w:ascii="Adobe Caslon Pro" w:hAnsi="Adobe Caslon Pro" w:cs="Calibri"/>
                <w:i/>
                <w:color w:val="000000"/>
                <w:sz w:val="20"/>
                <w:szCs w:val="20"/>
                <w:lang w:eastAsia="es-MX"/>
              </w:rPr>
              <w:t xml:space="preserve"> (UABJO)</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Sistema de Universidades Estatales de Oaxaca</w:t>
            </w:r>
          </w:p>
        </w:tc>
      </w:tr>
      <w:tr w:rsidR="007456F1" w:rsidRPr="00BE4199"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7456F1" w:rsidRPr="00BE4199" w:rsidTr="00A56E05">
        <w:trPr>
          <w:trHeight w:val="274"/>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Lic. </w:t>
            </w:r>
            <w:r>
              <w:rPr>
                <w:rFonts w:ascii="Adobe Caslon Pro" w:hAnsi="Adobe Caslon Pro" w:cs="Calibri"/>
                <w:i/>
                <w:color w:val="000000"/>
                <w:sz w:val="20"/>
                <w:szCs w:val="20"/>
                <w:lang w:eastAsia="es-MX"/>
              </w:rPr>
              <w:t>Moisés Robles Cruz</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01 (951) 515-80-19</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direcciongral@ieepo.edu.mx</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Unidad administrativa:</w:t>
            </w:r>
          </w:p>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Director General d</w:t>
            </w:r>
            <w:r w:rsidRPr="00BE4199">
              <w:rPr>
                <w:rFonts w:ascii="Adobe Caslon Pro" w:hAnsi="Adobe Caslon Pro" w:cs="Calibri"/>
                <w:i/>
                <w:color w:val="000000"/>
                <w:sz w:val="20"/>
                <w:szCs w:val="20"/>
                <w:lang w:eastAsia="es-MX"/>
              </w:rPr>
              <w:t xml:space="preserve">el Instituto Estatal </w:t>
            </w:r>
            <w:r>
              <w:rPr>
                <w:rFonts w:ascii="Adobe Caslon Pro" w:hAnsi="Adobe Caslon Pro" w:cs="Calibri"/>
                <w:i/>
                <w:color w:val="000000"/>
                <w:sz w:val="20"/>
                <w:szCs w:val="20"/>
                <w:lang w:eastAsia="es-MX"/>
              </w:rPr>
              <w:t>de Educación Pública d</w:t>
            </w:r>
            <w:r w:rsidRPr="00BE4199">
              <w:rPr>
                <w:rFonts w:ascii="Adobe Caslon Pro" w:hAnsi="Adobe Caslon Pro" w:cs="Calibri"/>
                <w:i/>
                <w:color w:val="000000"/>
                <w:sz w:val="20"/>
                <w:szCs w:val="20"/>
                <w:lang w:eastAsia="es-MX"/>
              </w:rPr>
              <w:t>e Oaxaca</w:t>
            </w:r>
            <w:r>
              <w:rPr>
                <w:rFonts w:ascii="Adobe Caslon Pro" w:hAnsi="Adobe Caslon Pro" w:cs="Calibri"/>
                <w:i/>
                <w:color w:val="000000"/>
                <w:sz w:val="20"/>
                <w:szCs w:val="20"/>
                <w:lang w:eastAsia="es-MX"/>
              </w:rPr>
              <w:t xml:space="preserve"> (IEEPO)</w:t>
            </w:r>
          </w:p>
        </w:tc>
      </w:tr>
      <w:tr w:rsidR="007456F1" w:rsidRPr="00BE4199"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tcPr>
          <w:p w:rsidR="007456F1" w:rsidRPr="00F04D66" w:rsidRDefault="007456F1" w:rsidP="00A56E05">
            <w:pPr>
              <w:rPr>
                <w:rFonts w:ascii="Adobe Caslon Pro" w:hAnsi="Adobe Caslon Pro" w:cs="Calibri"/>
                <w:i/>
                <w:color w:val="000000"/>
                <w:sz w:val="20"/>
                <w:szCs w:val="20"/>
                <w:lang w:eastAsia="es-MX"/>
              </w:rPr>
            </w:pPr>
            <w:r w:rsidRPr="00F04D66">
              <w:rPr>
                <w:rFonts w:ascii="Adobe Caslon Pro" w:hAnsi="Adobe Caslon Pro" w:cs="Calibri"/>
                <w:i/>
                <w:color w:val="000000"/>
                <w:sz w:val="20"/>
                <w:szCs w:val="20"/>
                <w:lang w:eastAsia="es-MX"/>
              </w:rPr>
              <w:t>Mtro. Elí Pérez Matos</w:t>
            </w:r>
          </w:p>
          <w:p w:rsidR="007456F1" w:rsidRPr="00F04D66" w:rsidRDefault="007456F1" w:rsidP="00A56E05">
            <w:pPr>
              <w:rPr>
                <w:rFonts w:ascii="Adobe Caslon Pro" w:hAnsi="Adobe Caslon Pro" w:cs="Calibri"/>
                <w:i/>
                <w:color w:val="000000"/>
                <w:sz w:val="20"/>
                <w:szCs w:val="20"/>
                <w:lang w:eastAsia="es-MX"/>
              </w:rPr>
            </w:pPr>
            <w:r w:rsidRPr="00F04D66">
              <w:rPr>
                <w:rFonts w:ascii="Adobe Caslon Pro" w:hAnsi="Adobe Caslon Pro" w:cs="Calibri"/>
                <w:i/>
                <w:color w:val="000000"/>
                <w:sz w:val="20"/>
                <w:szCs w:val="20"/>
                <w:lang w:eastAsia="es-MX"/>
              </w:rPr>
              <w:t>01 (951) 502-01-65</w:t>
            </w:r>
          </w:p>
          <w:p w:rsidR="007456F1" w:rsidRPr="00BE4199" w:rsidRDefault="007456F1" w:rsidP="00A56E05">
            <w:pPr>
              <w:rPr>
                <w:rFonts w:ascii="Adobe Caslon Pro" w:hAnsi="Adobe Caslon Pro" w:cs="Calibri"/>
                <w:color w:val="000000"/>
                <w:sz w:val="20"/>
                <w:szCs w:val="20"/>
                <w:lang w:eastAsia="es-MX"/>
              </w:rPr>
            </w:pPr>
            <w:r w:rsidRPr="00F04D66">
              <w:rPr>
                <w:rFonts w:ascii="Adobe Caslon Pro" w:hAnsi="Adobe Caslon Pro" w:cs="Calibri"/>
                <w:i/>
                <w:color w:val="000000"/>
                <w:sz w:val="20"/>
                <w:szCs w:val="20"/>
                <w:lang w:eastAsia="es-MX"/>
              </w:rPr>
              <w:t>iocifed@gmail.com</w:t>
            </w:r>
          </w:p>
        </w:tc>
        <w:tc>
          <w:tcPr>
            <w:tcW w:w="5171" w:type="dxa"/>
            <w:gridSpan w:val="9"/>
            <w:tcBorders>
              <w:top w:val="single" w:sz="4" w:space="0" w:color="auto"/>
              <w:left w:val="nil"/>
              <w:bottom w:val="single" w:sz="4" w:space="0" w:color="auto"/>
              <w:right w:val="single" w:sz="4" w:space="0" w:color="000000"/>
            </w:tcBorders>
            <w:shd w:val="clear" w:color="auto" w:fill="auto"/>
          </w:tcPr>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Director General del Instituto Oaxaqueño Constructor de Infraestructura Física Educativa (IOCIFED)</w:t>
            </w:r>
          </w:p>
          <w:p w:rsidR="007456F1" w:rsidRPr="00BE4199" w:rsidRDefault="007456F1" w:rsidP="00A56E05">
            <w:pPr>
              <w:rPr>
                <w:rFonts w:ascii="Adobe Caslon Pro" w:hAnsi="Adobe Caslon Pro" w:cs="Calibri"/>
                <w:i/>
                <w:color w:val="000000"/>
                <w:sz w:val="20"/>
                <w:szCs w:val="20"/>
                <w:lang w:eastAsia="es-MX"/>
              </w:rPr>
            </w:pPr>
          </w:p>
        </w:tc>
      </w:tr>
      <w:tr w:rsidR="007456F1" w:rsidRPr="00BE4199"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tcPr>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L.D. Eduardo Martínez </w:t>
            </w:r>
            <w:proofErr w:type="spellStart"/>
            <w:r w:rsidRPr="00BE4199">
              <w:rPr>
                <w:rFonts w:ascii="Adobe Caslon Pro" w:hAnsi="Adobe Caslon Pro" w:cs="Calibri"/>
                <w:i/>
                <w:color w:val="000000"/>
                <w:sz w:val="20"/>
                <w:szCs w:val="20"/>
                <w:lang w:eastAsia="es-MX"/>
              </w:rPr>
              <w:t>Helmes</w:t>
            </w:r>
            <w:proofErr w:type="spellEnd"/>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01 (951) 502-07-00, 502-07-01</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rector@uabjo.mx</w:t>
            </w:r>
          </w:p>
        </w:tc>
        <w:tc>
          <w:tcPr>
            <w:tcW w:w="5171" w:type="dxa"/>
            <w:gridSpan w:val="9"/>
            <w:tcBorders>
              <w:top w:val="single" w:sz="4" w:space="0" w:color="auto"/>
              <w:left w:val="nil"/>
              <w:bottom w:val="single" w:sz="4" w:space="0" w:color="auto"/>
              <w:right w:val="single" w:sz="4" w:space="0" w:color="000000"/>
            </w:tcBorders>
            <w:shd w:val="clear" w:color="auto" w:fill="auto"/>
          </w:tcPr>
          <w:p w:rsidR="007456F1"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Rector de la Universidad Autónoma Benito Juárez</w:t>
            </w:r>
            <w:r>
              <w:rPr>
                <w:rFonts w:ascii="Adobe Caslon Pro" w:hAnsi="Adobe Caslon Pro" w:cs="Calibri"/>
                <w:i/>
                <w:color w:val="000000"/>
                <w:sz w:val="20"/>
                <w:szCs w:val="20"/>
                <w:lang w:eastAsia="es-MX"/>
              </w:rPr>
              <w:t xml:space="preserve"> de Oaxaca</w:t>
            </w:r>
          </w:p>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(UABJO)</w:t>
            </w:r>
          </w:p>
        </w:tc>
      </w:tr>
      <w:tr w:rsidR="007456F1" w:rsidRPr="00BE4199"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tcPr>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Dr. Modesto </w:t>
            </w:r>
            <w:proofErr w:type="spellStart"/>
            <w:r w:rsidRPr="00BE4199">
              <w:rPr>
                <w:rFonts w:ascii="Adobe Caslon Pro" w:hAnsi="Adobe Caslon Pro" w:cs="Calibri"/>
                <w:i/>
                <w:color w:val="000000"/>
                <w:sz w:val="20"/>
                <w:szCs w:val="20"/>
                <w:lang w:eastAsia="es-MX"/>
              </w:rPr>
              <w:t>Seara</w:t>
            </w:r>
            <w:proofErr w:type="spellEnd"/>
            <w:r w:rsidRPr="00BE4199">
              <w:rPr>
                <w:rFonts w:ascii="Adobe Caslon Pro" w:hAnsi="Adobe Caslon Pro" w:cs="Calibri"/>
                <w:i/>
                <w:color w:val="000000"/>
                <w:sz w:val="20"/>
                <w:szCs w:val="20"/>
                <w:lang w:eastAsia="es-MX"/>
              </w:rPr>
              <w:t xml:space="preserve"> Vázquez</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(01) 958-587-25-61</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msv@huatulco.umar.mx</w:t>
            </w:r>
          </w:p>
        </w:tc>
        <w:tc>
          <w:tcPr>
            <w:tcW w:w="5171" w:type="dxa"/>
            <w:gridSpan w:val="9"/>
            <w:tcBorders>
              <w:top w:val="single" w:sz="4" w:space="0" w:color="auto"/>
              <w:left w:val="nil"/>
              <w:bottom w:val="single" w:sz="4" w:space="0" w:color="auto"/>
              <w:right w:val="single" w:sz="4" w:space="0" w:color="000000"/>
            </w:tcBorders>
            <w:shd w:val="clear" w:color="auto" w:fill="auto"/>
          </w:tcPr>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Rector d</w:t>
            </w:r>
            <w:r w:rsidRPr="00BE4199">
              <w:rPr>
                <w:rFonts w:ascii="Adobe Caslon Pro" w:hAnsi="Adobe Caslon Pro" w:cs="Calibri"/>
                <w:i/>
                <w:color w:val="000000"/>
                <w:sz w:val="20"/>
                <w:szCs w:val="20"/>
                <w:lang w:eastAsia="es-MX"/>
              </w:rPr>
              <w:t>el Sist</w:t>
            </w:r>
            <w:r>
              <w:rPr>
                <w:rFonts w:ascii="Adobe Caslon Pro" w:hAnsi="Adobe Caslon Pro" w:cs="Calibri"/>
                <w:i/>
                <w:color w:val="000000"/>
                <w:sz w:val="20"/>
                <w:szCs w:val="20"/>
                <w:lang w:eastAsia="es-MX"/>
              </w:rPr>
              <w:t>ema de Universidades Estatales d</w:t>
            </w:r>
            <w:r w:rsidRPr="00BE4199">
              <w:rPr>
                <w:rFonts w:ascii="Adobe Caslon Pro" w:hAnsi="Adobe Caslon Pro" w:cs="Calibri"/>
                <w:i/>
                <w:color w:val="000000"/>
                <w:sz w:val="20"/>
                <w:szCs w:val="20"/>
                <w:lang w:eastAsia="es-MX"/>
              </w:rPr>
              <w:t>e Oaxaca</w:t>
            </w:r>
            <w:r>
              <w:rPr>
                <w:rFonts w:ascii="Adobe Caslon Pro" w:hAnsi="Adobe Caslon Pro" w:cs="Calibri"/>
                <w:i/>
                <w:color w:val="000000"/>
                <w:sz w:val="20"/>
                <w:szCs w:val="20"/>
                <w:lang w:eastAsia="es-MX"/>
              </w:rPr>
              <w:t xml:space="preserve"> (SUNEO)</w:t>
            </w:r>
          </w:p>
        </w:tc>
      </w:tr>
      <w:tr w:rsidR="007456F1" w:rsidRPr="00BE4199" w:rsidTr="00A56E05">
        <w:trPr>
          <w:trHeight w:val="75"/>
          <w:jc w:val="center"/>
        </w:trPr>
        <w:tc>
          <w:tcPr>
            <w:tcW w:w="999" w:type="dxa"/>
            <w:gridSpan w:val="2"/>
            <w:tcBorders>
              <w:top w:val="nil"/>
              <w:left w:val="nil"/>
              <w:bottom w:val="nil"/>
              <w:right w:val="nil"/>
            </w:tcBorders>
            <w:shd w:val="clear" w:color="auto" w:fill="auto"/>
            <w:hideMark/>
          </w:tcPr>
          <w:p w:rsidR="007456F1" w:rsidRPr="00BE4199" w:rsidRDefault="007456F1"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hideMark/>
          </w:tcPr>
          <w:p w:rsidR="007456F1" w:rsidRPr="00BE4199" w:rsidRDefault="007456F1"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p>
        </w:tc>
        <w:tc>
          <w:tcPr>
            <w:tcW w:w="2526" w:type="dxa"/>
            <w:gridSpan w:val="4"/>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6.1.4 Licitación Pública Internacional___ </w:t>
            </w:r>
            <w:r w:rsidRPr="00F04D66">
              <w:rPr>
                <w:rFonts w:ascii="Adobe Caslon Pro" w:hAnsi="Adobe Caslon Pro" w:cs="Calibri"/>
                <w:color w:val="000000"/>
                <w:sz w:val="20"/>
                <w:szCs w:val="20"/>
                <w:lang w:eastAsia="es-MX"/>
              </w:rPr>
              <w:t>6.1.5 Otro: (Señalar)_ Convenio de colaboración institucional __</w:t>
            </w:r>
          </w:p>
        </w:tc>
      </w:tr>
      <w:tr w:rsidR="007456F1" w:rsidRPr="00BE4199"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 xml:space="preserve">Costo total de la evaluación:    </w:t>
            </w:r>
            <w:r w:rsidRPr="00BE4199">
              <w:rPr>
                <w:rFonts w:ascii="Adobe Caslon Pro" w:hAnsi="Adobe Caslon Pro" w:cs="Calibri"/>
                <w:i/>
                <w:color w:val="000000"/>
                <w:sz w:val="20"/>
                <w:szCs w:val="20"/>
                <w:lang w:eastAsia="es-MX"/>
              </w:rPr>
              <w:t>$ 960,000.00 (Novecientos sesenta mil pesos 00/100 M.N.) El costo corresponde a la evaluación de ocho Fondos de Aportaciones del Ramo General 33</w:t>
            </w:r>
            <w:r w:rsidRPr="00BE4199">
              <w:rPr>
                <w:rFonts w:ascii="Adobe Caslon Pro" w:hAnsi="Adobe Caslon Pro" w:cs="Calibri"/>
                <w:color w:val="000000"/>
                <w:sz w:val="20"/>
                <w:szCs w:val="20"/>
                <w:lang w:eastAsia="es-MX"/>
              </w:rPr>
              <w:t>.</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7456F1" w:rsidRPr="00BE4199" w:rsidTr="00A56E05">
        <w:trPr>
          <w:trHeight w:val="162"/>
          <w:jc w:val="center"/>
        </w:trPr>
        <w:tc>
          <w:tcPr>
            <w:tcW w:w="999"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7456F1" w:rsidRDefault="009B1A50" w:rsidP="00A56E05">
            <w:pPr>
              <w:rPr>
                <w:rFonts w:ascii="Adobe Caslon Pro" w:hAnsi="Adobe Caslon Pro" w:cs="Calibri"/>
                <w:color w:val="000000"/>
                <w:sz w:val="20"/>
                <w:szCs w:val="20"/>
                <w:lang w:eastAsia="es-MX"/>
              </w:rPr>
            </w:pPr>
            <w:hyperlink r:id="rId163"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642484" w:rsidRDefault="009B1A50" w:rsidP="00A56E05">
            <w:pPr>
              <w:rPr>
                <w:rFonts w:ascii="Adobe Caslon Pro" w:hAnsi="Adobe Caslon Pro" w:cs="Calibri"/>
                <w:color w:val="000000"/>
                <w:sz w:val="20"/>
                <w:szCs w:val="20"/>
                <w:lang w:eastAsia="es-MX"/>
              </w:rPr>
            </w:pPr>
            <w:hyperlink r:id="rId164" w:history="1">
              <w:r w:rsidR="007456F1" w:rsidRPr="002F7F93">
                <w:rPr>
                  <w:rStyle w:val="Hipervnculo"/>
                  <w:rFonts w:ascii="Adobe Caslon Pro" w:hAnsi="Adobe Caslon Pro" w:cs="Calibri"/>
                  <w:sz w:val="20"/>
                  <w:szCs w:val="20"/>
                  <w:lang w:eastAsia="es-MX"/>
                </w:rPr>
                <w:t>http://www.transparenciapresupuestaria.oaxaca.gob.mx/05_ev1_eprogramas.php</w:t>
              </w:r>
            </w:hyperlink>
          </w:p>
        </w:tc>
      </w:tr>
      <w:tr w:rsidR="007456F1" w:rsidRPr="00BE4199"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F04D66">
              <w:rPr>
                <w:rFonts w:ascii="Adobe Caslon Pro" w:hAnsi="Adobe Caslon Pro" w:cs="Calibri"/>
                <w:color w:val="000000"/>
                <w:sz w:val="20"/>
                <w:szCs w:val="20"/>
                <w:lang w:eastAsia="es-MX"/>
              </w:rPr>
              <w:t>7.2  Difusión en internet del formato:</w:t>
            </w:r>
          </w:p>
          <w:p w:rsidR="007456F1" w:rsidRDefault="009B1A50" w:rsidP="00A56E05">
            <w:pPr>
              <w:rPr>
                <w:rFonts w:ascii="Adobe Caslon Pro" w:hAnsi="Adobe Caslon Pro" w:cs="Calibri"/>
                <w:color w:val="000000"/>
                <w:sz w:val="20"/>
                <w:szCs w:val="20"/>
                <w:lang w:eastAsia="es-MX"/>
              </w:rPr>
            </w:pPr>
            <w:hyperlink r:id="rId165"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642484" w:rsidRDefault="007456F1" w:rsidP="00A56E05">
            <w:pPr>
              <w:rPr>
                <w:rFonts w:ascii="Adobe Caslon Pro" w:hAnsi="Adobe Caslon Pro" w:cs="Calibri"/>
                <w:color w:val="000000"/>
                <w:sz w:val="20"/>
                <w:szCs w:val="20"/>
                <w:lang w:eastAsia="es-MX"/>
              </w:rPr>
            </w:pPr>
          </w:p>
        </w:tc>
      </w:tr>
    </w:tbl>
    <w:p w:rsidR="007456F1" w:rsidRPr="00066E84" w:rsidRDefault="007456F1" w:rsidP="007456F1">
      <w:pPr>
        <w:rPr>
          <w:rFonts w:ascii="Adobe Caslon Pro" w:hAnsi="Adobe Caslon Pro"/>
          <w:b/>
          <w:sz w:val="20"/>
          <w:szCs w:val="20"/>
          <w:lang w:eastAsia="es-MX"/>
        </w:rPr>
      </w:pPr>
    </w:p>
    <w:p w:rsidR="007456F1" w:rsidRDefault="007456F1" w:rsidP="007456F1">
      <w:pPr>
        <w:autoSpaceDE w:val="0"/>
        <w:autoSpaceDN w:val="0"/>
        <w:adjustRightInd w:val="0"/>
        <w:jc w:val="both"/>
        <w:rPr>
          <w:rFonts w:cs="Calibri"/>
          <w:sz w:val="16"/>
          <w:szCs w:val="16"/>
        </w:rPr>
      </w:pPr>
    </w:p>
    <w:p w:rsidR="007456F1" w:rsidRDefault="007456F1">
      <w:pPr>
        <w:rPr>
          <w:rFonts w:ascii="Arial" w:hAnsi="Arial" w:cs="Arial"/>
          <w:b/>
        </w:rPr>
      </w:pPr>
      <w:r>
        <w:rPr>
          <w:rFonts w:ascii="Arial" w:hAnsi="Arial" w:cs="Arial"/>
          <w:b/>
        </w:rPr>
        <w:br w:type="page"/>
      </w:r>
    </w:p>
    <w:p w:rsidR="007456F1" w:rsidRPr="007456F1" w:rsidRDefault="007456F1" w:rsidP="007456F1">
      <w:pPr>
        <w:pStyle w:val="Prrafodelista"/>
        <w:ind w:left="0"/>
        <w:jc w:val="both"/>
        <w:rPr>
          <w:rFonts w:ascii="Arial" w:hAnsi="Arial" w:cs="Arial"/>
          <w:b/>
          <w:sz w:val="24"/>
          <w:szCs w:val="24"/>
          <w:lang w:val="es-ES"/>
        </w:rPr>
      </w:pPr>
      <w:r w:rsidRPr="007456F1">
        <w:rPr>
          <w:rFonts w:ascii="Arial" w:hAnsi="Arial" w:cs="Arial"/>
          <w:b/>
          <w:sz w:val="24"/>
          <w:szCs w:val="24"/>
          <w:lang w:val="es-ES"/>
        </w:rPr>
        <w:lastRenderedPageBreak/>
        <w:t>14.</w:t>
      </w:r>
      <w:r w:rsidR="0072684E">
        <w:rPr>
          <w:rFonts w:ascii="Arial" w:hAnsi="Arial" w:cs="Arial"/>
          <w:b/>
          <w:sz w:val="24"/>
          <w:szCs w:val="24"/>
          <w:lang w:val="es-ES"/>
        </w:rPr>
        <w:t>2</w:t>
      </w:r>
      <w:r w:rsidRPr="007456F1">
        <w:rPr>
          <w:rFonts w:ascii="Arial" w:hAnsi="Arial" w:cs="Arial"/>
          <w:b/>
          <w:sz w:val="24"/>
          <w:szCs w:val="24"/>
          <w:lang w:val="es-ES"/>
        </w:rPr>
        <w:t>.1</w:t>
      </w:r>
      <w:r w:rsidR="00FB524A">
        <w:rPr>
          <w:rFonts w:ascii="Arial" w:hAnsi="Arial" w:cs="Arial"/>
          <w:b/>
          <w:sz w:val="24"/>
          <w:szCs w:val="24"/>
          <w:lang w:val="es-ES"/>
        </w:rPr>
        <w:t>3</w:t>
      </w:r>
      <w:r w:rsidRPr="007456F1">
        <w:rPr>
          <w:rFonts w:ascii="Arial" w:hAnsi="Arial" w:cs="Arial"/>
          <w:b/>
          <w:sz w:val="24"/>
          <w:szCs w:val="24"/>
          <w:lang w:val="es-ES"/>
        </w:rPr>
        <w:t>.- FONDO DE APORTACIONES PARA LA SEGURIDAD PÚBLICA (FASP)</w:t>
      </w:r>
    </w:p>
    <w:p w:rsidR="007456F1" w:rsidRDefault="007456F1" w:rsidP="007456F1">
      <w:pPr>
        <w:pStyle w:val="Prrafodelista"/>
        <w:ind w:left="0"/>
        <w:jc w:val="center"/>
        <w:rPr>
          <w:rFonts w:ascii="Adobe Caslon Pro" w:hAnsi="Adobe Caslon Pro" w:cs="Calibri"/>
          <w:i/>
          <w:color w:val="000000"/>
          <w:lang w:eastAsia="es-MX"/>
        </w:rPr>
      </w:pPr>
    </w:p>
    <w:tbl>
      <w:tblPr>
        <w:tblpPr w:leftFromText="141" w:rightFromText="141" w:vertAnchor="text" w:tblpY="1"/>
        <w:tblOverlap w:val="never"/>
        <w:tblW w:w="9436" w:type="dxa"/>
        <w:tblInd w:w="58" w:type="dxa"/>
        <w:tblCellMar>
          <w:left w:w="70" w:type="dxa"/>
          <w:right w:w="70" w:type="dxa"/>
        </w:tblCellMar>
        <w:tblLook w:val="04A0"/>
      </w:tblPr>
      <w:tblGrid>
        <w:gridCol w:w="579"/>
        <w:gridCol w:w="420"/>
        <w:gridCol w:w="1955"/>
        <w:gridCol w:w="1311"/>
        <w:gridCol w:w="160"/>
        <w:gridCol w:w="237"/>
        <w:gridCol w:w="170"/>
        <w:gridCol w:w="141"/>
        <w:gridCol w:w="667"/>
        <w:gridCol w:w="1311"/>
        <w:gridCol w:w="14"/>
        <w:gridCol w:w="1160"/>
        <w:gridCol w:w="151"/>
        <w:gridCol w:w="1160"/>
      </w:tblGrid>
      <w:tr w:rsidR="007456F1" w:rsidRPr="00BE4199" w:rsidTr="00A56E05">
        <w:trPr>
          <w:trHeight w:val="420"/>
        </w:trPr>
        <w:tc>
          <w:tcPr>
            <w:tcW w:w="5640" w:type="dxa"/>
            <w:gridSpan w:val="9"/>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Evaluación Estratégica de Consistencia y Resultados del Fondo de Aportaciones </w:t>
            </w:r>
            <w:r>
              <w:rPr>
                <w:rFonts w:ascii="Adobe Caslon Pro" w:hAnsi="Adobe Caslon Pro" w:cs="Calibri"/>
                <w:i/>
                <w:color w:val="000000"/>
                <w:sz w:val="20"/>
                <w:szCs w:val="20"/>
                <w:lang w:eastAsia="es-MX"/>
              </w:rPr>
              <w:t>para la Seguridad Pública (FASP)</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1.2 Fecha de inicio de la evaluación (</w:t>
            </w:r>
            <w:proofErr w:type="spellStart"/>
            <w:r w:rsidRPr="00BE4199">
              <w:rPr>
                <w:rFonts w:ascii="Adobe Caslon Pro" w:hAnsi="Adobe Caslon Pro" w:cs="Calibri"/>
                <w:color w:val="000000"/>
                <w:sz w:val="20"/>
                <w:szCs w:val="20"/>
                <w:lang w:eastAsia="es-MX"/>
              </w:rPr>
              <w:t>dd</w:t>
            </w:r>
            <w:proofErr w:type="spellEnd"/>
            <w:r w:rsidRPr="00BE4199">
              <w:rPr>
                <w:rFonts w:ascii="Adobe Caslon Pro" w:hAnsi="Adobe Caslon Pro" w:cs="Calibri"/>
                <w:color w:val="000000"/>
                <w:sz w:val="20"/>
                <w:szCs w:val="20"/>
                <w:lang w:eastAsia="es-MX"/>
              </w:rPr>
              <w:t>/mm/</w:t>
            </w:r>
            <w:proofErr w:type="spellStart"/>
            <w:r w:rsidRPr="00BE4199">
              <w:rPr>
                <w:rFonts w:ascii="Adobe Caslon Pro" w:hAnsi="Adobe Caslon Pro" w:cs="Calibri"/>
                <w:color w:val="000000"/>
                <w:sz w:val="20"/>
                <w:szCs w:val="20"/>
                <w:lang w:eastAsia="es-MX"/>
              </w:rPr>
              <w:t>aaaa</w:t>
            </w:r>
            <w:proofErr w:type="spellEnd"/>
            <w:r w:rsidRPr="00BE4199">
              <w:rPr>
                <w:rFonts w:ascii="Adobe Caslon Pro" w:hAnsi="Adobe Caslon Pro" w:cs="Calibri"/>
                <w:color w:val="000000"/>
                <w:sz w:val="20"/>
                <w:szCs w:val="20"/>
                <w:lang w:eastAsia="es-MX"/>
              </w:rPr>
              <w:t xml:space="preserve">): </w:t>
            </w:r>
            <w:r w:rsidRPr="00BE4199">
              <w:rPr>
                <w:rFonts w:ascii="Adobe Caslon Pro" w:hAnsi="Adobe Caslon Pro" w:cs="Calibri"/>
                <w:i/>
                <w:color w:val="000000"/>
                <w:sz w:val="20"/>
                <w:szCs w:val="20"/>
                <w:lang w:eastAsia="es-MX"/>
              </w:rPr>
              <w:t>21/08/2014</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1.3 Fecha de término de la evaluación (</w:t>
            </w:r>
            <w:proofErr w:type="spellStart"/>
            <w:r w:rsidRPr="000D3BE9">
              <w:rPr>
                <w:rFonts w:ascii="Adobe Caslon Pro" w:hAnsi="Adobe Caslon Pro" w:cs="Calibri"/>
                <w:color w:val="000000"/>
                <w:sz w:val="20"/>
                <w:szCs w:val="20"/>
                <w:lang w:eastAsia="es-MX"/>
              </w:rPr>
              <w:t>dd</w:t>
            </w:r>
            <w:proofErr w:type="spellEnd"/>
            <w:r w:rsidRPr="000D3BE9">
              <w:rPr>
                <w:rFonts w:ascii="Adobe Caslon Pro" w:hAnsi="Adobe Caslon Pro" w:cs="Calibri"/>
                <w:color w:val="000000"/>
                <w:sz w:val="20"/>
                <w:szCs w:val="20"/>
                <w:lang w:eastAsia="es-MX"/>
              </w:rPr>
              <w:t>/mm/</w:t>
            </w:r>
            <w:proofErr w:type="spellStart"/>
            <w:r w:rsidRPr="000D3BE9">
              <w:rPr>
                <w:rFonts w:ascii="Adobe Caslon Pro" w:hAnsi="Adobe Caslon Pro" w:cs="Calibri"/>
                <w:color w:val="000000"/>
                <w:sz w:val="20"/>
                <w:szCs w:val="20"/>
                <w:lang w:eastAsia="es-MX"/>
              </w:rPr>
              <w:t>aaaa</w:t>
            </w:r>
            <w:proofErr w:type="spellEnd"/>
            <w:r w:rsidRPr="000D3BE9">
              <w:rPr>
                <w:rFonts w:ascii="Adobe Caslon Pro" w:hAnsi="Adobe Caslon Pro" w:cs="Calibri"/>
                <w:color w:val="000000"/>
                <w:sz w:val="20"/>
                <w:szCs w:val="20"/>
                <w:lang w:eastAsia="es-MX"/>
              </w:rPr>
              <w:t xml:space="preserve">): </w:t>
            </w:r>
            <w:r w:rsidRPr="000D3BE9">
              <w:rPr>
                <w:rFonts w:ascii="Adobe Caslon Pro" w:hAnsi="Adobe Caslon Pro" w:cs="Calibri"/>
                <w:i/>
                <w:color w:val="000000"/>
                <w:sz w:val="20"/>
                <w:szCs w:val="20"/>
                <w:lang w:eastAsia="es-MX"/>
              </w:rPr>
              <w:t>09/04/2015</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7456F1" w:rsidRPr="00BE4199" w:rsidTr="00A56E05">
        <w:trPr>
          <w:trHeight w:val="420"/>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6F1"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7456F1" w:rsidRPr="00BE4199" w:rsidRDefault="007456F1" w:rsidP="00A56E05">
            <w:pPr>
              <w:rPr>
                <w:rFonts w:ascii="Adobe Caslon Pro" w:hAnsi="Adobe Caslon Pro" w:cs="Calibri"/>
                <w:i/>
                <w:color w:val="000000"/>
                <w:sz w:val="20"/>
                <w:szCs w:val="20"/>
                <w:lang w:eastAsia="es-MX"/>
              </w:rPr>
            </w:pPr>
          </w:p>
        </w:tc>
        <w:tc>
          <w:tcPr>
            <w:tcW w:w="4774" w:type="dxa"/>
            <w:gridSpan w:val="8"/>
            <w:tcBorders>
              <w:top w:val="single" w:sz="4" w:space="0" w:color="auto"/>
              <w:left w:val="single" w:sz="4" w:space="0" w:color="auto"/>
              <w:bottom w:val="single" w:sz="4" w:space="0" w:color="auto"/>
              <w:right w:val="single" w:sz="4" w:space="0" w:color="000000"/>
            </w:tcBorders>
            <w:shd w:val="clear" w:color="auto" w:fill="auto"/>
            <w:vAlign w:val="bottom"/>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7456F1" w:rsidRPr="00BE4199" w:rsidRDefault="007456F1"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Coadyuvar en la Consolidación del Sistema de Evaluación del Desempeño en el Estado de Oaxaca, a través de identificar y analizar la consistencia y resultados del  Fondo de Aportaciones </w:t>
            </w:r>
            <w:r>
              <w:rPr>
                <w:rFonts w:ascii="Adobe Caslon Pro" w:hAnsi="Adobe Caslon Pro" w:cs="Calibri"/>
                <w:i/>
                <w:color w:val="000000"/>
                <w:sz w:val="20"/>
                <w:szCs w:val="20"/>
                <w:lang w:eastAsia="es-MX"/>
              </w:rPr>
              <w:t>para la Seguridad Pública (FASP )</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Diseño. Es un proceso analítico global que se enfoca en identificar los objetivos de los Programas para luego determinar la consistencia de su diseño y los resultados con tales objetivos.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Planeación Estratégica. Implica analizar los instrumentos de planeación de los Programas, y corroborar si tal planeación tiene una </w:t>
            </w:r>
            <w:r>
              <w:rPr>
                <w:rFonts w:ascii="Adobe Caslon Pro" w:hAnsi="Adobe Caslon Pro" w:cs="Calibri"/>
                <w:i/>
                <w:color w:val="000000"/>
                <w:sz w:val="20"/>
                <w:szCs w:val="20"/>
                <w:lang w:eastAsia="es-MX"/>
              </w:rPr>
              <w:t>orientación para resultados.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Cobertura y Focalización. Corresponde cuantificar y determinar la población potencial y la población objetivo que está siendo aten</w:t>
            </w:r>
            <w:r>
              <w:rPr>
                <w:rFonts w:ascii="Adobe Caslon Pro" w:hAnsi="Adobe Caslon Pro" w:cs="Calibri"/>
                <w:i/>
                <w:color w:val="000000"/>
                <w:sz w:val="20"/>
                <w:szCs w:val="20"/>
                <w:lang w:eastAsia="es-MX"/>
              </w:rPr>
              <w:t>dida a través de los Programas.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Operación. Analiza las principales actividades y procesos establecidos en la normatividad aplicable; la eficiencia, eficacia y economía operativa de los Programas; y el cumplimiento y avance en los indicadores estratégicos y de gestión.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Percepción de la Población. Analiza el grado de satisfacción de los beneficiarios de los bienes y servici</w:t>
            </w:r>
            <w:r>
              <w:rPr>
                <w:rFonts w:ascii="Adobe Caslon Pro" w:hAnsi="Adobe Caslon Pro" w:cs="Calibri"/>
                <w:i/>
                <w:color w:val="000000"/>
                <w:sz w:val="20"/>
                <w:szCs w:val="20"/>
                <w:lang w:eastAsia="es-MX"/>
              </w:rPr>
              <w:t>os que conforman cada Programa.</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Resultados. Analiza los resultados intermedios y de impacto alcanzado por cada uno de los Programas, en términos de mejora o solución del problema por el cual fue creado cada uno de éstos. </w:t>
            </w:r>
          </w:p>
          <w:p w:rsidR="007456F1" w:rsidRPr="009B1103" w:rsidRDefault="007456F1" w:rsidP="00F075EB">
            <w:pPr>
              <w:numPr>
                <w:ilvl w:val="0"/>
                <w:numId w:val="72"/>
              </w:numPr>
              <w:jc w:val="both"/>
              <w:rPr>
                <w:rFonts w:ascii="Adobe Caslon Pro" w:hAnsi="Adobe Caslon Pro" w:cs="Calibri"/>
                <w:color w:val="000000"/>
                <w:sz w:val="20"/>
                <w:szCs w:val="20"/>
                <w:lang w:eastAsia="es-MX"/>
              </w:rPr>
            </w:pPr>
            <w:r w:rsidRPr="00A92C63">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r>
              <w:t>.</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7456F1" w:rsidRPr="00BE4199" w:rsidTr="00A56E05">
        <w:trPr>
          <w:trHeight w:val="420"/>
        </w:trPr>
        <w:tc>
          <w:tcPr>
            <w:tcW w:w="9436" w:type="dxa"/>
            <w:gridSpan w:val="14"/>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7456F1" w:rsidRPr="003D0E39" w:rsidRDefault="007456F1"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tc>
      </w:tr>
      <w:tr w:rsidR="007456F1" w:rsidRPr="00BE4199" w:rsidTr="00A56E05">
        <w:trPr>
          <w:trHeight w:val="599"/>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Descripción de las técnicas y modelos utilizados: </w:t>
            </w:r>
          </w:p>
          <w:p w:rsidR="007456F1" w:rsidRPr="00BE4199" w:rsidRDefault="007456F1"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 xml:space="preserve">nes y el proceso presupuestario, los cuales se encuentran en los Términos de Referencia en la siguiente liga: </w:t>
            </w:r>
            <w:hyperlink r:id="rId166" w:history="1">
              <w:r w:rsidRPr="002F7F93">
                <w:rPr>
                  <w:rStyle w:val="Hipervnculo"/>
                  <w:rFonts w:ascii="Adobe Caslon Pro" w:hAnsi="Adobe Caslon Pro" w:cs="Calibri"/>
                  <w:i/>
                  <w:sz w:val="20"/>
                  <w:szCs w:val="20"/>
                  <w:lang w:eastAsia="es-MX"/>
                </w:rPr>
                <w:t>http://www.jefaturadelagubernatura-evaluacion.oaxaca.gob.mx/index.php/pae-sidepanel/pae-2014</w:t>
              </w:r>
            </w:hyperlink>
          </w:p>
        </w:tc>
      </w:tr>
      <w:tr w:rsidR="007456F1" w:rsidRPr="00BE4199" w:rsidTr="00A56E05">
        <w:trPr>
          <w:trHeight w:val="58"/>
        </w:trPr>
        <w:tc>
          <w:tcPr>
            <w:tcW w:w="999" w:type="dxa"/>
            <w:gridSpan w:val="2"/>
            <w:tcBorders>
              <w:top w:val="single" w:sz="4" w:space="0" w:color="auto"/>
              <w:bottom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 </w:t>
            </w:r>
          </w:p>
        </w:tc>
        <w:tc>
          <w:tcPr>
            <w:tcW w:w="8437" w:type="dxa"/>
            <w:gridSpan w:val="12"/>
            <w:tcBorders>
              <w:top w:val="single" w:sz="4" w:space="0" w:color="auto"/>
              <w:bottom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61"/>
        </w:trPr>
        <w:tc>
          <w:tcPr>
            <w:tcW w:w="9436" w:type="dxa"/>
            <w:gridSpan w:val="14"/>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2.1 Describir los hallazgos más relevantes de la evaluación: </w:t>
            </w:r>
          </w:p>
        </w:tc>
      </w:tr>
      <w:tr w:rsidR="007456F1" w:rsidRPr="00BE4199" w:rsidTr="00A56E05">
        <w:trPr>
          <w:trHeight w:val="420"/>
        </w:trPr>
        <w:tc>
          <w:tcPr>
            <w:tcW w:w="9436" w:type="dxa"/>
            <w:gridSpan w:val="14"/>
            <w:vMerge w:val="restart"/>
            <w:tcBorders>
              <w:top w:val="single" w:sz="4" w:space="0" w:color="auto"/>
              <w:left w:val="single" w:sz="4" w:space="0" w:color="auto"/>
              <w:bottom w:val="nil"/>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 Señalar cuáles son las principales Fortalezas, Oportunidades, Debilidades y Amenazas (FODA), de acuerdo con los temas del programa, estrategia o instituciones.</w:t>
            </w:r>
          </w:p>
        </w:tc>
      </w:tr>
      <w:tr w:rsidR="007456F1" w:rsidRPr="00BE4199" w:rsidTr="00A56E05">
        <w:trPr>
          <w:trHeight w:val="340"/>
        </w:trPr>
        <w:tc>
          <w:tcPr>
            <w:tcW w:w="9436" w:type="dxa"/>
            <w:gridSpan w:val="14"/>
            <w:vMerge/>
            <w:tcBorders>
              <w:top w:val="single" w:sz="4" w:space="0" w:color="auto"/>
              <w:left w:val="single" w:sz="4" w:space="0" w:color="auto"/>
              <w:bottom w:val="nil"/>
              <w:right w:val="single" w:sz="4" w:space="0" w:color="000000"/>
            </w:tcBorders>
            <w:vAlign w:val="center"/>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7456F1" w:rsidRPr="00E71100" w:rsidRDefault="007456F1" w:rsidP="00A56E05">
            <w:pPr>
              <w:jc w:val="both"/>
              <w:rPr>
                <w:rFonts w:ascii="Adobe Caslon Pro" w:hAnsi="Adobe Caslon Pro" w:cs="Calibri"/>
                <w:i/>
                <w:color w:val="000000"/>
                <w:sz w:val="20"/>
                <w:szCs w:val="20"/>
                <w:lang w:eastAsia="es-MX"/>
              </w:rPr>
            </w:pPr>
            <w:r w:rsidRPr="00E71100">
              <w:rPr>
                <w:rFonts w:ascii="Adobe Caslon Pro" w:hAnsi="Adobe Caslon Pro" w:cs="Calibri"/>
                <w:i/>
                <w:color w:val="000000"/>
                <w:sz w:val="20"/>
                <w:szCs w:val="20"/>
                <w:lang w:eastAsia="es-MX"/>
              </w:rPr>
              <w:t>2.2.1 Fortalezas:</w:t>
            </w:r>
          </w:p>
          <w:p w:rsidR="007456F1" w:rsidRPr="00C41A47" w:rsidRDefault="007456F1"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DISEÑO</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007D44">
              <w:rPr>
                <w:rFonts w:ascii="Adobe Caslon Pro" w:hAnsi="Adobe Caslon Pro" w:cs="Calibri"/>
                <w:i/>
                <w:color w:val="000000"/>
                <w:sz w:val="20"/>
                <w:szCs w:val="20"/>
                <w:lang w:eastAsia="es-MX"/>
              </w:rPr>
              <w:t>Los programas de prioridad nacional cue</w:t>
            </w:r>
            <w:r>
              <w:rPr>
                <w:rFonts w:ascii="Adobe Caslon Pro" w:hAnsi="Adobe Caslon Pro" w:cs="Calibri"/>
                <w:i/>
                <w:color w:val="000000"/>
                <w:sz w:val="20"/>
                <w:szCs w:val="20"/>
                <w:lang w:eastAsia="es-MX"/>
              </w:rPr>
              <w:t xml:space="preserve">ntan con información suficiente </w:t>
            </w:r>
            <w:r w:rsidRPr="00007D44">
              <w:rPr>
                <w:rFonts w:ascii="Adobe Caslon Pro" w:hAnsi="Adobe Caslon Pro" w:cs="Calibri"/>
                <w:i/>
                <w:color w:val="000000"/>
                <w:sz w:val="20"/>
                <w:szCs w:val="20"/>
                <w:lang w:eastAsia="es-MX"/>
              </w:rPr>
              <w:t>para realizar Matrices de Indicadores para Resultados.</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007D44">
              <w:rPr>
                <w:rFonts w:ascii="Adobe Caslon Pro" w:hAnsi="Adobe Caslon Pro" w:cs="Calibri"/>
                <w:i/>
                <w:color w:val="000000"/>
                <w:sz w:val="20"/>
                <w:szCs w:val="20"/>
                <w:lang w:eastAsia="es-MX"/>
              </w:rPr>
              <w:t>Los programas de prioridad nacional cuentan con objetivos nacionales.</w:t>
            </w:r>
          </w:p>
          <w:p w:rsidR="007456F1" w:rsidRPr="00B022B3" w:rsidRDefault="007456F1" w:rsidP="00A56E05">
            <w:pPr>
              <w:ind w:left="720"/>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7456F1" w:rsidRDefault="007456F1" w:rsidP="00F075EB">
            <w:pPr>
              <w:numPr>
                <w:ilvl w:val="0"/>
                <w:numId w:val="94"/>
              </w:numPr>
              <w:jc w:val="both"/>
              <w:rPr>
                <w:rFonts w:ascii="Adobe Caslon Pro" w:hAnsi="Adobe Caslon Pro" w:cs="Calibri"/>
                <w:i/>
                <w:color w:val="000000"/>
                <w:sz w:val="20"/>
                <w:szCs w:val="20"/>
                <w:lang w:eastAsia="es-MX"/>
              </w:rPr>
            </w:pPr>
            <w:r w:rsidRPr="00007D44">
              <w:rPr>
                <w:rFonts w:ascii="Adobe Caslon Pro" w:hAnsi="Adobe Caslon Pro" w:cs="Calibri"/>
                <w:i/>
                <w:color w:val="000000"/>
                <w:sz w:val="20"/>
                <w:szCs w:val="20"/>
                <w:lang w:eastAsia="es-MX"/>
              </w:rPr>
              <w:t>Existen programas estatales complementarios al FASP que se encuentran</w:t>
            </w:r>
            <w:r>
              <w:rPr>
                <w:rFonts w:ascii="Adobe Caslon Pro" w:hAnsi="Adobe Caslon Pro" w:cs="Calibri"/>
                <w:i/>
                <w:color w:val="000000"/>
                <w:sz w:val="20"/>
                <w:szCs w:val="20"/>
                <w:lang w:eastAsia="es-MX"/>
              </w:rPr>
              <w:t xml:space="preserve"> </w:t>
            </w:r>
            <w:r w:rsidRPr="00007D44">
              <w:rPr>
                <w:rFonts w:ascii="Adobe Caslon Pro" w:hAnsi="Adobe Caslon Pro" w:cs="Calibri"/>
                <w:i/>
                <w:color w:val="000000"/>
                <w:sz w:val="20"/>
                <w:szCs w:val="20"/>
                <w:lang w:eastAsia="es-MX"/>
              </w:rPr>
              <w:t>claramente identificados en los programas sectoriales.</w:t>
            </w:r>
          </w:p>
          <w:p w:rsidR="007456F1" w:rsidRDefault="007456F1" w:rsidP="00F075EB">
            <w:pPr>
              <w:numPr>
                <w:ilvl w:val="0"/>
                <w:numId w:val="94"/>
              </w:numPr>
              <w:jc w:val="both"/>
              <w:rPr>
                <w:rFonts w:ascii="Adobe Caslon Pro" w:hAnsi="Adobe Caslon Pro" w:cs="Calibri"/>
                <w:i/>
                <w:color w:val="000000"/>
                <w:sz w:val="20"/>
                <w:szCs w:val="20"/>
                <w:lang w:eastAsia="es-MX"/>
              </w:rPr>
            </w:pPr>
            <w:r w:rsidRPr="00007D44">
              <w:rPr>
                <w:rFonts w:ascii="Adobe Caslon Pro" w:hAnsi="Adobe Caslon Pro" w:cs="Calibri"/>
                <w:i/>
                <w:color w:val="000000"/>
                <w:sz w:val="20"/>
                <w:szCs w:val="20"/>
                <w:lang w:eastAsia="es-MX"/>
              </w:rPr>
              <w:t>Los programas de prioridad nacional cuentan con metas y fechas de compromiso.</w:t>
            </w:r>
          </w:p>
          <w:p w:rsidR="007456F1" w:rsidRDefault="007456F1" w:rsidP="00F075EB">
            <w:pPr>
              <w:numPr>
                <w:ilvl w:val="0"/>
                <w:numId w:val="94"/>
              </w:numPr>
              <w:jc w:val="both"/>
              <w:rPr>
                <w:rFonts w:ascii="Adobe Caslon Pro" w:hAnsi="Adobe Caslon Pro" w:cs="Calibri"/>
                <w:i/>
                <w:color w:val="000000"/>
                <w:sz w:val="20"/>
                <w:szCs w:val="20"/>
                <w:lang w:eastAsia="es-MX"/>
              </w:rPr>
            </w:pPr>
            <w:r w:rsidRPr="00007D44">
              <w:rPr>
                <w:rFonts w:ascii="Adobe Caslon Pro" w:hAnsi="Adobe Caslon Pro" w:cs="Calibri"/>
                <w:i/>
                <w:color w:val="000000"/>
                <w:sz w:val="20"/>
                <w:szCs w:val="20"/>
                <w:lang w:eastAsia="es-MX"/>
              </w:rPr>
              <w:t>Existen mecanismos para identificación de Metas.</w:t>
            </w:r>
          </w:p>
          <w:p w:rsidR="007456F1" w:rsidRPr="00D70F9D" w:rsidRDefault="007456F1" w:rsidP="00A56E05">
            <w:pPr>
              <w:ind w:left="720"/>
              <w:jc w:val="both"/>
              <w:rPr>
                <w:rFonts w:ascii="Adobe Caslon Pro" w:hAnsi="Adobe Caslon Pro" w:cs="Calibri"/>
                <w:i/>
                <w:color w:val="000000"/>
                <w:sz w:val="20"/>
                <w:szCs w:val="20"/>
                <w:lang w:eastAsia="es-MX"/>
              </w:rPr>
            </w:pPr>
          </w:p>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COBERTURA Y FOCALIZACIÓN</w:t>
            </w:r>
          </w:p>
          <w:p w:rsidR="007456F1" w:rsidRDefault="007456F1" w:rsidP="00F075EB">
            <w:pPr>
              <w:numPr>
                <w:ilvl w:val="0"/>
                <w:numId w:val="98"/>
              </w:numPr>
              <w:autoSpaceDE w:val="0"/>
              <w:autoSpaceDN w:val="0"/>
              <w:adjustRightInd w:val="0"/>
              <w:jc w:val="both"/>
              <w:rPr>
                <w:rFonts w:ascii="Adobe Caslon Pro" w:hAnsi="Adobe Caslon Pro" w:cs="Calibri"/>
                <w:i/>
                <w:color w:val="000000"/>
                <w:sz w:val="20"/>
                <w:szCs w:val="20"/>
                <w:lang w:eastAsia="es-MX"/>
              </w:rPr>
            </w:pPr>
            <w:r w:rsidRPr="00D70F9D">
              <w:rPr>
                <w:rFonts w:ascii="Adobe Caslon Pro" w:hAnsi="Adobe Caslon Pro" w:cs="Calibri"/>
                <w:i/>
                <w:color w:val="000000"/>
                <w:sz w:val="20"/>
                <w:szCs w:val="20"/>
                <w:lang w:eastAsia="es-MX"/>
              </w:rPr>
              <w:t>Se tiene identificada la Población Potencial y Objetivo.</w:t>
            </w:r>
          </w:p>
          <w:p w:rsidR="007456F1" w:rsidRPr="00BE4199"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OPERACIÓN</w:t>
            </w:r>
          </w:p>
          <w:p w:rsidR="007456F1" w:rsidRDefault="007456F1" w:rsidP="00F075EB">
            <w:pPr>
              <w:numPr>
                <w:ilvl w:val="0"/>
                <w:numId w:val="95"/>
              </w:numPr>
              <w:jc w:val="both"/>
              <w:rPr>
                <w:rFonts w:ascii="Adobe Caslon Pro" w:hAnsi="Adobe Caslon Pro" w:cs="Calibri"/>
                <w:i/>
                <w:color w:val="000000"/>
                <w:sz w:val="20"/>
                <w:szCs w:val="20"/>
                <w:lang w:eastAsia="es-MX"/>
              </w:rPr>
            </w:pPr>
            <w:r w:rsidRPr="001B4A05">
              <w:rPr>
                <w:rFonts w:ascii="Adobe Caslon Pro" w:hAnsi="Adobe Caslon Pro" w:cs="Calibri"/>
                <w:i/>
                <w:color w:val="000000"/>
                <w:sz w:val="20"/>
                <w:szCs w:val="20"/>
                <w:lang w:eastAsia="es-MX"/>
              </w:rPr>
              <w:t>Existe información oportuna de cada uno de los programas de prioridad nacional</w:t>
            </w:r>
            <w:r>
              <w:rPr>
                <w:rFonts w:ascii="Adobe Caslon Pro" w:hAnsi="Adobe Caslon Pro" w:cs="Calibri"/>
                <w:i/>
                <w:color w:val="000000"/>
                <w:sz w:val="20"/>
                <w:szCs w:val="20"/>
                <w:lang w:eastAsia="es-MX"/>
              </w:rPr>
              <w:t xml:space="preserve"> </w:t>
            </w:r>
            <w:r w:rsidRPr="001B4A05">
              <w:rPr>
                <w:rFonts w:ascii="Adobe Caslon Pro" w:hAnsi="Adobe Caslon Pro" w:cs="Calibri"/>
                <w:i/>
                <w:color w:val="000000"/>
                <w:sz w:val="20"/>
                <w:szCs w:val="20"/>
                <w:lang w:eastAsia="es-MX"/>
              </w:rPr>
              <w:t>en relación a los avances físico-financieros, cierre de ejercicio y recursos</w:t>
            </w:r>
            <w:r>
              <w:rPr>
                <w:rFonts w:ascii="Adobe Caslon Pro" w:hAnsi="Adobe Caslon Pro" w:cs="Calibri"/>
                <w:i/>
                <w:color w:val="000000"/>
                <w:sz w:val="20"/>
                <w:szCs w:val="20"/>
                <w:lang w:eastAsia="es-MX"/>
              </w:rPr>
              <w:t xml:space="preserve"> </w:t>
            </w:r>
            <w:r w:rsidRPr="001B4A05">
              <w:rPr>
                <w:rFonts w:ascii="Adobe Caslon Pro" w:hAnsi="Adobe Caslon Pro" w:cs="Calibri"/>
                <w:i/>
                <w:color w:val="000000"/>
                <w:sz w:val="20"/>
                <w:szCs w:val="20"/>
                <w:lang w:eastAsia="es-MX"/>
              </w:rPr>
              <w:t>no devengados.</w:t>
            </w:r>
          </w:p>
          <w:p w:rsidR="007456F1" w:rsidRPr="001B4A05" w:rsidRDefault="007456F1" w:rsidP="00F075EB">
            <w:pPr>
              <w:numPr>
                <w:ilvl w:val="0"/>
                <w:numId w:val="95"/>
              </w:numPr>
              <w:jc w:val="both"/>
              <w:rPr>
                <w:rFonts w:ascii="Adobe Caslon Pro" w:hAnsi="Adobe Caslon Pro" w:cs="Calibri"/>
                <w:i/>
                <w:color w:val="000000"/>
                <w:sz w:val="20"/>
                <w:szCs w:val="20"/>
                <w:lang w:eastAsia="es-MX"/>
              </w:rPr>
            </w:pPr>
            <w:r w:rsidRPr="001B4A05">
              <w:rPr>
                <w:rFonts w:ascii="Adobe Caslon Pro" w:hAnsi="Adobe Caslon Pro" w:cs="Calibri"/>
                <w:i/>
                <w:color w:val="000000"/>
                <w:sz w:val="20"/>
                <w:szCs w:val="20"/>
                <w:lang w:eastAsia="es-MX"/>
              </w:rPr>
              <w:t>Existe una estructura organizacional robusta para la ejecución de los programas</w:t>
            </w:r>
            <w:r>
              <w:rPr>
                <w:rFonts w:ascii="Adobe Caslon Pro" w:hAnsi="Adobe Caslon Pro" w:cs="Calibri"/>
                <w:i/>
                <w:color w:val="000000"/>
                <w:sz w:val="20"/>
                <w:szCs w:val="20"/>
                <w:lang w:eastAsia="es-MX"/>
              </w:rPr>
              <w:t xml:space="preserve"> </w:t>
            </w:r>
            <w:r w:rsidRPr="001B4A05">
              <w:rPr>
                <w:rFonts w:ascii="Adobe Caslon Pro" w:hAnsi="Adobe Caslon Pro" w:cs="Calibri"/>
                <w:i/>
                <w:color w:val="000000"/>
                <w:sz w:val="20"/>
                <w:szCs w:val="20"/>
                <w:lang w:eastAsia="es-MX"/>
              </w:rPr>
              <w:t>de prioridad nacional.</w:t>
            </w:r>
          </w:p>
          <w:p w:rsidR="007456F1" w:rsidRPr="001B4A05" w:rsidRDefault="007456F1" w:rsidP="00F075EB">
            <w:pPr>
              <w:numPr>
                <w:ilvl w:val="0"/>
                <w:numId w:val="95"/>
              </w:numPr>
              <w:jc w:val="both"/>
              <w:rPr>
                <w:rFonts w:ascii="Adobe Caslon Pro" w:hAnsi="Adobe Caslon Pro" w:cs="Calibri"/>
                <w:i/>
                <w:color w:val="000000"/>
                <w:sz w:val="20"/>
                <w:szCs w:val="20"/>
                <w:lang w:eastAsia="es-MX"/>
              </w:rPr>
            </w:pPr>
            <w:r w:rsidRPr="001B4A05">
              <w:rPr>
                <w:rFonts w:ascii="Adobe Caslon Pro" w:hAnsi="Adobe Caslon Pro" w:cs="Calibri"/>
                <w:i/>
                <w:color w:val="000000"/>
                <w:sz w:val="20"/>
                <w:szCs w:val="20"/>
                <w:lang w:eastAsia="es-MX"/>
              </w:rPr>
              <w:t>Existen Sistemas de Información para la Administración Financiera.</w:t>
            </w:r>
          </w:p>
          <w:p w:rsidR="007456F1" w:rsidRDefault="007456F1" w:rsidP="00F075EB">
            <w:pPr>
              <w:numPr>
                <w:ilvl w:val="0"/>
                <w:numId w:val="95"/>
              </w:numPr>
              <w:jc w:val="both"/>
              <w:rPr>
                <w:rFonts w:ascii="Adobe Caslon Pro" w:hAnsi="Adobe Caslon Pro" w:cs="Calibri"/>
                <w:i/>
                <w:color w:val="000000"/>
                <w:sz w:val="20"/>
                <w:szCs w:val="20"/>
                <w:lang w:eastAsia="es-MX"/>
              </w:rPr>
            </w:pPr>
            <w:r w:rsidRPr="001B4A05">
              <w:rPr>
                <w:rFonts w:ascii="Adobe Caslon Pro" w:hAnsi="Adobe Caslon Pro" w:cs="Calibri"/>
                <w:i/>
                <w:color w:val="000000"/>
                <w:sz w:val="20"/>
                <w:szCs w:val="20"/>
                <w:lang w:eastAsia="es-MX"/>
              </w:rPr>
              <w:t>Existe mecanismos de difusión claros y transparentes.</w:t>
            </w:r>
          </w:p>
          <w:p w:rsidR="007456F1" w:rsidRDefault="007456F1" w:rsidP="00A56E05">
            <w:pPr>
              <w:ind w:left="720"/>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7456F1" w:rsidRPr="009602D8" w:rsidRDefault="007456F1" w:rsidP="00F075EB">
            <w:pPr>
              <w:numPr>
                <w:ilvl w:val="0"/>
                <w:numId w:val="95"/>
              </w:numPr>
              <w:jc w:val="both"/>
              <w:rPr>
                <w:rFonts w:ascii="Adobe Caslon Pro" w:hAnsi="Adobe Caslon Pro" w:cs="Calibri"/>
                <w:i/>
                <w:color w:val="000000"/>
                <w:sz w:val="20"/>
                <w:szCs w:val="20"/>
                <w:lang w:eastAsia="es-MX"/>
              </w:rPr>
            </w:pPr>
            <w:r w:rsidRPr="009602D8">
              <w:rPr>
                <w:rFonts w:ascii="Adobe Caslon Pro" w:hAnsi="Adobe Caslon Pro" w:cs="Calibri"/>
                <w:i/>
                <w:color w:val="000000"/>
                <w:sz w:val="20"/>
                <w:szCs w:val="20"/>
                <w:lang w:eastAsia="es-MX"/>
              </w:rPr>
              <w:t>Existe una Metodología derivada de los Lineamientos Generales para el Diseño</w:t>
            </w:r>
            <w:r>
              <w:rPr>
                <w:rFonts w:ascii="Adobe Caslon Pro" w:hAnsi="Adobe Caslon Pro" w:cs="Calibri"/>
                <w:i/>
                <w:color w:val="000000"/>
                <w:sz w:val="20"/>
                <w:szCs w:val="20"/>
                <w:lang w:eastAsia="es-MX"/>
              </w:rPr>
              <w:t xml:space="preserve"> </w:t>
            </w:r>
            <w:r w:rsidRPr="009602D8">
              <w:rPr>
                <w:rFonts w:ascii="Adobe Caslon Pro" w:hAnsi="Adobe Caslon Pro" w:cs="Calibri"/>
                <w:i/>
                <w:color w:val="000000"/>
                <w:sz w:val="20"/>
                <w:szCs w:val="20"/>
                <w:lang w:eastAsia="es-MX"/>
              </w:rPr>
              <w:t>y Ejecución de los Programas de Evaluación del Fondo de Aportaciones para la Seguridad Pública de los Estados y el Distrito Federal 2013.</w:t>
            </w:r>
          </w:p>
          <w:p w:rsidR="007456F1" w:rsidRPr="00F235FF"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RESULTADOS</w:t>
            </w:r>
          </w:p>
          <w:p w:rsidR="007456F1" w:rsidRDefault="007456F1" w:rsidP="00F075EB">
            <w:pPr>
              <w:numPr>
                <w:ilvl w:val="0"/>
                <w:numId w:val="95"/>
              </w:numPr>
              <w:jc w:val="both"/>
              <w:rPr>
                <w:rFonts w:ascii="Adobe Caslon Pro" w:hAnsi="Adobe Caslon Pro" w:cs="Calibri"/>
                <w:i/>
                <w:color w:val="000000"/>
                <w:sz w:val="20"/>
                <w:szCs w:val="20"/>
                <w:lang w:eastAsia="es-MX"/>
              </w:rPr>
            </w:pPr>
            <w:r w:rsidRPr="000A56F7">
              <w:rPr>
                <w:rFonts w:ascii="Adobe Caslon Pro" w:hAnsi="Adobe Caslon Pro" w:cs="Calibri"/>
                <w:i/>
                <w:color w:val="000000"/>
                <w:sz w:val="20"/>
                <w:szCs w:val="20"/>
                <w:lang w:eastAsia="es-MX"/>
              </w:rPr>
              <w:t>Se han realizado evaluaciones externas con metodologías que permiten observar</w:t>
            </w:r>
            <w:r>
              <w:rPr>
                <w:rFonts w:ascii="Adobe Caslon Pro" w:hAnsi="Adobe Caslon Pro" w:cs="Calibri"/>
                <w:i/>
                <w:color w:val="000000"/>
                <w:sz w:val="20"/>
                <w:szCs w:val="20"/>
                <w:lang w:eastAsia="es-MX"/>
              </w:rPr>
              <w:t xml:space="preserve"> </w:t>
            </w:r>
            <w:r w:rsidRPr="000A56F7">
              <w:rPr>
                <w:rFonts w:ascii="Adobe Caslon Pro" w:hAnsi="Adobe Caslon Pro" w:cs="Calibri"/>
                <w:i/>
                <w:color w:val="000000"/>
                <w:sz w:val="20"/>
                <w:szCs w:val="20"/>
                <w:lang w:eastAsia="es-MX"/>
              </w:rPr>
              <w:t>la percepción de la población.</w:t>
            </w:r>
          </w:p>
          <w:p w:rsidR="007456F1" w:rsidRPr="000A56F7" w:rsidRDefault="007456F1" w:rsidP="00F075EB">
            <w:pPr>
              <w:numPr>
                <w:ilvl w:val="0"/>
                <w:numId w:val="95"/>
              </w:numPr>
              <w:jc w:val="both"/>
              <w:rPr>
                <w:rFonts w:ascii="Adobe Caslon Pro" w:hAnsi="Adobe Caslon Pro" w:cs="Calibri"/>
                <w:i/>
                <w:color w:val="000000"/>
                <w:sz w:val="20"/>
                <w:szCs w:val="20"/>
                <w:lang w:eastAsia="es-MX"/>
              </w:rPr>
            </w:pPr>
            <w:r w:rsidRPr="000A56F7">
              <w:rPr>
                <w:rFonts w:ascii="Adobe Caslon Pro" w:hAnsi="Adobe Caslon Pro" w:cs="Calibri"/>
                <w:i/>
                <w:color w:val="000000"/>
                <w:sz w:val="20"/>
                <w:szCs w:val="20"/>
                <w:lang w:eastAsia="es-MX"/>
              </w:rPr>
              <w:t>El diseño de los programas de prioridad nacional permite realizar evaluaciones</w:t>
            </w:r>
            <w:r>
              <w:rPr>
                <w:rFonts w:ascii="Adobe Caslon Pro" w:hAnsi="Adobe Caslon Pro" w:cs="Calibri"/>
                <w:i/>
                <w:color w:val="000000"/>
                <w:sz w:val="20"/>
                <w:szCs w:val="20"/>
                <w:lang w:eastAsia="es-MX"/>
              </w:rPr>
              <w:t xml:space="preserve"> </w:t>
            </w:r>
            <w:r w:rsidRPr="000A56F7">
              <w:rPr>
                <w:rFonts w:ascii="Adobe Caslon Pro" w:hAnsi="Adobe Caslon Pro" w:cs="Calibri"/>
                <w:i/>
                <w:color w:val="000000"/>
                <w:sz w:val="20"/>
                <w:szCs w:val="20"/>
                <w:lang w:eastAsia="es-MX"/>
              </w:rPr>
              <w:t>de impacto.</w:t>
            </w:r>
          </w:p>
          <w:p w:rsidR="007456F1" w:rsidRPr="00AF12C7" w:rsidRDefault="007456F1" w:rsidP="00A56E05">
            <w:pPr>
              <w:ind w:left="720"/>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 DE LOS RECURSOS</w:t>
            </w:r>
          </w:p>
          <w:p w:rsidR="007456F1" w:rsidRDefault="007456F1" w:rsidP="00F075EB">
            <w:pPr>
              <w:numPr>
                <w:ilvl w:val="0"/>
                <w:numId w:val="95"/>
              </w:numPr>
              <w:jc w:val="both"/>
              <w:rPr>
                <w:rFonts w:ascii="Adobe Caslon Pro" w:hAnsi="Adobe Caslon Pro" w:cs="Calibri"/>
                <w:i/>
                <w:color w:val="000000"/>
                <w:sz w:val="20"/>
                <w:szCs w:val="20"/>
                <w:lang w:eastAsia="es-MX"/>
              </w:rPr>
            </w:pPr>
            <w:r w:rsidRPr="00AF12C7">
              <w:rPr>
                <w:rFonts w:ascii="Adobe Caslon Pro" w:hAnsi="Adobe Caslon Pro" w:cs="Calibri"/>
                <w:i/>
                <w:color w:val="000000"/>
                <w:sz w:val="20"/>
                <w:szCs w:val="20"/>
                <w:lang w:eastAsia="es-MX"/>
              </w:rPr>
              <w:t>Se cuenta con el Programa Sectorial de Procuración de Justici</w:t>
            </w:r>
            <w:r>
              <w:rPr>
                <w:rFonts w:ascii="Adobe Caslon Pro" w:hAnsi="Adobe Caslon Pro" w:cs="Calibri"/>
                <w:i/>
                <w:color w:val="000000"/>
                <w:sz w:val="20"/>
                <w:szCs w:val="20"/>
                <w:lang w:eastAsia="es-MX"/>
              </w:rPr>
              <w:t xml:space="preserve">a 2011-2016, en </w:t>
            </w:r>
            <w:r w:rsidRPr="00AF12C7">
              <w:rPr>
                <w:rFonts w:ascii="Adobe Caslon Pro" w:hAnsi="Adobe Caslon Pro" w:cs="Calibri"/>
                <w:i/>
                <w:color w:val="000000"/>
                <w:sz w:val="20"/>
                <w:szCs w:val="20"/>
                <w:lang w:eastAsia="es-MX"/>
              </w:rPr>
              <w:t>el que se establece: un diagnóstico de la problemát</w:t>
            </w:r>
            <w:r>
              <w:rPr>
                <w:rFonts w:ascii="Adobe Caslon Pro" w:hAnsi="Adobe Caslon Pro" w:cs="Calibri"/>
                <w:i/>
                <w:color w:val="000000"/>
                <w:sz w:val="20"/>
                <w:szCs w:val="20"/>
                <w:lang w:eastAsia="es-MX"/>
              </w:rPr>
              <w:t xml:space="preserve">ica, ejes rectores, estrategias </w:t>
            </w:r>
            <w:r w:rsidRPr="00AF12C7">
              <w:rPr>
                <w:rFonts w:ascii="Adobe Caslon Pro" w:hAnsi="Adobe Caslon Pro" w:cs="Calibri"/>
                <w:i/>
                <w:color w:val="000000"/>
                <w:sz w:val="20"/>
                <w:szCs w:val="20"/>
                <w:lang w:eastAsia="es-MX"/>
              </w:rPr>
              <w:t>y líneas de acción, programas operativos, objetivos y metas.</w:t>
            </w:r>
          </w:p>
          <w:p w:rsidR="007456F1" w:rsidRDefault="007456F1" w:rsidP="00F075EB">
            <w:pPr>
              <w:numPr>
                <w:ilvl w:val="0"/>
                <w:numId w:val="95"/>
              </w:numPr>
              <w:jc w:val="both"/>
              <w:rPr>
                <w:rFonts w:ascii="Adobe Caslon Pro" w:hAnsi="Adobe Caslon Pro" w:cs="Calibri"/>
                <w:i/>
                <w:color w:val="000000"/>
                <w:sz w:val="20"/>
                <w:szCs w:val="20"/>
                <w:lang w:eastAsia="es-MX"/>
              </w:rPr>
            </w:pPr>
            <w:r w:rsidRPr="007079F9">
              <w:rPr>
                <w:rFonts w:ascii="Adobe Caslon Pro" w:hAnsi="Adobe Caslon Pro" w:cs="Calibri"/>
                <w:i/>
                <w:color w:val="000000"/>
                <w:sz w:val="20"/>
                <w:szCs w:val="20"/>
                <w:lang w:eastAsia="es-MX"/>
              </w:rPr>
              <w:t>El porcentaje de avance de los programas del Fondo en promedio está por</w:t>
            </w:r>
            <w:r>
              <w:rPr>
                <w:rFonts w:ascii="Adobe Caslon Pro" w:hAnsi="Adobe Caslon Pro" w:cs="Calibri"/>
                <w:i/>
                <w:color w:val="000000"/>
                <w:sz w:val="20"/>
                <w:szCs w:val="20"/>
                <w:lang w:eastAsia="es-MX"/>
              </w:rPr>
              <w:t xml:space="preserve"> </w:t>
            </w:r>
            <w:r w:rsidRPr="007079F9">
              <w:rPr>
                <w:rFonts w:ascii="Adobe Caslon Pro" w:hAnsi="Adobe Caslon Pro" w:cs="Calibri"/>
                <w:i/>
                <w:color w:val="000000"/>
                <w:sz w:val="20"/>
                <w:szCs w:val="20"/>
                <w:lang w:eastAsia="es-MX"/>
              </w:rPr>
              <w:t>encima del 50%.</w:t>
            </w:r>
          </w:p>
          <w:p w:rsidR="007456F1" w:rsidRPr="007079F9" w:rsidRDefault="007456F1" w:rsidP="00F075EB">
            <w:pPr>
              <w:numPr>
                <w:ilvl w:val="0"/>
                <w:numId w:val="95"/>
              </w:numPr>
              <w:jc w:val="both"/>
              <w:rPr>
                <w:rFonts w:ascii="Adobe Caslon Pro" w:hAnsi="Adobe Caslon Pro" w:cs="Calibri"/>
                <w:i/>
                <w:color w:val="000000"/>
                <w:sz w:val="20"/>
                <w:szCs w:val="20"/>
                <w:lang w:eastAsia="es-MX"/>
              </w:rPr>
            </w:pPr>
            <w:r w:rsidRPr="007079F9">
              <w:rPr>
                <w:rFonts w:ascii="Adobe Caslon Pro" w:hAnsi="Adobe Caslon Pro" w:cs="Calibri"/>
                <w:i/>
                <w:color w:val="000000"/>
                <w:sz w:val="20"/>
                <w:szCs w:val="20"/>
                <w:lang w:eastAsia="es-MX"/>
              </w:rPr>
              <w:t>Se encuentra publicado el marco jurídico del Fondo en las páginas de internet</w:t>
            </w:r>
            <w:r>
              <w:rPr>
                <w:rFonts w:ascii="Adobe Caslon Pro" w:hAnsi="Adobe Caslon Pro" w:cs="Calibri"/>
                <w:i/>
                <w:color w:val="000000"/>
                <w:sz w:val="20"/>
                <w:szCs w:val="20"/>
                <w:lang w:eastAsia="es-MX"/>
              </w:rPr>
              <w:t xml:space="preserve"> </w:t>
            </w:r>
            <w:r w:rsidRPr="007079F9">
              <w:rPr>
                <w:rFonts w:ascii="Adobe Caslon Pro" w:hAnsi="Adobe Caslon Pro" w:cs="Calibri"/>
                <w:i/>
                <w:color w:val="000000"/>
                <w:sz w:val="20"/>
                <w:szCs w:val="20"/>
                <w:lang w:eastAsia="es-MX"/>
              </w:rPr>
              <w:t>del Estado de Oaxaca.</w:t>
            </w:r>
          </w:p>
          <w:p w:rsidR="007456F1" w:rsidRPr="00751EC4"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7456F1" w:rsidRDefault="007456F1" w:rsidP="00A56E05">
            <w:pPr>
              <w:rPr>
                <w:rFonts w:ascii="Adobe Caslon Pro" w:hAnsi="Adobe Caslon Pro" w:cs="Calibri"/>
                <w:color w:val="000000"/>
                <w:sz w:val="20"/>
                <w:szCs w:val="20"/>
                <w:lang w:eastAsia="es-MX"/>
              </w:rPr>
            </w:pPr>
            <w:r w:rsidRPr="007D66F1">
              <w:rPr>
                <w:rFonts w:ascii="Adobe Caslon Pro" w:hAnsi="Adobe Caslon Pro" w:cs="Calibri"/>
                <w:color w:val="000000"/>
                <w:sz w:val="20"/>
                <w:szCs w:val="20"/>
                <w:lang w:eastAsia="es-MX"/>
              </w:rPr>
              <w:t>2.2.3 Debilidades:</w:t>
            </w: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w:t>
            </w:r>
            <w:r w:rsidRPr="000D3BE9">
              <w:rPr>
                <w:rFonts w:ascii="Adobe Caslon Pro" w:hAnsi="Adobe Caslon Pro" w:cs="Calibri"/>
                <w:i/>
                <w:color w:val="000000"/>
                <w:sz w:val="20"/>
                <w:szCs w:val="20"/>
                <w:lang w:eastAsia="es-MX"/>
              </w:rPr>
              <w:t>O</w:t>
            </w:r>
          </w:p>
          <w:p w:rsidR="007456F1" w:rsidRPr="0032540A" w:rsidRDefault="007456F1" w:rsidP="00F075EB">
            <w:pPr>
              <w:numPr>
                <w:ilvl w:val="0"/>
                <w:numId w:val="96"/>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No existen</w:t>
            </w:r>
            <w:r w:rsidRPr="0032540A">
              <w:rPr>
                <w:rFonts w:ascii="Adobe Caslon Pro" w:hAnsi="Adobe Caslon Pro" w:cs="Calibri"/>
                <w:i/>
                <w:color w:val="000000"/>
                <w:sz w:val="20"/>
                <w:szCs w:val="20"/>
                <w:lang w:eastAsia="es-MX"/>
              </w:rPr>
              <w:t xml:space="preserve"> </w:t>
            </w:r>
            <w:r>
              <w:rPr>
                <w:rFonts w:ascii="Adobe Caslon Pro" w:hAnsi="Adobe Caslon Pro" w:cs="Calibri"/>
                <w:i/>
                <w:color w:val="000000"/>
                <w:sz w:val="20"/>
                <w:szCs w:val="20"/>
                <w:lang w:eastAsia="es-MX"/>
              </w:rPr>
              <w:t>Matrices</w:t>
            </w:r>
            <w:r w:rsidRPr="0032540A">
              <w:rPr>
                <w:rFonts w:ascii="Adobe Caslon Pro" w:hAnsi="Adobe Caslon Pro" w:cs="Calibri"/>
                <w:i/>
                <w:color w:val="000000"/>
                <w:sz w:val="20"/>
                <w:szCs w:val="20"/>
                <w:lang w:eastAsia="es-MX"/>
              </w:rPr>
              <w:t xml:space="preserve"> de Indicadores para Resultados del Fondo incluyendo todos</w:t>
            </w:r>
            <w:r>
              <w:rPr>
                <w:rFonts w:ascii="Adobe Caslon Pro" w:hAnsi="Adobe Caslon Pro" w:cs="Calibri"/>
                <w:i/>
                <w:color w:val="000000"/>
                <w:sz w:val="20"/>
                <w:szCs w:val="20"/>
                <w:lang w:eastAsia="es-MX"/>
              </w:rPr>
              <w:t xml:space="preserve"> </w:t>
            </w:r>
            <w:r w:rsidRPr="0032540A">
              <w:rPr>
                <w:rFonts w:ascii="Adobe Caslon Pro" w:hAnsi="Adobe Caslon Pro" w:cs="Calibri"/>
                <w:i/>
                <w:color w:val="000000"/>
                <w:sz w:val="20"/>
                <w:szCs w:val="20"/>
                <w:lang w:eastAsia="es-MX"/>
              </w:rPr>
              <w:t>los programas de prioridad nacional acordados en el Convenio de Coordinación</w:t>
            </w:r>
            <w:r>
              <w:rPr>
                <w:rFonts w:ascii="Adobe Caslon Pro" w:hAnsi="Adobe Caslon Pro" w:cs="Calibri"/>
                <w:i/>
                <w:color w:val="000000"/>
                <w:sz w:val="20"/>
                <w:szCs w:val="20"/>
                <w:lang w:eastAsia="es-MX"/>
              </w:rPr>
              <w:t xml:space="preserve"> </w:t>
            </w:r>
            <w:r w:rsidRPr="0032540A">
              <w:rPr>
                <w:rFonts w:ascii="Adobe Caslon Pro" w:hAnsi="Adobe Caslon Pro" w:cs="Calibri"/>
                <w:i/>
                <w:color w:val="000000"/>
                <w:sz w:val="20"/>
                <w:szCs w:val="20"/>
                <w:lang w:eastAsia="es-MX"/>
              </w:rPr>
              <w:t>en el Marco del Sistema Nacional de Seguridad Pública y en el Anexo</w:t>
            </w:r>
            <w:r>
              <w:rPr>
                <w:rFonts w:ascii="Adobe Caslon Pro" w:hAnsi="Adobe Caslon Pro" w:cs="Calibri"/>
                <w:i/>
                <w:color w:val="000000"/>
                <w:sz w:val="20"/>
                <w:szCs w:val="20"/>
                <w:lang w:eastAsia="es-MX"/>
              </w:rPr>
              <w:t xml:space="preserve"> </w:t>
            </w:r>
            <w:r w:rsidRPr="0032540A">
              <w:rPr>
                <w:rFonts w:ascii="Adobe Caslon Pro" w:hAnsi="Adobe Caslon Pro" w:cs="Calibri"/>
                <w:i/>
                <w:color w:val="000000"/>
                <w:sz w:val="20"/>
                <w:szCs w:val="20"/>
                <w:lang w:eastAsia="es-MX"/>
              </w:rPr>
              <w:t>Técnico Único del Convenio.</w:t>
            </w:r>
          </w:p>
          <w:p w:rsidR="007456F1" w:rsidRDefault="007456F1" w:rsidP="00A56E05">
            <w:pPr>
              <w:autoSpaceDE w:val="0"/>
              <w:autoSpaceDN w:val="0"/>
              <w:adjustRightInd w:val="0"/>
              <w:ind w:left="720"/>
              <w:jc w:val="both"/>
              <w:rPr>
                <w:rFonts w:ascii="Adobe Caslon Pro" w:hAnsi="Adobe Caslon Pro" w:cs="Calibri"/>
                <w:i/>
                <w:color w:val="000000"/>
                <w:sz w:val="20"/>
                <w:szCs w:val="20"/>
                <w:lang w:eastAsia="es-MX"/>
              </w:rPr>
            </w:pPr>
          </w:p>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7456F1" w:rsidRDefault="007456F1" w:rsidP="00F075EB">
            <w:pPr>
              <w:numPr>
                <w:ilvl w:val="0"/>
                <w:numId w:val="96"/>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No existen indicadores de Desempeño para cada uno de programas de prioridad nacional.</w:t>
            </w:r>
          </w:p>
          <w:p w:rsidR="007456F1" w:rsidRDefault="007456F1" w:rsidP="00A56E05">
            <w:pPr>
              <w:autoSpaceDE w:val="0"/>
              <w:autoSpaceDN w:val="0"/>
              <w:adjustRightInd w:val="0"/>
              <w:ind w:left="720"/>
              <w:jc w:val="both"/>
              <w:rPr>
                <w:rFonts w:ascii="Adobe Caslon Pro" w:hAnsi="Adobe Caslon Pro" w:cs="Calibri"/>
                <w:i/>
                <w:color w:val="000000"/>
                <w:sz w:val="20"/>
                <w:szCs w:val="20"/>
                <w:lang w:eastAsia="es-MX"/>
              </w:rPr>
            </w:pPr>
          </w:p>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COBERTURA Y FOCALIZACIÓN</w:t>
            </w:r>
          </w:p>
          <w:p w:rsidR="007456F1" w:rsidRDefault="007456F1" w:rsidP="00F075EB">
            <w:pPr>
              <w:numPr>
                <w:ilvl w:val="0"/>
                <w:numId w:val="96"/>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No se identifican de manera clara los beneficiarios directos de los recursos del FASP.</w:t>
            </w:r>
          </w:p>
          <w:p w:rsidR="007456F1" w:rsidRPr="00DE4A57" w:rsidRDefault="007456F1" w:rsidP="00A56E05">
            <w:pPr>
              <w:autoSpaceDE w:val="0"/>
              <w:autoSpaceDN w:val="0"/>
              <w:adjustRightInd w:val="0"/>
              <w:ind w:left="720"/>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sidRPr="000D3BE9">
              <w:rPr>
                <w:rFonts w:ascii="Adobe Caslon Pro" w:hAnsi="Adobe Caslon Pro" w:cs="Calibri"/>
                <w:i/>
                <w:color w:val="000000"/>
                <w:sz w:val="20"/>
                <w:szCs w:val="20"/>
                <w:lang w:eastAsia="es-MX"/>
              </w:rPr>
              <w:t>OPERACIÓN</w:t>
            </w:r>
          </w:p>
          <w:p w:rsidR="007456F1" w:rsidRDefault="007456F1" w:rsidP="00F075EB">
            <w:pPr>
              <w:numPr>
                <w:ilvl w:val="0"/>
                <w:numId w:val="96"/>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Lo beneficiarios no se establecen de acuerdo con la normatividad aplicable.</w:t>
            </w:r>
          </w:p>
          <w:p w:rsidR="007456F1" w:rsidRDefault="007456F1" w:rsidP="00F075EB">
            <w:pPr>
              <w:numPr>
                <w:ilvl w:val="0"/>
                <w:numId w:val="96"/>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La ejecución de los programas no es llevada a cabo de acuerdo a la normatividad.</w:t>
            </w:r>
          </w:p>
          <w:p w:rsidR="007456F1" w:rsidRDefault="007456F1" w:rsidP="00A56E05">
            <w:pPr>
              <w:ind w:left="720"/>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7456F1" w:rsidRDefault="007456F1" w:rsidP="00F075EB">
            <w:pPr>
              <w:numPr>
                <w:ilvl w:val="0"/>
                <w:numId w:val="99"/>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Es necesario invertir más en seguridad pública con respecto a los beneficiarios directos.</w:t>
            </w:r>
          </w:p>
          <w:p w:rsidR="007456F1"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RESULTADOS</w:t>
            </w:r>
          </w:p>
          <w:p w:rsidR="007456F1" w:rsidRPr="00204EC5" w:rsidRDefault="007456F1" w:rsidP="00F075EB">
            <w:pPr>
              <w:numPr>
                <w:ilvl w:val="0"/>
                <w:numId w:val="99"/>
              </w:numPr>
              <w:jc w:val="both"/>
              <w:rPr>
                <w:rFonts w:ascii="Adobe Caslon Pro" w:hAnsi="Adobe Caslon Pro" w:cs="Calibri"/>
                <w:i/>
                <w:color w:val="000000"/>
                <w:sz w:val="20"/>
                <w:szCs w:val="20"/>
                <w:lang w:eastAsia="es-MX"/>
              </w:rPr>
            </w:pPr>
            <w:r w:rsidRPr="00204EC5">
              <w:rPr>
                <w:rFonts w:ascii="Adobe Caslon Pro" w:hAnsi="Adobe Caslon Pro" w:cs="Calibri"/>
                <w:i/>
                <w:color w:val="000000"/>
                <w:sz w:val="20"/>
                <w:szCs w:val="20"/>
                <w:lang w:eastAsia="es-MX"/>
              </w:rPr>
              <w:t>Conocer el impacto del Fondo en la ciudadanía.</w:t>
            </w:r>
          </w:p>
          <w:p w:rsidR="007456F1" w:rsidRDefault="007456F1" w:rsidP="00F075EB">
            <w:pPr>
              <w:numPr>
                <w:ilvl w:val="0"/>
                <w:numId w:val="99"/>
              </w:numPr>
              <w:jc w:val="both"/>
              <w:rPr>
                <w:rFonts w:ascii="Adobe Caslon Pro" w:hAnsi="Adobe Caslon Pro" w:cs="Calibri"/>
                <w:i/>
                <w:color w:val="000000"/>
                <w:sz w:val="20"/>
                <w:szCs w:val="20"/>
                <w:lang w:eastAsia="es-MX"/>
              </w:rPr>
            </w:pPr>
            <w:r w:rsidRPr="00204EC5">
              <w:rPr>
                <w:rFonts w:ascii="Adobe Caslon Pro" w:hAnsi="Adobe Caslon Pro" w:cs="Calibri"/>
                <w:i/>
                <w:color w:val="000000"/>
                <w:sz w:val="20"/>
                <w:szCs w:val="20"/>
                <w:lang w:eastAsia="es-MX"/>
              </w:rPr>
              <w:t>Aplicar los resultados obtenidos en las encuestas para la mejora del Fondo.</w:t>
            </w:r>
          </w:p>
          <w:p w:rsidR="007456F1" w:rsidRPr="00761E44"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 DE LOS RECURSOS</w:t>
            </w:r>
          </w:p>
          <w:p w:rsidR="007456F1" w:rsidRDefault="007456F1" w:rsidP="00F075EB">
            <w:pPr>
              <w:numPr>
                <w:ilvl w:val="0"/>
                <w:numId w:val="97"/>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El porcentaje de avance en el cumplimiento de las metas de los programas de prioridad nacional es bajo.</w:t>
            </w:r>
          </w:p>
          <w:p w:rsidR="007456F1" w:rsidRPr="00B86DD8" w:rsidRDefault="007456F1" w:rsidP="00A56E05">
            <w:pPr>
              <w:jc w:val="both"/>
              <w:rPr>
                <w:rFonts w:ascii="Adobe Caslon Pro" w:hAnsi="Adobe Caslon Pro" w:cs="Calibr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2.2.4 Amenazas:</w:t>
            </w:r>
          </w:p>
        </w:tc>
      </w:tr>
      <w:tr w:rsidR="007456F1" w:rsidRPr="00BE4199" w:rsidTr="00A56E05">
        <w:trPr>
          <w:trHeight w:val="162"/>
        </w:trPr>
        <w:tc>
          <w:tcPr>
            <w:tcW w:w="9436" w:type="dxa"/>
            <w:gridSpan w:val="14"/>
            <w:tcBorders>
              <w:top w:val="nil"/>
              <w:left w:val="nil"/>
              <w:bottom w:val="single" w:sz="4" w:space="0" w:color="auto"/>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7456F1" w:rsidRPr="00BE4199" w:rsidTr="00A56E05">
        <w:trPr>
          <w:trHeight w:val="1435"/>
        </w:trPr>
        <w:tc>
          <w:tcPr>
            <w:tcW w:w="9436" w:type="dxa"/>
            <w:gridSpan w:val="14"/>
            <w:tcBorders>
              <w:top w:val="single" w:sz="4" w:space="0" w:color="auto"/>
              <w:left w:val="single" w:sz="4" w:space="0" w:color="auto"/>
              <w:right w:val="single" w:sz="4" w:space="0" w:color="000000"/>
            </w:tcBorders>
            <w:shd w:val="clear" w:color="auto" w:fill="auto"/>
            <w:noWrap/>
            <w:hideMark/>
          </w:tcPr>
          <w:p w:rsidR="007456F1" w:rsidRPr="00BE4199" w:rsidRDefault="007456F1" w:rsidP="00F075EB">
            <w:pPr>
              <w:numPr>
                <w:ilvl w:val="1"/>
                <w:numId w:val="76"/>
              </w:num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Describir brevemente las conclusiones de la evaluación: </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sidRPr="002E23AC">
              <w:rPr>
                <w:rFonts w:ascii="Adobe Caslon Pro" w:hAnsi="Adobe Caslon Pro" w:cs="Calibri"/>
                <w:i/>
                <w:color w:val="000000"/>
                <w:sz w:val="20"/>
                <w:szCs w:val="20"/>
                <w:lang w:eastAsia="es-MX"/>
              </w:rPr>
              <w:t>En el caso de la Matriz de Indicadores para Resultados que presenta</w:t>
            </w:r>
            <w:r>
              <w:rPr>
                <w:rFonts w:ascii="Adobe Caslon Pro" w:hAnsi="Adobe Caslon Pro" w:cs="Calibri"/>
                <w:i/>
                <w:color w:val="000000"/>
                <w:sz w:val="20"/>
                <w:szCs w:val="20"/>
                <w:lang w:eastAsia="es-MX"/>
              </w:rPr>
              <w:t xml:space="preserve"> la Unidad </w:t>
            </w:r>
            <w:r w:rsidRPr="002E23AC">
              <w:rPr>
                <w:rFonts w:ascii="Adobe Caslon Pro" w:hAnsi="Adobe Caslon Pro" w:cs="Calibri"/>
                <w:i/>
                <w:color w:val="000000"/>
                <w:sz w:val="20"/>
                <w:szCs w:val="20"/>
                <w:lang w:eastAsia="es-MX"/>
              </w:rPr>
              <w:t>Responsable para el Fondo, no contiene resumen nar</w:t>
            </w:r>
            <w:r>
              <w:rPr>
                <w:rFonts w:ascii="Adobe Caslon Pro" w:hAnsi="Adobe Caslon Pro" w:cs="Calibri"/>
                <w:i/>
                <w:color w:val="000000"/>
                <w:sz w:val="20"/>
                <w:szCs w:val="20"/>
                <w:lang w:eastAsia="es-MX"/>
              </w:rPr>
              <w:t xml:space="preserve">rativo, es decir, los objetivos </w:t>
            </w:r>
            <w:r w:rsidRPr="002E23AC">
              <w:rPr>
                <w:rFonts w:ascii="Adobe Caslon Pro" w:hAnsi="Adobe Caslon Pro" w:cs="Calibri"/>
                <w:i/>
                <w:color w:val="000000"/>
                <w:sz w:val="20"/>
                <w:szCs w:val="20"/>
                <w:lang w:eastAsia="es-MX"/>
              </w:rPr>
              <w:t>de Fin, Propósito, Componentes y Actividades no se encuen</w:t>
            </w:r>
            <w:r>
              <w:rPr>
                <w:rFonts w:ascii="Adobe Caslon Pro" w:hAnsi="Adobe Caslon Pro" w:cs="Calibri"/>
                <w:i/>
                <w:color w:val="000000"/>
                <w:sz w:val="20"/>
                <w:szCs w:val="20"/>
                <w:lang w:eastAsia="es-MX"/>
              </w:rPr>
              <w:t xml:space="preserve">tran descritas, los indicadores </w:t>
            </w:r>
            <w:r w:rsidRPr="002E23AC">
              <w:rPr>
                <w:rFonts w:ascii="Adobe Caslon Pro" w:hAnsi="Adobe Caslon Pro" w:cs="Calibri"/>
                <w:i/>
                <w:color w:val="000000"/>
                <w:sz w:val="20"/>
                <w:szCs w:val="20"/>
                <w:lang w:eastAsia="es-MX"/>
              </w:rPr>
              <w:t>están establecidos pero únicamente</w:t>
            </w:r>
            <w:r>
              <w:rPr>
                <w:rFonts w:ascii="Adobe Caslon Pro" w:hAnsi="Adobe Caslon Pro" w:cs="Calibri"/>
                <w:i/>
                <w:color w:val="000000"/>
                <w:sz w:val="20"/>
                <w:szCs w:val="20"/>
                <w:lang w:eastAsia="es-MX"/>
              </w:rPr>
              <w:t xml:space="preserve"> para Componente y Actividades;</w:t>
            </w:r>
            <w:r w:rsidRPr="002E23AC">
              <w:rPr>
                <w:rFonts w:ascii="Adobe Caslon Pro" w:hAnsi="Adobe Caslon Pro" w:cs="Calibri"/>
                <w:i/>
                <w:color w:val="000000"/>
                <w:sz w:val="20"/>
                <w:szCs w:val="20"/>
                <w:lang w:eastAsia="es-MX"/>
              </w:rPr>
              <w:t xml:space="preserve"> sin embargo dado que no tienen objetivos no se</w:t>
            </w:r>
            <w:r>
              <w:rPr>
                <w:rFonts w:ascii="Adobe Caslon Pro" w:hAnsi="Adobe Caslon Pro" w:cs="Calibri"/>
                <w:i/>
                <w:color w:val="000000"/>
                <w:sz w:val="20"/>
                <w:szCs w:val="20"/>
                <w:lang w:eastAsia="es-MX"/>
              </w:rPr>
              <w:t xml:space="preserve"> puede establecer qué se quiere </w:t>
            </w:r>
            <w:r w:rsidRPr="002E23AC">
              <w:rPr>
                <w:rFonts w:ascii="Adobe Caslon Pro" w:hAnsi="Adobe Caslon Pro" w:cs="Calibri"/>
                <w:i/>
                <w:color w:val="000000"/>
                <w:sz w:val="20"/>
                <w:szCs w:val="20"/>
                <w:lang w:eastAsia="es-MX"/>
              </w:rPr>
              <w:t>medir, tampoco presentan medios de verificación y supuestos.</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w:t>
            </w:r>
            <w:r w:rsidRPr="002E23AC">
              <w:rPr>
                <w:rFonts w:ascii="Adobe Caslon Pro" w:hAnsi="Adobe Caslon Pro" w:cs="Calibri"/>
                <w:i/>
                <w:color w:val="000000"/>
                <w:sz w:val="20"/>
                <w:szCs w:val="20"/>
                <w:lang w:eastAsia="es-MX"/>
              </w:rPr>
              <w:t>a MIR del Fondo no tiene identificados los programas de prioridad</w:t>
            </w:r>
            <w:r>
              <w:rPr>
                <w:rFonts w:ascii="Adobe Caslon Pro" w:hAnsi="Adobe Caslon Pro" w:cs="Calibri"/>
                <w:i/>
                <w:color w:val="000000"/>
                <w:sz w:val="20"/>
                <w:szCs w:val="20"/>
                <w:lang w:eastAsia="es-MX"/>
              </w:rPr>
              <w:t xml:space="preserve"> </w:t>
            </w:r>
            <w:r w:rsidRPr="002E23AC">
              <w:rPr>
                <w:rFonts w:ascii="Adobe Caslon Pro" w:hAnsi="Adobe Caslon Pro" w:cs="Calibri"/>
                <w:i/>
                <w:color w:val="000000"/>
                <w:sz w:val="20"/>
                <w:szCs w:val="20"/>
                <w:lang w:eastAsia="es-MX"/>
              </w:rPr>
              <w:t xml:space="preserve">nacional, exceptuando el de Profesionalización. </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sidRPr="00FE09FE">
              <w:rPr>
                <w:rFonts w:ascii="Adobe Caslon Pro" w:hAnsi="Adobe Caslon Pro" w:cs="Calibri"/>
                <w:i/>
                <w:color w:val="000000"/>
                <w:sz w:val="20"/>
                <w:szCs w:val="20"/>
                <w:lang w:eastAsia="es-MX"/>
              </w:rPr>
              <w:t>En lo que respecta a la Planeación Estratégica, se tienen muy claro los objetivos</w:t>
            </w:r>
            <w:r>
              <w:rPr>
                <w:rFonts w:ascii="Adobe Caslon Pro" w:hAnsi="Adobe Caslon Pro" w:cs="Calibri"/>
                <w:i/>
                <w:color w:val="000000"/>
                <w:sz w:val="20"/>
                <w:szCs w:val="20"/>
                <w:lang w:eastAsia="es-MX"/>
              </w:rPr>
              <w:t xml:space="preserve"> </w:t>
            </w:r>
            <w:r w:rsidRPr="00FE09FE">
              <w:rPr>
                <w:rFonts w:ascii="Adobe Caslon Pro" w:hAnsi="Adobe Caslon Pro" w:cs="Calibri"/>
                <w:i/>
                <w:color w:val="000000"/>
                <w:sz w:val="20"/>
                <w:szCs w:val="20"/>
                <w:lang w:eastAsia="es-MX"/>
              </w:rPr>
              <w:t>estratégicos de la Dependencia que ejecuta los recursos del Fondo, el Programa Sectorial de Procuración de Justicia 2011-2016 del Estado de Oaxaca para los programas que pueden tener sinergia con el Fondo y los programas de prioridad nacional cada uno tiene objetivos nacionales.</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sidRPr="00FE09FE">
              <w:rPr>
                <w:rFonts w:ascii="Adobe Caslon Pro" w:hAnsi="Adobe Caslon Pro" w:cs="Calibri"/>
                <w:i/>
                <w:color w:val="000000"/>
                <w:sz w:val="20"/>
                <w:szCs w:val="20"/>
                <w:lang w:eastAsia="es-MX"/>
              </w:rPr>
              <w:t>El programa identifica la población que será beneficiaria última de la estrategia de</w:t>
            </w:r>
            <w:r>
              <w:rPr>
                <w:rFonts w:ascii="Adobe Caslon Pro" w:hAnsi="Adobe Caslon Pro" w:cs="Calibri"/>
                <w:i/>
                <w:color w:val="000000"/>
                <w:sz w:val="20"/>
                <w:szCs w:val="20"/>
                <w:lang w:eastAsia="es-MX"/>
              </w:rPr>
              <w:t xml:space="preserve"> </w:t>
            </w:r>
            <w:r w:rsidRPr="00FE09FE">
              <w:rPr>
                <w:rFonts w:ascii="Adobe Caslon Pro" w:hAnsi="Adobe Caslon Pro" w:cs="Calibri"/>
                <w:i/>
                <w:color w:val="000000"/>
                <w:sz w:val="20"/>
                <w:szCs w:val="20"/>
                <w:lang w:eastAsia="es-MX"/>
              </w:rPr>
              <w:t xml:space="preserve">seguridad; no obstante, de acuerdo a la normatividad en el artículo 45 de la Ley de Coordinación Fiscal referente al Fondo menciona que las aportaciones de este Fondo se destinarán exclusivamente, entre otras, a la </w:t>
            </w:r>
            <w:r w:rsidRPr="00FE09FE">
              <w:rPr>
                <w:rFonts w:ascii="Adobe Caslon Pro" w:hAnsi="Adobe Caslon Pro" w:cs="Calibri"/>
                <w:i/>
                <w:color w:val="000000"/>
                <w:sz w:val="20"/>
                <w:szCs w:val="20"/>
                <w:lang w:eastAsia="es-MX"/>
              </w:rPr>
              <w:lastRenderedPageBreak/>
              <w:t>profesionalización de recursos humanos, percepciones extraordinarias de agentes del ministerio público, equipamiento de elementos de seguridad, es decir, existe una población clara en el destino de los recursos, y en la información obtenida no hay evidencia de base de datos de beneficiarios de estos recursos.</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sidRPr="00053796">
              <w:rPr>
                <w:rFonts w:ascii="Adobe Caslon Pro" w:hAnsi="Adobe Caslon Pro" w:cs="Calibri"/>
                <w:i/>
                <w:color w:val="000000"/>
                <w:sz w:val="20"/>
                <w:szCs w:val="20"/>
                <w:lang w:eastAsia="es-MX"/>
              </w:rPr>
              <w:t>En el tema de la operación de los recursos está definido mediante oficios de entrega</w:t>
            </w:r>
            <w:r>
              <w:rPr>
                <w:rFonts w:ascii="Adobe Caslon Pro" w:hAnsi="Adobe Caslon Pro" w:cs="Calibri"/>
                <w:i/>
                <w:color w:val="000000"/>
                <w:sz w:val="20"/>
                <w:szCs w:val="20"/>
                <w:lang w:eastAsia="es-MX"/>
              </w:rPr>
              <w:t xml:space="preserve"> </w:t>
            </w:r>
            <w:r w:rsidRPr="00053796">
              <w:rPr>
                <w:rFonts w:ascii="Adobe Caslon Pro" w:hAnsi="Adobe Caslon Pro" w:cs="Calibri"/>
                <w:i/>
                <w:color w:val="000000"/>
                <w:sz w:val="20"/>
                <w:szCs w:val="20"/>
                <w:lang w:eastAsia="es-MX"/>
              </w:rPr>
              <w:t>de los mismos, de igual forma se cuenta con una estructura organizacional de la entidad ejecutora del Fondo adecuada para su operación.</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sidRPr="00053796">
              <w:rPr>
                <w:rFonts w:ascii="Adobe Caslon Pro" w:hAnsi="Adobe Caslon Pro" w:cs="Calibri"/>
                <w:i/>
                <w:color w:val="000000"/>
                <w:sz w:val="20"/>
                <w:szCs w:val="20"/>
                <w:lang w:eastAsia="es-MX"/>
              </w:rPr>
              <w:t>En lo relacionado con indicadores de eficiencia, eficacia, calidad y economía es</w:t>
            </w:r>
            <w:r>
              <w:rPr>
                <w:rFonts w:ascii="Adobe Caslon Pro" w:hAnsi="Adobe Caslon Pro" w:cs="Calibri"/>
                <w:i/>
                <w:color w:val="000000"/>
                <w:sz w:val="20"/>
                <w:szCs w:val="20"/>
                <w:lang w:eastAsia="es-MX"/>
              </w:rPr>
              <w:t xml:space="preserve"> </w:t>
            </w:r>
            <w:r w:rsidRPr="00053796">
              <w:rPr>
                <w:rFonts w:ascii="Adobe Caslon Pro" w:hAnsi="Adobe Caslon Pro" w:cs="Calibri"/>
                <w:i/>
                <w:color w:val="000000"/>
                <w:sz w:val="20"/>
                <w:szCs w:val="20"/>
                <w:lang w:eastAsia="es-MX"/>
              </w:rPr>
              <w:t>importante mencionar que como no se cuenta con una Matriz de Indicadores para Resultados completa y claramente definida, no se puede precisar la pertinencia de los indicadores que se describen en la MIR del Fondo.</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sidRPr="00053796">
              <w:rPr>
                <w:rFonts w:ascii="Adobe Caslon Pro" w:hAnsi="Adobe Caslon Pro" w:cs="Calibri"/>
                <w:i/>
                <w:color w:val="000000"/>
                <w:sz w:val="20"/>
                <w:szCs w:val="20"/>
                <w:lang w:eastAsia="es-MX"/>
              </w:rPr>
              <w:t>En relación a la percepción de la población, de acuerdo a los “Lineamientos Generales</w:t>
            </w:r>
            <w:r>
              <w:rPr>
                <w:rFonts w:ascii="Adobe Caslon Pro" w:hAnsi="Adobe Caslon Pro" w:cs="Calibri"/>
                <w:i/>
                <w:color w:val="000000"/>
                <w:sz w:val="20"/>
                <w:szCs w:val="20"/>
                <w:lang w:eastAsia="es-MX"/>
              </w:rPr>
              <w:t xml:space="preserve"> </w:t>
            </w:r>
            <w:r w:rsidRPr="00053796">
              <w:rPr>
                <w:rFonts w:ascii="Adobe Caslon Pro" w:hAnsi="Adobe Caslon Pro" w:cs="Calibri"/>
                <w:i/>
                <w:color w:val="000000"/>
                <w:sz w:val="20"/>
                <w:szCs w:val="20"/>
                <w:lang w:eastAsia="es-MX"/>
              </w:rPr>
              <w:t>para el Diseño y Ejecución de los Programas de Evaluación del Fondo de Aportaciones para la Seguridad Pública de los Estados y el Distrito Federal”, existe una Evaluación Institucional que es una encuesta institucional que permite observar la percepción de la población.</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w:t>
            </w:r>
            <w:r w:rsidRPr="00E06FF6">
              <w:rPr>
                <w:rFonts w:ascii="Adobe Caslon Pro" w:hAnsi="Adobe Caslon Pro" w:cs="Calibri"/>
                <w:i/>
                <w:color w:val="000000"/>
                <w:sz w:val="20"/>
                <w:szCs w:val="20"/>
                <w:lang w:eastAsia="es-MX"/>
              </w:rPr>
              <w:t>a definición de los beneficiarios de los recursos del Fondo debe ser</w:t>
            </w:r>
            <w:r>
              <w:rPr>
                <w:rFonts w:ascii="Adobe Caslon Pro" w:hAnsi="Adobe Caslon Pro" w:cs="Calibri"/>
                <w:i/>
                <w:color w:val="000000"/>
                <w:sz w:val="20"/>
                <w:szCs w:val="20"/>
                <w:lang w:eastAsia="es-MX"/>
              </w:rPr>
              <w:t xml:space="preserve"> </w:t>
            </w:r>
            <w:r w:rsidRPr="00E06FF6">
              <w:rPr>
                <w:rFonts w:ascii="Adobe Caslon Pro" w:hAnsi="Adobe Caslon Pro" w:cs="Calibri"/>
                <w:i/>
                <w:color w:val="000000"/>
                <w:sz w:val="20"/>
                <w:szCs w:val="20"/>
                <w:lang w:eastAsia="es-MX"/>
              </w:rPr>
              <w:t>clara, ya que esto permite ver el impacto de los recursos en la población beneficiaria.</w:t>
            </w:r>
          </w:p>
          <w:p w:rsidR="007456F1" w:rsidRPr="00E06FF6"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264"/>
        </w:trPr>
        <w:tc>
          <w:tcPr>
            <w:tcW w:w="9436" w:type="dxa"/>
            <w:gridSpan w:val="14"/>
            <w:tcBorders>
              <w:top w:val="single" w:sz="4" w:space="0" w:color="auto"/>
              <w:left w:val="single" w:sz="4" w:space="0" w:color="auto"/>
              <w:bottom w:val="nil"/>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3.2 Describir las recomendaciones de acuerdo a su relevancia:</w:t>
            </w:r>
          </w:p>
        </w:tc>
      </w:tr>
      <w:tr w:rsidR="007456F1"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DISEÑO</w:t>
            </w:r>
          </w:p>
          <w:p w:rsidR="007456F1" w:rsidRDefault="007456F1" w:rsidP="00F075EB">
            <w:pPr>
              <w:numPr>
                <w:ilvl w:val="0"/>
                <w:numId w:val="97"/>
              </w:numPr>
              <w:autoSpaceDE w:val="0"/>
              <w:autoSpaceDN w:val="0"/>
              <w:adjustRightInd w:val="0"/>
              <w:jc w:val="both"/>
              <w:rPr>
                <w:rFonts w:ascii="Adobe Caslon Pro" w:hAnsi="Adobe Caslon Pro" w:cs="Calibri"/>
                <w:i/>
                <w:color w:val="000000"/>
                <w:sz w:val="20"/>
                <w:szCs w:val="20"/>
                <w:lang w:eastAsia="es-MX"/>
              </w:rPr>
            </w:pPr>
            <w:r w:rsidRPr="002B2683">
              <w:rPr>
                <w:rFonts w:ascii="Adobe Caslon Pro" w:hAnsi="Adobe Caslon Pro" w:cs="Calibri"/>
                <w:i/>
                <w:color w:val="000000"/>
                <w:sz w:val="20"/>
                <w:szCs w:val="20"/>
                <w:lang w:eastAsia="es-MX"/>
              </w:rPr>
              <w:t>Utilizar la Metodología del Marco Lógico para la creac</w:t>
            </w:r>
            <w:r>
              <w:rPr>
                <w:rFonts w:ascii="Adobe Caslon Pro" w:hAnsi="Adobe Caslon Pro" w:cs="Calibri"/>
                <w:i/>
                <w:color w:val="000000"/>
                <w:sz w:val="20"/>
                <w:szCs w:val="20"/>
                <w:lang w:eastAsia="es-MX"/>
              </w:rPr>
              <w:t xml:space="preserve">ión de la Matriz de Indicadores </w:t>
            </w:r>
            <w:r w:rsidRPr="002B2683">
              <w:rPr>
                <w:rFonts w:ascii="Adobe Caslon Pro" w:hAnsi="Adobe Caslon Pro" w:cs="Calibri"/>
                <w:i/>
                <w:color w:val="000000"/>
                <w:sz w:val="20"/>
                <w:szCs w:val="20"/>
                <w:lang w:eastAsia="es-MX"/>
              </w:rPr>
              <w:t>para Resultados.</w:t>
            </w:r>
          </w:p>
          <w:p w:rsidR="007456F1" w:rsidRPr="002C3734"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7456F1" w:rsidRDefault="007456F1" w:rsidP="00F075EB">
            <w:pPr>
              <w:numPr>
                <w:ilvl w:val="0"/>
                <w:numId w:val="73"/>
              </w:numPr>
              <w:autoSpaceDE w:val="0"/>
              <w:autoSpaceDN w:val="0"/>
              <w:adjustRightInd w:val="0"/>
              <w:jc w:val="both"/>
              <w:rPr>
                <w:rFonts w:ascii="Adobe Caslon Pro" w:hAnsi="Adobe Caslon Pro" w:cs="Calibri"/>
                <w:i/>
                <w:color w:val="000000"/>
                <w:sz w:val="20"/>
                <w:szCs w:val="20"/>
                <w:lang w:eastAsia="es-MX"/>
              </w:rPr>
            </w:pPr>
            <w:r w:rsidRPr="002B2683">
              <w:rPr>
                <w:rFonts w:ascii="Adobe Caslon Pro" w:hAnsi="Adobe Caslon Pro" w:cs="Calibri"/>
                <w:i/>
                <w:color w:val="000000"/>
                <w:sz w:val="20"/>
                <w:szCs w:val="20"/>
                <w:lang w:eastAsia="es-MX"/>
              </w:rPr>
              <w:t>Utilizar la Metodología del Marco Lógico para realizar las Matrices de Indicadores</w:t>
            </w:r>
            <w:r>
              <w:rPr>
                <w:rFonts w:ascii="Adobe Caslon Pro" w:hAnsi="Adobe Caslon Pro" w:cs="Calibri"/>
                <w:i/>
                <w:color w:val="000000"/>
                <w:sz w:val="20"/>
                <w:szCs w:val="20"/>
                <w:lang w:eastAsia="es-MX"/>
              </w:rPr>
              <w:t xml:space="preserve"> </w:t>
            </w:r>
            <w:r w:rsidRPr="002B2683">
              <w:rPr>
                <w:rFonts w:ascii="Adobe Caslon Pro" w:hAnsi="Adobe Caslon Pro" w:cs="Calibri"/>
                <w:i/>
                <w:color w:val="000000"/>
                <w:sz w:val="20"/>
                <w:szCs w:val="20"/>
                <w:lang w:eastAsia="es-MX"/>
              </w:rPr>
              <w:t>para Resultados de los programas de prioridad nacional.</w:t>
            </w:r>
          </w:p>
          <w:p w:rsidR="007456F1" w:rsidRPr="002B2683" w:rsidRDefault="007456F1" w:rsidP="00A56E05">
            <w:pPr>
              <w:autoSpaceDE w:val="0"/>
              <w:autoSpaceDN w:val="0"/>
              <w:adjustRightInd w:val="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COBERTURA Y FOCALIZACIÓN</w:t>
            </w:r>
          </w:p>
          <w:p w:rsidR="007456F1" w:rsidRDefault="007456F1" w:rsidP="00F075EB">
            <w:pPr>
              <w:numPr>
                <w:ilvl w:val="0"/>
                <w:numId w:val="74"/>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Establecer </w:t>
            </w:r>
            <w:r w:rsidRPr="002B2683">
              <w:rPr>
                <w:rFonts w:ascii="Adobe Caslon Pro" w:hAnsi="Adobe Caslon Pro" w:cs="Calibri"/>
                <w:i/>
                <w:color w:val="000000"/>
                <w:sz w:val="20"/>
                <w:szCs w:val="20"/>
                <w:lang w:eastAsia="es-MX"/>
              </w:rPr>
              <w:t>una base de datos de los beneficiarios directos de los</w:t>
            </w:r>
            <w:r>
              <w:rPr>
                <w:rFonts w:ascii="Adobe Caslon Pro" w:hAnsi="Adobe Caslon Pro" w:cs="Calibri"/>
                <w:i/>
                <w:color w:val="000000"/>
                <w:sz w:val="20"/>
                <w:szCs w:val="20"/>
                <w:lang w:eastAsia="es-MX"/>
              </w:rPr>
              <w:t xml:space="preserve"> </w:t>
            </w:r>
            <w:r w:rsidRPr="002B2683">
              <w:rPr>
                <w:rFonts w:ascii="Adobe Caslon Pro" w:hAnsi="Adobe Caslon Pro" w:cs="Calibri"/>
                <w:i/>
                <w:color w:val="000000"/>
                <w:sz w:val="20"/>
                <w:szCs w:val="20"/>
                <w:lang w:eastAsia="es-MX"/>
              </w:rPr>
              <w:t>recursos del FASP y actualizarla de forma recurrente.</w:t>
            </w:r>
          </w:p>
          <w:p w:rsidR="007456F1" w:rsidRPr="002B2683"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OPERACIÓN</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B2683">
              <w:rPr>
                <w:rFonts w:ascii="Adobe Caslon Pro" w:hAnsi="Adobe Caslon Pro" w:cs="Calibri"/>
                <w:i/>
                <w:color w:val="000000"/>
                <w:sz w:val="20"/>
                <w:szCs w:val="20"/>
                <w:lang w:eastAsia="es-MX"/>
              </w:rPr>
              <w:t>Apegarse a la normatividad aplicable al Fondo en relación a la ministración</w:t>
            </w:r>
            <w:r>
              <w:rPr>
                <w:rFonts w:ascii="Adobe Caslon Pro" w:hAnsi="Adobe Caslon Pro" w:cs="Calibri"/>
                <w:i/>
                <w:color w:val="000000"/>
                <w:sz w:val="20"/>
                <w:szCs w:val="20"/>
                <w:lang w:eastAsia="es-MX"/>
              </w:rPr>
              <w:t xml:space="preserve"> </w:t>
            </w:r>
            <w:r w:rsidRPr="002B2683">
              <w:rPr>
                <w:rFonts w:ascii="Adobe Caslon Pro" w:hAnsi="Adobe Caslon Pro" w:cs="Calibri"/>
                <w:i/>
                <w:color w:val="000000"/>
                <w:sz w:val="20"/>
                <w:szCs w:val="20"/>
                <w:lang w:eastAsia="es-MX"/>
              </w:rPr>
              <w:t>de los recursos.</w:t>
            </w:r>
          </w:p>
          <w:p w:rsidR="007456F1" w:rsidRPr="002B2683"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B2683">
              <w:rPr>
                <w:rFonts w:ascii="Adobe Caslon Pro" w:hAnsi="Adobe Caslon Pro" w:cs="Calibri"/>
                <w:i/>
                <w:color w:val="000000"/>
                <w:sz w:val="20"/>
                <w:szCs w:val="20"/>
                <w:lang w:eastAsia="es-MX"/>
              </w:rPr>
              <w:t>Establecer Indicadores de Desempeño de acuerdo a la Metodología del Marco</w:t>
            </w:r>
            <w:r>
              <w:rPr>
                <w:rFonts w:ascii="Adobe Caslon Pro" w:hAnsi="Adobe Caslon Pro" w:cs="Calibri"/>
                <w:i/>
                <w:color w:val="000000"/>
                <w:sz w:val="20"/>
                <w:szCs w:val="20"/>
                <w:lang w:eastAsia="es-MX"/>
              </w:rPr>
              <w:t xml:space="preserve"> </w:t>
            </w:r>
            <w:r w:rsidRPr="002B2683">
              <w:rPr>
                <w:rFonts w:ascii="Adobe Caslon Pro" w:hAnsi="Adobe Caslon Pro" w:cs="Calibri"/>
                <w:i/>
                <w:color w:val="000000"/>
                <w:sz w:val="20"/>
                <w:szCs w:val="20"/>
                <w:lang w:eastAsia="es-MX"/>
              </w:rPr>
              <w:t>Lógico.</w:t>
            </w:r>
          </w:p>
          <w:p w:rsidR="007456F1" w:rsidRPr="002B2683"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7456F1" w:rsidRDefault="007456F1"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2B2683">
              <w:rPr>
                <w:rFonts w:ascii="Adobe Caslon Pro" w:hAnsi="Adobe Caslon Pro" w:cs="Calibri"/>
                <w:i/>
                <w:color w:val="000000"/>
                <w:sz w:val="20"/>
                <w:szCs w:val="20"/>
                <w:lang w:eastAsia="es-MX"/>
              </w:rPr>
              <w:t>Establecer mecanismos de mejora para los años subsiguientes en relación a</w:t>
            </w:r>
            <w:r>
              <w:rPr>
                <w:rFonts w:ascii="Adobe Caslon Pro" w:hAnsi="Adobe Caslon Pro" w:cs="Calibri"/>
                <w:i/>
                <w:color w:val="000000"/>
                <w:sz w:val="20"/>
                <w:szCs w:val="20"/>
                <w:lang w:eastAsia="es-MX"/>
              </w:rPr>
              <w:t xml:space="preserve"> </w:t>
            </w:r>
            <w:r w:rsidRPr="002B2683">
              <w:rPr>
                <w:rFonts w:ascii="Adobe Caslon Pro" w:hAnsi="Adobe Caslon Pro" w:cs="Calibri"/>
                <w:i/>
                <w:color w:val="000000"/>
                <w:sz w:val="20"/>
                <w:szCs w:val="20"/>
                <w:lang w:eastAsia="es-MX"/>
              </w:rPr>
              <w:t>las recomendaciones de la población beneficiaria de los recursos del Fondo.</w:t>
            </w:r>
          </w:p>
          <w:p w:rsidR="007456F1" w:rsidRPr="002B2683"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RESULTADOS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B2683">
              <w:rPr>
                <w:rFonts w:ascii="Adobe Caslon Pro" w:hAnsi="Adobe Caslon Pro" w:cs="Calibri"/>
                <w:i/>
                <w:color w:val="000000"/>
                <w:sz w:val="20"/>
                <w:szCs w:val="20"/>
                <w:lang w:eastAsia="es-MX"/>
              </w:rPr>
              <w:t>El avance de los programas del Fondo se muestra de forma general, es importante</w:t>
            </w:r>
            <w:r>
              <w:rPr>
                <w:rFonts w:ascii="Adobe Caslon Pro" w:hAnsi="Adobe Caslon Pro" w:cs="Calibri"/>
                <w:i/>
                <w:color w:val="000000"/>
                <w:sz w:val="20"/>
                <w:szCs w:val="20"/>
                <w:lang w:eastAsia="es-MX"/>
              </w:rPr>
              <w:t xml:space="preserve"> </w:t>
            </w:r>
            <w:r w:rsidRPr="002B2683">
              <w:rPr>
                <w:rFonts w:ascii="Adobe Caslon Pro" w:hAnsi="Adobe Caslon Pro" w:cs="Calibri"/>
                <w:i/>
                <w:color w:val="000000"/>
                <w:sz w:val="20"/>
                <w:szCs w:val="20"/>
                <w:lang w:eastAsia="es-MX"/>
              </w:rPr>
              <w:t>realizar con la Metodología del Marco Lógico la Matriz de Indicadores para Resultados completa para poder observar el avance completo de los programas.</w:t>
            </w:r>
          </w:p>
          <w:p w:rsidR="007456F1" w:rsidRPr="002B2683"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 DE LOS RECURSOS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B2683">
              <w:rPr>
                <w:rFonts w:ascii="Adobe Caslon Pro" w:hAnsi="Adobe Caslon Pro" w:cs="Calibri"/>
                <w:i/>
                <w:color w:val="000000"/>
                <w:sz w:val="20"/>
                <w:szCs w:val="20"/>
                <w:lang w:eastAsia="es-MX"/>
              </w:rPr>
              <w:t>Realizar las ministraciones de los Recursos del Fondo de acuerdo a la normatividad</w:t>
            </w:r>
            <w:r>
              <w:rPr>
                <w:rFonts w:ascii="Adobe Caslon Pro" w:hAnsi="Adobe Caslon Pro" w:cs="Calibri"/>
                <w:i/>
                <w:color w:val="000000"/>
                <w:sz w:val="20"/>
                <w:szCs w:val="20"/>
                <w:lang w:eastAsia="es-MX"/>
              </w:rPr>
              <w:t xml:space="preserve"> </w:t>
            </w:r>
            <w:r w:rsidRPr="002B2683">
              <w:rPr>
                <w:rFonts w:ascii="Adobe Caslon Pro" w:hAnsi="Adobe Caslon Pro" w:cs="Calibri"/>
                <w:i/>
                <w:color w:val="000000"/>
                <w:sz w:val="20"/>
                <w:szCs w:val="20"/>
                <w:lang w:eastAsia="es-MX"/>
              </w:rPr>
              <w:t>aplicable.</w:t>
            </w:r>
          </w:p>
          <w:p w:rsidR="007456F1" w:rsidRPr="002B2683"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105"/>
        </w:trPr>
        <w:tc>
          <w:tcPr>
            <w:tcW w:w="579"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6965" w:type="dxa"/>
            <w:gridSpan w:val="11"/>
            <w:tcBorders>
              <w:top w:val="single" w:sz="4" w:space="0" w:color="auto"/>
              <w:left w:val="single" w:sz="4" w:space="0" w:color="auto"/>
              <w:bottom w:val="nil"/>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4.1 Nombre del coordinador de la evaluación:</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Mtro. José de Jesús </w:t>
            </w:r>
            <w:proofErr w:type="spellStart"/>
            <w:r w:rsidRPr="00BE4199">
              <w:rPr>
                <w:rFonts w:ascii="Adobe Caslon Pro" w:hAnsi="Adobe Caslon Pro" w:cs="Calibri"/>
                <w:i/>
                <w:color w:val="000000"/>
                <w:sz w:val="20"/>
                <w:szCs w:val="20"/>
                <w:lang w:eastAsia="es-MX"/>
              </w:rPr>
              <w:t>Guizar</w:t>
            </w:r>
            <w:proofErr w:type="spellEnd"/>
            <w:r w:rsidRPr="00BE4199">
              <w:rPr>
                <w:rFonts w:ascii="Adobe Caslon Pro" w:hAnsi="Adobe Caslon Pro" w:cs="Calibri"/>
                <w:i/>
                <w:color w:val="000000"/>
                <w:sz w:val="20"/>
                <w:szCs w:val="20"/>
                <w:lang w:eastAsia="es-MX"/>
              </w:rPr>
              <w:t xml:space="preserve"> Jiménez</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4.2 Cargo:</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Consultor Investigador</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4.3 Institución a la que pertenece: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Instituto para el Desarrollo Técnico de las Haciendas Públicas (INDETEC)</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4.4 Principales colaboradores:</w:t>
            </w:r>
          </w:p>
          <w:p w:rsidR="007456F1" w:rsidRPr="00BE4199"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Lic. </w:t>
            </w:r>
            <w:proofErr w:type="spellStart"/>
            <w:r>
              <w:rPr>
                <w:rFonts w:ascii="Adobe Caslon Pro" w:hAnsi="Adobe Caslon Pro" w:cs="Calibri"/>
                <w:i/>
                <w:color w:val="000000"/>
                <w:sz w:val="20"/>
                <w:szCs w:val="20"/>
                <w:lang w:eastAsia="es-MX"/>
              </w:rPr>
              <w:t>Moacyr</w:t>
            </w:r>
            <w:proofErr w:type="spellEnd"/>
            <w:r>
              <w:rPr>
                <w:rFonts w:ascii="Adobe Caslon Pro" w:hAnsi="Adobe Caslon Pro" w:cs="Calibri"/>
                <w:i/>
                <w:color w:val="000000"/>
                <w:sz w:val="20"/>
                <w:szCs w:val="20"/>
                <w:lang w:eastAsia="es-MX"/>
              </w:rPr>
              <w:t xml:space="preserve"> Pérez Delgado</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4.5 Correo electrónico del coordinador de la evaluación:</w:t>
            </w:r>
          </w:p>
          <w:p w:rsidR="007456F1" w:rsidRPr="00BE4199" w:rsidRDefault="009B1A50" w:rsidP="00A56E05">
            <w:pPr>
              <w:rPr>
                <w:rFonts w:ascii="Adobe Caslon Pro" w:hAnsi="Adobe Caslon Pro" w:cs="Calibri"/>
                <w:i/>
                <w:color w:val="000000"/>
                <w:sz w:val="20"/>
                <w:szCs w:val="20"/>
                <w:u w:val="single"/>
                <w:lang w:eastAsia="es-MX"/>
              </w:rPr>
            </w:pPr>
            <w:hyperlink r:id="rId167" w:history="1">
              <w:r w:rsidR="007456F1" w:rsidRPr="00774FDF">
                <w:rPr>
                  <w:rStyle w:val="Hipervnculo"/>
                  <w:rFonts w:ascii="Adobe Caslon Pro" w:hAnsi="Adobe Caslon Pro" w:cs="Calibri"/>
                  <w:i/>
                  <w:sz w:val="20"/>
                  <w:szCs w:val="20"/>
                  <w:lang w:eastAsia="es-MX"/>
                </w:rPr>
                <w:t>jguizarj@indetec.gob.mx</w:t>
              </w:r>
            </w:hyperlink>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4.6 Teléfono (con clave lada):</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(33) 36695550</w:t>
            </w:r>
            <w:r>
              <w:rPr>
                <w:rFonts w:ascii="Adobe Caslon Pro" w:hAnsi="Adobe Caslon Pro" w:cs="Calibri"/>
                <w:i/>
                <w:color w:val="000000"/>
                <w:sz w:val="20"/>
                <w:szCs w:val="20"/>
                <w:lang w:eastAsia="es-MX"/>
              </w:rPr>
              <w:t xml:space="preserve"> </w:t>
            </w:r>
            <w:proofErr w:type="spellStart"/>
            <w:r>
              <w:rPr>
                <w:rFonts w:ascii="Adobe Caslon Pro" w:hAnsi="Adobe Caslon Pro" w:cs="Calibri"/>
                <w:i/>
                <w:color w:val="000000"/>
                <w:sz w:val="20"/>
                <w:szCs w:val="20"/>
                <w:lang w:eastAsia="es-MX"/>
              </w:rPr>
              <w:t>ext</w:t>
            </w:r>
            <w:proofErr w:type="spellEnd"/>
            <w:r>
              <w:rPr>
                <w:rFonts w:ascii="Adobe Caslon Pro" w:hAnsi="Adobe Caslon Pro" w:cs="Calibri"/>
                <w:i/>
                <w:color w:val="000000"/>
                <w:sz w:val="20"/>
                <w:szCs w:val="20"/>
                <w:lang w:eastAsia="es-MX"/>
              </w:rPr>
              <w:t xml:space="preserve"> 136</w:t>
            </w:r>
          </w:p>
        </w:tc>
      </w:tr>
      <w:tr w:rsidR="007456F1" w:rsidRPr="00BE4199" w:rsidTr="00A56E05">
        <w:trPr>
          <w:trHeight w:val="75"/>
        </w:trPr>
        <w:tc>
          <w:tcPr>
            <w:tcW w:w="999"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696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Fondo de Aportaciones </w:t>
            </w:r>
            <w:r>
              <w:rPr>
                <w:rFonts w:ascii="Adobe Caslon Pro" w:hAnsi="Adobe Caslon Pro" w:cs="Calibri"/>
                <w:i/>
                <w:color w:val="000000"/>
                <w:sz w:val="20"/>
                <w:szCs w:val="20"/>
                <w:lang w:eastAsia="es-MX"/>
              </w:rPr>
              <w:t xml:space="preserve">para la Seguridad Pública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FASP</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coordinador del (los) programa(s): </w:t>
            </w:r>
          </w:p>
          <w:p w:rsidR="007456F1" w:rsidRPr="00BE4199"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Secretaría de Seguridad Pública</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 Nombre de la(s) unidad(es) administrativa(s) y de (los) titular(es) a cargo del (los) programa(s):</w:t>
            </w:r>
          </w:p>
        </w:tc>
      </w:tr>
      <w:tr w:rsidR="007456F1" w:rsidRPr="00BE4199" w:rsidTr="00A56E05">
        <w:trPr>
          <w:trHeight w:val="408"/>
        </w:trPr>
        <w:tc>
          <w:tcPr>
            <w:tcW w:w="9436" w:type="dxa"/>
            <w:gridSpan w:val="14"/>
            <w:tcBorders>
              <w:left w:val="single" w:sz="4" w:space="0" w:color="auto"/>
              <w:bottom w:val="single" w:sz="4" w:space="0" w:color="auto"/>
              <w:right w:val="single" w:sz="4" w:space="0" w:color="auto"/>
            </w:tcBorders>
            <w:vAlign w:val="center"/>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7456F1" w:rsidRPr="00BE4199" w:rsidTr="00A56E05">
        <w:trPr>
          <w:trHeight w:val="55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7456F1" w:rsidRPr="00BE4199"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Secretaría de Seguridad Pública</w:t>
            </w:r>
          </w:p>
        </w:tc>
      </w:tr>
      <w:tr w:rsidR="007456F1" w:rsidRPr="00BE4199" w:rsidTr="00A56E05">
        <w:trPr>
          <w:trHeight w:val="55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7456F1"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6F1" w:rsidRPr="00BE4199"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Lic. Alberto Esteva Salinas</w:t>
            </w: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(951) 501 5045</w:t>
            </w:r>
          </w:p>
          <w:p w:rsidR="007456F1" w:rsidRPr="0062525C"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Alberto.esteva@sspo.gob.mx</w:t>
            </w:r>
          </w:p>
        </w:tc>
        <w:tc>
          <w:tcPr>
            <w:tcW w:w="4604" w:type="dxa"/>
            <w:gridSpan w:val="7"/>
            <w:tcBorders>
              <w:top w:val="single" w:sz="4" w:space="0" w:color="auto"/>
              <w:left w:val="nil"/>
              <w:bottom w:val="single" w:sz="4" w:space="0" w:color="auto"/>
              <w:right w:val="single" w:sz="4" w:space="0" w:color="000000"/>
            </w:tcBorders>
            <w:shd w:val="clear" w:color="auto" w:fill="auto"/>
            <w:hideMark/>
          </w:tcPr>
          <w:p w:rsidR="007456F1" w:rsidRDefault="007456F1"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Unidad administrativa</w:t>
            </w:r>
          </w:p>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 xml:space="preserve"> Secretaría de Seguridad Pública. </w:t>
            </w:r>
          </w:p>
        </w:tc>
      </w:tr>
      <w:tr w:rsidR="007456F1" w:rsidRPr="00BE4199" w:rsidTr="00A56E05">
        <w:trPr>
          <w:trHeight w:val="75"/>
        </w:trPr>
        <w:tc>
          <w:tcPr>
            <w:tcW w:w="999" w:type="dxa"/>
            <w:gridSpan w:val="2"/>
            <w:tcBorders>
              <w:top w:val="nil"/>
              <w:left w:val="nil"/>
              <w:bottom w:val="nil"/>
              <w:right w:val="nil"/>
            </w:tcBorders>
            <w:shd w:val="clear" w:color="auto" w:fill="auto"/>
            <w:hideMark/>
          </w:tcPr>
          <w:p w:rsidR="007456F1" w:rsidRPr="00BE4199" w:rsidRDefault="007456F1"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hideMark/>
          </w:tcPr>
          <w:p w:rsidR="007456F1" w:rsidRPr="00BE4199" w:rsidRDefault="007456F1"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p>
        </w:tc>
        <w:tc>
          <w:tcPr>
            <w:tcW w:w="2526" w:type="dxa"/>
            <w:gridSpan w:val="5"/>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Pr>
                <w:rFonts w:ascii="Adobe Caslon Pro" w:hAnsi="Adobe Caslon Pro" w:cs="Calibri"/>
                <w:color w:val="000000"/>
                <w:sz w:val="20"/>
                <w:szCs w:val="20"/>
                <w:lang w:eastAsia="es-MX"/>
              </w:rPr>
              <w:t>___ 6.1.5 Otro: C</w:t>
            </w:r>
            <w:r w:rsidRPr="000D3BE9">
              <w:rPr>
                <w:rFonts w:ascii="Adobe Caslon Pro" w:hAnsi="Adobe Caslon Pro" w:cs="Calibri"/>
                <w:color w:val="000000"/>
                <w:sz w:val="20"/>
                <w:szCs w:val="20"/>
                <w:lang w:eastAsia="es-MX"/>
              </w:rPr>
              <w:t>onveni</w:t>
            </w:r>
            <w:r>
              <w:rPr>
                <w:rFonts w:ascii="Adobe Caslon Pro" w:hAnsi="Adobe Caslon Pro" w:cs="Calibri"/>
                <w:color w:val="000000"/>
                <w:sz w:val="20"/>
                <w:szCs w:val="20"/>
                <w:lang w:eastAsia="es-MX"/>
              </w:rPr>
              <w:t>o de colaboración institucional</w:t>
            </w:r>
          </w:p>
        </w:tc>
      </w:tr>
      <w:tr w:rsidR="007456F1" w:rsidRPr="00BE4199" w:rsidTr="00A56E05">
        <w:trPr>
          <w:trHeight w:val="39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6.3</w:t>
            </w:r>
            <w:r>
              <w:rPr>
                <w:rFonts w:ascii="Times New Roman" w:hAnsi="Times New Roman"/>
                <w:color w:val="000000"/>
                <w:sz w:val="20"/>
                <w:szCs w:val="20"/>
                <w:lang w:eastAsia="es-MX"/>
              </w:rPr>
              <w:t> </w:t>
            </w:r>
            <w:r w:rsidRPr="00BE4199">
              <w:rPr>
                <w:rFonts w:ascii="Adobe Caslon Pro" w:hAnsi="Adobe Caslon Pro" w:cs="Calibri"/>
                <w:color w:val="000000"/>
                <w:sz w:val="20"/>
                <w:szCs w:val="20"/>
                <w:lang w:eastAsia="es-MX"/>
              </w:rPr>
              <w:t xml:space="preserve">Costo total de la evaluación:    </w:t>
            </w:r>
            <w:r w:rsidRPr="00BE4199">
              <w:rPr>
                <w:rFonts w:ascii="Adobe Caslon Pro" w:hAnsi="Adobe Caslon Pro" w:cs="Calibri"/>
                <w:i/>
                <w:color w:val="000000"/>
                <w:sz w:val="20"/>
                <w:szCs w:val="20"/>
                <w:lang w:eastAsia="es-MX"/>
              </w:rPr>
              <w:t>$ 960,000.00 (Novecientos sesenta mil pesos 00/100 M.N.) El costo corresponde a la evaluación de ocho Fondos de Aportaciones del Ramo General 33</w:t>
            </w:r>
            <w:r w:rsidRPr="00BE4199">
              <w:rPr>
                <w:rFonts w:ascii="Adobe Caslon Pro" w:hAnsi="Adobe Caslon Pro" w:cs="Calibri"/>
                <w:color w:val="000000"/>
                <w:sz w:val="20"/>
                <w:szCs w:val="20"/>
                <w:lang w:eastAsia="es-MX"/>
              </w:rPr>
              <w:t>.</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7456F1" w:rsidRPr="00BE4199" w:rsidTr="00A56E05">
        <w:trPr>
          <w:trHeight w:val="162"/>
        </w:trPr>
        <w:tc>
          <w:tcPr>
            <w:tcW w:w="999"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4973"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7456F1" w:rsidRDefault="009B1A50" w:rsidP="00A56E05">
            <w:pPr>
              <w:rPr>
                <w:rFonts w:ascii="Adobe Caslon Pro" w:hAnsi="Adobe Caslon Pro" w:cs="Calibri"/>
                <w:color w:val="000000"/>
                <w:sz w:val="20"/>
                <w:szCs w:val="20"/>
                <w:lang w:eastAsia="es-MX"/>
              </w:rPr>
            </w:pPr>
            <w:hyperlink r:id="rId168"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642484" w:rsidRDefault="009B1A50" w:rsidP="00A56E05">
            <w:pPr>
              <w:rPr>
                <w:rFonts w:ascii="Adobe Caslon Pro" w:hAnsi="Adobe Caslon Pro" w:cs="Calibri"/>
                <w:color w:val="000000"/>
                <w:sz w:val="20"/>
                <w:szCs w:val="20"/>
                <w:lang w:eastAsia="es-MX"/>
              </w:rPr>
            </w:pPr>
            <w:hyperlink r:id="rId169" w:history="1">
              <w:r w:rsidR="007456F1" w:rsidRPr="002F7F93">
                <w:rPr>
                  <w:rStyle w:val="Hipervnculo"/>
                  <w:rFonts w:ascii="Adobe Caslon Pro" w:hAnsi="Adobe Caslon Pro" w:cs="Calibri"/>
                  <w:sz w:val="20"/>
                  <w:szCs w:val="20"/>
                  <w:lang w:eastAsia="es-MX"/>
                </w:rPr>
                <w:t>http://www.transparenciapresupuestaria.oaxaca.gob.mx/05_ev1_eprogramas.php</w:t>
              </w:r>
            </w:hyperlink>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7.2  Difusión en internet del formato:</w:t>
            </w:r>
          </w:p>
          <w:p w:rsidR="007456F1" w:rsidRDefault="009B1A50" w:rsidP="00A56E05">
            <w:pPr>
              <w:rPr>
                <w:rFonts w:ascii="Adobe Caslon Pro" w:hAnsi="Adobe Caslon Pro" w:cs="Calibri"/>
                <w:color w:val="000000"/>
                <w:sz w:val="20"/>
                <w:szCs w:val="20"/>
                <w:lang w:eastAsia="es-MX"/>
              </w:rPr>
            </w:pPr>
            <w:hyperlink r:id="rId170"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642484" w:rsidRDefault="007456F1" w:rsidP="00A56E05">
            <w:pPr>
              <w:rPr>
                <w:rFonts w:ascii="Adobe Caslon Pro" w:hAnsi="Adobe Caslon Pro" w:cs="Calibri"/>
                <w:color w:val="000000"/>
                <w:sz w:val="20"/>
                <w:szCs w:val="20"/>
                <w:lang w:eastAsia="es-MX"/>
              </w:rPr>
            </w:pPr>
          </w:p>
        </w:tc>
      </w:tr>
    </w:tbl>
    <w:p w:rsidR="007456F1" w:rsidRPr="00066E84" w:rsidRDefault="007456F1" w:rsidP="007456F1">
      <w:pPr>
        <w:rPr>
          <w:rFonts w:ascii="Adobe Caslon Pro" w:hAnsi="Adobe Caslon Pro"/>
          <w:b/>
          <w:sz w:val="20"/>
          <w:szCs w:val="20"/>
          <w:lang w:eastAsia="es-MX"/>
        </w:rPr>
      </w:pPr>
    </w:p>
    <w:p w:rsidR="007456F1" w:rsidRDefault="007456F1" w:rsidP="007456F1">
      <w:pPr>
        <w:autoSpaceDE w:val="0"/>
        <w:autoSpaceDN w:val="0"/>
        <w:adjustRightInd w:val="0"/>
        <w:jc w:val="both"/>
        <w:rPr>
          <w:rFonts w:cs="Calibri"/>
          <w:sz w:val="16"/>
          <w:szCs w:val="16"/>
        </w:rPr>
      </w:pPr>
    </w:p>
    <w:p w:rsidR="007456F1" w:rsidRDefault="007456F1">
      <w:pPr>
        <w:rPr>
          <w:rFonts w:ascii="Arial" w:hAnsi="Arial" w:cs="Arial"/>
          <w:b/>
        </w:rPr>
      </w:pPr>
      <w:r>
        <w:rPr>
          <w:rFonts w:ascii="Arial" w:hAnsi="Arial" w:cs="Arial"/>
          <w:b/>
        </w:rPr>
        <w:br w:type="page"/>
      </w:r>
    </w:p>
    <w:p w:rsidR="007456F1" w:rsidRPr="007456F1" w:rsidRDefault="007456F1" w:rsidP="007456F1">
      <w:pPr>
        <w:pStyle w:val="Prrafodelista"/>
        <w:ind w:left="0"/>
        <w:jc w:val="both"/>
        <w:rPr>
          <w:rFonts w:ascii="Arial" w:hAnsi="Arial" w:cs="Arial"/>
          <w:b/>
          <w:sz w:val="24"/>
          <w:szCs w:val="24"/>
          <w:lang w:val="es-ES"/>
        </w:rPr>
      </w:pPr>
      <w:r w:rsidRPr="007456F1">
        <w:rPr>
          <w:rFonts w:ascii="Arial" w:hAnsi="Arial" w:cs="Arial"/>
          <w:b/>
          <w:sz w:val="24"/>
          <w:szCs w:val="24"/>
          <w:lang w:val="es-ES"/>
        </w:rPr>
        <w:lastRenderedPageBreak/>
        <w:t>14.</w:t>
      </w:r>
      <w:r w:rsidR="0072684E">
        <w:rPr>
          <w:rFonts w:ascii="Arial" w:hAnsi="Arial" w:cs="Arial"/>
          <w:b/>
          <w:sz w:val="24"/>
          <w:szCs w:val="24"/>
          <w:lang w:val="es-ES"/>
        </w:rPr>
        <w:t>2</w:t>
      </w:r>
      <w:r w:rsidRPr="007456F1">
        <w:rPr>
          <w:rFonts w:ascii="Arial" w:hAnsi="Arial" w:cs="Arial"/>
          <w:b/>
          <w:sz w:val="24"/>
          <w:szCs w:val="24"/>
          <w:lang w:val="es-ES"/>
        </w:rPr>
        <w:t>.1</w:t>
      </w:r>
      <w:r w:rsidR="00FB524A">
        <w:rPr>
          <w:rFonts w:ascii="Arial" w:hAnsi="Arial" w:cs="Arial"/>
          <w:b/>
          <w:sz w:val="24"/>
          <w:szCs w:val="24"/>
          <w:lang w:val="es-ES"/>
        </w:rPr>
        <w:t>4</w:t>
      </w:r>
      <w:r w:rsidRPr="007456F1">
        <w:rPr>
          <w:rFonts w:ascii="Arial" w:hAnsi="Arial" w:cs="Arial"/>
          <w:b/>
          <w:sz w:val="24"/>
          <w:szCs w:val="24"/>
          <w:lang w:val="es-ES"/>
        </w:rPr>
        <w:t>.- FONDO DE APORTACIONES PARA LOS SERVICIOS DE SALUD (FASSA)</w:t>
      </w:r>
    </w:p>
    <w:p w:rsidR="007456F1" w:rsidRDefault="007456F1" w:rsidP="007456F1">
      <w:pPr>
        <w:pStyle w:val="Prrafodelista"/>
        <w:ind w:left="0"/>
        <w:jc w:val="center"/>
        <w:rPr>
          <w:rFonts w:ascii="Adobe Caslon Pro" w:hAnsi="Adobe Caslon Pro" w:cs="Calibri"/>
          <w:i/>
          <w:color w:val="000000"/>
          <w:lang w:eastAsia="es-MX"/>
        </w:rPr>
      </w:pPr>
    </w:p>
    <w:tbl>
      <w:tblPr>
        <w:tblpPr w:leftFromText="141" w:rightFromText="141" w:vertAnchor="text" w:tblpY="1"/>
        <w:tblOverlap w:val="never"/>
        <w:tblW w:w="9436" w:type="dxa"/>
        <w:tblInd w:w="58" w:type="dxa"/>
        <w:tblCellMar>
          <w:left w:w="70" w:type="dxa"/>
          <w:right w:w="70" w:type="dxa"/>
        </w:tblCellMar>
        <w:tblLook w:val="04A0"/>
      </w:tblPr>
      <w:tblGrid>
        <w:gridCol w:w="579"/>
        <w:gridCol w:w="420"/>
        <w:gridCol w:w="1955"/>
        <w:gridCol w:w="1311"/>
        <w:gridCol w:w="160"/>
        <w:gridCol w:w="237"/>
        <w:gridCol w:w="170"/>
        <w:gridCol w:w="141"/>
        <w:gridCol w:w="667"/>
        <w:gridCol w:w="1311"/>
        <w:gridCol w:w="14"/>
        <w:gridCol w:w="1160"/>
        <w:gridCol w:w="151"/>
        <w:gridCol w:w="1160"/>
      </w:tblGrid>
      <w:tr w:rsidR="007456F1" w:rsidRPr="00BE4199" w:rsidTr="00A56E05">
        <w:trPr>
          <w:trHeight w:val="420"/>
        </w:trPr>
        <w:tc>
          <w:tcPr>
            <w:tcW w:w="5640" w:type="dxa"/>
            <w:gridSpan w:val="9"/>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Evaluación Estratégica de Consistencia y Resultados del Fondo de Aportaciones </w:t>
            </w:r>
            <w:r>
              <w:rPr>
                <w:rFonts w:ascii="Adobe Caslon Pro" w:hAnsi="Adobe Caslon Pro" w:cs="Calibri"/>
                <w:i/>
                <w:color w:val="000000"/>
                <w:sz w:val="20"/>
                <w:szCs w:val="20"/>
                <w:lang w:eastAsia="es-MX"/>
              </w:rPr>
              <w:t>para los Servicios de Salud (FASSA)</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1.2 Fecha de inicio de la evaluación (</w:t>
            </w:r>
            <w:proofErr w:type="spellStart"/>
            <w:r w:rsidRPr="00BE4199">
              <w:rPr>
                <w:rFonts w:ascii="Adobe Caslon Pro" w:hAnsi="Adobe Caslon Pro" w:cs="Calibri"/>
                <w:color w:val="000000"/>
                <w:sz w:val="20"/>
                <w:szCs w:val="20"/>
                <w:lang w:eastAsia="es-MX"/>
              </w:rPr>
              <w:t>dd</w:t>
            </w:r>
            <w:proofErr w:type="spellEnd"/>
            <w:r w:rsidRPr="00BE4199">
              <w:rPr>
                <w:rFonts w:ascii="Adobe Caslon Pro" w:hAnsi="Adobe Caslon Pro" w:cs="Calibri"/>
                <w:color w:val="000000"/>
                <w:sz w:val="20"/>
                <w:szCs w:val="20"/>
                <w:lang w:eastAsia="es-MX"/>
              </w:rPr>
              <w:t>/mm/</w:t>
            </w:r>
            <w:proofErr w:type="spellStart"/>
            <w:r w:rsidRPr="00BE4199">
              <w:rPr>
                <w:rFonts w:ascii="Adobe Caslon Pro" w:hAnsi="Adobe Caslon Pro" w:cs="Calibri"/>
                <w:color w:val="000000"/>
                <w:sz w:val="20"/>
                <w:szCs w:val="20"/>
                <w:lang w:eastAsia="es-MX"/>
              </w:rPr>
              <w:t>aaaa</w:t>
            </w:r>
            <w:proofErr w:type="spellEnd"/>
            <w:r w:rsidRPr="00BE4199">
              <w:rPr>
                <w:rFonts w:ascii="Adobe Caslon Pro" w:hAnsi="Adobe Caslon Pro" w:cs="Calibri"/>
                <w:color w:val="000000"/>
                <w:sz w:val="20"/>
                <w:szCs w:val="20"/>
                <w:lang w:eastAsia="es-MX"/>
              </w:rPr>
              <w:t xml:space="preserve">): </w:t>
            </w:r>
            <w:r w:rsidRPr="00BE4199">
              <w:rPr>
                <w:rFonts w:ascii="Adobe Caslon Pro" w:hAnsi="Adobe Caslon Pro" w:cs="Calibri"/>
                <w:i/>
                <w:color w:val="000000"/>
                <w:sz w:val="20"/>
                <w:szCs w:val="20"/>
                <w:lang w:eastAsia="es-MX"/>
              </w:rPr>
              <w:t>21/08/2014</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1.3 Fecha de término de la evaluación (</w:t>
            </w:r>
            <w:proofErr w:type="spellStart"/>
            <w:r w:rsidRPr="000D3BE9">
              <w:rPr>
                <w:rFonts w:ascii="Adobe Caslon Pro" w:hAnsi="Adobe Caslon Pro" w:cs="Calibri"/>
                <w:color w:val="000000"/>
                <w:sz w:val="20"/>
                <w:szCs w:val="20"/>
                <w:lang w:eastAsia="es-MX"/>
              </w:rPr>
              <w:t>dd</w:t>
            </w:r>
            <w:proofErr w:type="spellEnd"/>
            <w:r w:rsidRPr="000D3BE9">
              <w:rPr>
                <w:rFonts w:ascii="Adobe Caslon Pro" w:hAnsi="Adobe Caslon Pro" w:cs="Calibri"/>
                <w:color w:val="000000"/>
                <w:sz w:val="20"/>
                <w:szCs w:val="20"/>
                <w:lang w:eastAsia="es-MX"/>
              </w:rPr>
              <w:t>/mm/</w:t>
            </w:r>
            <w:proofErr w:type="spellStart"/>
            <w:r w:rsidRPr="000D3BE9">
              <w:rPr>
                <w:rFonts w:ascii="Adobe Caslon Pro" w:hAnsi="Adobe Caslon Pro" w:cs="Calibri"/>
                <w:color w:val="000000"/>
                <w:sz w:val="20"/>
                <w:szCs w:val="20"/>
                <w:lang w:eastAsia="es-MX"/>
              </w:rPr>
              <w:t>aaaa</w:t>
            </w:r>
            <w:proofErr w:type="spellEnd"/>
            <w:r w:rsidRPr="000D3BE9">
              <w:rPr>
                <w:rFonts w:ascii="Adobe Caslon Pro" w:hAnsi="Adobe Caslon Pro" w:cs="Calibri"/>
                <w:color w:val="000000"/>
                <w:sz w:val="20"/>
                <w:szCs w:val="20"/>
                <w:lang w:eastAsia="es-MX"/>
              </w:rPr>
              <w:t xml:space="preserve">): </w:t>
            </w:r>
            <w:r w:rsidRPr="000D3BE9">
              <w:rPr>
                <w:rFonts w:ascii="Adobe Caslon Pro" w:hAnsi="Adobe Caslon Pro" w:cs="Calibri"/>
                <w:i/>
                <w:color w:val="000000"/>
                <w:sz w:val="20"/>
                <w:szCs w:val="20"/>
                <w:lang w:eastAsia="es-MX"/>
              </w:rPr>
              <w:t>09/04/2015</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7456F1" w:rsidRPr="00BE4199" w:rsidTr="00A56E05">
        <w:trPr>
          <w:trHeight w:val="420"/>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6F1"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7456F1" w:rsidRPr="00BE4199" w:rsidRDefault="007456F1" w:rsidP="00A56E05">
            <w:pPr>
              <w:rPr>
                <w:rFonts w:ascii="Adobe Caslon Pro" w:hAnsi="Adobe Caslon Pro" w:cs="Calibri"/>
                <w:i/>
                <w:color w:val="000000"/>
                <w:sz w:val="20"/>
                <w:szCs w:val="20"/>
                <w:lang w:eastAsia="es-MX"/>
              </w:rPr>
            </w:pPr>
          </w:p>
        </w:tc>
        <w:tc>
          <w:tcPr>
            <w:tcW w:w="4774" w:type="dxa"/>
            <w:gridSpan w:val="8"/>
            <w:tcBorders>
              <w:top w:val="single" w:sz="4" w:space="0" w:color="auto"/>
              <w:left w:val="single" w:sz="4" w:space="0" w:color="auto"/>
              <w:bottom w:val="single" w:sz="4" w:space="0" w:color="auto"/>
              <w:right w:val="single" w:sz="4" w:space="0" w:color="000000"/>
            </w:tcBorders>
            <w:shd w:val="clear" w:color="auto" w:fill="auto"/>
            <w:vAlign w:val="bottom"/>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7456F1" w:rsidRDefault="007456F1"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Coadyuvar en la Consolidación del Sistema de Evaluación del Desempeño en el Estado de Oaxaca, a través de identificar y analizar la consistencia y resultados del Fondo</w:t>
            </w:r>
            <w:r>
              <w:rPr>
                <w:rFonts w:ascii="Adobe Caslon Pro" w:hAnsi="Adobe Caslon Pro" w:cs="Calibri"/>
                <w:i/>
                <w:color w:val="000000"/>
                <w:sz w:val="20"/>
                <w:szCs w:val="20"/>
                <w:lang w:eastAsia="es-MX"/>
              </w:rPr>
              <w:t xml:space="preserve"> de Aportaciones para los Servicios de Salud (FASSA)</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p w:rsidR="007456F1" w:rsidRPr="00BE4199" w:rsidRDefault="007456F1" w:rsidP="00A56E05">
            <w:pPr>
              <w:jc w:val="both"/>
              <w:rPr>
                <w:rFonts w:ascii="Adobe Caslon Pro" w:hAnsi="Adobe Caslon Pro" w:cs="Calibri"/>
                <w: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Diseño. Es un proceso analítico global que se enfoca en identificar los objetivos de los Programas para luego determinar la consistencia de su diseño y los resultados con tales objetivos.</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Planeación Estratégica. Implica analizar los instrumentos de planeación de los Programas, y corroborar si tal planeación tiene una orientación para resultados.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Cobertura y Focalización. Corresponde cuantificar y determinar la población potencial y la población objetivo que está siendo atendida a través de los Programas.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Operación. Analiza las principales actividades y procesos establecidos en la normatividad aplicable; la eficiencia, eficacia y economía operativa de los Programas; y el cumplimiento y avance en los indicadores estratégicos y de gestión.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Percepción de la Población. Analiza el grado de satisfacción de los beneficiarios de los bienes y servicios que conforman cada Programa. </w:t>
            </w:r>
          </w:p>
          <w:p w:rsidR="007456F1" w:rsidRPr="00A92C63" w:rsidRDefault="007456F1"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Resultados. Analiza los resultados intermedios y de impacto alcanzado por cada uno de los Programas, en términos de mejora o solución del problema por el cual fue creado cada uno de éstos. </w:t>
            </w:r>
          </w:p>
          <w:p w:rsidR="007456F1" w:rsidRPr="009B1103" w:rsidRDefault="007456F1" w:rsidP="00F075EB">
            <w:pPr>
              <w:numPr>
                <w:ilvl w:val="0"/>
                <w:numId w:val="72"/>
              </w:numPr>
              <w:jc w:val="both"/>
              <w:rPr>
                <w:rFonts w:ascii="Adobe Caslon Pro" w:hAnsi="Adobe Caslon Pro" w:cs="Calibri"/>
                <w:color w:val="000000"/>
                <w:sz w:val="20"/>
                <w:szCs w:val="20"/>
                <w:lang w:eastAsia="es-MX"/>
              </w:rPr>
            </w:pPr>
            <w:r w:rsidRPr="00A92C63">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r>
              <w:t>.</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7456F1" w:rsidRPr="00BE4199" w:rsidTr="00A56E05">
        <w:trPr>
          <w:trHeight w:val="420"/>
        </w:trPr>
        <w:tc>
          <w:tcPr>
            <w:tcW w:w="9436" w:type="dxa"/>
            <w:gridSpan w:val="14"/>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7456F1" w:rsidRDefault="007456F1"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p w:rsidR="007456F1" w:rsidRPr="009B1103" w:rsidRDefault="007456F1" w:rsidP="00A56E05">
            <w:pPr>
              <w:ind w:left="720"/>
              <w:jc w:val="both"/>
              <w:rPr>
                <w:rFonts w:ascii="Adobe Caslon Pro" w:hAnsi="Adobe Caslon Pro" w:cs="Calibri"/>
                <w:i/>
                <w:color w:val="000000"/>
                <w:sz w:val="20"/>
                <w:szCs w:val="20"/>
                <w:lang w:eastAsia="es-MX"/>
              </w:rPr>
            </w:pPr>
          </w:p>
        </w:tc>
      </w:tr>
      <w:tr w:rsidR="007456F1" w:rsidRPr="00BE4199" w:rsidTr="00A56E05">
        <w:trPr>
          <w:trHeight w:val="599"/>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7456F1"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Descripción de las técnicas y modelos utilizados: </w:t>
            </w:r>
          </w:p>
          <w:p w:rsidR="007456F1" w:rsidRPr="00BE4199" w:rsidRDefault="007456F1"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 xml:space="preserve">nes y el proceso presupuestario, los cuales se encuentran en los Términos de Referencia en la siguiente liga: </w:t>
            </w:r>
            <w:hyperlink r:id="rId171" w:history="1">
              <w:r w:rsidRPr="002F7F93">
                <w:rPr>
                  <w:rStyle w:val="Hipervnculo"/>
                  <w:rFonts w:ascii="Adobe Caslon Pro" w:hAnsi="Adobe Caslon Pro" w:cs="Calibri"/>
                  <w:i/>
                  <w:sz w:val="20"/>
                  <w:szCs w:val="20"/>
                  <w:lang w:eastAsia="es-MX"/>
                </w:rPr>
                <w:t>http://www.jefaturadelagubernatura-evaluacion.oaxaca.gob.mx/index.php/pae-sidepanel/pae-2014</w:t>
              </w:r>
            </w:hyperlink>
          </w:p>
        </w:tc>
      </w:tr>
      <w:tr w:rsidR="007456F1" w:rsidRPr="00BE4199" w:rsidTr="00A56E05">
        <w:trPr>
          <w:trHeight w:val="58"/>
        </w:trPr>
        <w:tc>
          <w:tcPr>
            <w:tcW w:w="999" w:type="dxa"/>
            <w:gridSpan w:val="2"/>
            <w:tcBorders>
              <w:top w:val="single" w:sz="4" w:space="0" w:color="auto"/>
              <w:bottom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w:t>
            </w:r>
          </w:p>
        </w:tc>
        <w:tc>
          <w:tcPr>
            <w:tcW w:w="8437" w:type="dxa"/>
            <w:gridSpan w:val="12"/>
            <w:tcBorders>
              <w:top w:val="single" w:sz="4" w:space="0" w:color="auto"/>
              <w:bottom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61"/>
        </w:trPr>
        <w:tc>
          <w:tcPr>
            <w:tcW w:w="9436" w:type="dxa"/>
            <w:gridSpan w:val="14"/>
            <w:tcBorders>
              <w:top w:val="single" w:sz="4" w:space="0" w:color="auto"/>
              <w:left w:val="single" w:sz="4" w:space="0" w:color="auto"/>
              <w:right w:val="single" w:sz="4" w:space="0" w:color="000000"/>
            </w:tcBorders>
            <w:shd w:val="clear" w:color="auto" w:fill="auto"/>
            <w:noWrap/>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2.1 Describir los hallazgos más relevantes de la evaluación: </w:t>
            </w:r>
          </w:p>
        </w:tc>
      </w:tr>
      <w:tr w:rsidR="007456F1" w:rsidRPr="00BE4199" w:rsidTr="00A56E05">
        <w:trPr>
          <w:trHeight w:val="420"/>
        </w:trPr>
        <w:tc>
          <w:tcPr>
            <w:tcW w:w="9436" w:type="dxa"/>
            <w:gridSpan w:val="14"/>
            <w:vMerge w:val="restart"/>
            <w:tcBorders>
              <w:top w:val="single" w:sz="4" w:space="0" w:color="auto"/>
              <w:left w:val="single" w:sz="4" w:space="0" w:color="auto"/>
              <w:bottom w:val="nil"/>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 Señalar cuáles son las principales Fortalezas, Oportunidades, Debilidades y Amenazas (FODA), de acuerdo con los temas del programa, estrategia o instituciones.</w:t>
            </w:r>
          </w:p>
        </w:tc>
      </w:tr>
      <w:tr w:rsidR="007456F1" w:rsidRPr="00BE4199" w:rsidTr="00A56E05">
        <w:trPr>
          <w:trHeight w:val="340"/>
        </w:trPr>
        <w:tc>
          <w:tcPr>
            <w:tcW w:w="9436" w:type="dxa"/>
            <w:gridSpan w:val="14"/>
            <w:vMerge/>
            <w:tcBorders>
              <w:top w:val="single" w:sz="4" w:space="0" w:color="auto"/>
              <w:left w:val="single" w:sz="4" w:space="0" w:color="auto"/>
              <w:bottom w:val="nil"/>
              <w:right w:val="single" w:sz="4" w:space="0" w:color="000000"/>
            </w:tcBorders>
            <w:vAlign w:val="center"/>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7456F1" w:rsidRPr="00E71100" w:rsidRDefault="007456F1" w:rsidP="00A56E05">
            <w:pPr>
              <w:jc w:val="both"/>
              <w:rPr>
                <w:rFonts w:ascii="Adobe Caslon Pro" w:hAnsi="Adobe Caslon Pro" w:cs="Calibri"/>
                <w:i/>
                <w:color w:val="000000"/>
                <w:sz w:val="20"/>
                <w:szCs w:val="20"/>
                <w:lang w:eastAsia="es-MX"/>
              </w:rPr>
            </w:pPr>
            <w:r w:rsidRPr="00E71100">
              <w:rPr>
                <w:rFonts w:ascii="Adobe Caslon Pro" w:hAnsi="Adobe Caslon Pro" w:cs="Calibri"/>
                <w:i/>
                <w:color w:val="000000"/>
                <w:sz w:val="20"/>
                <w:szCs w:val="20"/>
                <w:lang w:eastAsia="es-MX"/>
              </w:rPr>
              <w:t>2.2.1 Fortalezas:</w:t>
            </w:r>
          </w:p>
          <w:p w:rsidR="007456F1" w:rsidRPr="00C41A47" w:rsidRDefault="007456F1"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DISEÑO</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B022B3">
              <w:rPr>
                <w:rFonts w:ascii="Adobe Caslon Pro" w:hAnsi="Adobe Caslon Pro" w:cs="Calibri"/>
                <w:i/>
                <w:color w:val="000000"/>
                <w:sz w:val="20"/>
                <w:szCs w:val="20"/>
                <w:lang w:eastAsia="es-MX"/>
              </w:rPr>
              <w:t>Se cuenta con una planeación estratégica clara y con orientación a lo establecido</w:t>
            </w:r>
            <w:r>
              <w:rPr>
                <w:rFonts w:ascii="Adobe Caslon Pro" w:hAnsi="Adobe Caslon Pro" w:cs="Calibri"/>
                <w:i/>
                <w:color w:val="000000"/>
                <w:sz w:val="20"/>
                <w:szCs w:val="20"/>
                <w:lang w:eastAsia="es-MX"/>
              </w:rPr>
              <w:t xml:space="preserve"> en la Ley de Coordinación Fiscal (LCF); en ésta se </w:t>
            </w:r>
            <w:r w:rsidRPr="00B022B3">
              <w:rPr>
                <w:rFonts w:ascii="Adobe Caslon Pro" w:hAnsi="Adobe Caslon Pro" w:cs="Calibri"/>
                <w:i/>
                <w:color w:val="000000"/>
                <w:sz w:val="20"/>
                <w:szCs w:val="20"/>
                <w:lang w:eastAsia="es-MX"/>
              </w:rPr>
              <w:t>establecen los objetivos a los que se vinculan los</w:t>
            </w:r>
            <w:r>
              <w:rPr>
                <w:rFonts w:ascii="Adobe Caslon Pro" w:hAnsi="Adobe Caslon Pro" w:cs="Calibri"/>
                <w:i/>
                <w:color w:val="000000"/>
                <w:sz w:val="20"/>
                <w:szCs w:val="20"/>
                <w:lang w:eastAsia="es-MX"/>
              </w:rPr>
              <w:t xml:space="preserve"> </w:t>
            </w:r>
            <w:r w:rsidRPr="00B022B3">
              <w:rPr>
                <w:rFonts w:ascii="Adobe Caslon Pro" w:hAnsi="Adobe Caslon Pro" w:cs="Calibri"/>
                <w:i/>
                <w:color w:val="000000"/>
                <w:sz w:val="20"/>
                <w:szCs w:val="20"/>
                <w:lang w:eastAsia="es-MX"/>
              </w:rPr>
              <w:t>Programas asociados al Fondo.</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B022B3">
              <w:rPr>
                <w:rFonts w:ascii="Adobe Caslon Pro" w:hAnsi="Adobe Caslon Pro" w:cs="Calibri"/>
                <w:i/>
                <w:color w:val="000000"/>
                <w:sz w:val="20"/>
                <w:szCs w:val="20"/>
                <w:lang w:eastAsia="es-MX"/>
              </w:rPr>
              <w:t>La relación que existe entre los Programas que operan con recursos del Fondo</w:t>
            </w:r>
            <w:r>
              <w:rPr>
                <w:rFonts w:ascii="Adobe Caslon Pro" w:hAnsi="Adobe Caslon Pro" w:cs="Calibri"/>
                <w:i/>
                <w:color w:val="000000"/>
                <w:sz w:val="20"/>
                <w:szCs w:val="20"/>
                <w:lang w:eastAsia="es-MX"/>
              </w:rPr>
              <w:t xml:space="preserve"> </w:t>
            </w:r>
            <w:r w:rsidRPr="00B022B3">
              <w:rPr>
                <w:rFonts w:ascii="Adobe Caslon Pro" w:hAnsi="Adobe Caslon Pro" w:cs="Calibri"/>
                <w:i/>
                <w:color w:val="000000"/>
                <w:sz w:val="20"/>
                <w:szCs w:val="20"/>
                <w:lang w:eastAsia="es-MX"/>
              </w:rPr>
              <w:t>es lógica, ya que coadyuva a la solución del problema y a las características</w:t>
            </w:r>
            <w:r>
              <w:rPr>
                <w:rFonts w:ascii="Adobe Caslon Pro" w:hAnsi="Adobe Caslon Pro" w:cs="Calibri"/>
                <w:i/>
                <w:color w:val="000000"/>
                <w:sz w:val="20"/>
                <w:szCs w:val="20"/>
                <w:lang w:eastAsia="es-MX"/>
              </w:rPr>
              <w:t xml:space="preserve"> </w:t>
            </w:r>
            <w:r w:rsidRPr="00B022B3">
              <w:rPr>
                <w:rFonts w:ascii="Adobe Caslon Pro" w:hAnsi="Adobe Caslon Pro" w:cs="Calibri"/>
                <w:i/>
                <w:color w:val="000000"/>
                <w:sz w:val="20"/>
                <w:szCs w:val="20"/>
                <w:lang w:eastAsia="es-MX"/>
              </w:rPr>
              <w:t>y naturaleza que se establecen en la LCF.</w:t>
            </w:r>
          </w:p>
          <w:p w:rsidR="007456F1" w:rsidRPr="00B022B3" w:rsidRDefault="007456F1" w:rsidP="00A56E05">
            <w:pPr>
              <w:ind w:left="720"/>
              <w:jc w:val="both"/>
              <w:rPr>
                <w:rFonts w:ascii="Adobe Caslon Pro" w:hAnsi="Adobe Caslon Pro" w:cs="Calibri"/>
                <w: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2421C4">
              <w:rPr>
                <w:rFonts w:ascii="Adobe Caslon Pro" w:hAnsi="Adobe Caslon Pro" w:cs="Calibri"/>
                <w:i/>
                <w:color w:val="000000"/>
                <w:sz w:val="20"/>
                <w:szCs w:val="20"/>
                <w:lang w:eastAsia="es-MX"/>
              </w:rPr>
              <w:t>En los Planes de los responsables referentes a los Pr</w:t>
            </w:r>
            <w:r>
              <w:rPr>
                <w:rFonts w:ascii="Adobe Caslon Pro" w:hAnsi="Adobe Caslon Pro" w:cs="Calibri"/>
                <w:i/>
                <w:color w:val="000000"/>
                <w:sz w:val="20"/>
                <w:szCs w:val="20"/>
                <w:lang w:eastAsia="es-MX"/>
              </w:rPr>
              <w:t xml:space="preserve">ogramas asociados al </w:t>
            </w:r>
            <w:r w:rsidRPr="002421C4">
              <w:rPr>
                <w:rFonts w:ascii="Adobe Caslon Pro" w:hAnsi="Adobe Caslon Pro" w:cs="Calibri"/>
                <w:i/>
                <w:color w:val="000000"/>
                <w:sz w:val="20"/>
                <w:szCs w:val="20"/>
                <w:lang w:eastAsia="es-MX"/>
              </w:rPr>
              <w:t>Fo</w:t>
            </w:r>
            <w:r>
              <w:rPr>
                <w:rFonts w:ascii="Adobe Caslon Pro" w:hAnsi="Adobe Caslon Pro" w:cs="Calibri"/>
                <w:i/>
                <w:color w:val="000000"/>
                <w:sz w:val="20"/>
                <w:szCs w:val="20"/>
                <w:lang w:eastAsia="es-MX"/>
              </w:rPr>
              <w:t xml:space="preserve">ndo se establecen los objetivos </w:t>
            </w:r>
            <w:r w:rsidRPr="002421C4">
              <w:rPr>
                <w:rFonts w:ascii="Adobe Caslon Pro" w:hAnsi="Adobe Caslon Pro" w:cs="Calibri"/>
                <w:i/>
                <w:color w:val="000000"/>
                <w:sz w:val="20"/>
                <w:szCs w:val="20"/>
                <w:lang w:eastAsia="es-MX"/>
              </w:rPr>
              <w:t>estratégico</w:t>
            </w:r>
            <w:r>
              <w:rPr>
                <w:rFonts w:ascii="Adobe Caslon Pro" w:hAnsi="Adobe Caslon Pro" w:cs="Calibri"/>
                <w:i/>
                <w:color w:val="000000"/>
                <w:sz w:val="20"/>
                <w:szCs w:val="20"/>
                <w:lang w:eastAsia="es-MX"/>
              </w:rPr>
              <w:t xml:space="preserve">s que se quiere alcanzar con la </w:t>
            </w:r>
            <w:r w:rsidRPr="002421C4">
              <w:rPr>
                <w:rFonts w:ascii="Adobe Caslon Pro" w:hAnsi="Adobe Caslon Pro" w:cs="Calibri"/>
                <w:i/>
                <w:color w:val="000000"/>
                <w:sz w:val="20"/>
                <w:szCs w:val="20"/>
                <w:lang w:eastAsia="es-MX"/>
              </w:rPr>
              <w:t>implementación de los mismos.</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2421C4">
              <w:rPr>
                <w:rFonts w:ascii="Adobe Caslon Pro" w:hAnsi="Adobe Caslon Pro" w:cs="Calibri"/>
                <w:i/>
                <w:color w:val="000000"/>
                <w:sz w:val="20"/>
                <w:szCs w:val="20"/>
                <w:lang w:eastAsia="es-MX"/>
              </w:rPr>
              <w:t>Se cuenta con una estructura organizacional para poder entregar los bienes</w:t>
            </w:r>
            <w:r>
              <w:rPr>
                <w:rFonts w:ascii="Adobe Caslon Pro" w:hAnsi="Adobe Caslon Pro" w:cs="Calibri"/>
                <w:i/>
                <w:color w:val="000000"/>
                <w:sz w:val="20"/>
                <w:szCs w:val="20"/>
                <w:lang w:eastAsia="es-MX"/>
              </w:rPr>
              <w:t xml:space="preserve"> </w:t>
            </w:r>
            <w:r w:rsidRPr="002421C4">
              <w:rPr>
                <w:rFonts w:ascii="Adobe Caslon Pro" w:hAnsi="Adobe Caslon Pro" w:cs="Calibri"/>
                <w:i/>
                <w:color w:val="000000"/>
                <w:sz w:val="20"/>
                <w:szCs w:val="20"/>
                <w:lang w:eastAsia="es-MX"/>
              </w:rPr>
              <w:t>y servicios de los Programas asociados al Fondo.</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2421C4">
              <w:rPr>
                <w:rFonts w:ascii="Adobe Caslon Pro" w:hAnsi="Adobe Caslon Pro" w:cs="Calibri"/>
                <w:i/>
                <w:color w:val="000000"/>
                <w:sz w:val="20"/>
                <w:szCs w:val="20"/>
                <w:lang w:eastAsia="es-MX"/>
              </w:rPr>
              <w:t>Se Identifican metas e indicadores de la MIR Federal y de los tres programas</w:t>
            </w:r>
            <w:r>
              <w:rPr>
                <w:rFonts w:ascii="Adobe Caslon Pro" w:hAnsi="Adobe Caslon Pro" w:cs="Calibri"/>
                <w:i/>
                <w:color w:val="000000"/>
                <w:sz w:val="20"/>
                <w:szCs w:val="20"/>
                <w:lang w:eastAsia="es-MX"/>
              </w:rPr>
              <w:t xml:space="preserve"> </w:t>
            </w:r>
            <w:r w:rsidRPr="002421C4">
              <w:rPr>
                <w:rFonts w:ascii="Adobe Caslon Pro" w:hAnsi="Adobe Caslon Pro" w:cs="Calibri"/>
                <w:i/>
                <w:color w:val="000000"/>
                <w:sz w:val="20"/>
                <w:szCs w:val="20"/>
                <w:lang w:eastAsia="es-MX"/>
              </w:rPr>
              <w:t>asociados al Fondo.</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2421C4">
              <w:rPr>
                <w:rFonts w:ascii="Adobe Caslon Pro" w:hAnsi="Adobe Caslon Pro" w:cs="Calibri"/>
                <w:i/>
                <w:color w:val="000000"/>
                <w:sz w:val="20"/>
                <w:szCs w:val="20"/>
                <w:lang w:eastAsia="es-MX"/>
              </w:rPr>
              <w:t>Se recolecta información en el Sistema de Formato Único (SFU) mediante el</w:t>
            </w:r>
            <w:r>
              <w:rPr>
                <w:rFonts w:ascii="Adobe Caslon Pro" w:hAnsi="Adobe Caslon Pro" w:cs="Calibri"/>
                <w:i/>
                <w:color w:val="000000"/>
                <w:sz w:val="20"/>
                <w:szCs w:val="20"/>
                <w:lang w:eastAsia="es-MX"/>
              </w:rPr>
              <w:t xml:space="preserve"> </w:t>
            </w:r>
            <w:r w:rsidRPr="002421C4">
              <w:rPr>
                <w:rFonts w:ascii="Adobe Caslon Pro" w:hAnsi="Adobe Caslon Pro" w:cs="Calibri"/>
                <w:i/>
                <w:color w:val="000000"/>
                <w:sz w:val="20"/>
                <w:szCs w:val="20"/>
                <w:lang w:eastAsia="es-MX"/>
              </w:rPr>
              <w:t>Portal Aplicativo de la Secretaría de Hacienda (PASH), así como información financiera.</w:t>
            </w:r>
          </w:p>
          <w:p w:rsidR="007456F1" w:rsidRPr="002421C4" w:rsidRDefault="007456F1" w:rsidP="00A56E05">
            <w:pPr>
              <w:ind w:left="720"/>
              <w:jc w:val="both"/>
              <w:rPr>
                <w:rFonts w:ascii="Adobe Caslon Pro" w:hAnsi="Adobe Caslon Pro" w:cs="Calibri"/>
                <w: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w:t>
            </w:r>
            <w:r w:rsidRPr="00C41A47">
              <w:rPr>
                <w:rFonts w:ascii="Adobe Caslon Pro" w:hAnsi="Adobe Caslon Pro" w:cs="Calibri"/>
                <w:i/>
                <w:color w:val="000000"/>
                <w:sz w:val="20"/>
                <w:szCs w:val="20"/>
                <w:lang w:eastAsia="es-MX"/>
              </w:rPr>
              <w:t>OBERTURA Y FOCALIZACIÓN</w:t>
            </w:r>
          </w:p>
          <w:p w:rsidR="007456F1" w:rsidRDefault="007456F1" w:rsidP="00F075EB">
            <w:pPr>
              <w:numPr>
                <w:ilvl w:val="0"/>
                <w:numId w:val="12"/>
              </w:numPr>
              <w:jc w:val="both"/>
              <w:rPr>
                <w:rFonts w:ascii="Adobe Caslon Pro" w:hAnsi="Adobe Caslon Pro" w:cs="Calibri"/>
                <w:i/>
                <w:color w:val="000000"/>
                <w:sz w:val="20"/>
                <w:szCs w:val="20"/>
                <w:lang w:eastAsia="es-MX"/>
              </w:rPr>
            </w:pPr>
            <w:r w:rsidRPr="00CC6E1C">
              <w:rPr>
                <w:rFonts w:ascii="Adobe Caslon Pro" w:hAnsi="Adobe Caslon Pro" w:cs="Calibri"/>
                <w:i/>
                <w:color w:val="000000"/>
                <w:sz w:val="20"/>
                <w:szCs w:val="20"/>
                <w:lang w:eastAsia="es-MX"/>
              </w:rPr>
              <w:t xml:space="preserve">La población potencial y objetivo se definen </w:t>
            </w:r>
            <w:r>
              <w:rPr>
                <w:rFonts w:ascii="Adobe Caslon Pro" w:hAnsi="Adobe Caslon Pro" w:cs="Calibri"/>
                <w:i/>
                <w:color w:val="000000"/>
                <w:sz w:val="20"/>
                <w:szCs w:val="20"/>
                <w:lang w:eastAsia="es-MX"/>
              </w:rPr>
              <w:t xml:space="preserve">de manera clara, caracterizando por nivel socio-económico, </w:t>
            </w:r>
            <w:r w:rsidRPr="00CC6E1C">
              <w:rPr>
                <w:rFonts w:ascii="Adobe Caslon Pro" w:hAnsi="Adobe Caslon Pro" w:cs="Calibri"/>
                <w:i/>
                <w:color w:val="000000"/>
                <w:sz w:val="20"/>
                <w:szCs w:val="20"/>
                <w:lang w:eastAsia="es-MX"/>
              </w:rPr>
              <w:t>rangos de edad, sex</w:t>
            </w:r>
            <w:r>
              <w:rPr>
                <w:rFonts w:ascii="Adobe Caslon Pro" w:hAnsi="Adobe Caslon Pro" w:cs="Calibri"/>
                <w:i/>
                <w:color w:val="000000"/>
                <w:sz w:val="20"/>
                <w:szCs w:val="20"/>
                <w:lang w:eastAsia="es-MX"/>
              </w:rPr>
              <w:t xml:space="preserve">o, quintil de ingresos, etc. Lo anterior conforme a las </w:t>
            </w:r>
            <w:r w:rsidRPr="00CC6E1C">
              <w:rPr>
                <w:rFonts w:ascii="Adobe Caslon Pro" w:hAnsi="Adobe Caslon Pro" w:cs="Calibri"/>
                <w:i/>
                <w:color w:val="000000"/>
                <w:sz w:val="20"/>
                <w:szCs w:val="20"/>
                <w:lang w:eastAsia="es-MX"/>
              </w:rPr>
              <w:t>características de la LCF.</w:t>
            </w:r>
          </w:p>
          <w:p w:rsidR="007456F1" w:rsidRPr="00BE4199" w:rsidRDefault="007456F1" w:rsidP="00A56E05">
            <w:pPr>
              <w:ind w:left="946"/>
              <w:jc w:val="both"/>
              <w:rPr>
                <w:rFonts w:ascii="Adobe Caslon Pro" w:hAnsi="Adobe Caslon Pro" w:cs="Calibri"/>
                <w: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OPERACIÓN</w:t>
            </w:r>
          </w:p>
          <w:p w:rsidR="007456F1" w:rsidRPr="00E71100" w:rsidRDefault="007456F1" w:rsidP="00F075EB">
            <w:pPr>
              <w:numPr>
                <w:ilvl w:val="0"/>
                <w:numId w:val="12"/>
              </w:numPr>
              <w:autoSpaceDE w:val="0"/>
              <w:autoSpaceDN w:val="0"/>
              <w:adjustRightInd w:val="0"/>
              <w:jc w:val="both"/>
              <w:rPr>
                <w:rFonts w:ascii="Adobe Caslon Pro" w:hAnsi="Adobe Caslon Pro" w:cs="Calibri"/>
                <w:i/>
                <w:color w:val="000000"/>
                <w:sz w:val="20"/>
                <w:szCs w:val="20"/>
                <w:lang w:eastAsia="es-MX"/>
              </w:rPr>
            </w:pPr>
            <w:r w:rsidRPr="00C90E3F">
              <w:rPr>
                <w:rFonts w:ascii="Adobe Caslon Pro" w:hAnsi="Adobe Caslon Pro" w:cs="Calibri"/>
                <w:i/>
                <w:color w:val="000000"/>
                <w:sz w:val="20"/>
                <w:szCs w:val="20"/>
                <w:lang w:eastAsia="es-MX"/>
              </w:rPr>
              <w:t>La selección de los beneficiarios se basa en la n</w:t>
            </w:r>
            <w:r>
              <w:rPr>
                <w:rFonts w:ascii="Adobe Caslon Pro" w:hAnsi="Adobe Caslon Pro" w:cs="Calibri"/>
                <w:i/>
                <w:color w:val="000000"/>
                <w:sz w:val="20"/>
                <w:szCs w:val="20"/>
                <w:lang w:eastAsia="es-MX"/>
              </w:rPr>
              <w:t xml:space="preserve">ormatividad aplicable, conforme </w:t>
            </w:r>
            <w:r w:rsidRPr="00C90E3F">
              <w:rPr>
                <w:rFonts w:ascii="Adobe Caslon Pro" w:hAnsi="Adobe Caslon Pro" w:cs="Calibri"/>
                <w:i/>
                <w:color w:val="000000"/>
                <w:sz w:val="20"/>
                <w:szCs w:val="20"/>
                <w:lang w:eastAsia="es-MX"/>
              </w:rPr>
              <w:t>a las características y naturaleza del FASSA.</w:t>
            </w:r>
          </w:p>
          <w:p w:rsidR="007456F1" w:rsidRPr="00F235FF" w:rsidRDefault="007456F1" w:rsidP="00A56E05">
            <w:pPr>
              <w:jc w:val="both"/>
              <w:rPr>
                <w:rFonts w:ascii="Adobe Caslon Pro" w:hAnsi="Adobe Caslon Pro" w:cs="Calibri"/>
                <w:i/>
                <w:color w:val="000000"/>
                <w:sz w:val="20"/>
                <w:szCs w:val="20"/>
                <w:lang w:eastAsia="es-MX"/>
              </w:rPr>
            </w:pPr>
          </w:p>
          <w:p w:rsidR="007456F1" w:rsidRPr="00C41A47" w:rsidRDefault="007456F1" w:rsidP="00A56E05">
            <w:pPr>
              <w:spacing w:line="360" w:lineRule="auto"/>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RESULTADOS</w:t>
            </w:r>
          </w:p>
          <w:p w:rsidR="007456F1" w:rsidRDefault="007456F1" w:rsidP="00F075EB">
            <w:pPr>
              <w:numPr>
                <w:ilvl w:val="0"/>
                <w:numId w:val="12"/>
              </w:numPr>
              <w:autoSpaceDE w:val="0"/>
              <w:autoSpaceDN w:val="0"/>
              <w:adjustRightInd w:val="0"/>
              <w:jc w:val="both"/>
              <w:rPr>
                <w:rFonts w:ascii="Adobe Caslon Pro" w:hAnsi="Adobe Caslon Pro" w:cs="Calibri"/>
                <w:i/>
                <w:color w:val="000000"/>
                <w:sz w:val="20"/>
                <w:szCs w:val="20"/>
                <w:lang w:eastAsia="es-MX"/>
              </w:rPr>
            </w:pPr>
            <w:r w:rsidRPr="00ED0767">
              <w:rPr>
                <w:rFonts w:ascii="Adobe Caslon Pro" w:hAnsi="Adobe Caslon Pro" w:cs="Calibri"/>
                <w:i/>
                <w:color w:val="000000"/>
                <w:sz w:val="20"/>
                <w:szCs w:val="20"/>
                <w:lang w:eastAsia="es-MX"/>
              </w:rPr>
              <w:t>Se cuenta con sistemas de rendición de cuenta</w:t>
            </w:r>
            <w:r>
              <w:rPr>
                <w:rFonts w:ascii="Adobe Caslon Pro" w:hAnsi="Adobe Caslon Pro" w:cs="Calibri"/>
                <w:i/>
                <w:color w:val="000000"/>
                <w:sz w:val="20"/>
                <w:szCs w:val="20"/>
                <w:lang w:eastAsia="es-MX"/>
              </w:rPr>
              <w:t xml:space="preserve">s y transparencia referentes al </w:t>
            </w:r>
            <w:r w:rsidRPr="00ED0767">
              <w:rPr>
                <w:rFonts w:ascii="Adobe Caslon Pro" w:hAnsi="Adobe Caslon Pro" w:cs="Calibri"/>
                <w:i/>
                <w:color w:val="000000"/>
                <w:sz w:val="20"/>
                <w:szCs w:val="20"/>
                <w:lang w:eastAsia="es-MX"/>
              </w:rPr>
              <w:t xml:space="preserve">Fondo y a los Programas que emanen del </w:t>
            </w:r>
            <w:r>
              <w:rPr>
                <w:rFonts w:ascii="Adobe Caslon Pro" w:hAnsi="Adobe Caslon Pro" w:cs="Calibri"/>
                <w:i/>
                <w:color w:val="000000"/>
                <w:sz w:val="20"/>
                <w:szCs w:val="20"/>
                <w:lang w:eastAsia="es-MX"/>
              </w:rPr>
              <w:t xml:space="preserve">mismo, así como la presentación </w:t>
            </w:r>
            <w:r w:rsidRPr="00ED0767">
              <w:rPr>
                <w:rFonts w:ascii="Adobe Caslon Pro" w:hAnsi="Adobe Caslon Pro" w:cs="Calibri"/>
                <w:i/>
                <w:color w:val="000000"/>
                <w:sz w:val="20"/>
                <w:szCs w:val="20"/>
                <w:lang w:eastAsia="es-MX"/>
              </w:rPr>
              <w:t>de la información en la página oficial del estado.</w:t>
            </w:r>
          </w:p>
          <w:p w:rsidR="007456F1" w:rsidRDefault="007456F1" w:rsidP="00F075EB">
            <w:pPr>
              <w:numPr>
                <w:ilvl w:val="0"/>
                <w:numId w:val="12"/>
              </w:numPr>
              <w:autoSpaceDE w:val="0"/>
              <w:autoSpaceDN w:val="0"/>
              <w:adjustRightInd w:val="0"/>
              <w:jc w:val="both"/>
              <w:rPr>
                <w:rFonts w:ascii="Adobe Caslon Pro" w:hAnsi="Adobe Caslon Pro" w:cs="Calibri"/>
                <w:i/>
                <w:color w:val="000000"/>
                <w:sz w:val="20"/>
                <w:szCs w:val="20"/>
                <w:lang w:eastAsia="es-MX"/>
              </w:rPr>
            </w:pPr>
            <w:r w:rsidRPr="00ED0767">
              <w:rPr>
                <w:rFonts w:ascii="Adobe Caslon Pro" w:hAnsi="Adobe Caslon Pro" w:cs="Calibri"/>
                <w:i/>
                <w:color w:val="000000"/>
                <w:sz w:val="20"/>
                <w:szCs w:val="20"/>
                <w:lang w:eastAsia="es-MX"/>
              </w:rPr>
              <w:t>Se cuenta con el seguimiento de lo</w:t>
            </w:r>
            <w:r>
              <w:rPr>
                <w:rFonts w:ascii="Adobe Caslon Pro" w:hAnsi="Adobe Caslon Pro" w:cs="Calibri"/>
                <w:i/>
                <w:color w:val="000000"/>
                <w:sz w:val="20"/>
                <w:szCs w:val="20"/>
                <w:lang w:eastAsia="es-MX"/>
              </w:rPr>
              <w:t>s indicadores para tres de los P</w:t>
            </w:r>
            <w:r w:rsidRPr="00ED0767">
              <w:rPr>
                <w:rFonts w:ascii="Adobe Caslon Pro" w:hAnsi="Adobe Caslon Pro" w:cs="Calibri"/>
                <w:i/>
                <w:color w:val="000000"/>
                <w:sz w:val="20"/>
                <w:szCs w:val="20"/>
                <w:lang w:eastAsia="es-MX"/>
              </w:rPr>
              <w:t>rogramas</w:t>
            </w:r>
            <w:r>
              <w:rPr>
                <w:rFonts w:ascii="Adobe Caslon Pro" w:hAnsi="Adobe Caslon Pro" w:cs="Calibri"/>
                <w:i/>
                <w:color w:val="000000"/>
                <w:sz w:val="20"/>
                <w:szCs w:val="20"/>
                <w:lang w:eastAsia="es-MX"/>
              </w:rPr>
              <w:t xml:space="preserve"> </w:t>
            </w:r>
            <w:r w:rsidRPr="00ED0767">
              <w:rPr>
                <w:rFonts w:ascii="Adobe Caslon Pro" w:hAnsi="Adobe Caslon Pro" w:cs="Calibri"/>
                <w:i/>
                <w:color w:val="000000"/>
                <w:sz w:val="20"/>
                <w:szCs w:val="20"/>
                <w:lang w:eastAsia="es-MX"/>
              </w:rPr>
              <w:t>asociados al Fondo.</w:t>
            </w:r>
          </w:p>
          <w:p w:rsidR="007456F1" w:rsidRPr="00751EC4" w:rsidRDefault="007456F1" w:rsidP="00A56E05">
            <w:pPr>
              <w:spacing w:line="360" w:lineRule="auto"/>
              <w:ind w:left="720"/>
              <w:jc w:val="both"/>
              <w:rPr>
                <w:rFonts w:ascii="Adobe Caslon Pro" w:hAnsi="Adobe Caslon Pro" w:cs="Calibri"/>
                <w: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 DE LOS RECURSOS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0D1234">
              <w:rPr>
                <w:rFonts w:ascii="Adobe Caslon Pro" w:hAnsi="Adobe Caslon Pro" w:cs="Calibri"/>
                <w:i/>
                <w:color w:val="000000"/>
                <w:sz w:val="20"/>
                <w:szCs w:val="20"/>
                <w:lang w:eastAsia="es-MX"/>
              </w:rPr>
              <w:t>Se cuenta con una Planeación Estratégica que permite la ejecución de los</w:t>
            </w:r>
            <w:r>
              <w:rPr>
                <w:rFonts w:ascii="Adobe Caslon Pro" w:hAnsi="Adobe Caslon Pro" w:cs="Calibri"/>
                <w:i/>
                <w:color w:val="000000"/>
                <w:sz w:val="20"/>
                <w:szCs w:val="20"/>
                <w:lang w:eastAsia="es-MX"/>
              </w:rPr>
              <w:t xml:space="preserve"> </w:t>
            </w:r>
            <w:r w:rsidRPr="000D1234">
              <w:rPr>
                <w:rFonts w:ascii="Adobe Caslon Pro" w:hAnsi="Adobe Caslon Pro" w:cs="Calibri"/>
                <w:i/>
                <w:color w:val="000000"/>
                <w:sz w:val="20"/>
                <w:szCs w:val="20"/>
                <w:lang w:eastAsia="es-MX"/>
              </w:rPr>
              <w:t>procesos y de los recursos de manera adecuada.</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0D1234">
              <w:rPr>
                <w:rFonts w:ascii="Adobe Caslon Pro" w:hAnsi="Adobe Caslon Pro" w:cs="Calibri"/>
                <w:i/>
                <w:color w:val="000000"/>
                <w:sz w:val="20"/>
                <w:szCs w:val="20"/>
                <w:lang w:eastAsia="es-MX"/>
              </w:rPr>
              <w:lastRenderedPageBreak/>
              <w:t>Se tiene conocimiento de la normatividad aplicable y se realizan las prácticas</w:t>
            </w:r>
            <w:r>
              <w:rPr>
                <w:rFonts w:ascii="Adobe Caslon Pro" w:hAnsi="Adobe Caslon Pro" w:cs="Calibri"/>
                <w:i/>
                <w:color w:val="000000"/>
                <w:sz w:val="20"/>
                <w:szCs w:val="20"/>
                <w:lang w:eastAsia="es-MX"/>
              </w:rPr>
              <w:t xml:space="preserve"> </w:t>
            </w:r>
            <w:r w:rsidRPr="000D1234">
              <w:rPr>
                <w:rFonts w:ascii="Adobe Caslon Pro" w:hAnsi="Adobe Caslon Pro" w:cs="Calibri"/>
                <w:i/>
                <w:color w:val="000000"/>
                <w:sz w:val="20"/>
                <w:szCs w:val="20"/>
                <w:lang w:eastAsia="es-MX"/>
              </w:rPr>
              <w:t>establecidas en dichas normas sobre la recepción, el destino y ejercicio de los</w:t>
            </w:r>
            <w:r>
              <w:rPr>
                <w:rFonts w:ascii="Adobe Caslon Pro" w:hAnsi="Adobe Caslon Pro" w:cs="Calibri"/>
                <w:i/>
                <w:color w:val="000000"/>
                <w:sz w:val="20"/>
                <w:szCs w:val="20"/>
                <w:lang w:eastAsia="es-MX"/>
              </w:rPr>
              <w:t xml:space="preserve"> </w:t>
            </w:r>
            <w:r w:rsidRPr="000D1234">
              <w:rPr>
                <w:rFonts w:ascii="Adobe Caslon Pro" w:hAnsi="Adobe Caslon Pro" w:cs="Calibri"/>
                <w:i/>
                <w:color w:val="000000"/>
                <w:sz w:val="20"/>
                <w:szCs w:val="20"/>
                <w:lang w:eastAsia="es-MX"/>
              </w:rPr>
              <w:t>recursos.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51EC4">
              <w:rPr>
                <w:rFonts w:ascii="Adobe Caslon Pro" w:hAnsi="Adobe Caslon Pro" w:cs="Calibri"/>
                <w:i/>
                <w:color w:val="000000"/>
                <w:sz w:val="20"/>
                <w:szCs w:val="20"/>
                <w:lang w:eastAsia="es-MX"/>
              </w:rPr>
              <w:t>No se encontró evidencia de un subejercicio, ya que el recurso destinado al</w:t>
            </w:r>
            <w:r>
              <w:rPr>
                <w:rFonts w:ascii="Adobe Caslon Pro" w:hAnsi="Adobe Caslon Pro" w:cs="Calibri"/>
                <w:i/>
                <w:color w:val="000000"/>
                <w:sz w:val="20"/>
                <w:szCs w:val="20"/>
                <w:lang w:eastAsia="es-MX"/>
              </w:rPr>
              <w:t xml:space="preserve"> </w:t>
            </w:r>
            <w:r w:rsidRPr="00751EC4">
              <w:rPr>
                <w:rFonts w:ascii="Adobe Caslon Pro" w:hAnsi="Adobe Caslon Pro" w:cs="Calibri"/>
                <w:i/>
                <w:color w:val="000000"/>
                <w:sz w:val="20"/>
                <w:szCs w:val="20"/>
                <w:lang w:eastAsia="es-MX"/>
              </w:rPr>
              <w:t>FASSA para el ejercicio fiscal 2013 se ejerció en su totalidad.</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51EC4">
              <w:rPr>
                <w:rFonts w:ascii="Adobe Caslon Pro" w:hAnsi="Adobe Caslon Pro" w:cs="Calibri"/>
                <w:i/>
                <w:color w:val="000000"/>
                <w:sz w:val="20"/>
                <w:szCs w:val="20"/>
                <w:lang w:eastAsia="es-MX"/>
              </w:rPr>
              <w:t>Referente a los programas asociados al Fondo, se establecen los elementos</w:t>
            </w:r>
            <w:r>
              <w:rPr>
                <w:rFonts w:ascii="Adobe Caslon Pro" w:hAnsi="Adobe Caslon Pro" w:cs="Calibri"/>
                <w:i/>
                <w:color w:val="000000"/>
                <w:sz w:val="20"/>
                <w:szCs w:val="20"/>
                <w:lang w:eastAsia="es-MX"/>
              </w:rPr>
              <w:t xml:space="preserve"> </w:t>
            </w:r>
            <w:r w:rsidRPr="00751EC4">
              <w:rPr>
                <w:rFonts w:ascii="Adobe Caslon Pro" w:hAnsi="Adobe Caslon Pro" w:cs="Calibri"/>
                <w:i/>
                <w:color w:val="000000"/>
                <w:sz w:val="20"/>
                <w:szCs w:val="20"/>
                <w:lang w:eastAsia="es-MX"/>
              </w:rPr>
              <w:t>para saber el grado de cumplimiento de las acciones de los programas.</w:t>
            </w:r>
          </w:p>
          <w:p w:rsidR="007456F1" w:rsidRPr="00751EC4"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7456F1" w:rsidRDefault="007456F1" w:rsidP="00A56E05">
            <w:pPr>
              <w:rPr>
                <w:rFonts w:ascii="Adobe Caslon Pro" w:hAnsi="Adobe Caslon Pro" w:cs="Calibri"/>
                <w:color w:val="000000"/>
                <w:sz w:val="20"/>
                <w:szCs w:val="20"/>
                <w:lang w:eastAsia="es-MX"/>
              </w:rPr>
            </w:pPr>
            <w:r w:rsidRPr="007D66F1">
              <w:rPr>
                <w:rFonts w:ascii="Adobe Caslon Pro" w:hAnsi="Adobe Caslon Pro" w:cs="Calibri"/>
                <w:color w:val="000000"/>
                <w:sz w:val="20"/>
                <w:szCs w:val="20"/>
                <w:lang w:eastAsia="es-MX"/>
              </w:rPr>
              <w:t>2.2.3 Debilidades:</w:t>
            </w:r>
          </w:p>
          <w:p w:rsidR="007456F1" w:rsidRPr="00BE4199" w:rsidRDefault="007456F1" w:rsidP="00A56E05">
            <w:pPr>
              <w:rPr>
                <w:rFonts w:ascii="Adobe Caslon Pro" w:hAnsi="Adobe Caslon Pro" w:cs="Calibr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w:t>
            </w:r>
            <w:r w:rsidRPr="000D3BE9">
              <w:rPr>
                <w:rFonts w:ascii="Adobe Caslon Pro" w:hAnsi="Adobe Caslon Pro" w:cs="Calibri"/>
                <w:i/>
                <w:color w:val="000000"/>
                <w:sz w:val="20"/>
                <w:szCs w:val="20"/>
                <w:lang w:eastAsia="es-MX"/>
              </w:rPr>
              <w:t>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La definición del Fin y del Propósito en la Matriz de Indicadores para Resultados Federal</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D66F1">
              <w:rPr>
                <w:rFonts w:ascii="Adobe Caslon Pro" w:hAnsi="Adobe Caslon Pro" w:cs="Calibri"/>
                <w:i/>
                <w:color w:val="000000"/>
                <w:sz w:val="20"/>
                <w:szCs w:val="20"/>
                <w:lang w:eastAsia="es-MX"/>
              </w:rPr>
              <w:t>El problema se define conforme a las características que se muestran en la</w:t>
            </w:r>
            <w:r>
              <w:rPr>
                <w:rFonts w:ascii="Adobe Caslon Pro" w:hAnsi="Adobe Caslon Pro" w:cs="Calibri"/>
                <w:i/>
                <w:color w:val="000000"/>
                <w:sz w:val="20"/>
                <w:szCs w:val="20"/>
                <w:lang w:eastAsia="es-MX"/>
              </w:rPr>
              <w:t xml:space="preserve"> </w:t>
            </w:r>
            <w:r w:rsidRPr="007D66F1">
              <w:rPr>
                <w:rFonts w:ascii="Adobe Caslon Pro" w:hAnsi="Adobe Caslon Pro" w:cs="Calibri"/>
                <w:i/>
                <w:color w:val="000000"/>
                <w:sz w:val="20"/>
                <w:szCs w:val="20"/>
                <w:lang w:eastAsia="es-MX"/>
              </w:rPr>
              <w:t>LCF, sin embargo, éste no se detecta en las Matrices de Indicadores para Resultados de los Programas asociados al Fondo</w:t>
            </w:r>
            <w:r>
              <w:rPr>
                <w:rFonts w:ascii="Adobe Caslon Pro" w:hAnsi="Adobe Caslon Pro" w:cs="Calibri"/>
                <w:i/>
                <w:color w:val="000000"/>
                <w:sz w:val="20"/>
                <w:szCs w:val="20"/>
                <w:lang w:eastAsia="es-MX"/>
              </w:rPr>
              <w:t>.</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cuenta con indicadores que midan el desempeño de los Programas</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 xml:space="preserve">asociados al Fondo en los ámbitos de desempeño (Fin, Propósito, Componente y Actividad); por otro lado, la cuestión de validación de los indicadores con las características de Claridad, relevancia, </w:t>
            </w:r>
            <w:proofErr w:type="spellStart"/>
            <w:r w:rsidRPr="00DE4A57">
              <w:rPr>
                <w:rFonts w:ascii="Adobe Caslon Pro" w:hAnsi="Adobe Caslon Pro" w:cs="Calibri"/>
                <w:i/>
                <w:color w:val="000000"/>
                <w:sz w:val="20"/>
                <w:szCs w:val="20"/>
                <w:lang w:eastAsia="es-MX"/>
              </w:rPr>
              <w:t>monitoreables</w:t>
            </w:r>
            <w:proofErr w:type="spellEnd"/>
            <w:r w:rsidRPr="00DE4A57">
              <w:rPr>
                <w:rFonts w:ascii="Adobe Caslon Pro" w:hAnsi="Adobe Caslon Pro" w:cs="Calibri"/>
                <w:i/>
                <w:color w:val="000000"/>
                <w:sz w:val="20"/>
                <w:szCs w:val="20"/>
                <w:lang w:eastAsia="es-MX"/>
              </w:rPr>
              <w:t xml:space="preserve"> y adecuados, no se establece conforme lo menciona la Metodología del Marco Lógico.</w:t>
            </w:r>
            <w:r>
              <w:rPr>
                <w:rFonts w:ascii="Adobe Caslon Pro" w:hAnsi="Adobe Caslon Pro" w:cs="Calibri"/>
                <w:i/>
                <w:color w:val="000000"/>
                <w:sz w:val="20"/>
                <w:szCs w:val="20"/>
                <w:lang w:eastAsia="es-MX"/>
              </w:rPr>
              <w:t xml:space="preserve"> </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determinó línea base o un valor de referencia de comparación; por otro</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lado tampoco se definen las temporalidades.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identifican los medios de verificación y fuentes de información para</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alimentar a los indicadores.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identifican los supuestos de los Programas asociados al Fondo.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cuenta con mecanismos para el diseño y definición de metas de los</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Programas asociados al Fondo.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cuenta con herramientas que permitan recolectar información para</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monitorear el desempeño de los Programas asociados al Fondo.</w:t>
            </w:r>
          </w:p>
          <w:p w:rsidR="007456F1" w:rsidRDefault="007456F1" w:rsidP="00A56E05">
            <w:pPr>
              <w:autoSpaceDE w:val="0"/>
              <w:autoSpaceDN w:val="0"/>
              <w:adjustRightInd w:val="0"/>
              <w:ind w:left="720"/>
              <w:jc w:val="both"/>
              <w:rPr>
                <w:rFonts w:ascii="Adobe Caslon Pro" w:hAnsi="Adobe Caslon Pro" w:cs="Calibri"/>
                <w:i/>
                <w:color w:val="000000"/>
                <w:sz w:val="20"/>
                <w:szCs w:val="20"/>
                <w:lang w:eastAsia="es-MX"/>
              </w:rPr>
            </w:pPr>
          </w:p>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7456F1" w:rsidRDefault="007456F1" w:rsidP="00F075EB">
            <w:pPr>
              <w:numPr>
                <w:ilvl w:val="0"/>
                <w:numId w:val="100"/>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De acuerdo con la información disponible no se puede determinar la existencia</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de una colaboración coordinación con los Programas Estatales o Federales, así como prácticas de administración financiera.</w:t>
            </w:r>
          </w:p>
          <w:p w:rsidR="007456F1" w:rsidRDefault="007456F1" w:rsidP="00A56E05">
            <w:pPr>
              <w:autoSpaceDE w:val="0"/>
              <w:autoSpaceDN w:val="0"/>
              <w:adjustRightInd w:val="0"/>
              <w:ind w:left="720"/>
              <w:jc w:val="both"/>
              <w:rPr>
                <w:rFonts w:ascii="Adobe Caslon Pro" w:hAnsi="Adobe Caslon Pro" w:cs="Calibri"/>
                <w:i/>
                <w:color w:val="000000"/>
                <w:sz w:val="20"/>
                <w:szCs w:val="20"/>
                <w:lang w:eastAsia="es-MX"/>
              </w:rPr>
            </w:pPr>
          </w:p>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COBERTURA Y FOCALIZACIÓN</w:t>
            </w:r>
          </w:p>
          <w:p w:rsidR="007456F1" w:rsidRDefault="007456F1" w:rsidP="00F075EB">
            <w:pPr>
              <w:numPr>
                <w:ilvl w:val="0"/>
                <w:numId w:val="100"/>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N</w:t>
            </w:r>
            <w:r w:rsidRPr="00DE4A57">
              <w:rPr>
                <w:rFonts w:ascii="Adobe Caslon Pro" w:hAnsi="Adobe Caslon Pro" w:cs="Calibri"/>
                <w:i/>
                <w:color w:val="000000"/>
                <w:sz w:val="20"/>
                <w:szCs w:val="20"/>
                <w:lang w:eastAsia="es-MX"/>
              </w:rPr>
              <w:t>o se encontró evidencia documental y virtual del método</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que utilizan para depurar la información para su actualización.</w:t>
            </w:r>
          </w:p>
          <w:p w:rsidR="007456F1" w:rsidRPr="00DE4A57" w:rsidRDefault="007456F1" w:rsidP="00A56E05">
            <w:pPr>
              <w:autoSpaceDE w:val="0"/>
              <w:autoSpaceDN w:val="0"/>
              <w:adjustRightInd w:val="0"/>
              <w:ind w:left="720"/>
              <w:jc w:val="both"/>
              <w:rPr>
                <w:rFonts w:ascii="Adobe Caslon Pro" w:hAnsi="Adobe Caslon Pro" w:cs="Calibri"/>
                <w: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sidRPr="000D3BE9">
              <w:rPr>
                <w:rFonts w:ascii="Adobe Caslon Pro" w:hAnsi="Adobe Caslon Pro" w:cs="Calibri"/>
                <w:i/>
                <w:color w:val="000000"/>
                <w:sz w:val="20"/>
                <w:szCs w:val="20"/>
                <w:lang w:eastAsia="es-MX"/>
              </w:rPr>
              <w:t>OPERACIÓN</w:t>
            </w:r>
          </w:p>
          <w:p w:rsidR="007456F1" w:rsidRDefault="007456F1" w:rsidP="00F075EB">
            <w:pPr>
              <w:numPr>
                <w:ilvl w:val="0"/>
                <w:numId w:val="100"/>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Los Programas asociados al Fondo no cuentan con metas ni plazos para sus</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indicadores de desempeño.</w:t>
            </w:r>
          </w:p>
          <w:p w:rsidR="007456F1" w:rsidRDefault="007456F1" w:rsidP="00F075EB">
            <w:pPr>
              <w:numPr>
                <w:ilvl w:val="0"/>
                <w:numId w:val="100"/>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cuenta con línea base en los indicadores de los Programas asociados al</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Fondo.</w:t>
            </w:r>
          </w:p>
          <w:p w:rsidR="007456F1" w:rsidRDefault="007456F1" w:rsidP="00F075EB">
            <w:pPr>
              <w:numPr>
                <w:ilvl w:val="0"/>
                <w:numId w:val="100"/>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cuenta con evidencia de los avances de cada indicador de los Programas</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asociados al Fondo.</w:t>
            </w:r>
          </w:p>
          <w:p w:rsidR="007456F1" w:rsidRPr="00DE4A57" w:rsidRDefault="007456F1" w:rsidP="00F075EB">
            <w:pPr>
              <w:numPr>
                <w:ilvl w:val="0"/>
                <w:numId w:val="100"/>
              </w:numPr>
              <w:autoSpaceDE w:val="0"/>
              <w:autoSpaceDN w:val="0"/>
              <w:adjustRightInd w:val="0"/>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realizó el estudio referente al costo-efectividad de los Programas asociados</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al Fondo.</w:t>
            </w:r>
          </w:p>
          <w:p w:rsidR="007456F1"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7456F1" w:rsidRPr="00DE4A57" w:rsidRDefault="007456F1" w:rsidP="00F075EB">
            <w:pPr>
              <w:numPr>
                <w:ilvl w:val="0"/>
                <w:numId w:val="101"/>
              </w:numPr>
              <w:jc w:val="both"/>
              <w:rPr>
                <w:rFonts w:ascii="Adobe Caslon Pro" w:hAnsi="Adobe Caslon Pro" w:cs="Calibri"/>
                <w:i/>
                <w:color w:val="000000"/>
                <w:sz w:val="20"/>
                <w:szCs w:val="20"/>
                <w:lang w:eastAsia="es-MX"/>
              </w:rPr>
            </w:pPr>
            <w:r w:rsidRPr="00DE4A57">
              <w:rPr>
                <w:rFonts w:ascii="Adobe Caslon Pro" w:hAnsi="Adobe Caslon Pro" w:cs="Calibri"/>
                <w:i/>
                <w:color w:val="000000"/>
                <w:sz w:val="20"/>
                <w:szCs w:val="20"/>
                <w:lang w:eastAsia="es-MX"/>
              </w:rPr>
              <w:t>No se cuenta con instrumentos que recolecten información referente a la población</w:t>
            </w:r>
            <w:r>
              <w:rPr>
                <w:rFonts w:ascii="Adobe Caslon Pro" w:hAnsi="Adobe Caslon Pro" w:cs="Calibri"/>
                <w:i/>
                <w:color w:val="000000"/>
                <w:sz w:val="20"/>
                <w:szCs w:val="20"/>
                <w:lang w:eastAsia="es-MX"/>
              </w:rPr>
              <w:t xml:space="preserve"> </w:t>
            </w:r>
            <w:r w:rsidRPr="00DE4A57">
              <w:rPr>
                <w:rFonts w:ascii="Adobe Caslon Pro" w:hAnsi="Adobe Caslon Pro" w:cs="Calibri"/>
                <w:i/>
                <w:color w:val="000000"/>
                <w:sz w:val="20"/>
                <w:szCs w:val="20"/>
                <w:lang w:eastAsia="es-MX"/>
              </w:rPr>
              <w:t>que se le entrega los bienes y servicios.</w:t>
            </w:r>
          </w:p>
          <w:p w:rsidR="007456F1" w:rsidRDefault="007456F1" w:rsidP="00A56E05">
            <w:pPr>
              <w:jc w:val="both"/>
              <w:rPr>
                <w:rFonts w:ascii="Adobe Caslon Pro" w:hAnsi="Adobe Caslon Pro" w:cs="Calibri"/>
                <w:i/>
                <w:color w:val="000000"/>
                <w:sz w:val="20"/>
                <w:szCs w:val="20"/>
                <w:lang w:eastAsia="es-MX"/>
              </w:rPr>
            </w:pP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RESULTADOS</w:t>
            </w:r>
          </w:p>
          <w:p w:rsidR="007456F1" w:rsidRPr="00880026" w:rsidRDefault="007456F1" w:rsidP="00F075EB">
            <w:pPr>
              <w:numPr>
                <w:ilvl w:val="0"/>
                <w:numId w:val="101"/>
              </w:numPr>
              <w:jc w:val="both"/>
              <w:rPr>
                <w:rFonts w:ascii="Adobe Caslon Pro" w:hAnsi="Adobe Caslon Pro" w:cs="Calibri"/>
                <w:i/>
                <w:color w:val="000000"/>
                <w:sz w:val="20"/>
                <w:szCs w:val="20"/>
                <w:lang w:eastAsia="es-MX"/>
              </w:rPr>
            </w:pPr>
            <w:r w:rsidRPr="00880026">
              <w:rPr>
                <w:rFonts w:ascii="Adobe Caslon Pro" w:hAnsi="Adobe Caslon Pro" w:cs="Calibri"/>
                <w:i/>
                <w:color w:val="000000"/>
                <w:sz w:val="20"/>
                <w:szCs w:val="20"/>
                <w:lang w:eastAsia="es-MX"/>
              </w:rPr>
              <w:t>No se cuenta con evidencia de los avances de cada indicador de los Programas</w:t>
            </w:r>
            <w:r>
              <w:rPr>
                <w:rFonts w:ascii="Adobe Caslon Pro" w:hAnsi="Adobe Caslon Pro" w:cs="Calibri"/>
                <w:i/>
                <w:color w:val="000000"/>
                <w:sz w:val="20"/>
                <w:szCs w:val="20"/>
                <w:lang w:eastAsia="es-MX"/>
              </w:rPr>
              <w:t xml:space="preserve"> </w:t>
            </w:r>
            <w:r w:rsidRPr="00880026">
              <w:rPr>
                <w:rFonts w:ascii="Adobe Caslon Pro" w:hAnsi="Adobe Caslon Pro" w:cs="Calibri"/>
                <w:i/>
                <w:color w:val="000000"/>
                <w:sz w:val="20"/>
                <w:szCs w:val="20"/>
                <w:lang w:eastAsia="es-MX"/>
              </w:rPr>
              <w:t>asociados al Fondo.</w:t>
            </w:r>
          </w:p>
          <w:p w:rsidR="007456F1" w:rsidRPr="00880026" w:rsidRDefault="007456F1" w:rsidP="00F075EB">
            <w:pPr>
              <w:numPr>
                <w:ilvl w:val="0"/>
                <w:numId w:val="101"/>
              </w:numPr>
              <w:jc w:val="both"/>
              <w:rPr>
                <w:rFonts w:ascii="Adobe Caslon Pro" w:hAnsi="Adobe Caslon Pro" w:cs="Calibri"/>
                <w:i/>
                <w:color w:val="000000"/>
                <w:sz w:val="20"/>
                <w:szCs w:val="20"/>
                <w:lang w:eastAsia="es-MX"/>
              </w:rPr>
            </w:pPr>
            <w:r w:rsidRPr="00880026">
              <w:rPr>
                <w:rFonts w:ascii="Adobe Caslon Pro" w:hAnsi="Adobe Caslon Pro" w:cs="Calibri"/>
                <w:i/>
                <w:color w:val="000000"/>
                <w:sz w:val="20"/>
                <w:szCs w:val="20"/>
                <w:lang w:eastAsia="es-MX"/>
              </w:rPr>
              <w:t>No se realizó el estudio referente al costo-efectividad de los Programas asociados</w:t>
            </w:r>
            <w:r>
              <w:rPr>
                <w:rFonts w:ascii="Adobe Caslon Pro" w:hAnsi="Adobe Caslon Pro" w:cs="Calibri"/>
                <w:i/>
                <w:color w:val="000000"/>
                <w:sz w:val="20"/>
                <w:szCs w:val="20"/>
                <w:lang w:eastAsia="es-MX"/>
              </w:rPr>
              <w:t xml:space="preserve"> </w:t>
            </w:r>
            <w:r w:rsidRPr="00880026">
              <w:rPr>
                <w:rFonts w:ascii="Adobe Caslon Pro" w:hAnsi="Adobe Caslon Pro" w:cs="Calibri"/>
                <w:i/>
                <w:color w:val="000000"/>
                <w:sz w:val="20"/>
                <w:szCs w:val="20"/>
                <w:lang w:eastAsia="es-MX"/>
              </w:rPr>
              <w:t>al Fondo.</w:t>
            </w:r>
          </w:p>
          <w:p w:rsidR="007456F1" w:rsidRPr="00880026" w:rsidRDefault="007456F1" w:rsidP="00F075EB">
            <w:pPr>
              <w:numPr>
                <w:ilvl w:val="0"/>
                <w:numId w:val="101"/>
              </w:numPr>
              <w:jc w:val="both"/>
              <w:rPr>
                <w:rFonts w:ascii="Adobe Caslon Pro" w:hAnsi="Adobe Caslon Pro" w:cs="Calibri"/>
                <w:i/>
                <w:color w:val="000000"/>
                <w:sz w:val="20"/>
                <w:szCs w:val="20"/>
                <w:lang w:eastAsia="es-MX"/>
              </w:rPr>
            </w:pPr>
            <w:r w:rsidRPr="00880026">
              <w:rPr>
                <w:rFonts w:ascii="Adobe Caslon Pro" w:hAnsi="Adobe Caslon Pro" w:cs="Calibri"/>
                <w:i/>
                <w:color w:val="000000"/>
                <w:sz w:val="20"/>
                <w:szCs w:val="20"/>
                <w:lang w:eastAsia="es-MX"/>
              </w:rPr>
              <w:lastRenderedPageBreak/>
              <w:t>La información disponible no muestra mecanismos o instrumentos que midan</w:t>
            </w:r>
            <w:r>
              <w:rPr>
                <w:rFonts w:ascii="Adobe Caslon Pro" w:hAnsi="Adobe Caslon Pro" w:cs="Calibri"/>
                <w:i/>
                <w:color w:val="000000"/>
                <w:sz w:val="20"/>
                <w:szCs w:val="20"/>
                <w:lang w:eastAsia="es-MX"/>
              </w:rPr>
              <w:t xml:space="preserve"> </w:t>
            </w:r>
            <w:r w:rsidRPr="00880026">
              <w:rPr>
                <w:rFonts w:ascii="Adobe Caslon Pro" w:hAnsi="Adobe Caslon Pro" w:cs="Calibri"/>
                <w:i/>
                <w:color w:val="000000"/>
                <w:sz w:val="20"/>
                <w:szCs w:val="20"/>
                <w:lang w:eastAsia="es-MX"/>
              </w:rPr>
              <w:t>la satisfacción de la población objetivo.</w:t>
            </w:r>
          </w:p>
          <w:p w:rsidR="007456F1" w:rsidRPr="00880026" w:rsidRDefault="007456F1" w:rsidP="00F075EB">
            <w:pPr>
              <w:numPr>
                <w:ilvl w:val="0"/>
                <w:numId w:val="101"/>
              </w:numPr>
              <w:jc w:val="both"/>
              <w:rPr>
                <w:rFonts w:ascii="Adobe Caslon Pro" w:hAnsi="Adobe Caslon Pro" w:cs="Calibri"/>
                <w:i/>
                <w:color w:val="000000"/>
                <w:sz w:val="20"/>
                <w:szCs w:val="20"/>
                <w:lang w:eastAsia="es-MX"/>
              </w:rPr>
            </w:pPr>
            <w:r w:rsidRPr="00880026">
              <w:rPr>
                <w:rFonts w:ascii="Adobe Caslon Pro" w:hAnsi="Adobe Caslon Pro" w:cs="Calibri"/>
                <w:i/>
                <w:color w:val="000000"/>
                <w:sz w:val="20"/>
                <w:szCs w:val="20"/>
                <w:lang w:eastAsia="es-MX"/>
              </w:rPr>
              <w:t>No se cuenta con evidencia de los avances de cada indicador de los Programas</w:t>
            </w:r>
            <w:r>
              <w:rPr>
                <w:rFonts w:ascii="Adobe Caslon Pro" w:hAnsi="Adobe Caslon Pro" w:cs="Calibri"/>
                <w:i/>
                <w:color w:val="000000"/>
                <w:sz w:val="20"/>
                <w:szCs w:val="20"/>
                <w:lang w:eastAsia="es-MX"/>
              </w:rPr>
              <w:t xml:space="preserve"> </w:t>
            </w:r>
            <w:r w:rsidRPr="00880026">
              <w:rPr>
                <w:rFonts w:ascii="Adobe Caslon Pro" w:hAnsi="Adobe Caslon Pro" w:cs="Calibri"/>
                <w:i/>
                <w:color w:val="000000"/>
                <w:sz w:val="20"/>
                <w:szCs w:val="20"/>
                <w:lang w:eastAsia="es-MX"/>
              </w:rPr>
              <w:t>asociados al Fondo.</w:t>
            </w:r>
          </w:p>
          <w:p w:rsidR="007456F1" w:rsidRDefault="007456F1" w:rsidP="00F075EB">
            <w:pPr>
              <w:numPr>
                <w:ilvl w:val="0"/>
                <w:numId w:val="101"/>
              </w:numPr>
              <w:jc w:val="both"/>
              <w:rPr>
                <w:rFonts w:ascii="Adobe Caslon Pro" w:hAnsi="Adobe Caslon Pro" w:cs="Calibri"/>
                <w:i/>
                <w:color w:val="000000"/>
                <w:sz w:val="20"/>
                <w:szCs w:val="20"/>
                <w:lang w:eastAsia="es-MX"/>
              </w:rPr>
            </w:pPr>
            <w:r w:rsidRPr="00880026">
              <w:rPr>
                <w:rFonts w:ascii="Adobe Caslon Pro" w:hAnsi="Adobe Caslon Pro" w:cs="Calibri"/>
                <w:i/>
                <w:color w:val="000000"/>
                <w:sz w:val="20"/>
                <w:szCs w:val="20"/>
                <w:lang w:eastAsia="es-MX"/>
              </w:rPr>
              <w:t>No se realizó el estudio referente al costo-efectividad de los Programas asociados</w:t>
            </w:r>
            <w:r>
              <w:rPr>
                <w:rFonts w:ascii="Adobe Caslon Pro" w:hAnsi="Adobe Caslon Pro" w:cs="Calibri"/>
                <w:i/>
                <w:color w:val="000000"/>
                <w:sz w:val="20"/>
                <w:szCs w:val="20"/>
                <w:lang w:eastAsia="es-MX"/>
              </w:rPr>
              <w:t xml:space="preserve"> </w:t>
            </w:r>
            <w:r w:rsidRPr="00880026">
              <w:rPr>
                <w:rFonts w:ascii="Adobe Caslon Pro" w:hAnsi="Adobe Caslon Pro" w:cs="Calibri"/>
                <w:i/>
                <w:color w:val="000000"/>
                <w:sz w:val="20"/>
                <w:szCs w:val="20"/>
                <w:lang w:eastAsia="es-MX"/>
              </w:rPr>
              <w:t>al Fondo.</w:t>
            </w:r>
          </w:p>
          <w:p w:rsidR="007456F1" w:rsidRPr="008366FD" w:rsidRDefault="007456F1" w:rsidP="00A56E05">
            <w:pPr>
              <w:ind w:left="720"/>
              <w:jc w:val="both"/>
              <w:rPr>
                <w:rFonts w:ascii="Adobe Caslon Pro" w:hAnsi="Adobe Caslon Pro" w:cs="Calibri"/>
                <w:i/>
                <w:color w:val="000000"/>
                <w:sz w:val="20"/>
                <w:szCs w:val="20"/>
                <w:lang w:eastAsia="es-MX"/>
              </w:rPr>
            </w:pPr>
          </w:p>
          <w:p w:rsidR="007456F1" w:rsidRDefault="007456F1" w:rsidP="00A56E05">
            <w:pPr>
              <w:spacing w:line="360" w:lineRule="auto"/>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 DE LOS RECURSOS</w:t>
            </w:r>
          </w:p>
          <w:p w:rsidR="007456F1" w:rsidRDefault="007456F1" w:rsidP="00F075EB">
            <w:pPr>
              <w:numPr>
                <w:ilvl w:val="0"/>
                <w:numId w:val="102"/>
              </w:numPr>
              <w:jc w:val="both"/>
              <w:rPr>
                <w:rFonts w:ascii="Adobe Caslon Pro" w:hAnsi="Adobe Caslon Pro" w:cs="Calibri"/>
                <w:i/>
                <w:color w:val="000000"/>
                <w:sz w:val="20"/>
                <w:szCs w:val="20"/>
                <w:lang w:eastAsia="es-MX"/>
              </w:rPr>
            </w:pPr>
            <w:r w:rsidRPr="008366FD">
              <w:rPr>
                <w:rFonts w:ascii="Adobe Caslon Pro" w:hAnsi="Adobe Caslon Pro" w:cs="Calibri"/>
                <w:i/>
                <w:color w:val="000000"/>
                <w:sz w:val="20"/>
                <w:szCs w:val="20"/>
                <w:lang w:eastAsia="es-MX"/>
              </w:rPr>
              <w:t>Se dificulta medir el grado de cumplimiento de manera general de las acciones</w:t>
            </w:r>
            <w:r>
              <w:rPr>
                <w:rFonts w:ascii="Adobe Caslon Pro" w:hAnsi="Adobe Caslon Pro" w:cs="Calibri"/>
                <w:i/>
                <w:color w:val="000000"/>
                <w:sz w:val="20"/>
                <w:szCs w:val="20"/>
                <w:lang w:eastAsia="es-MX"/>
              </w:rPr>
              <w:t xml:space="preserve"> </w:t>
            </w:r>
            <w:r w:rsidRPr="008366FD">
              <w:rPr>
                <w:rFonts w:ascii="Adobe Caslon Pro" w:hAnsi="Adobe Caslon Pro" w:cs="Calibri"/>
                <w:i/>
                <w:color w:val="000000"/>
                <w:sz w:val="20"/>
                <w:szCs w:val="20"/>
                <w:lang w:eastAsia="es-MX"/>
              </w:rPr>
              <w:t>realizadas con recursos del Fondo.</w:t>
            </w:r>
          </w:p>
          <w:p w:rsidR="007456F1" w:rsidRPr="008366FD" w:rsidRDefault="007456F1" w:rsidP="00A56E05">
            <w:pPr>
              <w:jc w:val="both"/>
              <w:rPr>
                <w:rFonts w:ascii="Adobe Caslon Pro" w:hAnsi="Adobe Caslon Pro" w:cs="Calibri"/>
                <w: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2.2.4 Amenazas:</w:t>
            </w:r>
          </w:p>
        </w:tc>
      </w:tr>
      <w:tr w:rsidR="007456F1" w:rsidRPr="00BE4199" w:rsidTr="00A56E05">
        <w:trPr>
          <w:trHeight w:val="162"/>
        </w:trPr>
        <w:tc>
          <w:tcPr>
            <w:tcW w:w="9436" w:type="dxa"/>
            <w:gridSpan w:val="14"/>
            <w:tcBorders>
              <w:top w:val="nil"/>
              <w:left w:val="nil"/>
              <w:bottom w:val="single" w:sz="4" w:space="0" w:color="auto"/>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7456F1" w:rsidRPr="00BE4199" w:rsidTr="00A56E05">
        <w:trPr>
          <w:trHeight w:val="1435"/>
        </w:trPr>
        <w:tc>
          <w:tcPr>
            <w:tcW w:w="9436" w:type="dxa"/>
            <w:gridSpan w:val="14"/>
            <w:tcBorders>
              <w:top w:val="single" w:sz="4" w:space="0" w:color="auto"/>
              <w:left w:val="single" w:sz="4" w:space="0" w:color="auto"/>
              <w:right w:val="single" w:sz="4" w:space="0" w:color="000000"/>
            </w:tcBorders>
            <w:shd w:val="clear" w:color="auto" w:fill="auto"/>
            <w:noWrap/>
            <w:hideMark/>
          </w:tcPr>
          <w:p w:rsidR="007456F1" w:rsidRPr="00BE4199" w:rsidRDefault="007456F1" w:rsidP="00F075EB">
            <w:pPr>
              <w:numPr>
                <w:ilvl w:val="1"/>
                <w:numId w:val="76"/>
              </w:num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Describir brevemente las conclusiones de la evaluación: </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239D4">
              <w:rPr>
                <w:rFonts w:ascii="Adobe Caslon Pro" w:hAnsi="Adobe Caslon Pro" w:cs="Calibri"/>
                <w:i/>
                <w:color w:val="000000"/>
                <w:sz w:val="20"/>
                <w:szCs w:val="20"/>
                <w:lang w:eastAsia="es-MX"/>
              </w:rPr>
              <w:t>En la parte del “Diseño” los principales hallazgos con base en la</w:t>
            </w:r>
            <w:r>
              <w:rPr>
                <w:rFonts w:ascii="Adobe Caslon Pro" w:hAnsi="Adobe Caslon Pro" w:cs="Calibri"/>
                <w:i/>
                <w:color w:val="000000"/>
                <w:sz w:val="20"/>
                <w:szCs w:val="20"/>
                <w:lang w:eastAsia="es-MX"/>
              </w:rPr>
              <w:t xml:space="preserve"> </w:t>
            </w:r>
            <w:r w:rsidRPr="00D239D4">
              <w:rPr>
                <w:rFonts w:ascii="Adobe Caslon Pro" w:hAnsi="Adobe Caslon Pro" w:cs="Calibri"/>
                <w:i/>
                <w:color w:val="000000"/>
                <w:sz w:val="20"/>
                <w:szCs w:val="20"/>
                <w:lang w:eastAsia="es-MX"/>
              </w:rPr>
              <w:t>documentación virtual que se recibió fue: 1) a nivel Federal se cuenta con una Matriz de Indicadores para Resultados genérica del Fondo; esta cuenta con los ámbitos de desempeño de Fin, Propósito, Componente y Actividad como lo señala la Metodología del Marco Lógico para el diseño de Programas presupuestarios y 2) la definición del problema que se desea atender con los recursos del Fondo se define conforme a las características que menciona el artículo 30 de la LCF.</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D239D4">
              <w:rPr>
                <w:rFonts w:ascii="Adobe Caslon Pro" w:hAnsi="Adobe Caslon Pro" w:cs="Calibri"/>
                <w:i/>
                <w:color w:val="000000"/>
                <w:sz w:val="20"/>
                <w:szCs w:val="20"/>
                <w:lang w:eastAsia="es-MX"/>
              </w:rPr>
              <w:t>En la “Planeación Estratégica” la orientación se dirige hacia la población que se</w:t>
            </w:r>
            <w:r>
              <w:rPr>
                <w:rFonts w:ascii="Adobe Caslon Pro" w:hAnsi="Adobe Caslon Pro" w:cs="Calibri"/>
                <w:i/>
                <w:color w:val="000000"/>
                <w:sz w:val="20"/>
                <w:szCs w:val="20"/>
                <w:lang w:eastAsia="es-MX"/>
              </w:rPr>
              <w:t xml:space="preserve"> </w:t>
            </w:r>
            <w:r w:rsidRPr="00D239D4">
              <w:rPr>
                <w:rFonts w:ascii="Adobe Caslon Pro" w:hAnsi="Adobe Caslon Pro" w:cs="Calibri"/>
                <w:i/>
                <w:color w:val="000000"/>
                <w:sz w:val="20"/>
                <w:szCs w:val="20"/>
                <w:lang w:eastAsia="es-MX"/>
              </w:rPr>
              <w:t>desea atender, así como la existencia de una vinculación de la planeación Estatal y Federal, lo cual coadyuva a tomar mejores decisiones, llevar un camino sano del ejercicio de los recursos y generar un impacto de magnitud significativa en la sociedad.</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Dentro de lo correspondiente a </w:t>
            </w:r>
            <w:r w:rsidRPr="00D239D4">
              <w:rPr>
                <w:rFonts w:ascii="Adobe Caslon Pro" w:hAnsi="Adobe Caslon Pro" w:cs="Calibri"/>
                <w:i/>
                <w:color w:val="000000"/>
                <w:sz w:val="20"/>
                <w:szCs w:val="20"/>
                <w:lang w:eastAsia="es-MX"/>
              </w:rPr>
              <w:t>la entrega de bienes y servicios no se define de</w:t>
            </w:r>
            <w:r>
              <w:rPr>
                <w:rFonts w:ascii="Adobe Caslon Pro" w:hAnsi="Adobe Caslon Pro" w:cs="Calibri"/>
                <w:i/>
                <w:color w:val="000000"/>
                <w:sz w:val="20"/>
                <w:szCs w:val="20"/>
                <w:lang w:eastAsia="es-MX"/>
              </w:rPr>
              <w:t xml:space="preserve"> </w:t>
            </w:r>
            <w:r w:rsidRPr="00D239D4">
              <w:rPr>
                <w:rFonts w:ascii="Adobe Caslon Pro" w:hAnsi="Adobe Caslon Pro" w:cs="Calibri"/>
                <w:i/>
                <w:color w:val="000000"/>
                <w:sz w:val="20"/>
                <w:szCs w:val="20"/>
                <w:lang w:eastAsia="es-MX"/>
              </w:rPr>
              <w:t>manera clara, así como los indicadores para medir el desempeño, lo cual implica que los procesos que se realizan pudieran no ser los necesarios ni los suficientes para la entrega de los mismos a la población que se desea atender</w:t>
            </w:r>
            <w:r>
              <w:rPr>
                <w:rFonts w:ascii="Adobe Caslon Pro" w:hAnsi="Adobe Caslon Pro" w:cs="Calibri"/>
                <w:i/>
                <w:color w:val="000000"/>
                <w:sz w:val="20"/>
                <w:szCs w:val="20"/>
                <w:lang w:eastAsia="es-MX"/>
              </w:rPr>
              <w:t>.</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9A5B7A">
              <w:rPr>
                <w:rFonts w:ascii="Adobe Caslon Pro" w:hAnsi="Adobe Caslon Pro" w:cs="Calibri"/>
                <w:i/>
                <w:color w:val="000000"/>
                <w:sz w:val="20"/>
                <w:szCs w:val="20"/>
                <w:lang w:eastAsia="es-MX"/>
              </w:rPr>
              <w:t>La “Cobertura y Focalización” de la población está bien definida de acuerdo con lo</w:t>
            </w:r>
            <w:r>
              <w:rPr>
                <w:rFonts w:ascii="Adobe Caslon Pro" w:hAnsi="Adobe Caslon Pro" w:cs="Calibri"/>
                <w:i/>
                <w:color w:val="000000"/>
                <w:sz w:val="20"/>
                <w:szCs w:val="20"/>
                <w:lang w:eastAsia="es-MX"/>
              </w:rPr>
              <w:t xml:space="preserve"> </w:t>
            </w:r>
            <w:r w:rsidRPr="009A5B7A">
              <w:rPr>
                <w:rFonts w:ascii="Adobe Caslon Pro" w:hAnsi="Adobe Caslon Pro" w:cs="Calibri"/>
                <w:i/>
                <w:color w:val="000000"/>
                <w:sz w:val="20"/>
                <w:szCs w:val="20"/>
                <w:lang w:eastAsia="es-MX"/>
              </w:rPr>
              <w:t>establecido en la LCF, artículo 30; sin embargo, en la cuestión de caracterización, no se encontró evidencia de la realización de dicha práctica, ya que al realizarse permitiría generar parámetros para la sistematización de la información referente a la población.</w:t>
            </w:r>
          </w:p>
          <w:p w:rsidR="007456F1" w:rsidRPr="009A5B7A"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264"/>
        </w:trPr>
        <w:tc>
          <w:tcPr>
            <w:tcW w:w="9436" w:type="dxa"/>
            <w:gridSpan w:val="14"/>
            <w:tcBorders>
              <w:top w:val="single" w:sz="4" w:space="0" w:color="auto"/>
              <w:left w:val="single" w:sz="4" w:space="0" w:color="auto"/>
              <w:bottom w:val="nil"/>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3.2 Describir las recomendaciones de acuerdo a su relevancia:</w:t>
            </w:r>
          </w:p>
        </w:tc>
      </w:tr>
      <w:tr w:rsidR="007456F1"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Mejorar</w:t>
            </w:r>
            <w:r w:rsidRPr="001055FB">
              <w:rPr>
                <w:rFonts w:ascii="Adobe Caslon Pro" w:hAnsi="Adobe Caslon Pro" w:cs="Calibri"/>
                <w:i/>
                <w:color w:val="000000"/>
                <w:sz w:val="20"/>
                <w:szCs w:val="20"/>
                <w:lang w:eastAsia="es-MX"/>
              </w:rPr>
              <w:t xml:space="preserve"> las Matrices de Indicadores para Resultados</w:t>
            </w:r>
            <w:r>
              <w:rPr>
                <w:rFonts w:ascii="Adobe Caslon Pro" w:hAnsi="Adobe Caslon Pro" w:cs="Calibri"/>
                <w:i/>
                <w:color w:val="000000"/>
                <w:sz w:val="20"/>
                <w:szCs w:val="20"/>
                <w:lang w:eastAsia="es-MX"/>
              </w:rPr>
              <w:t xml:space="preserve"> </w:t>
            </w:r>
            <w:r w:rsidRPr="001055FB">
              <w:rPr>
                <w:rFonts w:ascii="Adobe Caslon Pro" w:hAnsi="Adobe Caslon Pro" w:cs="Calibri"/>
                <w:i/>
                <w:color w:val="000000"/>
                <w:sz w:val="20"/>
                <w:szCs w:val="20"/>
                <w:lang w:eastAsia="es-MX"/>
              </w:rPr>
              <w:t>de los programas asociados al Fondo con base en</w:t>
            </w:r>
            <w:r>
              <w:rPr>
                <w:rFonts w:ascii="Adobe Caslon Pro" w:hAnsi="Adobe Caslon Pro" w:cs="Calibri"/>
                <w:i/>
                <w:color w:val="000000"/>
                <w:sz w:val="20"/>
                <w:szCs w:val="20"/>
                <w:lang w:eastAsia="es-MX"/>
              </w:rPr>
              <w:t xml:space="preserve"> la Guía que establece Hacienda</w:t>
            </w:r>
            <w:r w:rsidRPr="001055FB">
              <w:rPr>
                <w:rFonts w:ascii="Adobe Caslon Pro" w:hAnsi="Adobe Caslon Pro" w:cs="Calibri"/>
                <w:i/>
                <w:color w:val="000000"/>
                <w:sz w:val="20"/>
                <w:szCs w:val="20"/>
                <w:lang w:eastAsia="es-MX"/>
              </w:rPr>
              <w:t>,</w:t>
            </w:r>
            <w:r>
              <w:rPr>
                <w:rFonts w:ascii="Adobe Caslon Pro" w:hAnsi="Adobe Caslon Pro" w:cs="Calibri"/>
                <w:i/>
                <w:color w:val="000000"/>
                <w:sz w:val="20"/>
                <w:szCs w:val="20"/>
                <w:lang w:eastAsia="es-MX"/>
              </w:rPr>
              <w:t xml:space="preserve"> </w:t>
            </w:r>
            <w:r w:rsidRPr="001055FB">
              <w:rPr>
                <w:rFonts w:ascii="Adobe Caslon Pro" w:hAnsi="Adobe Caslon Pro" w:cs="Calibri"/>
                <w:i/>
                <w:color w:val="000000"/>
                <w:sz w:val="20"/>
                <w:szCs w:val="20"/>
                <w:lang w:eastAsia="es-MX"/>
              </w:rPr>
              <w:t>lo anterior, en la parte del resumen narrativo (Fin, Propósito, Componente</w:t>
            </w:r>
            <w:r>
              <w:rPr>
                <w:rFonts w:ascii="Adobe Caslon Pro" w:hAnsi="Adobe Caslon Pro" w:cs="Calibri"/>
                <w:i/>
                <w:color w:val="000000"/>
                <w:sz w:val="20"/>
                <w:szCs w:val="20"/>
                <w:lang w:eastAsia="es-MX"/>
              </w:rPr>
              <w:t xml:space="preserve"> </w:t>
            </w:r>
            <w:r w:rsidRPr="001055FB">
              <w:rPr>
                <w:rFonts w:ascii="Adobe Caslon Pro" w:hAnsi="Adobe Caslon Pro" w:cs="Calibri"/>
                <w:i/>
                <w:color w:val="000000"/>
                <w:sz w:val="20"/>
                <w:szCs w:val="20"/>
                <w:lang w:eastAsia="es-MX"/>
              </w:rPr>
              <w:t>y Actividad), las mejoras son en la redacción y el enfoque de los objetivos,</w:t>
            </w:r>
            <w:r>
              <w:rPr>
                <w:rFonts w:ascii="Adobe Caslon Pro" w:hAnsi="Adobe Caslon Pro" w:cs="Calibri"/>
                <w:i/>
                <w:color w:val="000000"/>
                <w:sz w:val="20"/>
                <w:szCs w:val="20"/>
                <w:lang w:eastAsia="es-MX"/>
              </w:rPr>
              <w:t xml:space="preserve"> </w:t>
            </w:r>
            <w:r w:rsidRPr="001055FB">
              <w:rPr>
                <w:rFonts w:ascii="Adobe Caslon Pro" w:hAnsi="Adobe Caslon Pro" w:cs="Calibri"/>
                <w:i/>
                <w:color w:val="000000"/>
                <w:sz w:val="20"/>
                <w:szCs w:val="20"/>
                <w:lang w:eastAsia="es-MX"/>
              </w:rPr>
              <w:t>así como los Indicadores de Evaluación del Desempeño considerando</w:t>
            </w:r>
            <w:r>
              <w:rPr>
                <w:rFonts w:ascii="Adobe Caslon Pro" w:hAnsi="Adobe Caslon Pro" w:cs="Calibri"/>
                <w:i/>
                <w:color w:val="000000"/>
                <w:sz w:val="20"/>
                <w:szCs w:val="20"/>
                <w:lang w:eastAsia="es-MX"/>
              </w:rPr>
              <w:t xml:space="preserve"> </w:t>
            </w:r>
            <w:r w:rsidRPr="001055FB">
              <w:rPr>
                <w:rFonts w:ascii="Adobe Caslon Pro" w:hAnsi="Adobe Caslon Pro" w:cs="Calibri"/>
                <w:i/>
                <w:color w:val="000000"/>
                <w:sz w:val="20"/>
                <w:szCs w:val="20"/>
                <w:lang w:eastAsia="es-MX"/>
              </w:rPr>
              <w:t>las dimensiones de eficiencia, eficacia, economía y calidad.</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w:t>
            </w:r>
            <w:r w:rsidRPr="00606E66">
              <w:rPr>
                <w:rFonts w:ascii="Adobe Caslon Pro" w:hAnsi="Adobe Caslon Pro" w:cs="Calibri"/>
                <w:i/>
                <w:color w:val="000000"/>
                <w:sz w:val="20"/>
                <w:szCs w:val="20"/>
                <w:lang w:eastAsia="es-MX"/>
              </w:rPr>
              <w:t>efinir los bienes y servicios necesarios y suficientes y por lo</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menos tres actividades sustantivas para su entrega. Dicha recomendación es</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posible en total apego a lo que respecta a la Metodología del Marco</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Lógico.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606E66">
              <w:rPr>
                <w:rFonts w:ascii="Adobe Caslon Pro" w:hAnsi="Adobe Caslon Pro" w:cs="Calibri"/>
                <w:i/>
                <w:color w:val="000000"/>
                <w:sz w:val="20"/>
                <w:szCs w:val="20"/>
                <w:lang w:eastAsia="es-MX"/>
              </w:rPr>
              <w:t>Llevar a cabo las indicaciones para la realización de los indicadores de evaluación</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del desempeño con sus res</w:t>
            </w:r>
            <w:r>
              <w:rPr>
                <w:rFonts w:ascii="Adobe Caslon Pro" w:hAnsi="Adobe Caslon Pro" w:cs="Calibri"/>
                <w:i/>
                <w:color w:val="000000"/>
                <w:sz w:val="20"/>
                <w:szCs w:val="20"/>
                <w:lang w:eastAsia="es-MX"/>
              </w:rPr>
              <w:t>pectivos medios de verificación</w:t>
            </w:r>
            <w:r w:rsidRPr="00606E66">
              <w:rPr>
                <w:rFonts w:ascii="Adobe Caslon Pro" w:hAnsi="Adobe Caslon Pro" w:cs="Calibri"/>
                <w:i/>
                <w:color w:val="000000"/>
                <w:sz w:val="20"/>
                <w:szCs w:val="20"/>
                <w:lang w:eastAsia="es-MX"/>
              </w:rPr>
              <w:t>; asimismo, validar los indicadores</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 xml:space="preserve">con las características de claridad, relevancia, </w:t>
            </w:r>
            <w:proofErr w:type="spellStart"/>
            <w:r w:rsidRPr="00606E66">
              <w:rPr>
                <w:rFonts w:ascii="Adobe Caslon Pro" w:hAnsi="Adobe Caslon Pro" w:cs="Calibri"/>
                <w:i/>
                <w:color w:val="000000"/>
                <w:sz w:val="20"/>
                <w:szCs w:val="20"/>
                <w:lang w:eastAsia="es-MX"/>
              </w:rPr>
              <w:t>monitoreables</w:t>
            </w:r>
            <w:proofErr w:type="spellEnd"/>
            <w:r w:rsidRPr="00606E66">
              <w:rPr>
                <w:rFonts w:ascii="Adobe Caslon Pro" w:hAnsi="Adobe Caslon Pro" w:cs="Calibri"/>
                <w:i/>
                <w:color w:val="000000"/>
                <w:sz w:val="20"/>
                <w:szCs w:val="20"/>
                <w:lang w:eastAsia="es-MX"/>
              </w:rPr>
              <w:t xml:space="preserve"> y la</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adecuación a lo que se quiere medir y establecer temporalidad de medición</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y valor de referencia para comparación.</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606E66">
              <w:rPr>
                <w:rFonts w:ascii="Adobe Caslon Pro" w:hAnsi="Adobe Caslon Pro" w:cs="Calibri"/>
                <w:i/>
                <w:color w:val="000000"/>
                <w:sz w:val="20"/>
                <w:szCs w:val="20"/>
                <w:lang w:eastAsia="es-MX"/>
              </w:rPr>
              <w:t>Redactar los supuestos con base en información de Programas asociados al</w:t>
            </w:r>
            <w:r>
              <w:rPr>
                <w:rFonts w:ascii="Adobe Caslon Pro" w:hAnsi="Adobe Caslon Pro" w:cs="Calibri"/>
                <w:i/>
                <w:color w:val="000000"/>
                <w:sz w:val="20"/>
                <w:szCs w:val="20"/>
                <w:lang w:eastAsia="es-MX"/>
              </w:rPr>
              <w:t xml:space="preserve"> Fondo que permita</w:t>
            </w:r>
            <w:r w:rsidRPr="00606E66">
              <w:rPr>
                <w:rFonts w:ascii="Adobe Caslon Pro" w:hAnsi="Adobe Caslon Pro" w:cs="Calibri"/>
                <w:i/>
                <w:color w:val="000000"/>
                <w:sz w:val="20"/>
                <w:szCs w:val="20"/>
                <w:lang w:eastAsia="es-MX"/>
              </w:rPr>
              <w:t>n ser condiciones suficientes para el logro de los Componentes</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 xml:space="preserve">o el Propósito. Esto significa repasar la </w:t>
            </w:r>
            <w:r w:rsidRPr="00606E66">
              <w:rPr>
                <w:rFonts w:ascii="Adobe Caslon Pro" w:hAnsi="Adobe Caslon Pro" w:cs="Calibri"/>
                <w:i/>
                <w:color w:val="000000"/>
                <w:sz w:val="20"/>
                <w:szCs w:val="20"/>
                <w:lang w:eastAsia="es-MX"/>
              </w:rPr>
              <w:lastRenderedPageBreak/>
              <w:t>metodología para cumplir con</w:t>
            </w:r>
            <w:r>
              <w:rPr>
                <w:rFonts w:ascii="Adobe Caslon Pro" w:hAnsi="Adobe Caslon Pro" w:cs="Calibri"/>
                <w:i/>
                <w:color w:val="000000"/>
                <w:sz w:val="20"/>
                <w:szCs w:val="20"/>
                <w:lang w:eastAsia="es-MX"/>
              </w:rPr>
              <w:t xml:space="preserve"> </w:t>
            </w:r>
            <w:r w:rsidRPr="00606E66">
              <w:rPr>
                <w:rFonts w:ascii="Adobe Caslon Pro" w:hAnsi="Adobe Caslon Pro" w:cs="Calibri"/>
                <w:i/>
                <w:color w:val="000000"/>
                <w:sz w:val="20"/>
                <w:szCs w:val="20"/>
                <w:lang w:eastAsia="es-MX"/>
              </w:rPr>
              <w:t>la lógica vertical ascendente incluyendo los supuestos.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C3734">
              <w:rPr>
                <w:rFonts w:ascii="Adobe Caslon Pro" w:hAnsi="Adobe Caslon Pro" w:cs="Calibri"/>
                <w:i/>
                <w:color w:val="000000"/>
                <w:sz w:val="20"/>
                <w:szCs w:val="20"/>
                <w:lang w:eastAsia="es-MX"/>
              </w:rPr>
              <w:t>Establecer la dimensión que abordará el Indicador de Evaluación del Desempeño</w:t>
            </w:r>
            <w:r>
              <w:rPr>
                <w:rFonts w:ascii="Adobe Caslon Pro" w:hAnsi="Adobe Caslon Pro" w:cs="Calibri"/>
                <w:i/>
                <w:color w:val="000000"/>
                <w:sz w:val="20"/>
                <w:szCs w:val="20"/>
                <w:lang w:eastAsia="es-MX"/>
              </w:rPr>
              <w:t xml:space="preserve"> </w:t>
            </w:r>
            <w:r w:rsidRPr="002C3734">
              <w:rPr>
                <w:rFonts w:ascii="Adobe Caslon Pro" w:hAnsi="Adobe Caslon Pro" w:cs="Calibri"/>
                <w:i/>
                <w:color w:val="000000"/>
                <w:sz w:val="20"/>
                <w:szCs w:val="20"/>
                <w:lang w:eastAsia="es-MX"/>
              </w:rPr>
              <w:t>a través de eficiencia, eficacia, economía y calidad.</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C3734">
              <w:rPr>
                <w:rFonts w:ascii="Adobe Caslon Pro" w:hAnsi="Adobe Caslon Pro" w:cs="Calibri"/>
                <w:i/>
                <w:color w:val="000000"/>
                <w:sz w:val="20"/>
                <w:szCs w:val="20"/>
                <w:lang w:eastAsia="es-MX"/>
              </w:rPr>
              <w:t>Definir la temporalidad y la línea base de los Indicadores de Evaluación del</w:t>
            </w:r>
            <w:r>
              <w:rPr>
                <w:rFonts w:ascii="Adobe Caslon Pro" w:hAnsi="Adobe Caslon Pro" w:cs="Calibri"/>
                <w:i/>
                <w:color w:val="000000"/>
                <w:sz w:val="20"/>
                <w:szCs w:val="20"/>
                <w:lang w:eastAsia="es-MX"/>
              </w:rPr>
              <w:t xml:space="preserve"> </w:t>
            </w:r>
            <w:r w:rsidRPr="002C3734">
              <w:rPr>
                <w:rFonts w:ascii="Adobe Caslon Pro" w:hAnsi="Adobe Caslon Pro" w:cs="Calibri"/>
                <w:i/>
                <w:color w:val="000000"/>
                <w:sz w:val="20"/>
                <w:szCs w:val="20"/>
                <w:lang w:eastAsia="es-MX"/>
              </w:rPr>
              <w:t>Desempeño.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C3734">
              <w:rPr>
                <w:rFonts w:ascii="Adobe Caslon Pro" w:hAnsi="Adobe Caslon Pro" w:cs="Calibri"/>
                <w:i/>
                <w:color w:val="000000"/>
                <w:sz w:val="20"/>
                <w:szCs w:val="20"/>
                <w:lang w:eastAsia="es-MX"/>
              </w:rPr>
              <w:t>Establecer las metas cuantificables considerando las bases de datos, estados</w:t>
            </w:r>
            <w:r>
              <w:rPr>
                <w:rFonts w:ascii="Adobe Caslon Pro" w:hAnsi="Adobe Caslon Pro" w:cs="Calibri"/>
                <w:i/>
                <w:color w:val="000000"/>
                <w:sz w:val="20"/>
                <w:szCs w:val="20"/>
                <w:lang w:eastAsia="es-MX"/>
              </w:rPr>
              <w:t xml:space="preserve"> </w:t>
            </w:r>
            <w:r w:rsidRPr="002C3734">
              <w:rPr>
                <w:rFonts w:ascii="Adobe Caslon Pro" w:hAnsi="Adobe Caslon Pro" w:cs="Calibri"/>
                <w:i/>
                <w:color w:val="000000"/>
                <w:sz w:val="20"/>
                <w:szCs w:val="20"/>
                <w:lang w:eastAsia="es-MX"/>
              </w:rPr>
              <w:t>históricos financieros y de población atendida, de manera que permita conocer</w:t>
            </w:r>
            <w:r>
              <w:rPr>
                <w:rFonts w:ascii="Adobe Caslon Pro" w:hAnsi="Adobe Caslon Pro" w:cs="Calibri"/>
                <w:i/>
                <w:color w:val="000000"/>
                <w:sz w:val="20"/>
                <w:szCs w:val="20"/>
                <w:lang w:eastAsia="es-MX"/>
              </w:rPr>
              <w:t xml:space="preserve"> </w:t>
            </w:r>
            <w:r w:rsidRPr="002C3734">
              <w:rPr>
                <w:rFonts w:ascii="Adobe Caslon Pro" w:hAnsi="Adobe Caslon Pro" w:cs="Calibri"/>
                <w:i/>
                <w:color w:val="000000"/>
                <w:sz w:val="20"/>
                <w:szCs w:val="20"/>
                <w:lang w:eastAsia="es-MX"/>
              </w:rPr>
              <w:t>el incremento o decremento del objetivo que se eligió con anterioridad y</w:t>
            </w:r>
            <w:r>
              <w:rPr>
                <w:rFonts w:ascii="Adobe Caslon Pro" w:hAnsi="Adobe Caslon Pro" w:cs="Calibri"/>
                <w:i/>
                <w:color w:val="000000"/>
                <w:sz w:val="20"/>
                <w:szCs w:val="20"/>
                <w:lang w:eastAsia="es-MX"/>
              </w:rPr>
              <w:t xml:space="preserve"> </w:t>
            </w:r>
            <w:r w:rsidRPr="002C3734">
              <w:rPr>
                <w:rFonts w:ascii="Adobe Caslon Pro" w:hAnsi="Adobe Caslon Pro" w:cs="Calibri"/>
                <w:i/>
                <w:color w:val="000000"/>
                <w:sz w:val="20"/>
                <w:szCs w:val="20"/>
                <w:lang w:eastAsia="es-MX"/>
              </w:rPr>
              <w:t>así definir la meta en una expresión.</w:t>
            </w:r>
          </w:p>
          <w:p w:rsidR="007456F1" w:rsidRPr="002C3734"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2C3734">
              <w:rPr>
                <w:rFonts w:ascii="Adobe Caslon Pro" w:hAnsi="Adobe Caslon Pro" w:cs="Calibri"/>
                <w:i/>
                <w:color w:val="000000"/>
                <w:sz w:val="20"/>
                <w:szCs w:val="20"/>
                <w:lang w:eastAsia="es-MX"/>
              </w:rPr>
              <w:t>Establecer para cada Programa, los mecanismos de monitoreo para recolectar</w:t>
            </w:r>
            <w:r>
              <w:rPr>
                <w:rFonts w:ascii="Adobe Caslon Pro" w:hAnsi="Adobe Caslon Pro" w:cs="Calibri"/>
                <w:i/>
                <w:color w:val="000000"/>
                <w:sz w:val="20"/>
                <w:szCs w:val="20"/>
                <w:lang w:eastAsia="es-MX"/>
              </w:rPr>
              <w:t xml:space="preserve"> </w:t>
            </w:r>
            <w:r w:rsidRPr="002C3734">
              <w:rPr>
                <w:rFonts w:ascii="Adobe Caslon Pro" w:hAnsi="Adobe Caslon Pro" w:cs="Calibri"/>
                <w:i/>
                <w:color w:val="000000"/>
                <w:sz w:val="20"/>
                <w:szCs w:val="20"/>
                <w:lang w:eastAsia="es-MX"/>
              </w:rPr>
              <w:t>información y publicarlo en la página de transparencia y rendición de</w:t>
            </w:r>
            <w:r>
              <w:rPr>
                <w:rFonts w:ascii="Adobe Caslon Pro" w:hAnsi="Adobe Caslon Pro" w:cs="Calibri"/>
                <w:i/>
                <w:color w:val="000000"/>
                <w:sz w:val="20"/>
                <w:szCs w:val="20"/>
                <w:lang w:eastAsia="es-MX"/>
              </w:rPr>
              <w:t xml:space="preserve"> </w:t>
            </w:r>
            <w:r w:rsidRPr="002C3734">
              <w:rPr>
                <w:rFonts w:ascii="Adobe Caslon Pro" w:hAnsi="Adobe Caslon Pro" w:cs="Calibri"/>
                <w:i/>
                <w:color w:val="000000"/>
                <w:sz w:val="20"/>
                <w:szCs w:val="20"/>
                <w:lang w:eastAsia="es-MX"/>
              </w:rPr>
              <w:t>cuentas.</w:t>
            </w:r>
          </w:p>
          <w:p w:rsidR="007456F1" w:rsidRPr="002C3734"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lastRenderedPageBreak/>
              <w:t>PLANEACIÓN ESTRATÉGICA</w:t>
            </w:r>
          </w:p>
          <w:p w:rsidR="007456F1" w:rsidRDefault="007456F1" w:rsidP="00F075EB">
            <w:pPr>
              <w:numPr>
                <w:ilvl w:val="0"/>
                <w:numId w:val="73"/>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I</w:t>
            </w:r>
            <w:r w:rsidRPr="007E0B55">
              <w:rPr>
                <w:rFonts w:ascii="Adobe Caslon Pro" w:hAnsi="Adobe Caslon Pro" w:cs="Calibri"/>
                <w:i/>
                <w:color w:val="000000"/>
                <w:sz w:val="20"/>
                <w:szCs w:val="20"/>
                <w:lang w:eastAsia="es-MX"/>
              </w:rPr>
              <w:t>dentificar la vinculación que pueda establecerse con los programas</w:t>
            </w:r>
            <w:r>
              <w:rPr>
                <w:rFonts w:ascii="Adobe Caslon Pro" w:hAnsi="Adobe Caslon Pro" w:cs="Calibri"/>
                <w:i/>
                <w:color w:val="000000"/>
                <w:sz w:val="20"/>
                <w:szCs w:val="20"/>
                <w:lang w:eastAsia="es-MX"/>
              </w:rPr>
              <w:t xml:space="preserve"> </w:t>
            </w:r>
            <w:r w:rsidRPr="007E0B55">
              <w:rPr>
                <w:rFonts w:ascii="Adobe Caslon Pro" w:hAnsi="Adobe Caslon Pro" w:cs="Calibri"/>
                <w:i/>
                <w:color w:val="000000"/>
                <w:sz w:val="20"/>
                <w:szCs w:val="20"/>
                <w:lang w:eastAsia="es-MX"/>
              </w:rPr>
              <w:t>estatales o federales.</w:t>
            </w:r>
          </w:p>
          <w:p w:rsidR="007456F1" w:rsidRDefault="007456F1" w:rsidP="00F075EB">
            <w:pPr>
              <w:numPr>
                <w:ilvl w:val="0"/>
                <w:numId w:val="73"/>
              </w:numPr>
              <w:autoSpaceDE w:val="0"/>
              <w:autoSpaceDN w:val="0"/>
              <w:adjustRightInd w:val="0"/>
              <w:jc w:val="both"/>
              <w:rPr>
                <w:rFonts w:ascii="Adobe Caslon Pro" w:hAnsi="Adobe Caslon Pro" w:cs="Calibri"/>
                <w:i/>
                <w:color w:val="000000"/>
                <w:sz w:val="20"/>
                <w:szCs w:val="20"/>
                <w:lang w:eastAsia="es-MX"/>
              </w:rPr>
            </w:pPr>
            <w:proofErr w:type="spellStart"/>
            <w:r>
              <w:rPr>
                <w:rFonts w:ascii="Adobe Caslon Pro" w:hAnsi="Adobe Caslon Pro" w:cs="Calibri"/>
                <w:i/>
                <w:color w:val="000000"/>
                <w:sz w:val="20"/>
                <w:szCs w:val="20"/>
                <w:lang w:eastAsia="es-MX"/>
              </w:rPr>
              <w:t>Eficienta</w:t>
            </w:r>
            <w:r w:rsidRPr="007E0B55">
              <w:rPr>
                <w:rFonts w:ascii="Adobe Caslon Pro" w:hAnsi="Adobe Caslon Pro" w:cs="Calibri"/>
                <w:i/>
                <w:color w:val="000000"/>
                <w:sz w:val="20"/>
                <w:szCs w:val="20"/>
                <w:lang w:eastAsia="es-MX"/>
              </w:rPr>
              <w:t>r</w:t>
            </w:r>
            <w:proofErr w:type="spellEnd"/>
            <w:r w:rsidRPr="007E0B55">
              <w:rPr>
                <w:rFonts w:ascii="Adobe Caslon Pro" w:hAnsi="Adobe Caslon Pro" w:cs="Calibri"/>
                <w:i/>
                <w:color w:val="000000"/>
                <w:sz w:val="20"/>
                <w:szCs w:val="20"/>
                <w:lang w:eastAsia="es-MX"/>
              </w:rPr>
              <w:t xml:space="preserve"> los mecanismos de monitoreo del desempeño a</w:t>
            </w:r>
            <w:r>
              <w:rPr>
                <w:rFonts w:ascii="Adobe Caslon Pro" w:hAnsi="Adobe Caslon Pro" w:cs="Calibri"/>
                <w:i/>
                <w:color w:val="000000"/>
                <w:sz w:val="20"/>
                <w:szCs w:val="20"/>
                <w:lang w:eastAsia="es-MX"/>
              </w:rPr>
              <w:t xml:space="preserve"> </w:t>
            </w:r>
            <w:r w:rsidRPr="007E0B55">
              <w:rPr>
                <w:rFonts w:ascii="Adobe Caslon Pro" w:hAnsi="Adobe Caslon Pro" w:cs="Calibri"/>
                <w:i/>
                <w:color w:val="000000"/>
                <w:sz w:val="20"/>
                <w:szCs w:val="20"/>
                <w:lang w:eastAsia="es-MX"/>
              </w:rPr>
              <w:t>cada uno de los programas y publicarlos en el portal de transparencia y rendición de cuentas.</w:t>
            </w:r>
          </w:p>
          <w:p w:rsidR="007456F1" w:rsidRDefault="007456F1" w:rsidP="00F075EB">
            <w:pPr>
              <w:numPr>
                <w:ilvl w:val="0"/>
                <w:numId w:val="73"/>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w:t>
            </w:r>
            <w:r w:rsidRPr="007E0B55">
              <w:rPr>
                <w:rFonts w:ascii="Adobe Caslon Pro" w:hAnsi="Adobe Caslon Pro" w:cs="Calibri"/>
                <w:i/>
                <w:color w:val="000000"/>
                <w:sz w:val="20"/>
                <w:szCs w:val="20"/>
                <w:lang w:eastAsia="es-MX"/>
              </w:rPr>
              <w:t>ealizar las metas de cada uno de los indicadores, y así tener</w:t>
            </w:r>
            <w:r>
              <w:rPr>
                <w:rFonts w:ascii="Adobe Caslon Pro" w:hAnsi="Adobe Caslon Pro" w:cs="Calibri"/>
                <w:i/>
                <w:color w:val="000000"/>
                <w:sz w:val="20"/>
                <w:szCs w:val="20"/>
                <w:lang w:eastAsia="es-MX"/>
              </w:rPr>
              <w:t xml:space="preserve"> </w:t>
            </w:r>
            <w:r w:rsidRPr="007E0B55">
              <w:rPr>
                <w:rFonts w:ascii="Adobe Caslon Pro" w:hAnsi="Adobe Caslon Pro" w:cs="Calibri"/>
                <w:i/>
                <w:color w:val="000000"/>
                <w:sz w:val="20"/>
                <w:szCs w:val="20"/>
                <w:lang w:eastAsia="es-MX"/>
              </w:rPr>
              <w:t>parámetros de comparación de resultados en una serie de tiempo.</w:t>
            </w:r>
          </w:p>
          <w:p w:rsidR="007456F1" w:rsidRDefault="007456F1" w:rsidP="00F075EB">
            <w:pPr>
              <w:numPr>
                <w:ilvl w:val="0"/>
                <w:numId w:val="73"/>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A</w:t>
            </w:r>
            <w:r w:rsidRPr="007E0B55">
              <w:rPr>
                <w:rFonts w:ascii="Adobe Caslon Pro" w:hAnsi="Adobe Caslon Pro" w:cs="Calibri"/>
                <w:i/>
                <w:color w:val="000000"/>
                <w:sz w:val="20"/>
                <w:szCs w:val="20"/>
                <w:lang w:eastAsia="es-MX"/>
              </w:rPr>
              <w:t>gregar el espacio para establecer la línea base, ya que su</w:t>
            </w:r>
            <w:r>
              <w:rPr>
                <w:rFonts w:ascii="Adobe Caslon Pro" w:hAnsi="Adobe Caslon Pro" w:cs="Calibri"/>
                <w:i/>
                <w:color w:val="000000"/>
                <w:sz w:val="20"/>
                <w:szCs w:val="20"/>
                <w:lang w:eastAsia="es-MX"/>
              </w:rPr>
              <w:t xml:space="preserve"> </w:t>
            </w:r>
            <w:r w:rsidRPr="007E0B55">
              <w:rPr>
                <w:rFonts w:ascii="Adobe Caslon Pro" w:hAnsi="Adobe Caslon Pro" w:cs="Calibri"/>
                <w:i/>
                <w:color w:val="000000"/>
                <w:sz w:val="20"/>
                <w:szCs w:val="20"/>
                <w:lang w:eastAsia="es-MX"/>
              </w:rPr>
              <w:t>relevancia para el seguimiento de los indicadores es fundamental para poner en juicio el alcance de la meta definida de los objetivos.</w:t>
            </w:r>
          </w:p>
          <w:p w:rsidR="007456F1" w:rsidRPr="007E0B55"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COBERTURA Y FOCALIZACIÓN</w:t>
            </w:r>
          </w:p>
          <w:p w:rsidR="007456F1" w:rsidRDefault="007456F1" w:rsidP="00F075EB">
            <w:pPr>
              <w:numPr>
                <w:ilvl w:val="0"/>
                <w:numId w:val="74"/>
              </w:numPr>
              <w:autoSpaceDE w:val="0"/>
              <w:autoSpaceDN w:val="0"/>
              <w:adjustRightInd w:val="0"/>
              <w:jc w:val="both"/>
              <w:rPr>
                <w:rFonts w:ascii="Adobe Caslon Pro" w:hAnsi="Adobe Caslon Pro" w:cs="Calibri"/>
                <w:i/>
                <w:color w:val="000000"/>
                <w:sz w:val="20"/>
                <w:szCs w:val="20"/>
                <w:lang w:eastAsia="es-MX"/>
              </w:rPr>
            </w:pPr>
            <w:r w:rsidRPr="007534F2">
              <w:rPr>
                <w:rFonts w:ascii="Adobe Caslon Pro" w:hAnsi="Adobe Caslon Pro" w:cs="Calibri"/>
                <w:i/>
                <w:color w:val="000000"/>
                <w:sz w:val="20"/>
                <w:szCs w:val="20"/>
                <w:lang w:eastAsia="es-MX"/>
              </w:rPr>
              <w:t>Establecer un método que coadyuve al mejoramiento de la información referente</w:t>
            </w:r>
            <w:r>
              <w:rPr>
                <w:rFonts w:ascii="Adobe Caslon Pro" w:hAnsi="Adobe Caslon Pro" w:cs="Calibri"/>
                <w:i/>
                <w:color w:val="000000"/>
                <w:sz w:val="20"/>
                <w:szCs w:val="20"/>
                <w:lang w:eastAsia="es-MX"/>
              </w:rPr>
              <w:t xml:space="preserve"> a</w:t>
            </w:r>
            <w:r w:rsidRPr="007534F2">
              <w:rPr>
                <w:rFonts w:ascii="Adobe Caslon Pro" w:hAnsi="Adobe Caslon Pro" w:cs="Calibri"/>
                <w:i/>
                <w:color w:val="000000"/>
                <w:sz w:val="20"/>
                <w:szCs w:val="20"/>
                <w:lang w:eastAsia="es-MX"/>
              </w:rPr>
              <w:t xml:space="preserve"> la depuración y actualización de los beneficiarios de cada programa asociado al Fondo.</w:t>
            </w:r>
          </w:p>
          <w:p w:rsidR="007456F1" w:rsidRPr="007534F2"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OPERACIÓN</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534F2">
              <w:rPr>
                <w:rFonts w:ascii="Adobe Caslon Pro" w:hAnsi="Adobe Caslon Pro" w:cs="Calibri"/>
                <w:i/>
                <w:color w:val="000000"/>
                <w:sz w:val="20"/>
                <w:szCs w:val="20"/>
                <w:lang w:eastAsia="es-MX"/>
              </w:rPr>
              <w:t>Definir y establecer un mecanismo que permita a la dependencia responsable</w:t>
            </w:r>
            <w:r>
              <w:rPr>
                <w:rFonts w:ascii="Adobe Caslon Pro" w:hAnsi="Adobe Caslon Pro" w:cs="Calibri"/>
                <w:i/>
                <w:color w:val="000000"/>
                <w:sz w:val="20"/>
                <w:szCs w:val="20"/>
                <w:lang w:eastAsia="es-MX"/>
              </w:rPr>
              <w:t xml:space="preserve"> </w:t>
            </w:r>
            <w:r w:rsidRPr="007534F2">
              <w:rPr>
                <w:rFonts w:ascii="Adobe Caslon Pro" w:hAnsi="Adobe Caslon Pro" w:cs="Calibri"/>
                <w:i/>
                <w:color w:val="000000"/>
                <w:sz w:val="20"/>
                <w:szCs w:val="20"/>
                <w:lang w:eastAsia="es-MX"/>
              </w:rPr>
              <w:t>de la ejecución de los recursos la actualización en tiempo actual de los beneficiarios del Programa, así mismo en el que se incluya los Nombres, CURP y Domicilio de dicho beneficiario todo esto con el fin de contar con información veraz y oportuna al momento, permitiendo la depuración de aquellos beneficiarios que ya no lo son así como cualquier otra duplicidad que pudiera existir.</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534F2">
              <w:rPr>
                <w:rFonts w:ascii="Adobe Caslon Pro" w:hAnsi="Adobe Caslon Pro" w:cs="Calibri"/>
                <w:i/>
                <w:color w:val="000000"/>
                <w:sz w:val="20"/>
                <w:szCs w:val="20"/>
                <w:lang w:eastAsia="es-MX"/>
              </w:rPr>
              <w:t>Publicar la información de cada Programa estatal asociado al Fondo en las</w:t>
            </w:r>
            <w:r>
              <w:rPr>
                <w:rFonts w:ascii="Adobe Caslon Pro" w:hAnsi="Adobe Caslon Pro" w:cs="Calibri"/>
                <w:i/>
                <w:color w:val="000000"/>
                <w:sz w:val="20"/>
                <w:szCs w:val="20"/>
                <w:lang w:eastAsia="es-MX"/>
              </w:rPr>
              <w:t xml:space="preserve"> </w:t>
            </w:r>
            <w:r w:rsidRPr="007534F2">
              <w:rPr>
                <w:rFonts w:ascii="Adobe Caslon Pro" w:hAnsi="Adobe Caslon Pro" w:cs="Calibri"/>
                <w:i/>
                <w:color w:val="000000"/>
                <w:sz w:val="20"/>
                <w:szCs w:val="20"/>
                <w:lang w:eastAsia="es-MX"/>
              </w:rPr>
              <w:t>páginas de transparencia y rendición de cuentas.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534F2">
              <w:rPr>
                <w:rFonts w:ascii="Adobe Caslon Pro" w:hAnsi="Adobe Caslon Pro" w:cs="Calibri"/>
                <w:i/>
                <w:color w:val="000000"/>
                <w:sz w:val="20"/>
                <w:szCs w:val="20"/>
                <w:lang w:eastAsia="es-MX"/>
              </w:rPr>
              <w:t>Recopilar la información de todos aquellos Programas estatales asociados al</w:t>
            </w:r>
            <w:r>
              <w:rPr>
                <w:rFonts w:ascii="Adobe Caslon Pro" w:hAnsi="Adobe Caslon Pro" w:cs="Calibri"/>
                <w:i/>
                <w:color w:val="000000"/>
                <w:sz w:val="20"/>
                <w:szCs w:val="20"/>
                <w:lang w:eastAsia="es-MX"/>
              </w:rPr>
              <w:t xml:space="preserve"> </w:t>
            </w:r>
            <w:r w:rsidRPr="007534F2">
              <w:rPr>
                <w:rFonts w:ascii="Adobe Caslon Pro" w:hAnsi="Adobe Caslon Pro" w:cs="Calibri"/>
                <w:i/>
                <w:color w:val="000000"/>
                <w:sz w:val="20"/>
                <w:szCs w:val="20"/>
                <w:lang w:eastAsia="es-MX"/>
              </w:rPr>
              <w:t>Fondo correspondiente al avance físico-financiero, actas de entrega-recepción y cierre de ejercicio.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534F2">
              <w:rPr>
                <w:rFonts w:ascii="Adobe Caslon Pro" w:hAnsi="Adobe Caslon Pro" w:cs="Calibri"/>
                <w:i/>
                <w:color w:val="000000"/>
                <w:sz w:val="20"/>
                <w:szCs w:val="20"/>
                <w:lang w:eastAsia="es-MX"/>
              </w:rPr>
              <w:t>Recabar información contable, financiera, programática y de resultados de</w:t>
            </w:r>
            <w:r>
              <w:rPr>
                <w:rFonts w:ascii="Adobe Caslon Pro" w:hAnsi="Adobe Caslon Pro" w:cs="Calibri"/>
                <w:i/>
                <w:color w:val="000000"/>
                <w:sz w:val="20"/>
                <w:szCs w:val="20"/>
                <w:lang w:eastAsia="es-MX"/>
              </w:rPr>
              <w:t xml:space="preserve"> </w:t>
            </w:r>
            <w:r w:rsidRPr="007534F2">
              <w:rPr>
                <w:rFonts w:ascii="Adobe Caslon Pro" w:hAnsi="Adobe Caslon Pro" w:cs="Calibri"/>
                <w:i/>
                <w:color w:val="000000"/>
                <w:sz w:val="20"/>
                <w:szCs w:val="20"/>
                <w:lang w:eastAsia="es-MX"/>
              </w:rPr>
              <w:t>los Programas asociados al</w:t>
            </w:r>
            <w:r>
              <w:rPr>
                <w:rFonts w:ascii="Adobe Caslon Pro" w:hAnsi="Adobe Caslon Pro" w:cs="Calibri"/>
                <w:i/>
                <w:color w:val="000000"/>
                <w:sz w:val="20"/>
                <w:szCs w:val="20"/>
                <w:lang w:eastAsia="es-MX"/>
              </w:rPr>
              <w:t xml:space="preserve"> Fondo.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7534F2">
              <w:rPr>
                <w:rFonts w:ascii="Adobe Caslon Pro" w:hAnsi="Adobe Caslon Pro" w:cs="Calibri"/>
                <w:i/>
                <w:color w:val="000000"/>
                <w:sz w:val="20"/>
                <w:szCs w:val="20"/>
                <w:lang w:eastAsia="es-MX"/>
              </w:rPr>
              <w:t>Establecer un sistema de información virtual en donde se integren los distintos</w:t>
            </w:r>
            <w:r>
              <w:rPr>
                <w:rFonts w:ascii="Adobe Caslon Pro" w:hAnsi="Adobe Caslon Pro" w:cs="Calibri"/>
                <w:i/>
                <w:color w:val="000000"/>
                <w:sz w:val="20"/>
                <w:szCs w:val="20"/>
                <w:lang w:eastAsia="es-MX"/>
              </w:rPr>
              <w:t xml:space="preserve"> </w:t>
            </w:r>
            <w:r w:rsidRPr="007534F2">
              <w:rPr>
                <w:rFonts w:ascii="Adobe Caslon Pro" w:hAnsi="Adobe Caslon Pro" w:cs="Calibri"/>
                <w:i/>
                <w:color w:val="000000"/>
                <w:sz w:val="20"/>
                <w:szCs w:val="20"/>
                <w:lang w:eastAsia="es-MX"/>
              </w:rPr>
              <w:t>sistemas de información que conforma la administración financiera tanto del Fondo en su totalidad como en los Programas estatales asociados al</w:t>
            </w:r>
            <w:r>
              <w:rPr>
                <w:rFonts w:ascii="Adobe Caslon Pro" w:hAnsi="Adobe Caslon Pro" w:cs="Calibri"/>
                <w:i/>
                <w:color w:val="000000"/>
                <w:sz w:val="20"/>
                <w:szCs w:val="20"/>
                <w:lang w:eastAsia="es-MX"/>
              </w:rPr>
              <w:t xml:space="preserve"> mismo.</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w:t>
            </w:r>
            <w:r w:rsidRPr="007534F2">
              <w:rPr>
                <w:rFonts w:ascii="Adobe Caslon Pro" w:hAnsi="Adobe Caslon Pro" w:cs="Calibri"/>
                <w:i/>
                <w:color w:val="000000"/>
                <w:sz w:val="20"/>
                <w:szCs w:val="20"/>
                <w:lang w:eastAsia="es-MX"/>
              </w:rPr>
              <w:t>olicitar tanto la información sobre los procedimientos para</w:t>
            </w:r>
            <w:r>
              <w:rPr>
                <w:rFonts w:ascii="Adobe Caslon Pro" w:hAnsi="Adobe Caslon Pro" w:cs="Calibri"/>
                <w:i/>
                <w:color w:val="000000"/>
                <w:sz w:val="20"/>
                <w:szCs w:val="20"/>
                <w:lang w:eastAsia="es-MX"/>
              </w:rPr>
              <w:t xml:space="preserve"> </w:t>
            </w:r>
            <w:r w:rsidRPr="007534F2">
              <w:rPr>
                <w:rFonts w:ascii="Adobe Caslon Pro" w:hAnsi="Adobe Caslon Pro" w:cs="Calibri"/>
                <w:i/>
                <w:color w:val="000000"/>
                <w:sz w:val="20"/>
                <w:szCs w:val="20"/>
                <w:lang w:eastAsia="es-MX"/>
              </w:rPr>
              <w:t>medir el costo efectividad de los Programas asociados como la que pertenece a la Fondo.</w:t>
            </w:r>
          </w:p>
          <w:p w:rsidR="007456F1" w:rsidRPr="007534F2"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7456F1"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7456F1" w:rsidRPr="007534F2" w:rsidRDefault="007456F1"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w:t>
            </w:r>
            <w:r w:rsidRPr="007534F2">
              <w:rPr>
                <w:rFonts w:ascii="Adobe Caslon Pro" w:hAnsi="Adobe Caslon Pro" w:cs="Calibri"/>
                <w:i/>
                <w:color w:val="000000"/>
                <w:sz w:val="20"/>
                <w:szCs w:val="20"/>
                <w:lang w:eastAsia="es-MX"/>
              </w:rPr>
              <w:t>efinir los mecanismos o instrumentos que midan</w:t>
            </w:r>
            <w:r>
              <w:rPr>
                <w:rFonts w:ascii="Adobe Caslon Pro" w:hAnsi="Adobe Caslon Pro" w:cs="Calibri"/>
                <w:i/>
                <w:color w:val="000000"/>
                <w:sz w:val="20"/>
                <w:szCs w:val="20"/>
                <w:lang w:eastAsia="es-MX"/>
              </w:rPr>
              <w:t xml:space="preserve"> </w:t>
            </w:r>
            <w:r w:rsidRPr="007534F2">
              <w:rPr>
                <w:rFonts w:ascii="Adobe Caslon Pro" w:hAnsi="Adobe Caslon Pro" w:cs="Calibri"/>
                <w:i/>
                <w:color w:val="000000"/>
                <w:sz w:val="20"/>
                <w:szCs w:val="20"/>
                <w:lang w:eastAsia="es-MX"/>
              </w:rPr>
              <w:t>el grado de satisfacción de la población objetivo; en ellos pueden ser tomados en cuenta los formatos de entrevistas o encuestas relacionadas a los bienes y servicios que reciben.</w:t>
            </w:r>
          </w:p>
        </w:tc>
      </w:tr>
      <w:tr w:rsidR="007456F1"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7456F1" w:rsidRPr="00C71799" w:rsidRDefault="007456F1"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RESULTADOS</w:t>
            </w:r>
          </w:p>
          <w:p w:rsidR="007456F1"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w:t>
            </w:r>
            <w:r w:rsidRPr="00CC13BB">
              <w:rPr>
                <w:rFonts w:ascii="Adobe Caslon Pro" w:hAnsi="Adobe Caslon Pro" w:cs="Calibri"/>
                <w:i/>
                <w:color w:val="000000"/>
                <w:sz w:val="20"/>
                <w:szCs w:val="20"/>
                <w:lang w:eastAsia="es-MX"/>
              </w:rPr>
              <w:t>efinir los mecanismos o instrumentos que midan</w:t>
            </w:r>
            <w:r>
              <w:rPr>
                <w:rFonts w:ascii="Adobe Caslon Pro" w:hAnsi="Adobe Caslon Pro" w:cs="Calibri"/>
                <w:i/>
                <w:color w:val="000000"/>
                <w:sz w:val="20"/>
                <w:szCs w:val="20"/>
                <w:lang w:eastAsia="es-MX"/>
              </w:rPr>
              <w:t xml:space="preserve"> </w:t>
            </w:r>
            <w:r w:rsidRPr="00CC13BB">
              <w:rPr>
                <w:rFonts w:ascii="Adobe Caslon Pro" w:hAnsi="Adobe Caslon Pro" w:cs="Calibri"/>
                <w:i/>
                <w:color w:val="000000"/>
                <w:sz w:val="20"/>
                <w:szCs w:val="20"/>
                <w:lang w:eastAsia="es-MX"/>
              </w:rPr>
              <w:t>el grado de satisfacción de la población objetivo; en ellos pueden ser</w:t>
            </w:r>
            <w:r>
              <w:rPr>
                <w:rFonts w:ascii="Adobe Caslon Pro" w:hAnsi="Adobe Caslon Pro" w:cs="Calibri"/>
                <w:i/>
                <w:color w:val="000000"/>
                <w:sz w:val="20"/>
                <w:szCs w:val="20"/>
                <w:lang w:eastAsia="es-MX"/>
              </w:rPr>
              <w:t xml:space="preserve"> </w:t>
            </w:r>
            <w:r w:rsidRPr="00CC13BB">
              <w:rPr>
                <w:rFonts w:ascii="Adobe Caslon Pro" w:hAnsi="Adobe Caslon Pro" w:cs="Calibri"/>
                <w:i/>
                <w:color w:val="000000"/>
                <w:sz w:val="20"/>
                <w:szCs w:val="20"/>
                <w:lang w:eastAsia="es-MX"/>
              </w:rPr>
              <w:t>tomados en cuenta los formatos de entrevistas o encuestas relacionadas a</w:t>
            </w:r>
            <w:r>
              <w:rPr>
                <w:rFonts w:ascii="Adobe Caslon Pro" w:hAnsi="Adobe Caslon Pro" w:cs="Calibri"/>
                <w:i/>
                <w:color w:val="000000"/>
                <w:sz w:val="20"/>
                <w:szCs w:val="20"/>
                <w:lang w:eastAsia="es-MX"/>
              </w:rPr>
              <w:t xml:space="preserve"> </w:t>
            </w:r>
            <w:r w:rsidRPr="00CC13BB">
              <w:rPr>
                <w:rFonts w:ascii="Adobe Caslon Pro" w:hAnsi="Adobe Caslon Pro" w:cs="Calibri"/>
                <w:i/>
                <w:color w:val="000000"/>
                <w:sz w:val="20"/>
                <w:szCs w:val="20"/>
                <w:lang w:eastAsia="es-MX"/>
              </w:rPr>
              <w:t>los bienes y servicios que reciben.</w:t>
            </w:r>
          </w:p>
          <w:p w:rsidR="007456F1" w:rsidRPr="00CC13BB" w:rsidRDefault="007456F1"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CC13BB">
              <w:rPr>
                <w:rFonts w:ascii="Adobe Caslon Pro" w:hAnsi="Adobe Caslon Pro" w:cs="Calibri"/>
                <w:i/>
                <w:color w:val="000000"/>
                <w:sz w:val="20"/>
                <w:szCs w:val="20"/>
                <w:lang w:eastAsia="es-MX"/>
              </w:rPr>
              <w:lastRenderedPageBreak/>
              <w:t>Publicar los resultados de los indicadores para conocer el grado de avance o cumplimiento para las Actividades y los bienes y servicios que forman parte del Fondo.</w:t>
            </w:r>
          </w:p>
          <w:p w:rsidR="007456F1" w:rsidRPr="007534F2" w:rsidRDefault="007456F1" w:rsidP="00A56E05">
            <w:pPr>
              <w:autoSpaceDE w:val="0"/>
              <w:autoSpaceDN w:val="0"/>
              <w:adjustRightInd w:val="0"/>
              <w:ind w:left="720"/>
              <w:jc w:val="both"/>
              <w:rPr>
                <w:rFonts w:ascii="Adobe Caslon Pro" w:hAnsi="Adobe Caslon Pro" w:cs="Calibri"/>
                <w:i/>
                <w:color w:val="000000"/>
                <w:sz w:val="20"/>
                <w:szCs w:val="20"/>
                <w:lang w:eastAsia="es-MX"/>
              </w:rPr>
            </w:pPr>
          </w:p>
        </w:tc>
      </w:tr>
      <w:tr w:rsidR="007456F1" w:rsidRPr="00BE4199" w:rsidTr="00A56E05">
        <w:trPr>
          <w:trHeight w:val="105"/>
        </w:trPr>
        <w:tc>
          <w:tcPr>
            <w:tcW w:w="579"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6965" w:type="dxa"/>
            <w:gridSpan w:val="11"/>
            <w:tcBorders>
              <w:top w:val="single" w:sz="4" w:space="0" w:color="auto"/>
              <w:left w:val="single" w:sz="4" w:space="0" w:color="auto"/>
              <w:bottom w:val="nil"/>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4.1 Nombre del coordinador de la evaluación:</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Mtro. José de Jesús </w:t>
            </w:r>
            <w:proofErr w:type="spellStart"/>
            <w:r w:rsidRPr="00BE4199">
              <w:rPr>
                <w:rFonts w:ascii="Adobe Caslon Pro" w:hAnsi="Adobe Caslon Pro" w:cs="Calibri"/>
                <w:i/>
                <w:color w:val="000000"/>
                <w:sz w:val="20"/>
                <w:szCs w:val="20"/>
                <w:lang w:eastAsia="es-MX"/>
              </w:rPr>
              <w:t>Guizar</w:t>
            </w:r>
            <w:proofErr w:type="spellEnd"/>
            <w:r w:rsidRPr="00BE4199">
              <w:rPr>
                <w:rFonts w:ascii="Adobe Caslon Pro" w:hAnsi="Adobe Caslon Pro" w:cs="Calibri"/>
                <w:i/>
                <w:color w:val="000000"/>
                <w:sz w:val="20"/>
                <w:szCs w:val="20"/>
                <w:lang w:eastAsia="es-MX"/>
              </w:rPr>
              <w:t xml:space="preserve"> Jiménez</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4.2 Cargo:</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Consultor Investigador</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4.3 Institución a la que pertenece: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Instituto para el Desarrollo Técnico de las Haciendas Públicas (INDETEC)</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4.4 Principales colaboradores:</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Lic. </w:t>
            </w:r>
            <w:r>
              <w:rPr>
                <w:rFonts w:ascii="Adobe Caslon Pro" w:hAnsi="Adobe Caslon Pro" w:cs="Calibri"/>
                <w:i/>
                <w:color w:val="000000"/>
                <w:sz w:val="20"/>
                <w:szCs w:val="20"/>
                <w:lang w:eastAsia="es-MX"/>
              </w:rPr>
              <w:t>Viridiana García Roque</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4.5 Correo electrónico del coordinador de la evaluación:</w:t>
            </w:r>
          </w:p>
          <w:p w:rsidR="007456F1" w:rsidRPr="00BE4199" w:rsidRDefault="009B1A50" w:rsidP="00A56E05">
            <w:pPr>
              <w:rPr>
                <w:rFonts w:ascii="Adobe Caslon Pro" w:hAnsi="Adobe Caslon Pro" w:cs="Calibri"/>
                <w:i/>
                <w:color w:val="000000"/>
                <w:sz w:val="20"/>
                <w:szCs w:val="20"/>
                <w:u w:val="single"/>
                <w:lang w:eastAsia="es-MX"/>
              </w:rPr>
            </w:pPr>
            <w:hyperlink r:id="rId172" w:history="1">
              <w:r w:rsidR="007456F1" w:rsidRPr="00774FDF">
                <w:rPr>
                  <w:rStyle w:val="Hipervnculo"/>
                  <w:rFonts w:ascii="Adobe Caslon Pro" w:hAnsi="Adobe Caslon Pro" w:cs="Calibri"/>
                  <w:i/>
                  <w:sz w:val="20"/>
                  <w:szCs w:val="20"/>
                  <w:lang w:eastAsia="es-MX"/>
                </w:rPr>
                <w:t>jguizarj@indetec.gob.mx</w:t>
              </w:r>
            </w:hyperlink>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4.6 Teléfono (con clave lada):</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(33) 36695550</w:t>
            </w:r>
            <w:r>
              <w:rPr>
                <w:rFonts w:ascii="Adobe Caslon Pro" w:hAnsi="Adobe Caslon Pro" w:cs="Calibri"/>
                <w:i/>
                <w:color w:val="000000"/>
                <w:sz w:val="20"/>
                <w:szCs w:val="20"/>
                <w:lang w:eastAsia="es-MX"/>
              </w:rPr>
              <w:t xml:space="preserve"> </w:t>
            </w:r>
            <w:proofErr w:type="spellStart"/>
            <w:r>
              <w:rPr>
                <w:rFonts w:ascii="Adobe Caslon Pro" w:hAnsi="Adobe Caslon Pro" w:cs="Calibri"/>
                <w:i/>
                <w:color w:val="000000"/>
                <w:sz w:val="20"/>
                <w:szCs w:val="20"/>
                <w:lang w:eastAsia="es-MX"/>
              </w:rPr>
              <w:t>ext</w:t>
            </w:r>
            <w:proofErr w:type="spellEnd"/>
            <w:r>
              <w:rPr>
                <w:rFonts w:ascii="Adobe Caslon Pro" w:hAnsi="Adobe Caslon Pro" w:cs="Calibri"/>
                <w:i/>
                <w:color w:val="000000"/>
                <w:sz w:val="20"/>
                <w:szCs w:val="20"/>
                <w:lang w:eastAsia="es-MX"/>
              </w:rPr>
              <w:t xml:space="preserve"> 136</w:t>
            </w:r>
          </w:p>
        </w:tc>
      </w:tr>
      <w:tr w:rsidR="007456F1" w:rsidRPr="00BE4199" w:rsidTr="00A56E05">
        <w:trPr>
          <w:trHeight w:val="75"/>
        </w:trPr>
        <w:tc>
          <w:tcPr>
            <w:tcW w:w="999"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696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Fondo de Aportaciones </w:t>
            </w:r>
            <w:r>
              <w:rPr>
                <w:rFonts w:ascii="Adobe Caslon Pro" w:hAnsi="Adobe Caslon Pro" w:cs="Calibri"/>
                <w:i/>
                <w:color w:val="000000"/>
                <w:sz w:val="20"/>
                <w:szCs w:val="20"/>
                <w:lang w:eastAsia="es-MX"/>
              </w:rPr>
              <w:t xml:space="preserve">para los Servicios de Salud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FASSA</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coordinador del (los) programa(s): </w:t>
            </w:r>
          </w:p>
          <w:p w:rsidR="007456F1" w:rsidRPr="00BE4199"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Servicios de Salud de Oaxaca</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 Nombre de la(s) unidad(es) administrativa(s) y de (los) titular(es) a cargo del (los) programa(s):</w:t>
            </w:r>
          </w:p>
        </w:tc>
      </w:tr>
      <w:tr w:rsidR="007456F1" w:rsidRPr="00BE4199" w:rsidTr="00A56E05">
        <w:trPr>
          <w:trHeight w:val="408"/>
        </w:trPr>
        <w:tc>
          <w:tcPr>
            <w:tcW w:w="9436" w:type="dxa"/>
            <w:gridSpan w:val="14"/>
            <w:tcBorders>
              <w:left w:val="single" w:sz="4" w:space="0" w:color="auto"/>
              <w:bottom w:val="single" w:sz="4" w:space="0" w:color="auto"/>
              <w:right w:val="single" w:sz="4" w:space="0" w:color="auto"/>
            </w:tcBorders>
            <w:vAlign w:val="center"/>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7456F1" w:rsidRPr="00BE4199" w:rsidTr="00A56E05">
        <w:trPr>
          <w:trHeight w:val="55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Servicios de Salud de Oaxaca</w:t>
            </w:r>
          </w:p>
        </w:tc>
      </w:tr>
      <w:tr w:rsidR="007456F1" w:rsidRPr="00BE4199" w:rsidTr="00A56E05">
        <w:trPr>
          <w:trHeight w:val="55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7456F1" w:rsidRPr="00BE4199" w:rsidTr="00A56E05">
        <w:trPr>
          <w:trHeight w:val="274"/>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6F1" w:rsidRPr="00BE4199"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Dr. Germán de Jesús Tenorio Vasconcelos</w:t>
            </w: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(951) 51 634 64</w:t>
            </w:r>
          </w:p>
          <w:p w:rsidR="007456F1" w:rsidRPr="0062525C"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drgermantenorio@salud-oaxaca.gob.mx</w:t>
            </w:r>
          </w:p>
        </w:tc>
        <w:tc>
          <w:tcPr>
            <w:tcW w:w="4604" w:type="dxa"/>
            <w:gridSpan w:val="7"/>
            <w:tcBorders>
              <w:top w:val="single" w:sz="4" w:space="0" w:color="auto"/>
              <w:left w:val="nil"/>
              <w:bottom w:val="single" w:sz="4" w:space="0" w:color="auto"/>
              <w:right w:val="single" w:sz="4" w:space="0" w:color="000000"/>
            </w:tcBorders>
            <w:shd w:val="clear" w:color="auto" w:fill="auto"/>
            <w:hideMark/>
          </w:tcPr>
          <w:p w:rsidR="007456F1" w:rsidRDefault="007456F1"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Unidad administrativa</w:t>
            </w:r>
          </w:p>
          <w:p w:rsidR="007456F1" w:rsidRPr="00BE4199" w:rsidRDefault="007456F1"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 xml:space="preserve"> Dirección General de Servicios de Salud de Oaxaca </w:t>
            </w:r>
          </w:p>
        </w:tc>
      </w:tr>
      <w:tr w:rsidR="007456F1" w:rsidRPr="00BE4199" w:rsidTr="00A56E05">
        <w:trPr>
          <w:trHeight w:val="75"/>
        </w:trPr>
        <w:tc>
          <w:tcPr>
            <w:tcW w:w="999" w:type="dxa"/>
            <w:gridSpan w:val="2"/>
            <w:tcBorders>
              <w:top w:val="nil"/>
              <w:left w:val="nil"/>
              <w:bottom w:val="nil"/>
              <w:right w:val="nil"/>
            </w:tcBorders>
            <w:shd w:val="clear" w:color="auto" w:fill="auto"/>
            <w:hideMark/>
          </w:tcPr>
          <w:p w:rsidR="007456F1" w:rsidRPr="00BE4199" w:rsidRDefault="007456F1"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hideMark/>
          </w:tcPr>
          <w:p w:rsidR="007456F1" w:rsidRPr="00BE4199" w:rsidRDefault="007456F1"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hideMark/>
          </w:tcPr>
          <w:p w:rsidR="007456F1" w:rsidRPr="00BE4199" w:rsidRDefault="007456F1" w:rsidP="00A56E05">
            <w:pPr>
              <w:rPr>
                <w:rFonts w:ascii="Adobe Caslon Pro" w:hAnsi="Adobe Caslon Pro" w:cs="Calibri"/>
                <w:color w:val="000000"/>
                <w:sz w:val="20"/>
                <w:szCs w:val="20"/>
                <w:lang w:eastAsia="es-MX"/>
              </w:rPr>
            </w:pPr>
          </w:p>
        </w:tc>
        <w:tc>
          <w:tcPr>
            <w:tcW w:w="2526" w:type="dxa"/>
            <w:gridSpan w:val="5"/>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hideMark/>
          </w:tcPr>
          <w:p w:rsidR="007456F1" w:rsidRPr="00BE4199" w:rsidRDefault="007456F1" w:rsidP="00A56E05">
            <w:pPr>
              <w:jc w:val="center"/>
              <w:rPr>
                <w:rFonts w:ascii="Adobe Caslon Pro" w:hAnsi="Adobe Caslon Pro" w:cs="Calibri"/>
                <w:color w:val="000000"/>
                <w:sz w:val="20"/>
                <w:szCs w:val="20"/>
                <w:lang w:eastAsia="es-MX"/>
              </w:rPr>
            </w:pPr>
          </w:p>
        </w:tc>
      </w:tr>
      <w:tr w:rsidR="007456F1" w:rsidRPr="00BE4199" w:rsidTr="00A56E05">
        <w:trPr>
          <w:trHeight w:val="420"/>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6.1 Tipo de contratación:</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Pr>
                <w:rFonts w:ascii="Adobe Caslon Pro" w:hAnsi="Adobe Caslon Pro" w:cs="Calibri"/>
                <w:color w:val="000000"/>
                <w:sz w:val="20"/>
                <w:szCs w:val="20"/>
                <w:lang w:eastAsia="es-MX"/>
              </w:rPr>
              <w:t>___ 6.1.5 Otro: C</w:t>
            </w:r>
            <w:r w:rsidRPr="000D3BE9">
              <w:rPr>
                <w:rFonts w:ascii="Adobe Caslon Pro" w:hAnsi="Adobe Caslon Pro" w:cs="Calibri"/>
                <w:color w:val="000000"/>
                <w:sz w:val="20"/>
                <w:szCs w:val="20"/>
                <w:lang w:eastAsia="es-MX"/>
              </w:rPr>
              <w:t>onveni</w:t>
            </w:r>
            <w:r>
              <w:rPr>
                <w:rFonts w:ascii="Adobe Caslon Pro" w:hAnsi="Adobe Caslon Pro" w:cs="Calibri"/>
                <w:color w:val="000000"/>
                <w:sz w:val="20"/>
                <w:szCs w:val="20"/>
                <w:lang w:eastAsia="es-MX"/>
              </w:rPr>
              <w:t>o de colaboración institucional</w:t>
            </w:r>
          </w:p>
        </w:tc>
      </w:tr>
      <w:tr w:rsidR="007456F1" w:rsidRPr="00BE4199" w:rsidTr="00A56E05">
        <w:trPr>
          <w:trHeight w:val="39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Pr>
                <w:rFonts w:ascii="Times New Roman" w:hAnsi="Times New Roman"/>
                <w:color w:val="000000"/>
                <w:sz w:val="20"/>
                <w:szCs w:val="20"/>
                <w:lang w:eastAsia="es-MX"/>
              </w:rPr>
              <w:t> </w:t>
            </w:r>
            <w:r w:rsidRPr="00BE4199">
              <w:rPr>
                <w:rFonts w:ascii="Adobe Caslon Pro" w:hAnsi="Adobe Caslon Pro" w:cs="Calibri"/>
                <w:color w:val="000000"/>
                <w:sz w:val="20"/>
                <w:szCs w:val="20"/>
                <w:lang w:eastAsia="es-MX"/>
              </w:rPr>
              <w:t xml:space="preserve">Costo total de la evaluación:    </w:t>
            </w:r>
            <w:r w:rsidRPr="00BE4199">
              <w:rPr>
                <w:rFonts w:ascii="Adobe Caslon Pro" w:hAnsi="Adobe Caslon Pro" w:cs="Calibri"/>
                <w:i/>
                <w:color w:val="000000"/>
                <w:sz w:val="20"/>
                <w:szCs w:val="20"/>
                <w:lang w:eastAsia="es-MX"/>
              </w:rPr>
              <w:t>$ 960,000.00 (Novecientos sesenta mil pesos 00/100 M.N.) El costo corresponde a la evaluación de ocho Fondos de Aportaciones del Ramo General 33</w:t>
            </w:r>
            <w:r w:rsidRPr="00BE4199">
              <w:rPr>
                <w:rFonts w:ascii="Adobe Caslon Pro" w:hAnsi="Adobe Caslon Pro" w:cs="Calibri"/>
                <w:color w:val="000000"/>
                <w:sz w:val="20"/>
                <w:szCs w:val="20"/>
                <w:lang w:eastAsia="es-MX"/>
              </w:rPr>
              <w:t>.</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7456F1" w:rsidRPr="00BE4199" w:rsidRDefault="007456F1"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7456F1" w:rsidRPr="00BE4199" w:rsidTr="00A56E05">
        <w:trPr>
          <w:trHeight w:val="162"/>
        </w:trPr>
        <w:tc>
          <w:tcPr>
            <w:tcW w:w="999"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BE4199" w:rsidRDefault="007456F1" w:rsidP="00A56E05">
            <w:pPr>
              <w:rPr>
                <w:rFonts w:ascii="Adobe Caslon Pro" w:hAnsi="Adobe Caslon Pro" w:cs="Calibri"/>
                <w:color w:val="000000"/>
                <w:sz w:val="20"/>
                <w:szCs w:val="20"/>
                <w:lang w:eastAsia="es-MX"/>
              </w:rPr>
            </w:pPr>
          </w:p>
        </w:tc>
      </w:tr>
      <w:tr w:rsidR="007456F1" w:rsidRPr="00BE4199" w:rsidTr="00A56E05">
        <w:trPr>
          <w:trHeight w:val="420"/>
        </w:trPr>
        <w:tc>
          <w:tcPr>
            <w:tcW w:w="4973"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7456F1" w:rsidRPr="00BE4199" w:rsidRDefault="007456F1"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BE4199" w:rsidRDefault="007456F1"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7456F1" w:rsidRDefault="009B1A50" w:rsidP="00A56E05">
            <w:pPr>
              <w:rPr>
                <w:rFonts w:ascii="Adobe Caslon Pro" w:hAnsi="Adobe Caslon Pro" w:cs="Calibri"/>
                <w:color w:val="000000"/>
                <w:sz w:val="20"/>
                <w:szCs w:val="20"/>
                <w:lang w:eastAsia="es-MX"/>
              </w:rPr>
            </w:pPr>
            <w:hyperlink r:id="rId173"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642484" w:rsidRDefault="009B1A50" w:rsidP="00A56E05">
            <w:pPr>
              <w:rPr>
                <w:rFonts w:ascii="Adobe Caslon Pro" w:hAnsi="Adobe Caslon Pro" w:cs="Calibri"/>
                <w:color w:val="000000"/>
                <w:sz w:val="20"/>
                <w:szCs w:val="20"/>
                <w:lang w:eastAsia="es-MX"/>
              </w:rPr>
            </w:pPr>
            <w:hyperlink r:id="rId174" w:history="1">
              <w:r w:rsidR="007456F1" w:rsidRPr="002F7F93">
                <w:rPr>
                  <w:rStyle w:val="Hipervnculo"/>
                  <w:rFonts w:ascii="Adobe Caslon Pro" w:hAnsi="Adobe Caslon Pro" w:cs="Calibri"/>
                  <w:sz w:val="20"/>
                  <w:szCs w:val="20"/>
                  <w:lang w:eastAsia="es-MX"/>
                </w:rPr>
                <w:t>http://www.transparenciapresupuestaria.oaxaca.gob.mx/05_ev1_eprogramas.php</w:t>
              </w:r>
            </w:hyperlink>
          </w:p>
        </w:tc>
      </w:tr>
      <w:tr w:rsidR="007456F1"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7.2  Difusión en internet del formato:</w:t>
            </w:r>
          </w:p>
          <w:p w:rsidR="007456F1" w:rsidRDefault="009B1A50" w:rsidP="00A56E05">
            <w:pPr>
              <w:rPr>
                <w:rFonts w:ascii="Adobe Caslon Pro" w:hAnsi="Adobe Caslon Pro" w:cs="Calibri"/>
                <w:color w:val="000000"/>
                <w:sz w:val="20"/>
                <w:szCs w:val="20"/>
                <w:lang w:eastAsia="es-MX"/>
              </w:rPr>
            </w:pPr>
            <w:hyperlink r:id="rId175"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642484" w:rsidRDefault="007456F1" w:rsidP="00A56E05">
            <w:pPr>
              <w:rPr>
                <w:rFonts w:ascii="Adobe Caslon Pro" w:hAnsi="Adobe Caslon Pro" w:cs="Calibri"/>
                <w:color w:val="000000"/>
                <w:sz w:val="20"/>
                <w:szCs w:val="20"/>
                <w:lang w:eastAsia="es-MX"/>
              </w:rPr>
            </w:pPr>
          </w:p>
        </w:tc>
      </w:tr>
    </w:tbl>
    <w:p w:rsidR="007456F1" w:rsidRPr="00066E84" w:rsidRDefault="007456F1" w:rsidP="007456F1">
      <w:pPr>
        <w:rPr>
          <w:rFonts w:ascii="Adobe Caslon Pro" w:hAnsi="Adobe Caslon Pro"/>
          <w:b/>
          <w:sz w:val="20"/>
          <w:szCs w:val="20"/>
          <w:lang w:eastAsia="es-MX"/>
        </w:rPr>
      </w:pPr>
    </w:p>
    <w:p w:rsidR="007456F1" w:rsidRDefault="007456F1" w:rsidP="007456F1">
      <w:pPr>
        <w:autoSpaceDE w:val="0"/>
        <w:autoSpaceDN w:val="0"/>
        <w:adjustRightInd w:val="0"/>
        <w:jc w:val="both"/>
        <w:rPr>
          <w:rFonts w:cs="Calibri"/>
          <w:sz w:val="16"/>
          <w:szCs w:val="16"/>
        </w:rPr>
      </w:pPr>
    </w:p>
    <w:p w:rsidR="007456F1" w:rsidRDefault="007456F1">
      <w:pPr>
        <w:rPr>
          <w:rFonts w:ascii="Arial" w:hAnsi="Arial" w:cs="Arial"/>
          <w:b/>
        </w:rPr>
      </w:pPr>
      <w:r>
        <w:rPr>
          <w:rFonts w:ascii="Arial" w:hAnsi="Arial" w:cs="Arial"/>
          <w:b/>
        </w:rPr>
        <w:br w:type="page"/>
      </w:r>
    </w:p>
    <w:p w:rsidR="007456F1" w:rsidRPr="007456F1" w:rsidRDefault="00A225C2" w:rsidP="007456F1">
      <w:pPr>
        <w:pStyle w:val="Prrafodelista"/>
        <w:ind w:left="0"/>
        <w:jc w:val="both"/>
        <w:rPr>
          <w:rFonts w:ascii="Arial" w:hAnsi="Arial" w:cs="Arial"/>
          <w:b/>
          <w:sz w:val="24"/>
          <w:szCs w:val="24"/>
          <w:lang w:val="es-ES"/>
        </w:rPr>
      </w:pPr>
      <w:r w:rsidRPr="007456F1">
        <w:rPr>
          <w:rFonts w:ascii="Arial" w:hAnsi="Arial" w:cs="Arial"/>
          <w:b/>
          <w:sz w:val="24"/>
          <w:szCs w:val="24"/>
          <w:lang w:val="es-ES"/>
        </w:rPr>
        <w:lastRenderedPageBreak/>
        <w:t>14.</w:t>
      </w:r>
      <w:r w:rsidR="0072684E">
        <w:rPr>
          <w:rFonts w:ascii="Arial" w:hAnsi="Arial" w:cs="Arial"/>
          <w:b/>
          <w:sz w:val="24"/>
          <w:szCs w:val="24"/>
          <w:lang w:val="es-ES"/>
        </w:rPr>
        <w:t>2</w:t>
      </w:r>
      <w:r w:rsidRPr="007456F1">
        <w:rPr>
          <w:rFonts w:ascii="Arial" w:hAnsi="Arial" w:cs="Arial"/>
          <w:b/>
          <w:sz w:val="24"/>
          <w:szCs w:val="24"/>
          <w:lang w:val="es-ES"/>
        </w:rPr>
        <w:t>.1</w:t>
      </w:r>
      <w:r w:rsidR="00FB524A">
        <w:rPr>
          <w:rFonts w:ascii="Arial" w:hAnsi="Arial" w:cs="Arial"/>
          <w:b/>
          <w:sz w:val="24"/>
          <w:szCs w:val="24"/>
          <w:lang w:val="es-ES"/>
        </w:rPr>
        <w:t>5</w:t>
      </w:r>
      <w:r w:rsidRPr="007456F1">
        <w:rPr>
          <w:rFonts w:ascii="Arial" w:hAnsi="Arial" w:cs="Arial"/>
          <w:b/>
          <w:sz w:val="24"/>
          <w:szCs w:val="24"/>
          <w:lang w:val="es-ES"/>
        </w:rPr>
        <w:t>.- FONDO DE APORTACIONES PARA LA INFRAESTRUCTURA SOCIAL ESTATAL (FISE)</w:t>
      </w:r>
    </w:p>
    <w:p w:rsidR="007456F1" w:rsidRDefault="007456F1" w:rsidP="007456F1">
      <w:pPr>
        <w:pStyle w:val="Prrafodelista"/>
        <w:ind w:left="0"/>
        <w:jc w:val="center"/>
        <w:rPr>
          <w:rFonts w:ascii="Adobe Caslon Pro" w:hAnsi="Adobe Caslon Pro" w:cs="Calibri"/>
          <w:i/>
          <w:color w:val="000000"/>
          <w:lang w:eastAsia="es-MX"/>
        </w:rPr>
      </w:pPr>
    </w:p>
    <w:tbl>
      <w:tblPr>
        <w:tblW w:w="9436" w:type="dxa"/>
        <w:jc w:val="center"/>
        <w:tblCellMar>
          <w:left w:w="70" w:type="dxa"/>
          <w:right w:w="70" w:type="dxa"/>
        </w:tblCellMar>
        <w:tblLook w:val="04A0"/>
      </w:tblPr>
      <w:tblGrid>
        <w:gridCol w:w="579"/>
        <w:gridCol w:w="420"/>
        <w:gridCol w:w="1955"/>
        <w:gridCol w:w="1311"/>
        <w:gridCol w:w="160"/>
        <w:gridCol w:w="237"/>
        <w:gridCol w:w="311"/>
        <w:gridCol w:w="667"/>
        <w:gridCol w:w="1311"/>
        <w:gridCol w:w="14"/>
        <w:gridCol w:w="1160"/>
        <w:gridCol w:w="151"/>
        <w:gridCol w:w="1160"/>
      </w:tblGrid>
      <w:tr w:rsidR="007456F1" w:rsidRPr="00CF5A67" w:rsidTr="00A56E05">
        <w:trPr>
          <w:trHeight w:val="420"/>
          <w:jc w:val="center"/>
        </w:trPr>
        <w:tc>
          <w:tcPr>
            <w:tcW w:w="5640"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7456F1" w:rsidRPr="00CF5A67" w:rsidRDefault="007456F1" w:rsidP="00A56E05">
            <w:pPr>
              <w:rPr>
                <w:rFonts w:ascii="Trajan Pro" w:hAnsi="Trajan Pro" w:cs="Calibri"/>
                <w:b/>
                <w:bCs/>
                <w:color w:val="000000"/>
                <w:sz w:val="20"/>
                <w:szCs w:val="20"/>
                <w:lang w:eastAsia="es-MX"/>
              </w:rPr>
            </w:pPr>
            <w:r w:rsidRPr="00CF5A67">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1.1 Nombre de la evaluación: </w:t>
            </w:r>
          </w:p>
          <w:p w:rsidR="007456F1" w:rsidRPr="00CF5A67" w:rsidRDefault="007456F1"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Evaluación Específica sobre la Orientación de los recursos del Fondo de Aportaciones para la Infraestructura Social Estatal (FISE)</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1.2 Fecha de inicio de la evaluación (</w:t>
            </w:r>
            <w:proofErr w:type="spellStart"/>
            <w:r w:rsidRPr="00CF5A67">
              <w:rPr>
                <w:rFonts w:ascii="Adobe Caslon Pro" w:hAnsi="Adobe Caslon Pro" w:cs="Calibri"/>
                <w:color w:val="000000"/>
                <w:sz w:val="20"/>
                <w:szCs w:val="20"/>
                <w:lang w:eastAsia="es-MX"/>
              </w:rPr>
              <w:t>dd</w:t>
            </w:r>
            <w:proofErr w:type="spellEnd"/>
            <w:r w:rsidRPr="00CF5A67">
              <w:rPr>
                <w:rFonts w:ascii="Adobe Caslon Pro" w:hAnsi="Adobe Caslon Pro" w:cs="Calibri"/>
                <w:color w:val="000000"/>
                <w:sz w:val="20"/>
                <w:szCs w:val="20"/>
                <w:lang w:eastAsia="es-MX"/>
              </w:rPr>
              <w:t>/mm/</w:t>
            </w:r>
            <w:proofErr w:type="spellStart"/>
            <w:r w:rsidRPr="00CF5A67">
              <w:rPr>
                <w:rFonts w:ascii="Adobe Caslon Pro" w:hAnsi="Adobe Caslon Pro" w:cs="Calibri"/>
                <w:color w:val="000000"/>
                <w:sz w:val="20"/>
                <w:szCs w:val="20"/>
                <w:lang w:eastAsia="es-MX"/>
              </w:rPr>
              <w:t>aaaa</w:t>
            </w:r>
            <w:proofErr w:type="spellEnd"/>
            <w:r w:rsidRPr="00CF5A67">
              <w:rPr>
                <w:rFonts w:ascii="Adobe Caslon Pro" w:hAnsi="Adobe Caslon Pro" w:cs="Calibri"/>
                <w:color w:val="000000"/>
                <w:sz w:val="20"/>
                <w:szCs w:val="20"/>
                <w:lang w:eastAsia="es-MX"/>
              </w:rPr>
              <w:t xml:space="preserve">): </w:t>
            </w:r>
            <w:r w:rsidRPr="00CF5A67">
              <w:rPr>
                <w:rFonts w:ascii="Adobe Caslon Pro" w:hAnsi="Adobe Caslon Pro" w:cs="Calibri"/>
                <w:i/>
                <w:color w:val="000000"/>
                <w:sz w:val="20"/>
                <w:szCs w:val="20"/>
                <w:lang w:eastAsia="es-MX"/>
              </w:rPr>
              <w:t>21/08/2014</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0C03C1">
              <w:rPr>
                <w:rFonts w:ascii="Adobe Caslon Pro" w:hAnsi="Adobe Caslon Pro" w:cs="Calibri"/>
                <w:color w:val="000000"/>
                <w:sz w:val="20"/>
                <w:szCs w:val="20"/>
                <w:lang w:eastAsia="es-MX"/>
              </w:rPr>
              <w:t>1.3 Fecha de término de la evaluación (</w:t>
            </w:r>
            <w:proofErr w:type="spellStart"/>
            <w:r w:rsidRPr="000C03C1">
              <w:rPr>
                <w:rFonts w:ascii="Adobe Caslon Pro" w:hAnsi="Adobe Caslon Pro" w:cs="Calibri"/>
                <w:color w:val="000000"/>
                <w:sz w:val="20"/>
                <w:szCs w:val="20"/>
                <w:lang w:eastAsia="es-MX"/>
              </w:rPr>
              <w:t>dd</w:t>
            </w:r>
            <w:proofErr w:type="spellEnd"/>
            <w:r w:rsidRPr="000C03C1">
              <w:rPr>
                <w:rFonts w:ascii="Adobe Caslon Pro" w:hAnsi="Adobe Caslon Pro" w:cs="Calibri"/>
                <w:color w:val="000000"/>
                <w:sz w:val="20"/>
                <w:szCs w:val="20"/>
                <w:lang w:eastAsia="es-MX"/>
              </w:rPr>
              <w:t>/mm/</w:t>
            </w:r>
            <w:proofErr w:type="spellStart"/>
            <w:r w:rsidRPr="000C03C1">
              <w:rPr>
                <w:rFonts w:ascii="Adobe Caslon Pro" w:hAnsi="Adobe Caslon Pro" w:cs="Calibri"/>
                <w:color w:val="000000"/>
                <w:sz w:val="20"/>
                <w:szCs w:val="20"/>
                <w:lang w:eastAsia="es-MX"/>
              </w:rPr>
              <w:t>aaaa</w:t>
            </w:r>
            <w:proofErr w:type="spellEnd"/>
            <w:r w:rsidRPr="000C03C1">
              <w:rPr>
                <w:rFonts w:ascii="Adobe Caslon Pro" w:hAnsi="Adobe Caslon Pro" w:cs="Calibri"/>
                <w:color w:val="000000"/>
                <w:sz w:val="20"/>
                <w:szCs w:val="20"/>
                <w:lang w:eastAsia="es-MX"/>
              </w:rPr>
              <w:t>):</w:t>
            </w:r>
            <w:r w:rsidRPr="00CF5A67">
              <w:rPr>
                <w:rFonts w:ascii="Adobe Caslon Pro" w:hAnsi="Adobe Caslon Pro" w:cs="Calibri"/>
                <w:color w:val="000000"/>
                <w:sz w:val="20"/>
                <w:szCs w:val="20"/>
                <w:lang w:eastAsia="es-MX"/>
              </w:rPr>
              <w:t xml:space="preserve"> </w:t>
            </w:r>
            <w:r w:rsidRPr="002A1891">
              <w:rPr>
                <w:rFonts w:ascii="Adobe Caslon Pro" w:hAnsi="Adobe Caslon Pro" w:cs="Calibri"/>
                <w:i/>
                <w:color w:val="000000"/>
                <w:sz w:val="20"/>
                <w:szCs w:val="20"/>
                <w:lang w:eastAsia="es-MX"/>
              </w:rPr>
              <w:t>09/04/2015</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7456F1" w:rsidRPr="00CF5A67"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Nombre:</w:t>
            </w:r>
          </w:p>
          <w:p w:rsidR="007456F1"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Mtro. Gonzalo Lapuente Sastre</w:t>
            </w:r>
          </w:p>
          <w:p w:rsidR="007456F1" w:rsidRPr="00CF5A67" w:rsidRDefault="007456F1" w:rsidP="00A56E05">
            <w:pPr>
              <w:rPr>
                <w:rFonts w:ascii="Adobe Caslon Pro" w:hAnsi="Adobe Caslon Pro" w:cs="Calibri"/>
                <w:i/>
                <w:color w:val="000000"/>
                <w:sz w:val="20"/>
                <w:szCs w:val="20"/>
                <w:lang w:eastAsia="es-MX"/>
              </w:rPr>
            </w:pPr>
          </w:p>
        </w:tc>
        <w:tc>
          <w:tcPr>
            <w:tcW w:w="4774" w:type="dxa"/>
            <w:gridSpan w:val="7"/>
            <w:tcBorders>
              <w:top w:val="single" w:sz="4" w:space="0" w:color="auto"/>
              <w:left w:val="single" w:sz="4" w:space="0" w:color="auto"/>
              <w:bottom w:val="single" w:sz="4" w:space="0" w:color="auto"/>
              <w:right w:val="single" w:sz="4" w:space="0" w:color="000000"/>
            </w:tcBorders>
            <w:shd w:val="clear" w:color="auto" w:fill="auto"/>
            <w:vAlign w:val="bottom"/>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 xml:space="preserve">Unidad administrativa: </w:t>
            </w:r>
          </w:p>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i/>
                <w:color w:val="000000"/>
                <w:sz w:val="20"/>
                <w:szCs w:val="20"/>
                <w:lang w:eastAsia="es-MX"/>
              </w:rPr>
              <w:t>Coordinación de Evaluación e Informes de la Jefatura de la Gubernatura del Gobierno del estado de Oaxaca.</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1.5 Objetivo general de la evaluación:</w:t>
            </w:r>
          </w:p>
          <w:p w:rsidR="007456F1" w:rsidRPr="00CF5A67" w:rsidRDefault="007456F1"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Coadyuvar en la Consolidación del Sistema de Evaluación del Desempeño en el Estado de Oaxaca, a través de identificar y analizar el grado de cumplimiento en la aplicación de los recursos de acuerdo a los objetivos para los cuales est</w:t>
            </w:r>
            <w:r>
              <w:rPr>
                <w:rFonts w:ascii="Adobe Caslon Pro" w:hAnsi="Adobe Caslon Pro" w:cs="Calibri"/>
                <w:i/>
                <w:color w:val="000000"/>
                <w:sz w:val="20"/>
                <w:szCs w:val="20"/>
                <w:lang w:eastAsia="es-MX"/>
              </w:rPr>
              <w:t xml:space="preserve">á destinado el Fondo de Aportaciones para la Infraestructura Social en su componente de Infraestructura Social Estatal (FISE) con la finalidad de </w:t>
            </w:r>
            <w:r w:rsidRPr="00BE0339">
              <w:rPr>
                <w:rFonts w:ascii="Adobe Caslon Pro" w:hAnsi="Adobe Caslon Pro" w:cs="Calibri"/>
                <w:i/>
                <w:color w:val="000000"/>
                <w:sz w:val="20"/>
                <w:lang w:eastAsia="es-MX"/>
              </w:rPr>
              <w:t>conocer cómo sus procesos conducen al logro de las metas y objetivo del fondo, así como detectar los problemas operativos a los que se enfrenta y las buenas prácticas que se realizan, de manera que se puedan emitir recomendaciones que permitan mejorar la gestión.</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1.6 Objetivos específicos de la evaluación:</w:t>
            </w:r>
          </w:p>
          <w:p w:rsidR="007456F1" w:rsidRDefault="007456F1"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w:t>
            </w:r>
            <w:r>
              <w:rPr>
                <w:rFonts w:ascii="Adobe Caslon Pro" w:hAnsi="Adobe Caslon Pro" w:cs="Calibri"/>
                <w:i/>
                <w:color w:val="000000"/>
                <w:sz w:val="20"/>
                <w:szCs w:val="20"/>
                <w:lang w:eastAsia="es-MX"/>
              </w:rPr>
              <w:tab/>
              <w:t>Describir las principales características del</w:t>
            </w:r>
            <w:r w:rsidRPr="00CF5A67">
              <w:rPr>
                <w:rFonts w:ascii="Adobe Caslon Pro" w:hAnsi="Adobe Caslon Pro" w:cs="Calibri"/>
                <w:i/>
                <w:color w:val="000000"/>
                <w:sz w:val="20"/>
                <w:szCs w:val="20"/>
                <w:lang w:eastAsia="es-MX"/>
              </w:rPr>
              <w:t xml:space="preserve"> fondo</w:t>
            </w:r>
            <w:r>
              <w:rPr>
                <w:rFonts w:ascii="Adobe Caslon Pro" w:hAnsi="Adobe Caslon Pro" w:cs="Calibri"/>
                <w:i/>
                <w:color w:val="000000"/>
                <w:sz w:val="20"/>
                <w:szCs w:val="20"/>
                <w:lang w:eastAsia="es-MX"/>
              </w:rPr>
              <w:t>.</w:t>
            </w:r>
          </w:p>
          <w:p w:rsidR="007456F1" w:rsidRPr="00CF5A67" w:rsidRDefault="007456F1"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w:t>
            </w:r>
            <w:r w:rsidRPr="00CF5A67">
              <w:rPr>
                <w:rFonts w:ascii="Adobe Caslon Pro" w:hAnsi="Adobe Caslon Pro" w:cs="Calibri"/>
                <w:i/>
                <w:color w:val="000000"/>
                <w:sz w:val="20"/>
                <w:szCs w:val="20"/>
                <w:lang w:eastAsia="es-MX"/>
              </w:rPr>
              <w:tab/>
              <w:t xml:space="preserve">Detectar aquellos procesos </w:t>
            </w:r>
            <w:r>
              <w:rPr>
                <w:rFonts w:ascii="Adobe Caslon Pro" w:hAnsi="Adobe Caslon Pro" w:cs="Calibri"/>
                <w:i/>
                <w:color w:val="000000"/>
                <w:sz w:val="20"/>
                <w:szCs w:val="20"/>
                <w:lang w:eastAsia="es-MX"/>
              </w:rPr>
              <w:t xml:space="preserve">de ejecución establecidos que </w:t>
            </w:r>
            <w:r w:rsidRPr="00CF5A67">
              <w:rPr>
                <w:rFonts w:ascii="Adobe Caslon Pro" w:hAnsi="Adobe Caslon Pro" w:cs="Calibri"/>
                <w:i/>
                <w:color w:val="000000"/>
                <w:sz w:val="20"/>
                <w:szCs w:val="20"/>
                <w:lang w:eastAsia="es-MX"/>
              </w:rPr>
              <w:t xml:space="preserve">estén presentando desviaciones y que estén afectando en alguna medida, el desempeño eficaz del fondo. </w:t>
            </w:r>
          </w:p>
          <w:p w:rsidR="007456F1" w:rsidRPr="00CF5A67" w:rsidRDefault="007456F1"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w:t>
            </w:r>
            <w:r w:rsidRPr="00CF5A67">
              <w:rPr>
                <w:rFonts w:ascii="Adobe Caslon Pro" w:hAnsi="Adobe Caslon Pro" w:cs="Calibri"/>
                <w:i/>
                <w:color w:val="000000"/>
                <w:sz w:val="20"/>
                <w:szCs w:val="20"/>
                <w:lang w:eastAsia="es-MX"/>
              </w:rPr>
              <w:tab/>
              <w:t xml:space="preserve">Identificar y describir las fortalezas, oportunidades, debilidades y </w:t>
            </w:r>
            <w:r>
              <w:rPr>
                <w:rFonts w:ascii="Adobe Caslon Pro" w:hAnsi="Adobe Caslon Pro" w:cs="Calibri"/>
                <w:i/>
                <w:color w:val="000000"/>
                <w:sz w:val="20"/>
                <w:szCs w:val="20"/>
                <w:lang w:eastAsia="es-MX"/>
              </w:rPr>
              <w:t>recomendaciones</w:t>
            </w:r>
            <w:r w:rsidRPr="00CF5A67">
              <w:rPr>
                <w:rFonts w:ascii="Adobe Caslon Pro" w:hAnsi="Adobe Caslon Pro" w:cs="Calibri"/>
                <w:i/>
                <w:color w:val="000000"/>
                <w:sz w:val="20"/>
                <w:szCs w:val="20"/>
                <w:lang w:eastAsia="es-MX"/>
              </w:rPr>
              <w:t xml:space="preserve"> del fondo.</w:t>
            </w:r>
          </w:p>
          <w:p w:rsidR="007456F1" w:rsidRPr="00CF5A67" w:rsidRDefault="007456F1"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w:t>
            </w:r>
            <w:r w:rsidRPr="00CF5A67">
              <w:rPr>
                <w:rFonts w:ascii="Adobe Caslon Pro" w:hAnsi="Adobe Caslon Pro" w:cs="Calibri"/>
                <w:i/>
                <w:color w:val="000000"/>
                <w:sz w:val="20"/>
                <w:szCs w:val="20"/>
                <w:lang w:eastAsia="es-MX"/>
              </w:rPr>
              <w:tab/>
              <w:t>Elaborar recomendaciones específicas para que el fondo ponga en operación, o mejore la entrega de los recursos con oportunidad, con el fin de alcanzar sus objetivos.</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1.7 Metodología utilizada en la evaluación:</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Instrumentos de recolección de información: </w:t>
            </w:r>
          </w:p>
        </w:tc>
      </w:tr>
      <w:tr w:rsidR="007456F1" w:rsidRPr="00CF5A67" w:rsidTr="00A56E05">
        <w:trPr>
          <w:trHeight w:val="420"/>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 xml:space="preserve"> Cuestionarios__   </w:t>
            </w:r>
            <w:proofErr w:type="spellStart"/>
            <w:r w:rsidRPr="00CF5A67">
              <w:rPr>
                <w:rFonts w:ascii="Adobe Caslon Pro" w:hAnsi="Adobe Caslon Pro" w:cs="Calibri"/>
                <w:color w:val="000000"/>
                <w:sz w:val="20"/>
                <w:szCs w:val="20"/>
                <w:lang w:eastAsia="es-MX"/>
              </w:rPr>
              <w:t>Entrevistas_X</w:t>
            </w:r>
            <w:proofErr w:type="spellEnd"/>
            <w:r w:rsidRPr="00CF5A67">
              <w:rPr>
                <w:rFonts w:ascii="Adobe Caslon Pro" w:hAnsi="Adobe Caslon Pro" w:cs="Calibri"/>
                <w:color w:val="000000"/>
                <w:sz w:val="20"/>
                <w:szCs w:val="20"/>
                <w:lang w:eastAsia="es-MX"/>
              </w:rPr>
              <w:t xml:space="preserve">_   Formatos__   </w:t>
            </w:r>
            <w:proofErr w:type="spellStart"/>
            <w:r w:rsidRPr="00CF5A67">
              <w:rPr>
                <w:rFonts w:ascii="Adobe Caslon Pro" w:hAnsi="Adobe Caslon Pro" w:cs="Calibri"/>
                <w:color w:val="000000"/>
                <w:sz w:val="20"/>
                <w:szCs w:val="20"/>
                <w:lang w:eastAsia="es-MX"/>
              </w:rPr>
              <w:t>Otros_X</w:t>
            </w:r>
            <w:proofErr w:type="spellEnd"/>
            <w:r w:rsidRPr="00CF5A67">
              <w:rPr>
                <w:rFonts w:ascii="Adobe Caslon Pro" w:hAnsi="Adobe Caslon Pro" w:cs="Calibri"/>
                <w:color w:val="000000"/>
                <w:sz w:val="20"/>
                <w:szCs w:val="20"/>
                <w:lang w:eastAsia="es-MX"/>
              </w:rPr>
              <w:t>_  Especifique:</w:t>
            </w:r>
            <w:r w:rsidRPr="00CF5A67">
              <w:rPr>
                <w:rFonts w:ascii="Adobe Caslon Pro" w:hAnsi="Adobe Caslon Pro" w:cs="Calibri"/>
                <w:color w:val="000000"/>
                <w:sz w:val="20"/>
                <w:szCs w:val="20"/>
                <w:lang w:eastAsia="es-MX"/>
              </w:rPr>
              <w:softHyphen/>
            </w:r>
            <w:r w:rsidRPr="00CF5A67">
              <w:rPr>
                <w:rFonts w:ascii="Adobe Caslon Pro" w:hAnsi="Adobe Caslon Pro" w:cs="Calibri"/>
                <w:color w:val="000000"/>
                <w:sz w:val="20"/>
                <w:szCs w:val="20"/>
                <w:lang w:eastAsia="es-MX"/>
              </w:rPr>
              <w:softHyphen/>
            </w:r>
            <w:r w:rsidRPr="00CF5A67">
              <w:rPr>
                <w:rFonts w:ascii="Adobe Caslon Pro" w:hAnsi="Adobe Caslon Pro" w:cs="Calibri"/>
                <w:color w:val="000000"/>
                <w:sz w:val="20"/>
                <w:szCs w:val="20"/>
                <w:lang w:eastAsia="es-MX"/>
              </w:rPr>
              <w:softHyphen/>
            </w:r>
            <w:r w:rsidRPr="00CF5A67">
              <w:rPr>
                <w:rFonts w:ascii="Adobe Caslon Pro" w:hAnsi="Adobe Caslon Pro" w:cs="Calibri"/>
                <w:color w:val="000000"/>
                <w:sz w:val="20"/>
                <w:szCs w:val="20"/>
                <w:lang w:eastAsia="es-MX"/>
              </w:rPr>
              <w:softHyphen/>
            </w:r>
            <w:r w:rsidRPr="00CF5A67">
              <w:rPr>
                <w:rFonts w:ascii="Adobe Caslon Pro" w:hAnsi="Adobe Caslon Pro" w:cs="Calibri"/>
                <w:color w:val="000000"/>
                <w:sz w:val="20"/>
                <w:szCs w:val="20"/>
                <w:lang w:eastAsia="es-MX"/>
              </w:rPr>
              <w:softHyphen/>
            </w:r>
            <w:r w:rsidRPr="00CF5A67">
              <w:rPr>
                <w:rFonts w:ascii="Adobe Caslon Pro" w:hAnsi="Adobe Caslon Pro" w:cs="Calibri"/>
                <w:color w:val="000000"/>
                <w:sz w:val="20"/>
                <w:szCs w:val="20"/>
                <w:lang w:eastAsia="es-MX"/>
              </w:rPr>
              <w:softHyphen/>
            </w:r>
          </w:p>
          <w:p w:rsidR="007456F1" w:rsidRDefault="007456F1"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 web.</w:t>
            </w:r>
          </w:p>
          <w:p w:rsidR="007456F1" w:rsidRPr="00CF5A67" w:rsidRDefault="007456F1"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Entrevistas in situ con los responsables y/o personal de las unidades de la dependencia o entidad responsable del fondo, con la finalidad de complementar la información primaria</w:t>
            </w:r>
            <w:r>
              <w:rPr>
                <w:rFonts w:ascii="Adobe Caslon Pro" w:hAnsi="Adobe Caslon Pro" w:cs="Calibri"/>
                <w:i/>
                <w:color w:val="000000"/>
                <w:sz w:val="20"/>
                <w:szCs w:val="20"/>
                <w:lang w:eastAsia="es-MX"/>
              </w:rPr>
              <w:t xml:space="preserve"> (en caso de ser necesario)</w:t>
            </w:r>
          </w:p>
        </w:tc>
      </w:tr>
      <w:tr w:rsidR="007456F1" w:rsidRPr="00CF5A67" w:rsidTr="00A56E05">
        <w:trPr>
          <w:trHeight w:val="599"/>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Descripción de las técnicas y modelos utilizados: </w:t>
            </w:r>
          </w:p>
          <w:p w:rsidR="007456F1" w:rsidRDefault="007456F1"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 xml:space="preserve">nes y el proceso presupuestario, los cuales se encuentran en los Términos de Referencia en la siguiente liga: </w:t>
            </w:r>
            <w:hyperlink r:id="rId176" w:history="1">
              <w:r w:rsidRPr="002F7F93">
                <w:rPr>
                  <w:rStyle w:val="Hipervnculo"/>
                  <w:rFonts w:ascii="Adobe Caslon Pro" w:hAnsi="Adobe Caslon Pro" w:cs="Calibri"/>
                  <w:i/>
                  <w:sz w:val="20"/>
                  <w:szCs w:val="20"/>
                  <w:lang w:eastAsia="es-MX"/>
                </w:rPr>
                <w:t>http://www.jefaturadelagubernatura-evaluacion.oaxaca.gob.mx/index.php/pae-sidepanel/pae-2014</w:t>
              </w:r>
            </w:hyperlink>
          </w:p>
          <w:p w:rsidR="007456F1" w:rsidRDefault="007456F1" w:rsidP="00A56E05">
            <w:pPr>
              <w:rPr>
                <w:rFonts w:ascii="Adobe Caslon Pro" w:hAnsi="Adobe Caslon Pro" w:cs="Calibri"/>
                <w:i/>
                <w:color w:val="000000"/>
                <w:sz w:val="20"/>
                <w:szCs w:val="20"/>
                <w:lang w:eastAsia="es-MX"/>
              </w:rPr>
            </w:pPr>
          </w:p>
          <w:p w:rsidR="007456F1"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Base de datos de gabinete utilizados para el análisis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Ficha Técnica del Fondo.</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Calendario de Ejecución del Recurso del Fondo.</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Listado de Indicadores del Fondo.</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lastRenderedPageBreak/>
              <w:t>Presupuesto Aprobado y Ejercido.</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Recursos no Devengados.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Resultados Reportados.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Ley de Coordinación Fiscal.</w:t>
            </w:r>
          </w:p>
          <w:p w:rsidR="007456F1" w:rsidRPr="00EC3997" w:rsidRDefault="007456F1" w:rsidP="00F075EB">
            <w:pPr>
              <w:numPr>
                <w:ilvl w:val="0"/>
                <w:numId w:val="105"/>
              </w:numPr>
              <w:autoSpaceDE w:val="0"/>
              <w:autoSpaceDN w:val="0"/>
              <w:adjustRightInd w:val="0"/>
              <w:rPr>
                <w:rFonts w:ascii="MyriadPro-Regular" w:hAnsi="MyriadPro-Regular" w:cs="MyriadPro-Regular"/>
                <w:i/>
                <w:sz w:val="20"/>
                <w:szCs w:val="20"/>
                <w:lang w:eastAsia="es-MX"/>
              </w:rPr>
            </w:pPr>
            <w:r w:rsidRPr="00EC3997">
              <w:rPr>
                <w:rFonts w:ascii="Adobe Caslon Pro" w:hAnsi="Adobe Caslon Pro" w:cs="Calibri"/>
                <w:color w:val="000000"/>
                <w:sz w:val="20"/>
                <w:szCs w:val="20"/>
                <w:lang w:eastAsia="es-MX"/>
              </w:rPr>
              <w:t>Programa Estatal de Vivienda</w:t>
            </w:r>
            <w:r w:rsidRPr="00EC3997">
              <w:rPr>
                <w:rFonts w:ascii="MyriadPro-Regular" w:hAnsi="MyriadPro-Regular" w:cs="MyriadPro-Regular"/>
                <w:i/>
                <w:sz w:val="20"/>
                <w:szCs w:val="20"/>
                <w:lang w:eastAsia="es-MX"/>
              </w:rPr>
              <w:t>.</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Programa Operativo Anual del Instituto del Patrimonio Cultural del</w:t>
            </w:r>
            <w:r>
              <w:rPr>
                <w:rFonts w:ascii="Adobe Caslon Pro" w:hAnsi="Adobe Caslon Pro" w:cs="Calibri"/>
                <w:color w:val="000000"/>
                <w:sz w:val="20"/>
                <w:szCs w:val="20"/>
                <w:lang w:eastAsia="es-MX"/>
              </w:rPr>
              <w:t xml:space="preserve"> </w:t>
            </w:r>
            <w:r w:rsidRPr="00EC3997">
              <w:rPr>
                <w:rFonts w:ascii="Adobe Caslon Pro" w:hAnsi="Adobe Caslon Pro" w:cs="Calibri"/>
                <w:color w:val="000000"/>
                <w:sz w:val="20"/>
                <w:szCs w:val="20"/>
                <w:lang w:eastAsia="es-MX"/>
              </w:rPr>
              <w:t>Estado de Oaxaca.</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Programa Operativo Anual de la Comisión Estatal del Agua.</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Plan Indicativo Sectorial, Sector Caminos.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Plan Estratégico Sectorial Transporte, subsector Caminos.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Reportes Financieros.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Actas de Entrega Recepción del Recurso del Fondo.</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Lineamientos para el Reporte del Ejercicio de los Recursos del Fondo.</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Lineamientos para la Operación de los Programas y Proyectos de</w:t>
            </w:r>
            <w:r>
              <w:rPr>
                <w:rFonts w:ascii="Adobe Caslon Pro" w:hAnsi="Adobe Caslon Pro" w:cs="Calibri"/>
                <w:color w:val="000000"/>
                <w:sz w:val="20"/>
                <w:szCs w:val="20"/>
                <w:lang w:eastAsia="es-MX"/>
              </w:rPr>
              <w:t xml:space="preserve"> </w:t>
            </w:r>
            <w:r w:rsidRPr="00EC3997">
              <w:rPr>
                <w:rFonts w:ascii="Adobe Caslon Pro" w:hAnsi="Adobe Caslon Pro" w:cs="Calibri"/>
                <w:color w:val="000000"/>
                <w:sz w:val="20"/>
                <w:szCs w:val="20"/>
                <w:lang w:eastAsia="es-MX"/>
              </w:rPr>
              <w:t>Inversión Pública.</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 xml:space="preserve">Manual de Planeación. Programación y </w:t>
            </w:r>
            <w:proofErr w:type="spellStart"/>
            <w:r w:rsidRPr="00EC3997">
              <w:rPr>
                <w:rFonts w:ascii="Adobe Caslon Pro" w:hAnsi="Adobe Caslon Pro" w:cs="Calibri"/>
                <w:color w:val="000000"/>
                <w:sz w:val="20"/>
                <w:szCs w:val="20"/>
                <w:lang w:eastAsia="es-MX"/>
              </w:rPr>
              <w:t>Presupuestación</w:t>
            </w:r>
            <w:proofErr w:type="spellEnd"/>
            <w:r w:rsidRPr="00EC3997">
              <w:rPr>
                <w:rFonts w:ascii="Adobe Caslon Pro" w:hAnsi="Adobe Caslon Pro" w:cs="Calibri"/>
                <w:color w:val="000000"/>
                <w:sz w:val="20"/>
                <w:szCs w:val="20"/>
                <w:lang w:eastAsia="es-MX"/>
              </w:rPr>
              <w:t>.</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Documento que Indica la Recepción de los Recursos.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Diario Oficial: Distribución y Calendarización para la Ministración de los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Recursos del 2013 correspondientes del Ramo 33.</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Reporte de Cuenta y Estados Financieros.</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Plan Estatal de Desarrollo.</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Programa Estatal de Financiamiento del Desarrollo.</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Ficha Técnica de Indicadores del FISE.</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Documento del Costo Financiamiento, Deuda Pública FISE.</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Formato de Resultados PASH.</w:t>
            </w:r>
          </w:p>
          <w:p w:rsidR="007456F1" w:rsidRPr="00EC3997" w:rsidRDefault="007456F1" w:rsidP="00F075EB">
            <w:pPr>
              <w:numPr>
                <w:ilvl w:val="0"/>
                <w:numId w:val="105"/>
              </w:numPr>
              <w:autoSpaceDE w:val="0"/>
              <w:autoSpaceDN w:val="0"/>
              <w:adjustRightInd w:val="0"/>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Ley de Planeación del Estado de Oaxaca.</w:t>
            </w:r>
          </w:p>
          <w:p w:rsidR="007456F1" w:rsidRPr="00202BEE" w:rsidRDefault="007456F1" w:rsidP="00F075EB">
            <w:pPr>
              <w:numPr>
                <w:ilvl w:val="0"/>
                <w:numId w:val="105"/>
              </w:numPr>
              <w:rPr>
                <w:rFonts w:ascii="Adobe Caslon Pro" w:hAnsi="Adobe Caslon Pro" w:cs="Calibri"/>
                <w:color w:val="000000"/>
                <w:sz w:val="20"/>
                <w:szCs w:val="20"/>
                <w:lang w:eastAsia="es-MX"/>
              </w:rPr>
            </w:pPr>
            <w:r w:rsidRPr="00EC3997">
              <w:rPr>
                <w:rFonts w:ascii="Adobe Caslon Pro" w:hAnsi="Adobe Caslon Pro" w:cs="Calibri"/>
                <w:color w:val="000000"/>
                <w:sz w:val="20"/>
                <w:szCs w:val="20"/>
                <w:lang w:eastAsia="es-MX"/>
              </w:rPr>
              <w:t>Ley Federal de Presupuesto y Responsabilidad Hacend</w:t>
            </w:r>
            <w:r>
              <w:rPr>
                <w:rFonts w:ascii="Adobe Caslon Pro" w:hAnsi="Adobe Caslon Pro" w:cs="Calibri"/>
                <w:color w:val="000000"/>
                <w:sz w:val="20"/>
                <w:szCs w:val="20"/>
                <w:lang w:eastAsia="es-MX"/>
              </w:rPr>
              <w:t>aria</w:t>
            </w:r>
          </w:p>
        </w:tc>
      </w:tr>
      <w:tr w:rsidR="007456F1" w:rsidRPr="00CF5A67" w:rsidTr="00A56E05">
        <w:trPr>
          <w:trHeight w:val="58"/>
          <w:jc w:val="center"/>
        </w:trPr>
        <w:tc>
          <w:tcPr>
            <w:tcW w:w="999" w:type="dxa"/>
            <w:gridSpan w:val="2"/>
            <w:tcBorders>
              <w:top w:val="single" w:sz="4" w:space="0" w:color="auto"/>
              <w:bottom w:val="single" w:sz="4" w:space="0" w:color="auto"/>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lastRenderedPageBreak/>
              <w:t> </w:t>
            </w:r>
          </w:p>
        </w:tc>
        <w:tc>
          <w:tcPr>
            <w:tcW w:w="8437" w:type="dxa"/>
            <w:gridSpan w:val="11"/>
            <w:tcBorders>
              <w:top w:val="single" w:sz="4" w:space="0" w:color="auto"/>
              <w:bottom w:val="single" w:sz="4" w:space="0" w:color="auto"/>
            </w:tcBorders>
            <w:shd w:val="clear" w:color="auto" w:fill="auto"/>
            <w:noWrap/>
            <w:vAlign w:val="bottom"/>
            <w:hideMark/>
          </w:tcPr>
          <w:p w:rsidR="007456F1" w:rsidRPr="00CF5A67" w:rsidRDefault="007456F1" w:rsidP="00A56E05">
            <w:pPr>
              <w:jc w:val="center"/>
              <w:rPr>
                <w:rFonts w:ascii="Adobe Caslon Pro" w:hAnsi="Adobe Caslon Pro" w:cs="Calibri"/>
                <w:color w:val="000000"/>
                <w:sz w:val="20"/>
                <w:szCs w:val="20"/>
                <w:lang w:eastAsia="es-MX"/>
              </w:rPr>
            </w:pPr>
          </w:p>
        </w:tc>
      </w:tr>
      <w:tr w:rsidR="007456F1" w:rsidRPr="00CF5A67"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456F1" w:rsidRPr="00CF5A67" w:rsidRDefault="007456F1" w:rsidP="00A56E05">
            <w:pPr>
              <w:rPr>
                <w:rFonts w:ascii="Trajan Pro" w:hAnsi="Trajan Pro" w:cs="Calibri"/>
                <w:b/>
                <w:bCs/>
                <w:color w:val="000000"/>
                <w:sz w:val="20"/>
                <w:szCs w:val="20"/>
                <w:lang w:eastAsia="es-MX"/>
              </w:rPr>
            </w:pPr>
            <w:r w:rsidRPr="00CF5A67">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r>
      <w:tr w:rsidR="007456F1" w:rsidRPr="00CF5A67" w:rsidTr="00A56E05">
        <w:trPr>
          <w:trHeight w:val="461"/>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2.1 Describir los hallazgos má</w:t>
            </w:r>
            <w:r>
              <w:rPr>
                <w:rFonts w:ascii="Adobe Caslon Pro" w:hAnsi="Adobe Caslon Pro" w:cs="Calibri"/>
                <w:color w:val="000000"/>
                <w:sz w:val="20"/>
                <w:szCs w:val="20"/>
                <w:lang w:eastAsia="es-MX"/>
              </w:rPr>
              <w:t>s relevantes de la evaluación: </w:t>
            </w:r>
          </w:p>
        </w:tc>
      </w:tr>
      <w:tr w:rsidR="007456F1" w:rsidRPr="00CF5A67" w:rsidTr="00A56E05">
        <w:trPr>
          <w:trHeight w:val="420"/>
          <w:jc w:val="center"/>
        </w:trPr>
        <w:tc>
          <w:tcPr>
            <w:tcW w:w="9436" w:type="dxa"/>
            <w:gridSpan w:val="13"/>
            <w:vMerge w:val="restart"/>
            <w:tcBorders>
              <w:top w:val="single" w:sz="4" w:space="0" w:color="auto"/>
              <w:left w:val="single" w:sz="4" w:space="0" w:color="auto"/>
              <w:bottom w:val="nil"/>
              <w:right w:val="single" w:sz="4" w:space="0" w:color="000000"/>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2.2 Señalar cuáles son las principales Fortalezas, Oportunidades, Debilidades y Amenazas (FODA), de acuerdo con los temas del programa, estrategia o instituciones.</w:t>
            </w:r>
          </w:p>
        </w:tc>
      </w:tr>
      <w:tr w:rsidR="007456F1" w:rsidRPr="00CF5A67" w:rsidTr="00A56E05">
        <w:trPr>
          <w:trHeight w:val="420"/>
          <w:jc w:val="center"/>
        </w:trPr>
        <w:tc>
          <w:tcPr>
            <w:tcW w:w="9436" w:type="dxa"/>
            <w:gridSpan w:val="13"/>
            <w:vMerge/>
            <w:tcBorders>
              <w:top w:val="single" w:sz="4" w:space="0" w:color="auto"/>
              <w:left w:val="single" w:sz="4" w:space="0" w:color="auto"/>
              <w:bottom w:val="nil"/>
              <w:right w:val="single" w:sz="4" w:space="0" w:color="000000"/>
            </w:tcBorders>
            <w:vAlign w:val="center"/>
            <w:hideMark/>
          </w:tcPr>
          <w:p w:rsidR="007456F1" w:rsidRPr="00CF5A67" w:rsidRDefault="007456F1" w:rsidP="00A56E05">
            <w:pPr>
              <w:rPr>
                <w:rFonts w:ascii="Adobe Caslon Pro" w:hAnsi="Adobe Caslon Pro" w:cs="Calibri"/>
                <w:color w:val="000000"/>
                <w:sz w:val="20"/>
                <w:szCs w:val="20"/>
                <w:lang w:eastAsia="es-MX"/>
              </w:rPr>
            </w:pP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2.2.1 Fortalezas:</w:t>
            </w:r>
          </w:p>
          <w:p w:rsidR="007456F1" w:rsidRPr="00CF5A67" w:rsidRDefault="007456F1" w:rsidP="00F075EB">
            <w:pPr>
              <w:numPr>
                <w:ilvl w:val="0"/>
                <w:numId w:val="103"/>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Se observa que se cuenta con los elementos de avance físico-financiero, actas de entrega recepción, cierre del ejercicio y los recursos no devengados. Por consecuencia se considera que tiene una adecuada práctica administrativa financiera.</w:t>
            </w:r>
          </w:p>
          <w:p w:rsidR="007456F1" w:rsidRPr="00CF5A67" w:rsidRDefault="007456F1" w:rsidP="00F075EB">
            <w:pPr>
              <w:numPr>
                <w:ilvl w:val="0"/>
                <w:numId w:val="103"/>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Se determina que cumple con la normatividad para llevar a cabo el cumplimiento y seguimiento de los recursos recibidos de la federación</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2.2.2 Oportunidades:</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2.2.3 Debilidades:</w:t>
            </w:r>
          </w:p>
          <w:p w:rsidR="007456F1" w:rsidRPr="00CF5A67" w:rsidRDefault="007456F1" w:rsidP="00F075EB">
            <w:pPr>
              <w:numPr>
                <w:ilvl w:val="0"/>
                <w:numId w:val="9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No se establecen indicadores referentes a todos los proyectos que tienen en su planeación, sin embargo sólo reflejan seis indicadores de las dos unidades de las cinco que ejecutan proyectos que reciben recursos del FISE.</w:t>
            </w:r>
          </w:p>
          <w:p w:rsidR="007456F1" w:rsidRDefault="007456F1" w:rsidP="00F075EB">
            <w:pPr>
              <w:numPr>
                <w:ilvl w:val="0"/>
                <w:numId w:val="9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No se ejerció todo el presupuesto que se le destino al Fondo. Por lo que se supone que no se realizaron los proyectos que había planeado cada unidad responsable.</w:t>
            </w:r>
          </w:p>
          <w:p w:rsidR="007456F1" w:rsidRPr="00F03E16" w:rsidRDefault="007456F1" w:rsidP="00F075EB">
            <w:pPr>
              <w:numPr>
                <w:ilvl w:val="0"/>
                <w:numId w:val="92"/>
              </w:numPr>
              <w:jc w:val="both"/>
              <w:rPr>
                <w:rFonts w:ascii="Adobe Caslon Pro" w:hAnsi="Adobe Caslon Pro" w:cs="Calibri"/>
                <w:i/>
                <w:color w:val="000000"/>
                <w:sz w:val="20"/>
                <w:szCs w:val="20"/>
                <w:lang w:eastAsia="es-MX"/>
              </w:rPr>
            </w:pPr>
            <w:r w:rsidRPr="00F03E16">
              <w:rPr>
                <w:rFonts w:ascii="Adobe Caslon Pro" w:hAnsi="Adobe Caslon Pro" w:cs="Calibri"/>
                <w:i/>
                <w:color w:val="000000"/>
                <w:sz w:val="20"/>
                <w:szCs w:val="20"/>
                <w:lang w:eastAsia="es-MX"/>
              </w:rPr>
              <w:t xml:space="preserve">Referente a las metas se observó que no todos los indicadores cuentan con una, al igual que la línea base para generar resultados derivados de la ejecución de los proyectos por unidad ejecutora, como ejemplo el </w:t>
            </w:r>
            <w:r w:rsidRPr="00F03E16">
              <w:rPr>
                <w:rFonts w:ascii="Adobe Caslon Pro" w:hAnsi="Adobe Caslon Pro" w:cs="Calibri"/>
                <w:i/>
                <w:color w:val="000000"/>
                <w:sz w:val="20"/>
                <w:szCs w:val="20"/>
                <w:lang w:eastAsia="es-MX"/>
              </w:rPr>
              <w:lastRenderedPageBreak/>
              <w:t>Plan Estratégico Sectorial de Transporte, Subsector Caminos cuenta con metas, y la Comisión Estatal del Agua con el Plan Estratégico Sectorial Protección Ambiental, Subsector Agua y Saneamiento Básica, las restantes se encuentran en la misma situación</w:t>
            </w:r>
            <w:r>
              <w:rPr>
                <w:rFonts w:ascii="Adobe Caslon Pro" w:hAnsi="Adobe Caslon Pro" w:cs="Calibri"/>
                <w:i/>
                <w:color w:val="000000"/>
                <w:sz w:val="20"/>
                <w:szCs w:val="20"/>
                <w:lang w:eastAsia="es-MX"/>
              </w:rPr>
              <w:t xml:space="preserve"> </w:t>
            </w:r>
            <w:r w:rsidRPr="00F03E16">
              <w:rPr>
                <w:rFonts w:ascii="Adobe Caslon Pro" w:hAnsi="Adobe Caslon Pro" w:cs="Calibri"/>
                <w:i/>
                <w:color w:val="000000"/>
                <w:sz w:val="20"/>
                <w:szCs w:val="20"/>
                <w:lang w:eastAsia="es-MX"/>
              </w:rPr>
              <w:t>que la anterior.</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lastRenderedPageBreak/>
              <w:t>2.2.4 Amenazas:</w:t>
            </w:r>
          </w:p>
        </w:tc>
      </w:tr>
      <w:tr w:rsidR="007456F1" w:rsidRPr="00CF5A67" w:rsidTr="00A56E05">
        <w:trPr>
          <w:trHeight w:val="162"/>
          <w:jc w:val="center"/>
        </w:trPr>
        <w:tc>
          <w:tcPr>
            <w:tcW w:w="9436" w:type="dxa"/>
            <w:gridSpan w:val="13"/>
            <w:tcBorders>
              <w:top w:val="nil"/>
              <w:left w:val="nil"/>
              <w:bottom w:val="single" w:sz="4" w:space="0" w:color="auto"/>
              <w:right w:val="nil"/>
            </w:tcBorders>
            <w:shd w:val="clear" w:color="auto" w:fill="auto"/>
            <w:hideMark/>
          </w:tcPr>
          <w:p w:rsidR="007456F1" w:rsidRPr="00CF5A67" w:rsidRDefault="007456F1" w:rsidP="00A56E05">
            <w:pPr>
              <w:jc w:val="center"/>
              <w:rPr>
                <w:rFonts w:ascii="Adobe Caslon Pro" w:hAnsi="Adobe Caslon Pro" w:cs="Calibri"/>
                <w:color w:val="000000"/>
                <w:sz w:val="20"/>
                <w:szCs w:val="20"/>
                <w:lang w:eastAsia="es-MX"/>
              </w:rPr>
            </w:pP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7456F1" w:rsidRPr="00CF5A67" w:rsidRDefault="007456F1" w:rsidP="00A56E05">
            <w:pPr>
              <w:rPr>
                <w:rFonts w:ascii="Trajan Pro" w:hAnsi="Trajan Pro" w:cs="Calibri"/>
                <w:b/>
                <w:bCs/>
                <w:color w:val="000000"/>
                <w:sz w:val="20"/>
                <w:szCs w:val="20"/>
                <w:lang w:eastAsia="es-MX"/>
              </w:rPr>
            </w:pPr>
            <w:r w:rsidRPr="00CF5A67">
              <w:rPr>
                <w:rFonts w:ascii="Trajan Pro" w:hAnsi="Trajan Pro" w:cs="Calibri"/>
                <w:b/>
                <w:bCs/>
                <w:color w:val="000000"/>
                <w:sz w:val="20"/>
                <w:szCs w:val="20"/>
                <w:lang w:eastAsia="es-MX"/>
              </w:rPr>
              <w:t>3. Conclusiones y recomendaciones de la evaluación</w:t>
            </w:r>
          </w:p>
        </w:tc>
      </w:tr>
      <w:tr w:rsidR="007456F1" w:rsidRPr="00CF5A67" w:rsidTr="00A56E05">
        <w:trPr>
          <w:trHeight w:val="1435"/>
          <w:jc w:val="center"/>
        </w:trPr>
        <w:tc>
          <w:tcPr>
            <w:tcW w:w="9436" w:type="dxa"/>
            <w:gridSpan w:val="13"/>
            <w:tcBorders>
              <w:top w:val="single" w:sz="4" w:space="0" w:color="auto"/>
              <w:left w:val="single" w:sz="4" w:space="0" w:color="auto"/>
              <w:right w:val="single" w:sz="4" w:space="0" w:color="000000"/>
            </w:tcBorders>
            <w:shd w:val="clear" w:color="auto" w:fill="auto"/>
            <w:noWrap/>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3.1 Describir brevemente las conclusiones de la evaluación: </w:t>
            </w:r>
          </w:p>
          <w:p w:rsidR="007456F1" w:rsidRPr="00CF5A67" w:rsidRDefault="007456F1" w:rsidP="00F075EB">
            <w:pPr>
              <w:numPr>
                <w:ilvl w:val="0"/>
                <w:numId w:val="104"/>
              </w:numPr>
              <w:ind w:left="368" w:hanging="284"/>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Se cuenta con una planeación estratégica y una alineación de los objetivos del Plan Estatal para el Desarrollo, los Planes Sectoriales y Programas, esto para mitigar la problemática del rezago social y la pobreza extrema en el orden municipal, lo que ayuda a una coordinación eficiente entre los involucrados de la operación del Fondo (SHCP, SEDESOL y el estado de Oaxaca).</w:t>
            </w:r>
          </w:p>
          <w:p w:rsidR="007456F1" w:rsidRDefault="007456F1" w:rsidP="00F075EB">
            <w:pPr>
              <w:numPr>
                <w:ilvl w:val="0"/>
                <w:numId w:val="104"/>
              </w:numPr>
              <w:ind w:left="368" w:hanging="284"/>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población objetivo se determina de manera clara, esto nos ayuda a identificar y otorgar una   cobertura focalizada y eficiente de los bienes y servicios que busca entregar con los términos del artículo 33 de la LCF.</w:t>
            </w:r>
          </w:p>
          <w:p w:rsidR="007456F1" w:rsidRPr="00463FF9" w:rsidRDefault="007456F1" w:rsidP="00F075EB">
            <w:pPr>
              <w:numPr>
                <w:ilvl w:val="0"/>
                <w:numId w:val="104"/>
              </w:numPr>
              <w:ind w:left="368" w:hanging="284"/>
              <w:jc w:val="both"/>
              <w:rPr>
                <w:rFonts w:ascii="Adobe Caslon Pro" w:hAnsi="Adobe Caslon Pro" w:cs="Calibri"/>
                <w:i/>
                <w:color w:val="000000"/>
                <w:sz w:val="20"/>
                <w:szCs w:val="20"/>
                <w:lang w:eastAsia="es-MX"/>
              </w:rPr>
            </w:pPr>
            <w:r w:rsidRPr="00463FF9">
              <w:rPr>
                <w:rFonts w:ascii="Adobe Caslon Pro" w:hAnsi="Adobe Caslon Pro" w:cs="Calibri"/>
                <w:i/>
                <w:color w:val="000000"/>
                <w:sz w:val="20"/>
                <w:szCs w:val="20"/>
                <w:lang w:eastAsia="es-MX"/>
              </w:rPr>
              <w:t>Con respecto a la matriz de indicadores de resultados del fondo, se encontró que no se cuenta con elementos importantes del resumen narrativo de la matriz (fin, propósito y actividades), lo que nos lleva al inconveniente de medir los resultados de manera superficial y no presentar evidencia de los logros que se desea alcanzar con la utilización de los recursos del fondo.</w:t>
            </w:r>
            <w:r w:rsidRPr="00463FF9">
              <w:rPr>
                <w:rFonts w:ascii="MyriadPro-Regular" w:hAnsi="MyriadPro-Regular" w:cs="MyriadPro-Regular"/>
                <w:sz w:val="20"/>
                <w:szCs w:val="20"/>
                <w:lang w:eastAsia="es-MX"/>
              </w:rPr>
              <w:t xml:space="preserve"> </w:t>
            </w:r>
            <w:r w:rsidRPr="00463FF9">
              <w:rPr>
                <w:rFonts w:ascii="Adobe Caslon Pro" w:hAnsi="Adobe Caslon Pro" w:cs="Calibri"/>
                <w:i/>
                <w:color w:val="000000"/>
                <w:sz w:val="20"/>
                <w:szCs w:val="20"/>
                <w:lang w:eastAsia="es-MX"/>
              </w:rPr>
              <w:t>Por lo que se recomienda establecer los indicadores faltantes de los proyectos que se realizan, esto desde la Planeación Estratégica correspondiente a las unidades responsables, para que de este modo se logren mejores</w:t>
            </w:r>
            <w:r>
              <w:rPr>
                <w:rFonts w:ascii="Adobe Caslon Pro" w:hAnsi="Adobe Caslon Pro" w:cs="Calibri"/>
                <w:i/>
                <w:color w:val="000000"/>
                <w:sz w:val="20"/>
                <w:szCs w:val="20"/>
                <w:lang w:eastAsia="es-MX"/>
              </w:rPr>
              <w:t xml:space="preserve"> </w:t>
            </w:r>
            <w:r w:rsidRPr="00463FF9">
              <w:rPr>
                <w:rFonts w:ascii="Adobe Caslon Pro" w:hAnsi="Adobe Caslon Pro" w:cs="Calibri"/>
                <w:i/>
                <w:color w:val="000000"/>
                <w:sz w:val="20"/>
                <w:szCs w:val="20"/>
                <w:lang w:eastAsia="es-MX"/>
              </w:rPr>
              <w:t>resultados.</w:t>
            </w:r>
          </w:p>
          <w:p w:rsidR="007456F1" w:rsidRPr="00CF5A67" w:rsidRDefault="007456F1" w:rsidP="00F075EB">
            <w:pPr>
              <w:numPr>
                <w:ilvl w:val="0"/>
                <w:numId w:val="104"/>
              </w:numPr>
              <w:ind w:left="368" w:hanging="284"/>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En la parte de los avances físico-financiero de los planes sectoriales y programas que se financian con recursos del FISE, se indica de manera clara la ejecución de los proyectos que se realizan por unidad responsable de la ejecución de los recursos, con base en el destino y el ejercicio de los mismos; también se aprecia que busca contribuir en el tema del rezago social y la pobreza extrema establecido en la LCF.</w:t>
            </w:r>
          </w:p>
          <w:p w:rsidR="007456F1" w:rsidRPr="00CF5A67" w:rsidRDefault="007456F1" w:rsidP="00F075EB">
            <w:pPr>
              <w:numPr>
                <w:ilvl w:val="0"/>
                <w:numId w:val="104"/>
              </w:numPr>
              <w:ind w:left="368" w:hanging="284"/>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La eficiencia, </w:t>
            </w:r>
            <w:r>
              <w:rPr>
                <w:rFonts w:ascii="Adobe Caslon Pro" w:hAnsi="Adobe Caslon Pro" w:cs="Calibri"/>
                <w:i/>
                <w:color w:val="000000"/>
                <w:sz w:val="20"/>
                <w:szCs w:val="20"/>
                <w:lang w:eastAsia="es-MX"/>
              </w:rPr>
              <w:t>la calidad</w:t>
            </w:r>
            <w:r w:rsidRPr="00CF5A67">
              <w:rPr>
                <w:rFonts w:ascii="Adobe Caslon Pro" w:hAnsi="Adobe Caslon Pro" w:cs="Calibri"/>
                <w:i/>
                <w:color w:val="000000"/>
                <w:sz w:val="20"/>
                <w:szCs w:val="20"/>
                <w:lang w:eastAsia="es-MX"/>
              </w:rPr>
              <w:t xml:space="preserve"> y economía en la operación del fondo no puede medirse de manera satisfactoria, ya que los indicadores que se recibieron sólo miden la dimensión de eficacia de los objetivos del Plan o Programa con relación a los proyectos ejecutados. </w:t>
            </w:r>
          </w:p>
          <w:p w:rsidR="007456F1" w:rsidRPr="00CF5A67" w:rsidRDefault="007456F1" w:rsidP="00F075EB">
            <w:pPr>
              <w:numPr>
                <w:ilvl w:val="0"/>
                <w:numId w:val="104"/>
              </w:numPr>
              <w:ind w:left="368" w:hanging="284"/>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Se cuenta con los indicadores que no se completaron en la MIR por el rediseño de la misma. Lo anterior nos muestra la complejidad de presentar un seguimiento y monitoreo preciso referente a las dimensiones que se plasman en el artículo 134 de la CPEUM.</w:t>
            </w:r>
          </w:p>
        </w:tc>
      </w:tr>
      <w:tr w:rsidR="007456F1" w:rsidRPr="00CF5A67" w:rsidTr="00A56E05">
        <w:trPr>
          <w:trHeight w:val="200"/>
          <w:jc w:val="center"/>
        </w:trPr>
        <w:tc>
          <w:tcPr>
            <w:tcW w:w="9436" w:type="dxa"/>
            <w:gridSpan w:val="13"/>
            <w:tcBorders>
              <w:top w:val="single" w:sz="4" w:space="0" w:color="auto"/>
              <w:left w:val="single" w:sz="4" w:space="0" w:color="auto"/>
              <w:bottom w:val="nil"/>
              <w:right w:val="single" w:sz="4" w:space="0" w:color="000000"/>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3.2 Describir las recomendaciones de acuerdo a su relevancia:</w:t>
            </w:r>
          </w:p>
        </w:tc>
      </w:tr>
      <w:tr w:rsidR="007456F1" w:rsidRPr="00CF5A67" w:rsidTr="00A56E05">
        <w:trPr>
          <w:trHeight w:val="43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7456F1" w:rsidRPr="00CF5A67" w:rsidRDefault="007456F1" w:rsidP="00A56E05">
            <w:pPr>
              <w:jc w:val="both"/>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 xml:space="preserve">1: </w:t>
            </w:r>
            <w:r w:rsidRPr="00CF5A67">
              <w:rPr>
                <w:rFonts w:ascii="Adobe Caslon Pro" w:hAnsi="Adobe Caslon Pro" w:cs="Calibri"/>
                <w:i/>
                <w:color w:val="000000"/>
                <w:sz w:val="20"/>
                <w:szCs w:val="20"/>
                <w:lang w:eastAsia="es-MX"/>
              </w:rPr>
              <w:t xml:space="preserve">Se recomienda establecer los indicadores faltantes de los proyectos </w:t>
            </w:r>
            <w:r>
              <w:rPr>
                <w:rFonts w:ascii="Adobe Caslon Pro" w:hAnsi="Adobe Caslon Pro" w:cs="Calibri"/>
                <w:i/>
                <w:color w:val="000000"/>
                <w:sz w:val="20"/>
                <w:szCs w:val="20"/>
                <w:lang w:eastAsia="es-MX"/>
              </w:rPr>
              <w:t>que se realizan, esto desde la</w:t>
            </w:r>
            <w:r w:rsidRPr="00CF5A67">
              <w:rPr>
                <w:rFonts w:ascii="Adobe Caslon Pro" w:hAnsi="Adobe Caslon Pro" w:cs="Calibri"/>
                <w:i/>
                <w:color w:val="000000"/>
                <w:sz w:val="20"/>
                <w:szCs w:val="20"/>
                <w:lang w:eastAsia="es-MX"/>
              </w:rPr>
              <w:t xml:space="preserve"> planeación estratégica correspondiente a las unidades responsables, para que de este modo se logren mejores resultados.</w:t>
            </w:r>
          </w:p>
        </w:tc>
      </w:tr>
      <w:tr w:rsidR="007456F1" w:rsidRPr="00CF5A67"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hideMark/>
          </w:tcPr>
          <w:p w:rsidR="007456F1" w:rsidRPr="00CF5A67" w:rsidRDefault="007456F1" w:rsidP="00A56E05">
            <w:pPr>
              <w:jc w:val="both"/>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2: </w:t>
            </w:r>
            <w:r w:rsidRPr="00CF5A67">
              <w:rPr>
                <w:rFonts w:ascii="Adobe Caslon Pro" w:hAnsi="Adobe Caslon Pro" w:cs="Calibri"/>
                <w:i/>
                <w:color w:val="000000"/>
                <w:sz w:val="20"/>
                <w:szCs w:val="20"/>
                <w:lang w:eastAsia="es-MX"/>
              </w:rPr>
              <w:t>Se recomienda la adecuada ejecución de los recursos con respecto a todos los proyectos establecidos en la planeación estratégica por sus unidades responsables, y de éste modo se mejore el ejercicio de los recursos.</w:t>
            </w:r>
          </w:p>
        </w:tc>
      </w:tr>
      <w:tr w:rsidR="007456F1" w:rsidRPr="00CF5A67" w:rsidTr="00A56E05">
        <w:trPr>
          <w:trHeight w:val="435"/>
          <w:jc w:val="center"/>
        </w:trPr>
        <w:tc>
          <w:tcPr>
            <w:tcW w:w="9436" w:type="dxa"/>
            <w:gridSpan w:val="13"/>
            <w:tcBorders>
              <w:top w:val="nil"/>
              <w:left w:val="single" w:sz="4" w:space="0" w:color="auto"/>
              <w:bottom w:val="single" w:sz="4" w:space="0" w:color="auto"/>
              <w:right w:val="single" w:sz="4" w:space="0" w:color="000000"/>
            </w:tcBorders>
            <w:shd w:val="clear" w:color="auto" w:fill="auto"/>
            <w:noWrap/>
            <w:hideMark/>
          </w:tcPr>
          <w:p w:rsidR="007456F1" w:rsidRPr="00CF5A67" w:rsidRDefault="007456F1" w:rsidP="00A56E05">
            <w:pPr>
              <w:jc w:val="both"/>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3: </w:t>
            </w:r>
            <w:r w:rsidRPr="00CF5A67">
              <w:rPr>
                <w:rFonts w:ascii="Adobe Caslon Pro" w:hAnsi="Adobe Caslon Pro" w:cs="Calibri"/>
                <w:i/>
                <w:color w:val="000000"/>
                <w:sz w:val="20"/>
                <w:szCs w:val="20"/>
                <w:lang w:eastAsia="es-MX"/>
              </w:rPr>
              <w:t>Se recomienda complementar las metas en los planes y programas de las unidades ejecutoras, lo cual ayudará a dar seguimiento, medir los avances, generar resultados y evaluar el impacto de los proyectos realizados en una serie de tiempo.</w:t>
            </w:r>
          </w:p>
        </w:tc>
      </w:tr>
      <w:tr w:rsidR="007456F1" w:rsidRPr="00CF5A67" w:rsidTr="00A56E05">
        <w:trPr>
          <w:trHeight w:val="105"/>
          <w:jc w:val="center"/>
        </w:trPr>
        <w:tc>
          <w:tcPr>
            <w:tcW w:w="579"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r>
      <w:tr w:rsidR="007456F1" w:rsidRPr="00CF5A67" w:rsidTr="00A56E05">
        <w:trPr>
          <w:trHeight w:val="420"/>
          <w:jc w:val="center"/>
        </w:trPr>
        <w:tc>
          <w:tcPr>
            <w:tcW w:w="6965" w:type="dxa"/>
            <w:gridSpan w:val="10"/>
            <w:tcBorders>
              <w:top w:val="single" w:sz="4" w:space="0" w:color="auto"/>
              <w:left w:val="single" w:sz="4" w:space="0" w:color="auto"/>
              <w:bottom w:val="nil"/>
              <w:right w:val="nil"/>
            </w:tcBorders>
            <w:shd w:val="clear" w:color="000000" w:fill="C2D69A"/>
            <w:noWrap/>
            <w:vAlign w:val="bottom"/>
            <w:hideMark/>
          </w:tcPr>
          <w:p w:rsidR="007456F1" w:rsidRPr="00CF5A67" w:rsidRDefault="007456F1" w:rsidP="00A56E05">
            <w:pPr>
              <w:rPr>
                <w:rFonts w:ascii="Trajan Pro" w:hAnsi="Trajan Pro" w:cs="Calibri"/>
                <w:b/>
                <w:bCs/>
                <w:color w:val="000000"/>
                <w:sz w:val="20"/>
                <w:szCs w:val="20"/>
                <w:lang w:eastAsia="es-MX"/>
              </w:rPr>
            </w:pPr>
            <w:r w:rsidRPr="00CF5A67">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4.1 Nombre del coordinador de la evaluación:</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Mtro. José de Jesús </w:t>
            </w:r>
            <w:proofErr w:type="spellStart"/>
            <w:r w:rsidRPr="00CF5A67">
              <w:rPr>
                <w:rFonts w:ascii="Adobe Caslon Pro" w:hAnsi="Adobe Caslon Pro" w:cs="Calibri"/>
                <w:i/>
                <w:color w:val="000000"/>
                <w:sz w:val="20"/>
                <w:szCs w:val="20"/>
                <w:lang w:eastAsia="es-MX"/>
              </w:rPr>
              <w:t>Guizar</w:t>
            </w:r>
            <w:proofErr w:type="spellEnd"/>
            <w:r w:rsidRPr="00CF5A67">
              <w:rPr>
                <w:rFonts w:ascii="Adobe Caslon Pro" w:hAnsi="Adobe Caslon Pro" w:cs="Calibri"/>
                <w:i/>
                <w:color w:val="000000"/>
                <w:sz w:val="20"/>
                <w:szCs w:val="20"/>
                <w:lang w:eastAsia="es-MX"/>
              </w:rPr>
              <w:t xml:space="preserve"> Jiménez</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4.2 Cargo:</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Consultor Investigador</w:t>
            </w:r>
            <w:r>
              <w:rPr>
                <w:rFonts w:ascii="Adobe Caslon Pro" w:hAnsi="Adobe Caslon Pro" w:cs="Calibri"/>
                <w:i/>
                <w:color w:val="000000"/>
                <w:sz w:val="20"/>
                <w:szCs w:val="20"/>
                <w:lang w:eastAsia="es-MX"/>
              </w:rPr>
              <w:t xml:space="preserve"> </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4.3 Institución a la que pertenece:  </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Instituto para el Desarrollo Técnico de las Haciendas Públicas (INDETEC)</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4.4 Principales colaboradores:</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Lic. Arturo Alejandro Preciado Marín</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lastRenderedPageBreak/>
              <w:t>4.5 Correo electrónico del coordinador de la evaluación:</w:t>
            </w:r>
          </w:p>
          <w:p w:rsidR="007456F1" w:rsidRPr="00CF5A67" w:rsidRDefault="007456F1" w:rsidP="00A56E05">
            <w:pPr>
              <w:rPr>
                <w:rFonts w:ascii="Adobe Caslon Pro" w:hAnsi="Adobe Caslon Pro" w:cs="Calibri"/>
                <w:i/>
                <w:color w:val="000000"/>
                <w:sz w:val="20"/>
                <w:szCs w:val="20"/>
                <w:u w:val="single"/>
                <w:lang w:eastAsia="es-MX"/>
              </w:rPr>
            </w:pPr>
            <w:r w:rsidRPr="00CF5A67">
              <w:rPr>
                <w:rFonts w:ascii="Adobe Caslon Pro" w:hAnsi="Adobe Caslon Pro" w:cs="Calibri"/>
                <w:i/>
                <w:color w:val="000000"/>
                <w:sz w:val="20"/>
                <w:szCs w:val="20"/>
                <w:u w:val="single"/>
                <w:lang w:eastAsia="es-MX"/>
              </w:rPr>
              <w:t>jguizarj@indetec.gob.mx</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4.6 Teléfono (con clave lada):</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(33) 36695550 Ext. 136</w:t>
            </w:r>
          </w:p>
        </w:tc>
      </w:tr>
      <w:tr w:rsidR="007456F1" w:rsidRPr="00CF5A67" w:rsidTr="00A56E05">
        <w:trPr>
          <w:trHeight w:val="75"/>
          <w:jc w:val="center"/>
        </w:trPr>
        <w:tc>
          <w:tcPr>
            <w:tcW w:w="999" w:type="dxa"/>
            <w:gridSpan w:val="2"/>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r>
      <w:tr w:rsidR="007456F1" w:rsidRPr="00CF5A67" w:rsidTr="00A56E05">
        <w:trPr>
          <w:trHeight w:val="420"/>
          <w:jc w:val="center"/>
        </w:trPr>
        <w:tc>
          <w:tcPr>
            <w:tcW w:w="6965" w:type="dxa"/>
            <w:gridSpan w:val="10"/>
            <w:tcBorders>
              <w:top w:val="single" w:sz="4" w:space="0" w:color="auto"/>
              <w:left w:val="single" w:sz="4" w:space="0" w:color="auto"/>
              <w:bottom w:val="single" w:sz="4" w:space="0" w:color="auto"/>
              <w:right w:val="nil"/>
            </w:tcBorders>
            <w:shd w:val="clear" w:color="000000" w:fill="C2D69A"/>
            <w:noWrap/>
            <w:vAlign w:val="bottom"/>
            <w:hideMark/>
          </w:tcPr>
          <w:p w:rsidR="007456F1" w:rsidRPr="00CF5A67" w:rsidRDefault="007456F1" w:rsidP="00A56E05">
            <w:pPr>
              <w:rPr>
                <w:rFonts w:ascii="Trajan Pro" w:hAnsi="Trajan Pro" w:cs="Calibri"/>
                <w:b/>
                <w:bCs/>
                <w:color w:val="000000"/>
                <w:sz w:val="20"/>
                <w:szCs w:val="20"/>
                <w:lang w:eastAsia="es-MX"/>
              </w:rPr>
            </w:pPr>
            <w:r w:rsidRPr="00CF5A67">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5.1 Nombre del (los) programa(s) evaluado(s):</w:t>
            </w:r>
          </w:p>
          <w:p w:rsidR="007456F1" w:rsidRPr="00CF5A67" w:rsidRDefault="007456F1"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Fondo de Aportaciones para la Infraestructura Social en su componente de Infraestructura Social Estatal </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5.2 Siglas:  </w:t>
            </w:r>
          </w:p>
          <w:p w:rsidR="007456F1" w:rsidRPr="00012E44"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FISE</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5.3 Ente público coordinador del (los) programa(s): </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Secretaría de Finanzas del </w:t>
            </w:r>
            <w:r>
              <w:rPr>
                <w:rFonts w:ascii="Adobe Caslon Pro" w:hAnsi="Adobe Caslon Pro" w:cs="Calibri"/>
                <w:i/>
                <w:color w:val="000000"/>
                <w:sz w:val="20"/>
                <w:szCs w:val="20"/>
                <w:lang w:eastAsia="es-MX"/>
              </w:rPr>
              <w:t xml:space="preserve">Gobierno del </w:t>
            </w:r>
            <w:r w:rsidRPr="00CF5A67">
              <w:rPr>
                <w:rFonts w:ascii="Adobe Caslon Pro" w:hAnsi="Adobe Caslon Pro" w:cs="Calibri"/>
                <w:i/>
                <w:color w:val="000000"/>
                <w:sz w:val="20"/>
                <w:szCs w:val="20"/>
                <w:lang w:eastAsia="es-MX"/>
              </w:rPr>
              <w:t>Estado de Oaxaca.</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5.4 Poder público al que pertenece(n) el(los) programa(s):</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Poder Ejecutivo_</w:t>
            </w:r>
            <w:r>
              <w:rPr>
                <w:rFonts w:ascii="Adobe Caslon Pro" w:hAnsi="Adobe Caslon Pro" w:cs="Calibri"/>
                <w:color w:val="000000"/>
                <w:sz w:val="20"/>
                <w:szCs w:val="20"/>
                <w:lang w:eastAsia="es-MX"/>
              </w:rPr>
              <w:t xml:space="preserve"> </w:t>
            </w:r>
            <w:r w:rsidRPr="00CF5A67">
              <w:rPr>
                <w:rFonts w:ascii="Adobe Caslon Pro" w:hAnsi="Adobe Caslon Pro" w:cs="Calibri"/>
                <w:color w:val="000000"/>
                <w:sz w:val="20"/>
                <w:szCs w:val="20"/>
                <w:lang w:eastAsia="es-MX"/>
              </w:rPr>
              <w:t>X__   Poder Legislativo___   Poder Judicial___  Ente Autónomo___</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5.5 Ámbito gubernamental al que pertenece(n) el(los) programa(s):</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0C03C1">
              <w:rPr>
                <w:rFonts w:ascii="Adobe Caslon Pro" w:hAnsi="Adobe Caslon Pro" w:cs="Calibri"/>
                <w:color w:val="000000"/>
                <w:sz w:val="20"/>
                <w:szCs w:val="20"/>
                <w:lang w:eastAsia="es-MX"/>
              </w:rPr>
              <w:t>Federal_ X_</w:t>
            </w:r>
            <w:r w:rsidRPr="00CF5A67">
              <w:rPr>
                <w:rFonts w:ascii="Adobe Caslon Pro" w:hAnsi="Adobe Caslon Pro" w:cs="Calibri"/>
                <w:color w:val="000000"/>
                <w:sz w:val="20"/>
                <w:szCs w:val="20"/>
                <w:lang w:eastAsia="es-MX"/>
              </w:rPr>
              <w:t xml:space="preserve">       Estatal_</w:t>
            </w:r>
            <w:r>
              <w:rPr>
                <w:rFonts w:ascii="Adobe Caslon Pro" w:hAnsi="Adobe Caslon Pro" w:cs="Calibri"/>
                <w:color w:val="000000"/>
                <w:sz w:val="20"/>
                <w:szCs w:val="20"/>
                <w:lang w:eastAsia="es-MX"/>
              </w:rPr>
              <w:t>_</w:t>
            </w:r>
            <w:r w:rsidRPr="00CF5A67">
              <w:rPr>
                <w:rFonts w:ascii="Adobe Caslon Pro" w:hAnsi="Adobe Caslon Pro" w:cs="Calibri"/>
                <w:color w:val="000000"/>
                <w:sz w:val="20"/>
                <w:szCs w:val="20"/>
                <w:lang w:eastAsia="es-MX"/>
              </w:rPr>
              <w:t>__     Local___</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5.6 Nombre de la(s) unidad(es) administrativa(s) y de (los) titular(es) a cargo del (los) programa(s):</w:t>
            </w:r>
          </w:p>
        </w:tc>
      </w:tr>
      <w:tr w:rsidR="007456F1" w:rsidRPr="00CF5A67" w:rsidTr="00A56E05">
        <w:trPr>
          <w:trHeight w:val="408"/>
          <w:jc w:val="center"/>
        </w:trPr>
        <w:tc>
          <w:tcPr>
            <w:tcW w:w="9436" w:type="dxa"/>
            <w:gridSpan w:val="13"/>
            <w:tcBorders>
              <w:left w:val="single" w:sz="4" w:space="0" w:color="auto"/>
              <w:bottom w:val="single" w:sz="4" w:space="0" w:color="auto"/>
              <w:right w:val="single" w:sz="4" w:space="0" w:color="auto"/>
            </w:tcBorders>
            <w:vAlign w:val="center"/>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5.6.1 Nombre(s) de la(s) unidad(es) administrativa(s) a cargo de (los) programa(s):</w:t>
            </w:r>
          </w:p>
        </w:tc>
      </w:tr>
      <w:tr w:rsidR="007456F1" w:rsidRPr="00CF5A67"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Subsecretaría de Planeación, Programación y Presupuesto de la Secretaría de Finanzas del </w:t>
            </w:r>
            <w:r>
              <w:rPr>
                <w:rFonts w:ascii="Adobe Caslon Pro" w:hAnsi="Adobe Caslon Pro" w:cs="Calibri"/>
                <w:i/>
                <w:color w:val="000000"/>
                <w:sz w:val="20"/>
                <w:szCs w:val="20"/>
                <w:lang w:eastAsia="es-MX"/>
              </w:rPr>
              <w:t xml:space="preserve">Gobierno del </w:t>
            </w:r>
            <w:r w:rsidRPr="00CF5A67">
              <w:rPr>
                <w:rFonts w:ascii="Adobe Caslon Pro" w:hAnsi="Adobe Caslon Pro" w:cs="Calibri"/>
                <w:i/>
                <w:color w:val="000000"/>
                <w:sz w:val="20"/>
                <w:szCs w:val="20"/>
                <w:lang w:eastAsia="es-MX"/>
              </w:rPr>
              <w:t>Estado</w:t>
            </w:r>
            <w:r>
              <w:rPr>
                <w:rFonts w:ascii="Adobe Caslon Pro" w:hAnsi="Adobe Caslon Pro" w:cs="Calibri"/>
                <w:i/>
                <w:color w:val="000000"/>
                <w:sz w:val="20"/>
                <w:szCs w:val="20"/>
                <w:lang w:eastAsia="es-MX"/>
              </w:rPr>
              <w:t xml:space="preserve"> de Oaxaca</w:t>
            </w:r>
            <w:r w:rsidRPr="00CF5A67">
              <w:rPr>
                <w:rFonts w:ascii="Adobe Caslon Pro" w:hAnsi="Adobe Caslon Pro" w:cs="Calibri"/>
                <w:i/>
                <w:color w:val="000000"/>
                <w:sz w:val="20"/>
                <w:szCs w:val="20"/>
                <w:lang w:eastAsia="es-MX"/>
              </w:rPr>
              <w:t>.</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Secretaría de las Infraestructuras y el Ordenamiento Territorial Sustentable</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Caminos y Aeropistas de Oaxaca</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Comisión Estatal del Agua</w:t>
            </w:r>
          </w:p>
        </w:tc>
      </w:tr>
      <w:tr w:rsidR="007456F1" w:rsidRPr="00CF5A67" w:rsidTr="00A56E05">
        <w:trPr>
          <w:trHeight w:val="55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7456F1" w:rsidRPr="00CF5A67" w:rsidTr="00A56E05">
        <w:trPr>
          <w:trHeight w:val="274"/>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p>
        </w:tc>
      </w:tr>
      <w:tr w:rsidR="007456F1" w:rsidRPr="00CF5A67" w:rsidTr="00A56E05">
        <w:trPr>
          <w:trHeight w:val="737"/>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Nombre:</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Lic. Alberto Tiburcio Benítez</w:t>
            </w:r>
          </w:p>
          <w:p w:rsidR="007456F1" w:rsidRPr="000C03C1"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Tel. 01 951 5015000 </w:t>
            </w:r>
            <w:r>
              <w:rPr>
                <w:rFonts w:ascii="Adobe Caslon Pro" w:hAnsi="Adobe Caslon Pro" w:cs="Calibri"/>
                <w:i/>
                <w:color w:val="000000"/>
                <w:sz w:val="20"/>
                <w:szCs w:val="20"/>
                <w:lang w:eastAsia="es-MX"/>
              </w:rPr>
              <w:t>ext.12753</w:t>
            </w:r>
          </w:p>
        </w:tc>
        <w:tc>
          <w:tcPr>
            <w:tcW w:w="5171" w:type="dxa"/>
            <w:gridSpan w:val="9"/>
            <w:tcBorders>
              <w:top w:val="single" w:sz="4" w:space="0" w:color="auto"/>
              <w:left w:val="nil"/>
              <w:bottom w:val="single" w:sz="4" w:space="0" w:color="auto"/>
              <w:right w:val="single" w:sz="4" w:space="0" w:color="000000"/>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Unidad administrativa:</w:t>
            </w:r>
          </w:p>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i/>
                <w:color w:val="000000"/>
                <w:sz w:val="20"/>
                <w:szCs w:val="20"/>
                <w:lang w:eastAsia="es-MX"/>
              </w:rPr>
              <w:t>Subsecretario de Planeación, Programación y Presupuesto de la Secretaría de Finanzas del Estado de Oaxaca.</w:t>
            </w:r>
          </w:p>
        </w:tc>
      </w:tr>
      <w:tr w:rsidR="007456F1" w:rsidRPr="00CF5A67"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tcPr>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Ing. Netzahualcóyotl Salvatierra López</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Tel. 01 951 5016900 </w:t>
            </w:r>
            <w:r>
              <w:rPr>
                <w:rFonts w:ascii="Adobe Caslon Pro" w:hAnsi="Adobe Caslon Pro" w:cs="Calibri"/>
                <w:i/>
                <w:color w:val="000000"/>
                <w:sz w:val="20"/>
                <w:szCs w:val="20"/>
                <w:lang w:eastAsia="es-MX"/>
              </w:rPr>
              <w:t>e</w:t>
            </w:r>
            <w:r w:rsidRPr="00CF5A67">
              <w:rPr>
                <w:rFonts w:ascii="Adobe Caslon Pro" w:hAnsi="Adobe Caslon Pro" w:cs="Calibri"/>
                <w:i/>
                <w:color w:val="000000"/>
                <w:sz w:val="20"/>
                <w:szCs w:val="20"/>
                <w:lang w:eastAsia="es-MX"/>
              </w:rPr>
              <w:t>xt. 25001</w:t>
            </w:r>
          </w:p>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i/>
                <w:color w:val="000000"/>
                <w:sz w:val="20"/>
                <w:szCs w:val="20"/>
                <w:lang w:eastAsia="es-MX"/>
              </w:rPr>
              <w:t>netza.salvatierra@oaxaca.gob.mx</w:t>
            </w:r>
          </w:p>
        </w:tc>
        <w:tc>
          <w:tcPr>
            <w:tcW w:w="5171" w:type="dxa"/>
            <w:gridSpan w:val="9"/>
            <w:tcBorders>
              <w:top w:val="single" w:sz="4" w:space="0" w:color="auto"/>
              <w:left w:val="nil"/>
              <w:bottom w:val="single" w:sz="4" w:space="0" w:color="auto"/>
              <w:right w:val="single" w:sz="4" w:space="0" w:color="000000"/>
            </w:tcBorders>
            <w:shd w:val="clear" w:color="auto" w:fill="auto"/>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i/>
                <w:color w:val="000000"/>
                <w:sz w:val="20"/>
                <w:szCs w:val="20"/>
                <w:lang w:eastAsia="es-MX"/>
              </w:rPr>
              <w:t>Secretario de las Infraestructuras y el Ordenamiento Territorial Sustentable</w:t>
            </w:r>
          </w:p>
        </w:tc>
      </w:tr>
      <w:tr w:rsidR="007456F1" w:rsidRPr="00CF5A67"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tcPr>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Arq. Guillermo Martínez Gómez</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Tel. 01 951 5016900 </w:t>
            </w:r>
            <w:r>
              <w:rPr>
                <w:rFonts w:ascii="Adobe Caslon Pro" w:hAnsi="Adobe Caslon Pro" w:cs="Calibri"/>
                <w:i/>
                <w:color w:val="000000"/>
                <w:sz w:val="20"/>
                <w:szCs w:val="20"/>
                <w:lang w:eastAsia="es-MX"/>
              </w:rPr>
              <w:t>e</w:t>
            </w:r>
            <w:r w:rsidRPr="00CF5A67">
              <w:rPr>
                <w:rFonts w:ascii="Adobe Caslon Pro" w:hAnsi="Adobe Caslon Pro" w:cs="Calibri"/>
                <w:i/>
                <w:color w:val="000000"/>
                <w:sz w:val="20"/>
                <w:szCs w:val="20"/>
                <w:lang w:eastAsia="es-MX"/>
              </w:rPr>
              <w:t>xt. 24376, 24390</w:t>
            </w:r>
          </w:p>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i/>
                <w:color w:val="000000"/>
                <w:sz w:val="20"/>
                <w:szCs w:val="20"/>
                <w:lang w:eastAsia="es-MX"/>
              </w:rPr>
              <w:t>guillermomartinez.cao@oaxaca.gob.mx</w:t>
            </w:r>
          </w:p>
        </w:tc>
        <w:tc>
          <w:tcPr>
            <w:tcW w:w="5171" w:type="dxa"/>
            <w:gridSpan w:val="9"/>
            <w:tcBorders>
              <w:top w:val="single" w:sz="4" w:space="0" w:color="auto"/>
              <w:left w:val="nil"/>
              <w:bottom w:val="single" w:sz="4" w:space="0" w:color="auto"/>
              <w:right w:val="single" w:sz="4" w:space="0" w:color="000000"/>
            </w:tcBorders>
            <w:shd w:val="clear" w:color="auto" w:fill="auto"/>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i/>
                <w:color w:val="000000"/>
                <w:sz w:val="20"/>
                <w:szCs w:val="20"/>
                <w:lang w:eastAsia="es-MX"/>
              </w:rPr>
              <w:t>Director General de Caminos y Aeropistas de Oaxaca.</w:t>
            </w:r>
          </w:p>
        </w:tc>
      </w:tr>
      <w:tr w:rsidR="007456F1" w:rsidRPr="00CF5A67" w:rsidTr="00A56E05">
        <w:trPr>
          <w:trHeight w:val="555"/>
          <w:jc w:val="center"/>
        </w:trPr>
        <w:tc>
          <w:tcPr>
            <w:tcW w:w="4265" w:type="dxa"/>
            <w:gridSpan w:val="4"/>
            <w:tcBorders>
              <w:top w:val="single" w:sz="4" w:space="0" w:color="auto"/>
              <w:left w:val="single" w:sz="4" w:space="0" w:color="auto"/>
              <w:bottom w:val="single" w:sz="4" w:space="0" w:color="auto"/>
              <w:right w:val="single" w:sz="4" w:space="0" w:color="auto"/>
            </w:tcBorders>
            <w:shd w:val="clear" w:color="auto" w:fill="auto"/>
          </w:tcPr>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Ing. Julián Rubén Ríos Ángeles</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Tel. 01 951 5016900 </w:t>
            </w:r>
            <w:r>
              <w:rPr>
                <w:rFonts w:ascii="Adobe Caslon Pro" w:hAnsi="Adobe Caslon Pro" w:cs="Calibri"/>
                <w:i/>
                <w:color w:val="000000"/>
                <w:sz w:val="20"/>
                <w:szCs w:val="20"/>
                <w:lang w:eastAsia="es-MX"/>
              </w:rPr>
              <w:t>e</w:t>
            </w:r>
            <w:r w:rsidRPr="00CF5A67">
              <w:rPr>
                <w:rFonts w:ascii="Adobe Caslon Pro" w:hAnsi="Adobe Caslon Pro" w:cs="Calibri"/>
                <w:i/>
                <w:color w:val="000000"/>
                <w:sz w:val="20"/>
                <w:szCs w:val="20"/>
                <w:lang w:eastAsia="es-MX"/>
              </w:rPr>
              <w:t>xt. 22502, 22516</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ceadirgral@gmail.com</w:t>
            </w:r>
          </w:p>
        </w:tc>
        <w:tc>
          <w:tcPr>
            <w:tcW w:w="5171" w:type="dxa"/>
            <w:gridSpan w:val="9"/>
            <w:tcBorders>
              <w:top w:val="single" w:sz="4" w:space="0" w:color="auto"/>
              <w:left w:val="nil"/>
              <w:bottom w:val="single" w:sz="4" w:space="0" w:color="auto"/>
              <w:right w:val="single" w:sz="4" w:space="0" w:color="000000"/>
            </w:tcBorders>
            <w:shd w:val="clear" w:color="auto" w:fill="auto"/>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i/>
                <w:color w:val="000000"/>
                <w:sz w:val="20"/>
                <w:szCs w:val="20"/>
                <w:lang w:eastAsia="es-MX"/>
              </w:rPr>
              <w:t>Director General de Comisión Estatal del Agua</w:t>
            </w:r>
          </w:p>
        </w:tc>
      </w:tr>
      <w:tr w:rsidR="007456F1" w:rsidRPr="00CF5A67" w:rsidTr="00A56E05">
        <w:trPr>
          <w:trHeight w:val="75"/>
          <w:jc w:val="center"/>
        </w:trPr>
        <w:tc>
          <w:tcPr>
            <w:tcW w:w="999" w:type="dxa"/>
            <w:gridSpan w:val="2"/>
            <w:tcBorders>
              <w:top w:val="nil"/>
              <w:left w:val="nil"/>
              <w:bottom w:val="nil"/>
              <w:right w:val="nil"/>
            </w:tcBorders>
            <w:shd w:val="clear" w:color="auto" w:fill="auto"/>
            <w:hideMark/>
          </w:tcPr>
          <w:p w:rsidR="007456F1" w:rsidRPr="00CF5A67" w:rsidRDefault="007456F1"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hideMark/>
          </w:tcPr>
          <w:p w:rsidR="007456F1" w:rsidRPr="00CF5A67" w:rsidRDefault="007456F1"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hideMark/>
          </w:tcPr>
          <w:p w:rsidR="007456F1" w:rsidRPr="00CF5A67" w:rsidRDefault="007456F1" w:rsidP="00A56E05">
            <w:pPr>
              <w:rPr>
                <w:rFonts w:ascii="Adobe Caslon Pro" w:hAnsi="Adobe Caslon Pro" w:cs="Calibri"/>
                <w:color w:val="000000"/>
                <w:sz w:val="20"/>
                <w:szCs w:val="20"/>
                <w:lang w:eastAsia="es-MX"/>
              </w:rPr>
            </w:pPr>
          </w:p>
        </w:tc>
        <w:tc>
          <w:tcPr>
            <w:tcW w:w="2526" w:type="dxa"/>
            <w:gridSpan w:val="4"/>
            <w:tcBorders>
              <w:top w:val="nil"/>
              <w:left w:val="nil"/>
              <w:bottom w:val="nil"/>
              <w:right w:val="nil"/>
            </w:tcBorders>
            <w:shd w:val="clear" w:color="auto" w:fill="auto"/>
            <w:hideMark/>
          </w:tcPr>
          <w:p w:rsidR="007456F1" w:rsidRPr="00CF5A67" w:rsidRDefault="007456F1"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hideMark/>
          </w:tcPr>
          <w:p w:rsidR="007456F1" w:rsidRPr="00CF5A67" w:rsidRDefault="007456F1"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hideMark/>
          </w:tcPr>
          <w:p w:rsidR="007456F1" w:rsidRPr="00CF5A67" w:rsidRDefault="007456F1" w:rsidP="00A56E05">
            <w:pPr>
              <w:jc w:val="center"/>
              <w:rPr>
                <w:rFonts w:ascii="Adobe Caslon Pro" w:hAnsi="Adobe Caslon Pro" w:cs="Calibri"/>
                <w:color w:val="000000"/>
                <w:sz w:val="20"/>
                <w:szCs w:val="20"/>
                <w:lang w:eastAsia="es-MX"/>
              </w:rPr>
            </w:pPr>
          </w:p>
        </w:tc>
      </w:tr>
      <w:tr w:rsidR="007456F1" w:rsidRPr="00CF5A67" w:rsidTr="00A56E05">
        <w:trPr>
          <w:trHeight w:val="420"/>
          <w:jc w:val="center"/>
        </w:trPr>
        <w:tc>
          <w:tcPr>
            <w:tcW w:w="812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7456F1" w:rsidRPr="00CF5A67" w:rsidRDefault="007456F1" w:rsidP="00A56E05">
            <w:pPr>
              <w:rPr>
                <w:rFonts w:ascii="Trajan Pro" w:hAnsi="Trajan Pro" w:cs="Calibri"/>
                <w:b/>
                <w:bCs/>
                <w:color w:val="000000"/>
                <w:sz w:val="20"/>
                <w:szCs w:val="20"/>
                <w:lang w:eastAsia="es-MX"/>
              </w:rPr>
            </w:pPr>
            <w:r w:rsidRPr="00CF5A67">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6.1 Tipo de contratación:</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lastRenderedPageBreak/>
              <w:t>6.1.1 Adjudicación Directa</w:t>
            </w:r>
            <w:r>
              <w:rPr>
                <w:rFonts w:ascii="Adobe Caslon Pro" w:hAnsi="Adobe Caslon Pro" w:cs="Calibri"/>
                <w:color w:val="000000"/>
                <w:sz w:val="20"/>
                <w:szCs w:val="20"/>
                <w:lang w:eastAsia="es-MX"/>
              </w:rPr>
              <w:t>_</w:t>
            </w:r>
            <w:r w:rsidRPr="00CF5A67">
              <w:rPr>
                <w:rFonts w:ascii="Adobe Caslon Pro" w:hAnsi="Adobe Caslon Pro" w:cs="Calibri"/>
                <w:color w:val="000000"/>
                <w:sz w:val="20"/>
                <w:szCs w:val="20"/>
                <w:lang w:eastAsia="es-MX"/>
              </w:rPr>
              <w:t>_  6.1.2 Invitación a tres___ 6.1.3 Licitación Pública Nacional___</w:t>
            </w:r>
          </w:p>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 xml:space="preserve">6.1.4 Licitación Pública Internacional___ 6.1.5 </w:t>
            </w:r>
            <w:r w:rsidRPr="000C03C1">
              <w:rPr>
                <w:rFonts w:ascii="Adobe Caslon Pro" w:hAnsi="Adobe Caslon Pro" w:cs="Calibri"/>
                <w:color w:val="000000"/>
                <w:sz w:val="20"/>
                <w:szCs w:val="20"/>
                <w:lang w:eastAsia="es-MX"/>
              </w:rPr>
              <w:t>Otro: (Señalar)_Convenio de colaboración institucional</w:t>
            </w:r>
          </w:p>
        </w:tc>
      </w:tr>
      <w:tr w:rsidR="007456F1" w:rsidRPr="00CF5A67" w:rsidTr="00A56E05">
        <w:trPr>
          <w:trHeight w:val="395"/>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6.2</w:t>
            </w:r>
            <w:r w:rsidRPr="00CF5A67">
              <w:rPr>
                <w:rFonts w:ascii="Times New Roman" w:hAnsi="Times New Roman"/>
                <w:color w:val="000000"/>
                <w:sz w:val="20"/>
                <w:szCs w:val="20"/>
                <w:lang w:eastAsia="es-MX"/>
              </w:rPr>
              <w:t xml:space="preserve">  </w:t>
            </w:r>
            <w:r w:rsidRPr="00CF5A67">
              <w:rPr>
                <w:rFonts w:ascii="Adobe Caslon Pro" w:hAnsi="Adobe Caslon Pro" w:cs="Calibri"/>
                <w:color w:val="000000"/>
                <w:sz w:val="20"/>
                <w:szCs w:val="20"/>
                <w:lang w:eastAsia="es-MX"/>
              </w:rPr>
              <w:t>Unidad administrativa responsable de contratar la evaluación:</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Jefatura de la Gubernatura</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6.3</w:t>
            </w:r>
            <w:r>
              <w:rPr>
                <w:rFonts w:ascii="Times New Roman" w:hAnsi="Times New Roman"/>
                <w:color w:val="000000"/>
                <w:sz w:val="20"/>
                <w:szCs w:val="20"/>
                <w:lang w:eastAsia="es-MX"/>
              </w:rPr>
              <w:t> </w:t>
            </w:r>
            <w:r w:rsidRPr="00CF5A67">
              <w:rPr>
                <w:rFonts w:ascii="Adobe Caslon Pro" w:hAnsi="Adobe Caslon Pro" w:cs="Calibri"/>
                <w:color w:val="000000"/>
                <w:sz w:val="20"/>
                <w:szCs w:val="20"/>
                <w:lang w:eastAsia="es-MX"/>
              </w:rPr>
              <w:t xml:space="preserve">Costo total de la evaluación:    </w:t>
            </w:r>
            <w:r w:rsidRPr="00CF5A67">
              <w:rPr>
                <w:rFonts w:ascii="Adobe Caslon Pro" w:hAnsi="Adobe Caslon Pro" w:cs="Calibri"/>
                <w:i/>
                <w:color w:val="000000"/>
                <w:sz w:val="20"/>
                <w:szCs w:val="20"/>
                <w:lang w:eastAsia="es-MX"/>
              </w:rPr>
              <w:t>$ 960,000.00 (Novecientos sesenta mil pesos 00/100 M.N.) El costo corresponde a la evaluación de ocho Fondos de Aportaciones del Ramo General 33</w:t>
            </w:r>
            <w:r w:rsidRPr="00CF5A67">
              <w:rPr>
                <w:rFonts w:ascii="Adobe Caslon Pro" w:hAnsi="Adobe Caslon Pro" w:cs="Calibri"/>
                <w:color w:val="000000"/>
                <w:sz w:val="20"/>
                <w:szCs w:val="20"/>
                <w:lang w:eastAsia="es-MX"/>
              </w:rPr>
              <w:t>.</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6.4</w:t>
            </w:r>
            <w:r w:rsidRPr="00CF5A67">
              <w:rPr>
                <w:rFonts w:ascii="Times New Roman" w:hAnsi="Times New Roman"/>
                <w:color w:val="000000"/>
                <w:sz w:val="20"/>
                <w:szCs w:val="20"/>
                <w:lang w:eastAsia="es-MX"/>
              </w:rPr>
              <w:t xml:space="preserve">  </w:t>
            </w:r>
            <w:r w:rsidRPr="00CF5A67">
              <w:rPr>
                <w:rFonts w:ascii="Adobe Caslon Pro" w:hAnsi="Adobe Caslon Pro" w:cs="Calibri"/>
                <w:color w:val="000000"/>
                <w:sz w:val="20"/>
                <w:szCs w:val="20"/>
                <w:lang w:eastAsia="es-MX"/>
              </w:rPr>
              <w:t>Fuente de Financiamiento : </w:t>
            </w:r>
          </w:p>
          <w:p w:rsidR="007456F1" w:rsidRPr="00CF5A67" w:rsidRDefault="007456F1"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Recursos Fiscales</w:t>
            </w:r>
          </w:p>
        </w:tc>
      </w:tr>
      <w:tr w:rsidR="007456F1" w:rsidRPr="00CF5A67" w:rsidTr="00A56E05">
        <w:trPr>
          <w:trHeight w:val="162"/>
          <w:jc w:val="center"/>
        </w:trPr>
        <w:tc>
          <w:tcPr>
            <w:tcW w:w="999" w:type="dxa"/>
            <w:gridSpan w:val="2"/>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2019" w:type="dxa"/>
            <w:gridSpan w:val="4"/>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7456F1" w:rsidRPr="00CF5A67" w:rsidRDefault="007456F1" w:rsidP="00A56E05">
            <w:pPr>
              <w:rPr>
                <w:rFonts w:ascii="Adobe Caslon Pro" w:hAnsi="Adobe Caslon Pro" w:cs="Calibri"/>
                <w:color w:val="000000"/>
                <w:sz w:val="20"/>
                <w:szCs w:val="20"/>
                <w:lang w:eastAsia="es-MX"/>
              </w:rPr>
            </w:pPr>
          </w:p>
        </w:tc>
      </w:tr>
      <w:tr w:rsidR="007456F1" w:rsidRPr="00CF5A67" w:rsidTr="00A56E05">
        <w:trPr>
          <w:trHeight w:val="420"/>
          <w:jc w:val="center"/>
        </w:trPr>
        <w:tc>
          <w:tcPr>
            <w:tcW w:w="4973" w:type="dxa"/>
            <w:gridSpan w:val="7"/>
            <w:tcBorders>
              <w:top w:val="single" w:sz="4" w:space="0" w:color="auto"/>
              <w:left w:val="single" w:sz="4" w:space="0" w:color="auto"/>
              <w:bottom w:val="single" w:sz="4" w:space="0" w:color="auto"/>
              <w:right w:val="nil"/>
            </w:tcBorders>
            <w:shd w:val="clear" w:color="000000" w:fill="C2D69A"/>
            <w:noWrap/>
            <w:vAlign w:val="bottom"/>
            <w:hideMark/>
          </w:tcPr>
          <w:p w:rsidR="007456F1" w:rsidRPr="00CF5A67" w:rsidRDefault="007456F1" w:rsidP="00A56E05">
            <w:pPr>
              <w:rPr>
                <w:rFonts w:ascii="Trajan Pro" w:hAnsi="Trajan Pro" w:cs="Calibri"/>
                <w:b/>
                <w:bCs/>
                <w:color w:val="000000"/>
                <w:sz w:val="20"/>
                <w:szCs w:val="20"/>
                <w:lang w:eastAsia="es-MX"/>
              </w:rPr>
            </w:pPr>
            <w:r w:rsidRPr="00CF5A67">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7456F1" w:rsidRPr="00CF5A67" w:rsidRDefault="007456F1" w:rsidP="00A56E05">
            <w:pPr>
              <w:rPr>
                <w:rFonts w:ascii="Adobe Caslon Pro" w:hAnsi="Adobe Caslon Pro" w:cs="Calibri"/>
                <w:b/>
                <w:bCs/>
                <w:color w:val="000000"/>
                <w:sz w:val="20"/>
                <w:szCs w:val="20"/>
                <w:lang w:eastAsia="es-MX"/>
              </w:rPr>
            </w:pPr>
            <w:r w:rsidRPr="00CF5A67">
              <w:rPr>
                <w:rFonts w:ascii="Adobe Caslon Pro" w:hAnsi="Adobe Caslon Pro" w:cs="Calibri"/>
                <w:b/>
                <w:bCs/>
                <w:color w:val="000000"/>
                <w:sz w:val="20"/>
                <w:szCs w:val="20"/>
                <w:lang w:eastAsia="es-MX"/>
              </w:rPr>
              <w:t> </w:t>
            </w:r>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CF5A67">
              <w:rPr>
                <w:rFonts w:ascii="Adobe Caslon Pro" w:hAnsi="Adobe Caslon Pro" w:cs="Calibri"/>
                <w:color w:val="000000"/>
                <w:sz w:val="20"/>
                <w:szCs w:val="20"/>
                <w:lang w:eastAsia="es-MX"/>
              </w:rPr>
              <w:t>7.1  Difusión en internet de la evaluación:</w:t>
            </w:r>
            <w:r>
              <w:rPr>
                <w:rFonts w:ascii="Adobe Caslon Pro" w:hAnsi="Adobe Caslon Pro" w:cs="Calibri"/>
                <w:color w:val="000000"/>
                <w:sz w:val="20"/>
                <w:szCs w:val="20"/>
                <w:lang w:eastAsia="es-MX"/>
              </w:rPr>
              <w:t xml:space="preserve"> </w:t>
            </w:r>
            <w:r>
              <w:rPr>
                <w:rFonts w:ascii="Adobe Caslon Pro" w:hAnsi="Adobe Caslon Pro" w:cs="Calibri"/>
                <w:color w:val="000000"/>
                <w:sz w:val="20"/>
                <w:szCs w:val="20"/>
                <w:lang w:eastAsia="es-MX"/>
              </w:rPr>
              <w:br/>
            </w:r>
            <w:hyperlink r:id="rId177" w:history="1">
              <w:r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CF5A67" w:rsidRDefault="009B1A50" w:rsidP="00A56E05">
            <w:pPr>
              <w:rPr>
                <w:rFonts w:ascii="Adobe Caslon Pro" w:hAnsi="Adobe Caslon Pro" w:cs="Calibri"/>
                <w:color w:val="000000"/>
                <w:sz w:val="20"/>
                <w:szCs w:val="20"/>
                <w:lang w:eastAsia="es-MX"/>
              </w:rPr>
            </w:pPr>
            <w:hyperlink r:id="rId178" w:history="1">
              <w:r w:rsidR="007456F1" w:rsidRPr="002F7F93">
                <w:rPr>
                  <w:rStyle w:val="Hipervnculo"/>
                  <w:rFonts w:ascii="Adobe Caslon Pro" w:hAnsi="Adobe Caslon Pro" w:cs="Calibri"/>
                  <w:sz w:val="20"/>
                  <w:szCs w:val="20"/>
                  <w:lang w:eastAsia="es-MX"/>
                </w:rPr>
                <w:t>http://www.transparenciapresupuestaria.oaxaca.gob.mx/05_ev1_eprogramas.php</w:t>
              </w:r>
            </w:hyperlink>
          </w:p>
        </w:tc>
      </w:tr>
      <w:tr w:rsidR="007456F1" w:rsidRPr="00CF5A67" w:rsidTr="00A56E05">
        <w:trPr>
          <w:trHeight w:val="420"/>
          <w:jc w:val="center"/>
        </w:trPr>
        <w:tc>
          <w:tcPr>
            <w:tcW w:w="9436" w:type="dxa"/>
            <w:gridSpan w:val="1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56F1" w:rsidRDefault="007456F1" w:rsidP="00A56E05">
            <w:pPr>
              <w:rPr>
                <w:rFonts w:ascii="Adobe Caslon Pro" w:hAnsi="Adobe Caslon Pro" w:cs="Calibri"/>
                <w:color w:val="000000"/>
                <w:sz w:val="20"/>
                <w:szCs w:val="20"/>
                <w:lang w:eastAsia="es-MX"/>
              </w:rPr>
            </w:pPr>
            <w:r w:rsidRPr="000C03C1">
              <w:rPr>
                <w:rFonts w:ascii="Adobe Caslon Pro" w:hAnsi="Adobe Caslon Pro" w:cs="Calibri"/>
                <w:color w:val="000000"/>
                <w:sz w:val="20"/>
                <w:szCs w:val="20"/>
                <w:lang w:eastAsia="es-MX"/>
              </w:rPr>
              <w:t>7.2  Difusión en internet del formato:</w:t>
            </w:r>
            <w:r>
              <w:rPr>
                <w:rFonts w:ascii="Adobe Caslon Pro" w:hAnsi="Adobe Caslon Pro" w:cs="Calibri"/>
                <w:color w:val="000000"/>
                <w:sz w:val="20"/>
                <w:szCs w:val="20"/>
                <w:lang w:eastAsia="es-MX"/>
              </w:rPr>
              <w:t xml:space="preserve"> </w:t>
            </w:r>
          </w:p>
          <w:p w:rsidR="007456F1" w:rsidRDefault="009B1A50" w:rsidP="00A56E05">
            <w:pPr>
              <w:rPr>
                <w:rFonts w:ascii="Adobe Caslon Pro" w:hAnsi="Adobe Caslon Pro" w:cs="Calibri"/>
                <w:color w:val="000000"/>
                <w:sz w:val="20"/>
                <w:szCs w:val="20"/>
                <w:lang w:eastAsia="es-MX"/>
              </w:rPr>
            </w:pPr>
            <w:hyperlink r:id="rId179" w:history="1">
              <w:r w:rsidR="007456F1" w:rsidRPr="002F7F93">
                <w:rPr>
                  <w:rStyle w:val="Hipervnculo"/>
                  <w:rFonts w:ascii="Adobe Caslon Pro" w:hAnsi="Adobe Caslon Pro" w:cs="Calibri"/>
                  <w:sz w:val="20"/>
                  <w:szCs w:val="20"/>
                  <w:lang w:eastAsia="es-MX"/>
                </w:rPr>
                <w:t>http://www.jefaturadelagubernatura-evaluacion.oaxaca.gob.mx/index.php/pae-sidepanel/pae-2014</w:t>
              </w:r>
            </w:hyperlink>
          </w:p>
          <w:p w:rsidR="007456F1" w:rsidRPr="00CF5A67" w:rsidRDefault="007456F1" w:rsidP="00A56E05">
            <w:pPr>
              <w:rPr>
                <w:rFonts w:ascii="Adobe Caslon Pro" w:hAnsi="Adobe Caslon Pro" w:cs="Calibri"/>
                <w:color w:val="000000"/>
                <w:sz w:val="20"/>
                <w:szCs w:val="20"/>
                <w:lang w:eastAsia="es-MX"/>
              </w:rPr>
            </w:pPr>
          </w:p>
        </w:tc>
      </w:tr>
    </w:tbl>
    <w:p w:rsidR="007456F1" w:rsidRDefault="007456F1" w:rsidP="007456F1">
      <w:pPr>
        <w:autoSpaceDE w:val="0"/>
        <w:autoSpaceDN w:val="0"/>
        <w:adjustRightInd w:val="0"/>
        <w:jc w:val="both"/>
        <w:rPr>
          <w:rFonts w:cs="Calibri"/>
          <w:sz w:val="16"/>
          <w:szCs w:val="16"/>
        </w:rPr>
      </w:pPr>
    </w:p>
    <w:p w:rsidR="00A225C2" w:rsidRDefault="008E4272" w:rsidP="00A225C2">
      <w:pPr>
        <w:contextualSpacing/>
        <w:jc w:val="both"/>
        <w:rPr>
          <w:rFonts w:ascii="Adobe Caslon Pro" w:hAnsi="Adobe Caslon Pro" w:cs="Calibri"/>
          <w:i/>
          <w:color w:val="000000"/>
          <w:sz w:val="20"/>
          <w:szCs w:val="20"/>
          <w:lang w:eastAsia="es-MX"/>
        </w:rPr>
      </w:pPr>
      <w:r>
        <w:rPr>
          <w:rFonts w:ascii="Arial" w:hAnsi="Arial" w:cs="Arial"/>
          <w:b/>
        </w:rPr>
        <w:br w:type="page"/>
      </w:r>
      <w:r w:rsidR="00A225C2" w:rsidRPr="00A225C2">
        <w:rPr>
          <w:rFonts w:ascii="Arial" w:hAnsi="Arial" w:cs="Arial"/>
          <w:b/>
        </w:rPr>
        <w:lastRenderedPageBreak/>
        <w:t>14.</w:t>
      </w:r>
      <w:r w:rsidR="0072684E">
        <w:rPr>
          <w:rFonts w:ascii="Arial" w:hAnsi="Arial" w:cs="Arial"/>
          <w:b/>
        </w:rPr>
        <w:t>2</w:t>
      </w:r>
      <w:r w:rsidR="00A225C2" w:rsidRPr="00A225C2">
        <w:rPr>
          <w:rFonts w:ascii="Arial" w:hAnsi="Arial" w:cs="Arial"/>
          <w:b/>
        </w:rPr>
        <w:t>.1</w:t>
      </w:r>
      <w:r w:rsidR="00FB524A">
        <w:rPr>
          <w:rFonts w:ascii="Arial" w:hAnsi="Arial" w:cs="Arial"/>
          <w:b/>
        </w:rPr>
        <w:t>6</w:t>
      </w:r>
      <w:r w:rsidR="00A225C2" w:rsidRPr="00A225C2">
        <w:rPr>
          <w:rFonts w:ascii="Arial" w:hAnsi="Arial" w:cs="Arial"/>
          <w:b/>
        </w:rPr>
        <w:t>.- FONDO REGIONAL (FONREGION)</w:t>
      </w:r>
    </w:p>
    <w:p w:rsidR="00A225C2" w:rsidRPr="009278B1" w:rsidRDefault="00A225C2" w:rsidP="00A225C2">
      <w:pPr>
        <w:pStyle w:val="Prrafodelista"/>
        <w:ind w:left="0"/>
        <w:jc w:val="center"/>
        <w:rPr>
          <w:rFonts w:ascii="Adobe Caslon Pro" w:hAnsi="Adobe Caslon Pro" w:cs="Arial"/>
        </w:rPr>
      </w:pPr>
    </w:p>
    <w:tbl>
      <w:tblPr>
        <w:tblpPr w:leftFromText="141" w:rightFromText="141" w:vertAnchor="text" w:tblpY="1"/>
        <w:tblOverlap w:val="never"/>
        <w:tblW w:w="9436" w:type="dxa"/>
        <w:tblInd w:w="58" w:type="dxa"/>
        <w:tblCellMar>
          <w:left w:w="70" w:type="dxa"/>
          <w:right w:w="70" w:type="dxa"/>
        </w:tblCellMar>
        <w:tblLook w:val="04A0"/>
      </w:tblPr>
      <w:tblGrid>
        <w:gridCol w:w="579"/>
        <w:gridCol w:w="420"/>
        <w:gridCol w:w="1955"/>
        <w:gridCol w:w="1311"/>
        <w:gridCol w:w="160"/>
        <w:gridCol w:w="237"/>
        <w:gridCol w:w="170"/>
        <w:gridCol w:w="141"/>
        <w:gridCol w:w="667"/>
        <w:gridCol w:w="1311"/>
        <w:gridCol w:w="14"/>
        <w:gridCol w:w="1160"/>
        <w:gridCol w:w="151"/>
        <w:gridCol w:w="1160"/>
      </w:tblGrid>
      <w:tr w:rsidR="00A225C2" w:rsidRPr="00BE4199" w:rsidTr="00A56E05">
        <w:trPr>
          <w:trHeight w:val="420"/>
        </w:trPr>
        <w:tc>
          <w:tcPr>
            <w:tcW w:w="5640" w:type="dxa"/>
            <w:gridSpan w:val="9"/>
            <w:tcBorders>
              <w:top w:val="single" w:sz="4" w:space="0" w:color="auto"/>
              <w:left w:val="single" w:sz="4" w:space="0" w:color="auto"/>
              <w:bottom w:val="single" w:sz="4" w:space="0" w:color="auto"/>
              <w:right w:val="nil"/>
            </w:tcBorders>
            <w:shd w:val="clear" w:color="000000" w:fill="C2D69A"/>
            <w:noWrap/>
            <w:vAlign w:val="bottom"/>
            <w:hideMark/>
          </w:tcPr>
          <w:p w:rsidR="00A225C2" w:rsidRPr="00BE4199" w:rsidRDefault="00A225C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A225C2" w:rsidRPr="00BE4199"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Evaluación Estratégica de Cons</w:t>
            </w:r>
            <w:r>
              <w:rPr>
                <w:rFonts w:ascii="Adobe Caslon Pro" w:hAnsi="Adobe Caslon Pro" w:cs="Calibri"/>
                <w:i/>
                <w:color w:val="000000"/>
                <w:sz w:val="20"/>
                <w:szCs w:val="20"/>
                <w:lang w:eastAsia="es-MX"/>
              </w:rPr>
              <w:t>istencia y Resultados del Fondo Regional (FONREGION)</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1.2 Fecha de inicio de la evaluación (</w:t>
            </w:r>
            <w:proofErr w:type="spellStart"/>
            <w:r w:rsidRPr="00BE4199">
              <w:rPr>
                <w:rFonts w:ascii="Adobe Caslon Pro" w:hAnsi="Adobe Caslon Pro" w:cs="Calibri"/>
                <w:color w:val="000000"/>
                <w:sz w:val="20"/>
                <w:szCs w:val="20"/>
                <w:lang w:eastAsia="es-MX"/>
              </w:rPr>
              <w:t>dd</w:t>
            </w:r>
            <w:proofErr w:type="spellEnd"/>
            <w:r w:rsidRPr="00BE4199">
              <w:rPr>
                <w:rFonts w:ascii="Adobe Caslon Pro" w:hAnsi="Adobe Caslon Pro" w:cs="Calibri"/>
                <w:color w:val="000000"/>
                <w:sz w:val="20"/>
                <w:szCs w:val="20"/>
                <w:lang w:eastAsia="es-MX"/>
              </w:rPr>
              <w:t>/mm/</w:t>
            </w:r>
            <w:proofErr w:type="spellStart"/>
            <w:r w:rsidRPr="00BE4199">
              <w:rPr>
                <w:rFonts w:ascii="Adobe Caslon Pro" w:hAnsi="Adobe Caslon Pro" w:cs="Calibri"/>
                <w:color w:val="000000"/>
                <w:sz w:val="20"/>
                <w:szCs w:val="20"/>
                <w:lang w:eastAsia="es-MX"/>
              </w:rPr>
              <w:t>aaaa</w:t>
            </w:r>
            <w:proofErr w:type="spellEnd"/>
            <w:r w:rsidRPr="00BE4199">
              <w:rPr>
                <w:rFonts w:ascii="Adobe Caslon Pro" w:hAnsi="Adobe Caslon Pro" w:cs="Calibri"/>
                <w:color w:val="000000"/>
                <w:sz w:val="20"/>
                <w:szCs w:val="20"/>
                <w:lang w:eastAsia="es-MX"/>
              </w:rPr>
              <w:t xml:space="preserve">): </w:t>
            </w:r>
            <w:r w:rsidRPr="00BE4199">
              <w:rPr>
                <w:rFonts w:ascii="Adobe Caslon Pro" w:hAnsi="Adobe Caslon Pro" w:cs="Calibri"/>
                <w:i/>
                <w:color w:val="000000"/>
                <w:sz w:val="20"/>
                <w:szCs w:val="20"/>
                <w:lang w:eastAsia="es-MX"/>
              </w:rPr>
              <w:t>21/08/2014</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1.3 Fecha de término de la evaluación (</w:t>
            </w:r>
            <w:proofErr w:type="spellStart"/>
            <w:r w:rsidRPr="000D3BE9">
              <w:rPr>
                <w:rFonts w:ascii="Adobe Caslon Pro" w:hAnsi="Adobe Caslon Pro" w:cs="Calibri"/>
                <w:color w:val="000000"/>
                <w:sz w:val="20"/>
                <w:szCs w:val="20"/>
                <w:lang w:eastAsia="es-MX"/>
              </w:rPr>
              <w:t>dd</w:t>
            </w:r>
            <w:proofErr w:type="spellEnd"/>
            <w:r w:rsidRPr="000D3BE9">
              <w:rPr>
                <w:rFonts w:ascii="Adobe Caslon Pro" w:hAnsi="Adobe Caslon Pro" w:cs="Calibri"/>
                <w:color w:val="000000"/>
                <w:sz w:val="20"/>
                <w:szCs w:val="20"/>
                <w:lang w:eastAsia="es-MX"/>
              </w:rPr>
              <w:t>/mm/</w:t>
            </w:r>
            <w:proofErr w:type="spellStart"/>
            <w:r w:rsidRPr="000D3BE9">
              <w:rPr>
                <w:rFonts w:ascii="Adobe Caslon Pro" w:hAnsi="Adobe Caslon Pro" w:cs="Calibri"/>
                <w:color w:val="000000"/>
                <w:sz w:val="20"/>
                <w:szCs w:val="20"/>
                <w:lang w:eastAsia="es-MX"/>
              </w:rPr>
              <w:t>aaaa</w:t>
            </w:r>
            <w:proofErr w:type="spellEnd"/>
            <w:r w:rsidRPr="000D3BE9">
              <w:rPr>
                <w:rFonts w:ascii="Adobe Caslon Pro" w:hAnsi="Adobe Caslon Pro" w:cs="Calibri"/>
                <w:color w:val="000000"/>
                <w:sz w:val="20"/>
                <w:szCs w:val="20"/>
                <w:lang w:eastAsia="es-MX"/>
              </w:rPr>
              <w:t xml:space="preserve">): </w:t>
            </w:r>
            <w:r w:rsidRPr="000D3BE9">
              <w:rPr>
                <w:rFonts w:ascii="Adobe Caslon Pro" w:hAnsi="Adobe Caslon Pro" w:cs="Calibri"/>
                <w:i/>
                <w:color w:val="000000"/>
                <w:sz w:val="20"/>
                <w:szCs w:val="20"/>
                <w:lang w:eastAsia="es-MX"/>
              </w:rPr>
              <w:t>09/04/2015</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A225C2" w:rsidRPr="00BE4199" w:rsidTr="00A56E05">
        <w:trPr>
          <w:trHeight w:val="420"/>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A225C2"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A225C2" w:rsidRPr="00BE4199" w:rsidRDefault="00A225C2" w:rsidP="00A56E05">
            <w:pPr>
              <w:rPr>
                <w:rFonts w:ascii="Adobe Caslon Pro" w:hAnsi="Adobe Caslon Pro" w:cs="Calibri"/>
                <w:i/>
                <w:color w:val="000000"/>
                <w:sz w:val="20"/>
                <w:szCs w:val="20"/>
                <w:lang w:eastAsia="es-MX"/>
              </w:rPr>
            </w:pPr>
          </w:p>
        </w:tc>
        <w:tc>
          <w:tcPr>
            <w:tcW w:w="4774" w:type="dxa"/>
            <w:gridSpan w:val="8"/>
            <w:tcBorders>
              <w:top w:val="single" w:sz="4" w:space="0" w:color="auto"/>
              <w:left w:val="single" w:sz="4" w:space="0" w:color="auto"/>
              <w:bottom w:val="single" w:sz="4" w:space="0" w:color="auto"/>
              <w:right w:val="single" w:sz="4" w:space="0" w:color="000000"/>
            </w:tcBorders>
            <w:shd w:val="clear" w:color="auto" w:fill="auto"/>
            <w:vAlign w:val="bottom"/>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A225C2" w:rsidRPr="00BE4199" w:rsidRDefault="00A225C2"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Coadyuvar en la Consolidación del Sistema de Evaluación del Desempeño en el Estado de Oaxaca, a través de identificar y analizar la consistencia y resultados del  Fondo</w:t>
            </w:r>
            <w:r>
              <w:rPr>
                <w:rFonts w:ascii="Adobe Caslon Pro" w:hAnsi="Adobe Caslon Pro" w:cs="Calibri"/>
                <w:i/>
                <w:color w:val="000000"/>
                <w:sz w:val="20"/>
                <w:szCs w:val="20"/>
                <w:lang w:eastAsia="es-MX"/>
              </w:rPr>
              <w:t xml:space="preserve"> Regional (FONREGION)</w:t>
            </w:r>
            <w:r w:rsidRPr="00BE4199">
              <w:rPr>
                <w:rFonts w:ascii="Adobe Caslon Pro" w:hAnsi="Adobe Caslon Pro" w:cs="Calibri"/>
                <w:i/>
                <w:color w:val="000000"/>
                <w:sz w:val="20"/>
                <w:szCs w:val="20"/>
                <w:lang w:eastAsia="es-MX"/>
              </w:rPr>
              <w:t>, en cuanto al Diseño de la Matriz de Indicadores, la Planeación Estratégica, Cobertura y Focalización, Operación, Percepción de la Población Objetivo, Resultad</w:t>
            </w:r>
            <w:r>
              <w:rPr>
                <w:rFonts w:ascii="Adobe Caslon Pro" w:hAnsi="Adobe Caslon Pro" w:cs="Calibri"/>
                <w:i/>
                <w:color w:val="000000"/>
                <w:sz w:val="20"/>
                <w:szCs w:val="20"/>
                <w:lang w:eastAsia="es-MX"/>
              </w:rPr>
              <w:t>os</w:t>
            </w:r>
            <w:r w:rsidRPr="00BE4199">
              <w:rPr>
                <w:rFonts w:ascii="Adobe Caslon Pro" w:hAnsi="Adobe Caslon Pro" w:cs="Calibri"/>
                <w:i/>
                <w:color w:val="000000"/>
                <w:sz w:val="20"/>
                <w:szCs w:val="20"/>
                <w:lang w:eastAsia="es-MX"/>
              </w:rPr>
              <w:t xml:space="preserve"> y Ejercicio de los Recursos</w:t>
            </w:r>
            <w:r>
              <w:rPr>
                <w:rFonts w:ascii="Adobe Caslon Pro" w:hAnsi="Adobe Caslon Pro" w:cs="Calibri"/>
                <w:i/>
                <w:color w:val="000000"/>
                <w:sz w:val="20"/>
                <w:szCs w:val="20"/>
                <w:lang w:eastAsia="es-MX"/>
              </w:rPr>
              <w:t>, con el fin de que las recomendaciones de este análisis retroalimenten el desempeño de los programas y el ejercicio de los recursos, con base en indicadores estratégicos y de gestión para el cumplimiento de los objetivos para los que están destinados</w:t>
            </w:r>
            <w:r w:rsidRPr="00BE4199">
              <w:rPr>
                <w:rFonts w:ascii="Adobe Caslon Pro" w:hAnsi="Adobe Caslon Pro" w:cs="Calibri"/>
                <w:i/>
                <w:color w:val="000000"/>
                <w:sz w:val="20"/>
                <w:szCs w:val="20"/>
                <w:lang w:eastAsia="es-MX"/>
              </w:rPr>
              <w:t>.</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A225C2" w:rsidRDefault="00A225C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A225C2" w:rsidRPr="00A92C63" w:rsidRDefault="00A225C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Diseño. Es un proceso analítico global que se enfoca en identificar los objetivos de los Programas para luego determinar la consistencia de su diseño y los resultados con tales objetivos.</w:t>
            </w:r>
          </w:p>
          <w:p w:rsidR="00A225C2" w:rsidRPr="00A92C63" w:rsidRDefault="00A225C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Planeación Estratégica. Implica analizar los instrumentos de planeación de los Programas, y corroborar si tal planeación tiene una orientación para resultados. </w:t>
            </w:r>
          </w:p>
          <w:p w:rsidR="00A225C2" w:rsidRPr="00A92C63" w:rsidRDefault="00A225C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Cobertura y Focalización. Corresponde cuantificar y determinar la población potencial y la población objetivo que está siendo atendida a través de los Programas. </w:t>
            </w:r>
          </w:p>
          <w:p w:rsidR="00A225C2" w:rsidRPr="00A92C63" w:rsidRDefault="00A225C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Operación. Analiza las principales actividades y procesos establecidos en la normatividad aplicable; la eficiencia, eficacia y economía operativa de los Programas; y el cumplimiento y avance en los indicadores estratégicos y de gestión. </w:t>
            </w:r>
          </w:p>
          <w:p w:rsidR="00A225C2" w:rsidRPr="00A92C63" w:rsidRDefault="00A225C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Percepción de la Población. Analiza el grado de satisfacción de los beneficiarios de los bienes y servicios que conforman cada Programa. </w:t>
            </w:r>
          </w:p>
          <w:p w:rsidR="00A225C2" w:rsidRPr="00A92C63" w:rsidRDefault="00A225C2" w:rsidP="00F075EB">
            <w:pPr>
              <w:numPr>
                <w:ilvl w:val="0"/>
                <w:numId w:val="72"/>
              </w:numPr>
              <w:jc w:val="both"/>
              <w:rPr>
                <w:rFonts w:ascii="Adobe Caslon Pro" w:hAnsi="Adobe Caslon Pro" w:cs="Calibri"/>
                <w:i/>
                <w:color w:val="000000"/>
                <w:sz w:val="20"/>
                <w:szCs w:val="20"/>
                <w:lang w:eastAsia="es-MX"/>
              </w:rPr>
            </w:pPr>
            <w:r w:rsidRPr="00A92C63">
              <w:rPr>
                <w:rFonts w:ascii="Adobe Caslon Pro" w:hAnsi="Adobe Caslon Pro" w:cs="Calibri"/>
                <w:i/>
                <w:color w:val="000000"/>
                <w:sz w:val="20"/>
                <w:szCs w:val="20"/>
                <w:lang w:eastAsia="es-MX"/>
              </w:rPr>
              <w:t xml:space="preserve">Resultados. Analiza los resultados intermedios y de impacto alcanzado por cada uno de los Programas, en términos de mejora o solución del problema por el cual fue creado cada uno de éstos. </w:t>
            </w:r>
          </w:p>
          <w:p w:rsidR="00A225C2" w:rsidRPr="009B1103" w:rsidRDefault="00A225C2" w:rsidP="00F075EB">
            <w:pPr>
              <w:numPr>
                <w:ilvl w:val="0"/>
                <w:numId w:val="72"/>
              </w:numPr>
              <w:jc w:val="both"/>
              <w:rPr>
                <w:rFonts w:ascii="Adobe Caslon Pro" w:hAnsi="Adobe Caslon Pro" w:cs="Calibri"/>
                <w:color w:val="000000"/>
                <w:sz w:val="20"/>
                <w:szCs w:val="20"/>
                <w:lang w:eastAsia="es-MX"/>
              </w:rPr>
            </w:pPr>
            <w:r w:rsidRPr="00A92C63">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r>
              <w:t>.</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A225C2" w:rsidRPr="00BE4199" w:rsidTr="00A56E05">
        <w:trPr>
          <w:trHeight w:val="420"/>
        </w:trPr>
        <w:tc>
          <w:tcPr>
            <w:tcW w:w="9436" w:type="dxa"/>
            <w:gridSpan w:val="14"/>
            <w:tcBorders>
              <w:top w:val="single" w:sz="4" w:space="0" w:color="auto"/>
              <w:left w:val="single" w:sz="4" w:space="0" w:color="auto"/>
              <w:right w:val="single" w:sz="4" w:space="0" w:color="000000"/>
            </w:tcBorders>
            <w:shd w:val="clear" w:color="auto" w:fill="auto"/>
            <w:noWrap/>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A225C2" w:rsidRPr="00A47E21" w:rsidRDefault="00A225C2"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tc>
      </w:tr>
      <w:tr w:rsidR="00A225C2" w:rsidRPr="00BE4199" w:rsidTr="00A56E05">
        <w:trPr>
          <w:trHeight w:val="599"/>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A225C2"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Descripción de las técnicas y modelos utilizados: </w:t>
            </w:r>
          </w:p>
          <w:p w:rsidR="00A225C2" w:rsidRPr="00BE4199" w:rsidRDefault="00A225C2" w:rsidP="00A56E05">
            <w:pPr>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 xml:space="preserve">nes y el proceso presupuestario, los cuales se encuentran en los Términos de Referencia en la siguiente liga: </w:t>
            </w:r>
            <w:hyperlink r:id="rId180" w:history="1">
              <w:r w:rsidRPr="002F7F93">
                <w:rPr>
                  <w:rStyle w:val="Hipervnculo"/>
                  <w:rFonts w:ascii="Adobe Caslon Pro" w:hAnsi="Adobe Caslon Pro" w:cs="Calibri"/>
                  <w:i/>
                  <w:sz w:val="20"/>
                  <w:szCs w:val="20"/>
                  <w:lang w:eastAsia="es-MX"/>
                </w:rPr>
                <w:t>http://www.jefaturadelagubernatura-evaluacion.oaxaca.gob.mx/index.php/pae-sidepanel/pae-2014</w:t>
              </w:r>
            </w:hyperlink>
          </w:p>
        </w:tc>
      </w:tr>
      <w:tr w:rsidR="00A225C2" w:rsidRPr="00BE4199" w:rsidTr="00A56E05">
        <w:trPr>
          <w:trHeight w:val="58"/>
        </w:trPr>
        <w:tc>
          <w:tcPr>
            <w:tcW w:w="999" w:type="dxa"/>
            <w:gridSpan w:val="2"/>
            <w:tcBorders>
              <w:top w:val="single" w:sz="4" w:space="0" w:color="auto"/>
              <w:bottom w:val="single" w:sz="4" w:space="0" w:color="auto"/>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 </w:t>
            </w:r>
          </w:p>
        </w:tc>
        <w:tc>
          <w:tcPr>
            <w:tcW w:w="8437" w:type="dxa"/>
            <w:gridSpan w:val="12"/>
            <w:tcBorders>
              <w:top w:val="single" w:sz="4" w:space="0" w:color="auto"/>
              <w:bottom w:val="single" w:sz="4" w:space="0" w:color="auto"/>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r>
      <w:tr w:rsidR="00A225C2" w:rsidRPr="00BE4199" w:rsidTr="00A56E05">
        <w:trPr>
          <w:trHeight w:val="420"/>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A225C2" w:rsidRPr="00BE4199" w:rsidRDefault="00A225C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A225C2" w:rsidRPr="00BE4199" w:rsidTr="00A56E05">
        <w:trPr>
          <w:trHeight w:val="461"/>
        </w:trPr>
        <w:tc>
          <w:tcPr>
            <w:tcW w:w="9436" w:type="dxa"/>
            <w:gridSpan w:val="14"/>
            <w:tcBorders>
              <w:top w:val="single" w:sz="4" w:space="0" w:color="auto"/>
              <w:left w:val="single" w:sz="4" w:space="0" w:color="auto"/>
              <w:right w:val="single" w:sz="4" w:space="0" w:color="000000"/>
            </w:tcBorders>
            <w:shd w:val="clear" w:color="auto" w:fill="auto"/>
            <w:noWrap/>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2.1 Describir los hallazgos más relevantes de la evaluación: </w:t>
            </w:r>
          </w:p>
        </w:tc>
      </w:tr>
      <w:tr w:rsidR="00A225C2" w:rsidRPr="00BE4199" w:rsidTr="00A56E05">
        <w:trPr>
          <w:trHeight w:val="420"/>
        </w:trPr>
        <w:tc>
          <w:tcPr>
            <w:tcW w:w="9436" w:type="dxa"/>
            <w:gridSpan w:val="14"/>
            <w:vMerge w:val="restart"/>
            <w:tcBorders>
              <w:top w:val="single" w:sz="4" w:space="0" w:color="auto"/>
              <w:left w:val="single" w:sz="4" w:space="0" w:color="auto"/>
              <w:bottom w:val="nil"/>
              <w:right w:val="single" w:sz="4" w:space="0" w:color="000000"/>
            </w:tcBorders>
            <w:shd w:val="clear" w:color="auto" w:fill="auto"/>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 Señalar cuáles son las principales Fortalezas, Oportunidades, Debilidades y Amenazas (FODA), de acuerdo con los temas del programa, estrategia o instituciones.</w:t>
            </w:r>
          </w:p>
        </w:tc>
      </w:tr>
      <w:tr w:rsidR="00A225C2" w:rsidRPr="00BE4199" w:rsidTr="00A56E05">
        <w:trPr>
          <w:trHeight w:val="340"/>
        </w:trPr>
        <w:tc>
          <w:tcPr>
            <w:tcW w:w="9436" w:type="dxa"/>
            <w:gridSpan w:val="14"/>
            <w:vMerge/>
            <w:tcBorders>
              <w:top w:val="single" w:sz="4" w:space="0" w:color="auto"/>
              <w:left w:val="single" w:sz="4" w:space="0" w:color="auto"/>
              <w:bottom w:val="nil"/>
              <w:right w:val="single" w:sz="4" w:space="0" w:color="000000"/>
            </w:tcBorders>
            <w:vAlign w:val="center"/>
            <w:hideMark/>
          </w:tcPr>
          <w:p w:rsidR="00A225C2" w:rsidRPr="00BE4199" w:rsidRDefault="00A225C2" w:rsidP="00A56E05">
            <w:pPr>
              <w:rPr>
                <w:rFonts w:ascii="Adobe Caslon Pro" w:hAnsi="Adobe Caslon Pro" w:cs="Calibri"/>
                <w:color w:val="000000"/>
                <w:sz w:val="20"/>
                <w:szCs w:val="20"/>
                <w:lang w:eastAsia="es-MX"/>
              </w:rPr>
            </w:pP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A225C2" w:rsidRPr="00E71100" w:rsidRDefault="00A225C2" w:rsidP="00A56E05">
            <w:pPr>
              <w:jc w:val="both"/>
              <w:rPr>
                <w:rFonts w:ascii="Adobe Caslon Pro" w:hAnsi="Adobe Caslon Pro" w:cs="Calibri"/>
                <w:i/>
                <w:color w:val="000000"/>
                <w:sz w:val="20"/>
                <w:szCs w:val="20"/>
                <w:lang w:eastAsia="es-MX"/>
              </w:rPr>
            </w:pPr>
            <w:r w:rsidRPr="00E71100">
              <w:rPr>
                <w:rFonts w:ascii="Adobe Caslon Pro" w:hAnsi="Adobe Caslon Pro" w:cs="Calibri"/>
                <w:i/>
                <w:color w:val="000000"/>
                <w:sz w:val="20"/>
                <w:szCs w:val="20"/>
                <w:lang w:eastAsia="es-MX"/>
              </w:rPr>
              <w:t>2.2.1 Fortalezas:</w:t>
            </w:r>
          </w:p>
          <w:p w:rsidR="00A225C2" w:rsidRDefault="00A225C2"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DISEÑO</w:t>
            </w:r>
          </w:p>
          <w:p w:rsidR="00A225C2" w:rsidRDefault="00A225C2" w:rsidP="00F075EB">
            <w:pPr>
              <w:numPr>
                <w:ilvl w:val="0"/>
                <w:numId w:val="12"/>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Existe una relación lógica de las obras y/o proyectos de inversión, entre otros,</w:t>
            </w:r>
            <w:r>
              <w:rPr>
                <w:rFonts w:ascii="Adobe Caslon Pro" w:hAnsi="Adobe Caslon Pro" w:cs="Calibri"/>
                <w:i/>
                <w:color w:val="000000"/>
                <w:sz w:val="20"/>
                <w:szCs w:val="20"/>
                <w:lang w:eastAsia="es-MX"/>
              </w:rPr>
              <w:t xml:space="preserve"> </w:t>
            </w:r>
            <w:r w:rsidRPr="009C4E1C">
              <w:rPr>
                <w:rFonts w:ascii="Adobe Caslon Pro" w:hAnsi="Adobe Caslon Pro" w:cs="Calibri"/>
                <w:i/>
                <w:color w:val="000000"/>
                <w:sz w:val="20"/>
                <w:szCs w:val="20"/>
                <w:lang w:eastAsia="es-MX"/>
              </w:rPr>
              <w:t xml:space="preserve">que se asocian al Fondo y a su vez se relacionan con el Plan Nacional de Desarrollo y el Plan Estatal de Desarrollo. </w:t>
            </w:r>
          </w:p>
          <w:p w:rsidR="00A225C2" w:rsidRDefault="00A225C2" w:rsidP="00F075EB">
            <w:pPr>
              <w:numPr>
                <w:ilvl w:val="0"/>
                <w:numId w:val="12"/>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Se muestran los indicadores correspondientes para medir el desempeño de</w:t>
            </w:r>
            <w:r>
              <w:rPr>
                <w:rFonts w:ascii="Adobe Caslon Pro" w:hAnsi="Adobe Caslon Pro" w:cs="Calibri"/>
                <w:i/>
                <w:color w:val="000000"/>
                <w:sz w:val="20"/>
                <w:szCs w:val="20"/>
                <w:lang w:eastAsia="es-MX"/>
              </w:rPr>
              <w:t xml:space="preserve"> </w:t>
            </w:r>
            <w:r w:rsidRPr="009C4E1C">
              <w:rPr>
                <w:rFonts w:ascii="Adobe Caslon Pro" w:hAnsi="Adobe Caslon Pro" w:cs="Calibri"/>
                <w:i/>
                <w:color w:val="000000"/>
                <w:sz w:val="20"/>
                <w:szCs w:val="20"/>
                <w:lang w:eastAsia="es-MX"/>
              </w:rPr>
              <w:t>las acciones realizadas, así como los indicadores de la Matriz de Indicadores para Resultados Federal y la utilizada por el Estado de Oaxaca a nivel de Fin, Propósito, Componentes y Actividades.</w:t>
            </w:r>
          </w:p>
          <w:p w:rsidR="00A225C2" w:rsidRDefault="00A225C2" w:rsidP="00F075EB">
            <w:pPr>
              <w:numPr>
                <w:ilvl w:val="0"/>
                <w:numId w:val="12"/>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Los indicadores son validados respecto al objetivo del programa.</w:t>
            </w:r>
          </w:p>
          <w:p w:rsidR="00A225C2" w:rsidRDefault="00A225C2" w:rsidP="00F075EB">
            <w:pPr>
              <w:numPr>
                <w:ilvl w:val="0"/>
                <w:numId w:val="12"/>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En MIR utilizada por el Estado de Oaxaca se identifican claramente los Medios</w:t>
            </w:r>
            <w:r>
              <w:rPr>
                <w:rFonts w:ascii="Adobe Caslon Pro" w:hAnsi="Adobe Caslon Pro" w:cs="Calibri"/>
                <w:i/>
                <w:color w:val="000000"/>
                <w:sz w:val="20"/>
                <w:szCs w:val="20"/>
                <w:lang w:eastAsia="es-MX"/>
              </w:rPr>
              <w:t xml:space="preserve"> </w:t>
            </w:r>
            <w:r w:rsidRPr="009C4E1C">
              <w:rPr>
                <w:rFonts w:ascii="Adobe Caslon Pro" w:hAnsi="Adobe Caslon Pro" w:cs="Calibri"/>
                <w:i/>
                <w:color w:val="000000"/>
                <w:sz w:val="20"/>
                <w:szCs w:val="20"/>
                <w:lang w:eastAsia="es-MX"/>
              </w:rPr>
              <w:t>de Verificación.</w:t>
            </w:r>
          </w:p>
          <w:p w:rsidR="00A225C2" w:rsidRDefault="00A225C2" w:rsidP="00F075EB">
            <w:pPr>
              <w:numPr>
                <w:ilvl w:val="0"/>
                <w:numId w:val="12"/>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Existe congruencia entre la normatividad aplicable del programa y su lógica</w:t>
            </w:r>
            <w:r>
              <w:rPr>
                <w:rFonts w:ascii="Adobe Caslon Pro" w:hAnsi="Adobe Caslon Pro" w:cs="Calibri"/>
                <w:i/>
                <w:color w:val="000000"/>
                <w:sz w:val="20"/>
                <w:szCs w:val="20"/>
                <w:lang w:eastAsia="es-MX"/>
              </w:rPr>
              <w:t xml:space="preserve"> </w:t>
            </w:r>
            <w:r w:rsidRPr="009C4E1C">
              <w:rPr>
                <w:rFonts w:ascii="Adobe Caslon Pro" w:hAnsi="Adobe Caslon Pro" w:cs="Calibri"/>
                <w:i/>
                <w:color w:val="000000"/>
                <w:sz w:val="20"/>
                <w:szCs w:val="20"/>
                <w:lang w:eastAsia="es-MX"/>
              </w:rPr>
              <w:t>interna.</w:t>
            </w:r>
          </w:p>
          <w:p w:rsidR="00A225C2" w:rsidRPr="009C4E1C" w:rsidRDefault="00A225C2" w:rsidP="00A56E05">
            <w:pPr>
              <w:ind w:left="720"/>
              <w:jc w:val="both"/>
              <w:rPr>
                <w:rFonts w:ascii="Adobe Caslon Pro" w:hAnsi="Adobe Caslon Pro" w:cs="Calibri"/>
                <w:i/>
                <w:color w:val="000000"/>
                <w:sz w:val="20"/>
                <w:szCs w:val="20"/>
                <w:lang w:eastAsia="es-MX"/>
              </w:rPr>
            </w:pPr>
          </w:p>
          <w:p w:rsidR="00A225C2" w:rsidRDefault="00A225C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A225C2" w:rsidRDefault="00A225C2" w:rsidP="00F075EB">
            <w:pPr>
              <w:numPr>
                <w:ilvl w:val="0"/>
                <w:numId w:val="106"/>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En el Programa se establecen con claridad los resultados que busca a</w:t>
            </w:r>
            <w:r>
              <w:rPr>
                <w:rFonts w:ascii="Adobe Caslon Pro" w:hAnsi="Adobe Caslon Pro" w:cs="Calibri"/>
                <w:i/>
                <w:color w:val="000000"/>
                <w:sz w:val="20"/>
                <w:szCs w:val="20"/>
                <w:lang w:eastAsia="es-MX"/>
              </w:rPr>
              <w:t xml:space="preserve">lcanzar a </w:t>
            </w:r>
            <w:r w:rsidRPr="009C4E1C">
              <w:rPr>
                <w:rFonts w:ascii="Adobe Caslon Pro" w:hAnsi="Adobe Caslon Pro" w:cs="Calibri"/>
                <w:i/>
                <w:color w:val="000000"/>
                <w:sz w:val="20"/>
                <w:szCs w:val="20"/>
                <w:lang w:eastAsia="es-MX"/>
              </w:rPr>
              <w:t>través de sus planes institucionales.</w:t>
            </w:r>
          </w:p>
          <w:p w:rsidR="00A225C2" w:rsidRDefault="00A225C2" w:rsidP="00F075EB">
            <w:pPr>
              <w:numPr>
                <w:ilvl w:val="0"/>
                <w:numId w:val="106"/>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Se cuenta con los mecanismos adecuados para establecer y definir los indicadores</w:t>
            </w:r>
            <w:r>
              <w:rPr>
                <w:rFonts w:ascii="Adobe Caslon Pro" w:hAnsi="Adobe Caslon Pro" w:cs="Calibri"/>
                <w:i/>
                <w:color w:val="000000"/>
                <w:sz w:val="20"/>
                <w:szCs w:val="20"/>
                <w:lang w:eastAsia="es-MX"/>
              </w:rPr>
              <w:t xml:space="preserve"> </w:t>
            </w:r>
            <w:r w:rsidRPr="009C4E1C">
              <w:rPr>
                <w:rFonts w:ascii="Adobe Caslon Pro" w:hAnsi="Adobe Caslon Pro" w:cs="Calibri"/>
                <w:i/>
                <w:color w:val="000000"/>
                <w:sz w:val="20"/>
                <w:szCs w:val="20"/>
                <w:lang w:eastAsia="es-MX"/>
              </w:rPr>
              <w:t>de desempeño.</w:t>
            </w:r>
          </w:p>
          <w:p w:rsidR="00A225C2" w:rsidRDefault="00A225C2" w:rsidP="00F075EB">
            <w:pPr>
              <w:numPr>
                <w:ilvl w:val="0"/>
                <w:numId w:val="106"/>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Se recolecta regularmente información oportuna y veraz que permite monitorear</w:t>
            </w:r>
            <w:r>
              <w:rPr>
                <w:rFonts w:ascii="Adobe Caslon Pro" w:hAnsi="Adobe Caslon Pro" w:cs="Calibri"/>
                <w:i/>
                <w:color w:val="000000"/>
                <w:sz w:val="20"/>
                <w:szCs w:val="20"/>
                <w:lang w:eastAsia="es-MX"/>
              </w:rPr>
              <w:t xml:space="preserve"> </w:t>
            </w:r>
            <w:r w:rsidRPr="009C4E1C">
              <w:rPr>
                <w:rFonts w:ascii="Adobe Caslon Pro" w:hAnsi="Adobe Caslon Pro" w:cs="Calibri"/>
                <w:i/>
                <w:color w:val="000000"/>
                <w:sz w:val="20"/>
                <w:szCs w:val="20"/>
                <w:lang w:eastAsia="es-MX"/>
              </w:rPr>
              <w:t>el desempeño del Programa.</w:t>
            </w:r>
          </w:p>
          <w:p w:rsidR="00A225C2" w:rsidRDefault="00A225C2" w:rsidP="00F075EB">
            <w:pPr>
              <w:numPr>
                <w:ilvl w:val="0"/>
                <w:numId w:val="106"/>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El Programa cuenta con metas pertinentes y plazos específicos.</w:t>
            </w:r>
          </w:p>
          <w:p w:rsidR="00A225C2" w:rsidRPr="009C4E1C" w:rsidRDefault="00A225C2" w:rsidP="00F075EB">
            <w:pPr>
              <w:numPr>
                <w:ilvl w:val="0"/>
                <w:numId w:val="106"/>
              </w:numPr>
              <w:jc w:val="both"/>
              <w:rPr>
                <w:rFonts w:ascii="Adobe Caslon Pro" w:hAnsi="Adobe Caslon Pro" w:cs="Calibri"/>
                <w:i/>
                <w:color w:val="000000"/>
                <w:sz w:val="20"/>
                <w:szCs w:val="20"/>
                <w:lang w:eastAsia="es-MX"/>
              </w:rPr>
            </w:pPr>
            <w:r w:rsidRPr="009C4E1C">
              <w:rPr>
                <w:rFonts w:ascii="Adobe Caslon Pro" w:hAnsi="Adobe Caslon Pro" w:cs="Calibri"/>
                <w:i/>
                <w:color w:val="000000"/>
                <w:sz w:val="20"/>
                <w:szCs w:val="20"/>
                <w:lang w:eastAsia="es-MX"/>
              </w:rPr>
              <w:t>Los requerimientos del presupuesto están explícitamente ligados al cumplimiento</w:t>
            </w:r>
            <w:r>
              <w:rPr>
                <w:rFonts w:ascii="Adobe Caslon Pro" w:hAnsi="Adobe Caslon Pro" w:cs="Calibri"/>
                <w:i/>
                <w:color w:val="000000"/>
                <w:sz w:val="20"/>
                <w:szCs w:val="20"/>
                <w:lang w:eastAsia="es-MX"/>
              </w:rPr>
              <w:t xml:space="preserve"> </w:t>
            </w:r>
            <w:r w:rsidRPr="009C4E1C">
              <w:rPr>
                <w:rFonts w:ascii="Adobe Caslon Pro" w:hAnsi="Adobe Caslon Pro" w:cs="Calibri"/>
                <w:i/>
                <w:color w:val="000000"/>
                <w:sz w:val="20"/>
                <w:szCs w:val="20"/>
                <w:lang w:eastAsia="es-MX"/>
              </w:rPr>
              <w:t>de las metas de desempeño.</w:t>
            </w:r>
          </w:p>
          <w:p w:rsidR="00A225C2" w:rsidRPr="002421C4" w:rsidRDefault="00A225C2" w:rsidP="00A56E05">
            <w:pPr>
              <w:ind w:left="720"/>
              <w:jc w:val="both"/>
              <w:rPr>
                <w:rFonts w:ascii="Adobe Caslon Pro" w:hAnsi="Adobe Caslon Pro" w:cs="Calibri"/>
                <w:i/>
                <w:color w:val="000000"/>
                <w:sz w:val="20"/>
                <w:szCs w:val="20"/>
                <w:lang w:eastAsia="es-MX"/>
              </w:rPr>
            </w:pPr>
          </w:p>
          <w:p w:rsidR="00A225C2" w:rsidRDefault="00A225C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w:t>
            </w:r>
            <w:r w:rsidRPr="00C41A47">
              <w:rPr>
                <w:rFonts w:ascii="Adobe Caslon Pro" w:hAnsi="Adobe Caslon Pro" w:cs="Calibri"/>
                <w:i/>
                <w:color w:val="000000"/>
                <w:sz w:val="20"/>
                <w:szCs w:val="20"/>
                <w:lang w:eastAsia="es-MX"/>
              </w:rPr>
              <w:t>OBERTURA Y FOCALIZACIÓN</w:t>
            </w:r>
          </w:p>
          <w:p w:rsidR="00A225C2" w:rsidRPr="00D07D6C" w:rsidRDefault="00A225C2" w:rsidP="00F075EB">
            <w:pPr>
              <w:numPr>
                <w:ilvl w:val="0"/>
                <w:numId w:val="107"/>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Se ha atendido a la población objetivo del programa.</w:t>
            </w:r>
          </w:p>
          <w:p w:rsidR="00A225C2" w:rsidRDefault="00A225C2" w:rsidP="00F075EB">
            <w:pPr>
              <w:numPr>
                <w:ilvl w:val="0"/>
                <w:numId w:val="107"/>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Se cuenta con un padrón de beneficiarios.</w:t>
            </w:r>
          </w:p>
          <w:p w:rsidR="00A225C2" w:rsidRPr="00BE4199" w:rsidRDefault="00A225C2" w:rsidP="00A56E05">
            <w:pPr>
              <w:ind w:left="720"/>
              <w:jc w:val="both"/>
              <w:rPr>
                <w:rFonts w:ascii="Adobe Caslon Pro" w:hAnsi="Adobe Caslon Pro" w:cs="Calibri"/>
                <w:i/>
                <w:color w:val="000000"/>
                <w:sz w:val="20"/>
                <w:szCs w:val="20"/>
                <w:lang w:eastAsia="es-MX"/>
              </w:rPr>
            </w:pPr>
          </w:p>
          <w:p w:rsidR="00A225C2" w:rsidRDefault="00A225C2"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OPERACIÓN</w:t>
            </w:r>
          </w:p>
          <w:p w:rsidR="00A225C2"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Se cuenta con procedimientos estandarizado</w:t>
            </w:r>
            <w:r>
              <w:rPr>
                <w:rFonts w:ascii="Adobe Caslon Pro" w:hAnsi="Adobe Caslon Pro" w:cs="Calibri"/>
                <w:i/>
                <w:color w:val="000000"/>
                <w:sz w:val="20"/>
                <w:szCs w:val="20"/>
                <w:lang w:eastAsia="es-MX"/>
              </w:rPr>
              <w:t xml:space="preserve">s y adecuados para la selección </w:t>
            </w:r>
            <w:r w:rsidRPr="00D07D6C">
              <w:rPr>
                <w:rFonts w:ascii="Adobe Caslon Pro" w:hAnsi="Adobe Caslon Pro" w:cs="Calibri"/>
                <w:i/>
                <w:color w:val="000000"/>
                <w:sz w:val="20"/>
                <w:szCs w:val="20"/>
                <w:lang w:eastAsia="es-MX"/>
              </w:rPr>
              <w:t>de beneficiarios.</w:t>
            </w:r>
          </w:p>
          <w:p w:rsidR="00A225C2"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Se cumple con los criterios de elegibilidad y requisitos establecidos en la</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normatividad para la selección de beneficiarios.</w:t>
            </w:r>
          </w:p>
          <w:p w:rsidR="00A225C2"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Existe evidencia documental de que el Programa cumple con los procesos</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de ejecución establecidos en la normatividad.</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Los procesos de ejecución funcionan de acuerdo a la normatividad.</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El Programa cuenta con una estructura organizacional que permite entregar</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los Componentes y alcanzar el logro del Propósito de cada uno de ellos.</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Los mecanismos de transferencias de recursos asociados al Fondo operan eficaz</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y eficientemente.</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Entre los programas estatales asociados al Fondo y los programas federales</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existe una colaboración y coordinación efectiva.</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Existe información oportuna y confiable sobre las prácticas de administración</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financiera del Programa para la toma de decisiones de los responsables.</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Hay integración entre los distintos sistemas de información que conforman la</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administración financiera.</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lastRenderedPageBreak/>
              <w:t>Es adecuado el avance de los indicadores a nivel de Componentes para el logro</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del propósito del Programa.</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Existen indicadores de Eficacia.</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En el Programa se identifican y cuantifican los costos de operación y los costos</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unitarios.</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Se cuenta con un sistema de Rendición de Cuentas y Transparencia para los</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encargados de administrar el Programa.</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Se cuentan con los mecanismos de transparencia.</w:t>
            </w:r>
          </w:p>
          <w:p w:rsidR="00A225C2" w:rsidRPr="00D07D6C" w:rsidRDefault="00A225C2" w:rsidP="00F075EB">
            <w:pPr>
              <w:numPr>
                <w:ilvl w:val="0"/>
                <w:numId w:val="108"/>
              </w:numPr>
              <w:jc w:val="both"/>
              <w:rPr>
                <w:rFonts w:ascii="Adobe Caslon Pro" w:hAnsi="Adobe Caslon Pro" w:cs="Calibri"/>
                <w:i/>
                <w:color w:val="000000"/>
                <w:sz w:val="20"/>
                <w:szCs w:val="20"/>
                <w:lang w:eastAsia="es-MX"/>
              </w:rPr>
            </w:pPr>
            <w:r w:rsidRPr="00D07D6C">
              <w:rPr>
                <w:rFonts w:ascii="Adobe Caslon Pro" w:hAnsi="Adobe Caslon Pro" w:cs="Calibri"/>
                <w:i/>
                <w:color w:val="000000"/>
                <w:sz w:val="20"/>
                <w:szCs w:val="20"/>
                <w:lang w:eastAsia="es-MX"/>
              </w:rPr>
              <w:t>Se cuentan con mecanismos que difunden interna y externamente las evaluaciones</w:t>
            </w:r>
            <w:r>
              <w:rPr>
                <w:rFonts w:ascii="Adobe Caslon Pro" w:hAnsi="Adobe Caslon Pro" w:cs="Calibri"/>
                <w:i/>
                <w:color w:val="000000"/>
                <w:sz w:val="20"/>
                <w:szCs w:val="20"/>
                <w:lang w:eastAsia="es-MX"/>
              </w:rPr>
              <w:t xml:space="preserve"> </w:t>
            </w:r>
            <w:r w:rsidRPr="00D07D6C">
              <w:rPr>
                <w:rFonts w:ascii="Adobe Caslon Pro" w:hAnsi="Adobe Caslon Pro" w:cs="Calibri"/>
                <w:i/>
                <w:color w:val="000000"/>
                <w:sz w:val="20"/>
                <w:szCs w:val="20"/>
                <w:lang w:eastAsia="es-MX"/>
              </w:rPr>
              <w:t>y los resultados del Programa.</w:t>
            </w:r>
          </w:p>
          <w:p w:rsidR="00A225C2" w:rsidRPr="005A3888" w:rsidRDefault="00A225C2" w:rsidP="00A56E05">
            <w:pPr>
              <w:jc w:val="both"/>
              <w:rPr>
                <w:rFonts w:ascii="Adobe Caslon Pro" w:hAnsi="Adobe Caslon Pro" w:cs="Calibri"/>
                <w:i/>
                <w:color w:val="000000"/>
                <w:sz w:val="20"/>
                <w:szCs w:val="20"/>
                <w:lang w:eastAsia="es-MX"/>
              </w:rPr>
            </w:pPr>
          </w:p>
          <w:p w:rsidR="00A225C2" w:rsidRDefault="00A225C2"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RESULTADOS</w:t>
            </w:r>
          </w:p>
          <w:p w:rsidR="00A225C2" w:rsidRDefault="00A225C2" w:rsidP="00F075EB">
            <w:pPr>
              <w:numPr>
                <w:ilvl w:val="0"/>
                <w:numId w:val="109"/>
              </w:numPr>
              <w:jc w:val="both"/>
              <w:rPr>
                <w:rFonts w:ascii="Adobe Caslon Pro" w:hAnsi="Adobe Caslon Pro" w:cs="Calibri"/>
                <w:i/>
                <w:color w:val="000000"/>
                <w:sz w:val="20"/>
                <w:szCs w:val="20"/>
                <w:lang w:eastAsia="es-MX"/>
              </w:rPr>
            </w:pPr>
            <w:r w:rsidRPr="00195C24">
              <w:rPr>
                <w:rFonts w:ascii="Adobe Caslon Pro" w:hAnsi="Adobe Caslon Pro" w:cs="Calibri"/>
                <w:i/>
                <w:color w:val="000000"/>
                <w:sz w:val="20"/>
                <w:szCs w:val="20"/>
                <w:lang w:eastAsia="es-MX"/>
              </w:rPr>
              <w:t>El Programa cuenta con información veraz y</w:t>
            </w:r>
            <w:r>
              <w:rPr>
                <w:rFonts w:ascii="Adobe Caslon Pro" w:hAnsi="Adobe Caslon Pro" w:cs="Calibri"/>
                <w:i/>
                <w:color w:val="000000"/>
                <w:sz w:val="20"/>
                <w:szCs w:val="20"/>
                <w:lang w:eastAsia="es-MX"/>
              </w:rPr>
              <w:t xml:space="preserve"> oportuna sobre sus indicadores de Propósito y Fin.</w:t>
            </w:r>
          </w:p>
          <w:p w:rsidR="00A225C2" w:rsidRDefault="00A225C2" w:rsidP="00F075EB">
            <w:pPr>
              <w:numPr>
                <w:ilvl w:val="0"/>
                <w:numId w:val="109"/>
              </w:numPr>
              <w:jc w:val="both"/>
              <w:rPr>
                <w:rFonts w:ascii="Adobe Caslon Pro" w:hAnsi="Adobe Caslon Pro" w:cs="Calibri"/>
                <w:i/>
                <w:color w:val="000000"/>
                <w:sz w:val="20"/>
                <w:szCs w:val="20"/>
                <w:lang w:eastAsia="es-MX"/>
              </w:rPr>
            </w:pPr>
            <w:r w:rsidRPr="00195C24">
              <w:rPr>
                <w:rFonts w:ascii="Adobe Caslon Pro" w:hAnsi="Adobe Caslon Pro" w:cs="Calibri"/>
                <w:i/>
                <w:color w:val="000000"/>
                <w:sz w:val="20"/>
                <w:szCs w:val="20"/>
                <w:lang w:eastAsia="es-MX"/>
              </w:rPr>
              <w:t xml:space="preserve">La información que se proporciona respecto al </w:t>
            </w:r>
            <w:r>
              <w:rPr>
                <w:rFonts w:ascii="Adobe Caslon Pro" w:hAnsi="Adobe Caslon Pro" w:cs="Calibri"/>
                <w:i/>
                <w:color w:val="000000"/>
                <w:sz w:val="20"/>
                <w:szCs w:val="20"/>
                <w:lang w:eastAsia="es-MX"/>
              </w:rPr>
              <w:t xml:space="preserve">diseño y la operación de la MIR </w:t>
            </w:r>
            <w:r w:rsidRPr="00195C24">
              <w:rPr>
                <w:rFonts w:ascii="Adobe Caslon Pro" w:hAnsi="Adobe Caslon Pro" w:cs="Calibri"/>
                <w:i/>
                <w:color w:val="000000"/>
                <w:sz w:val="20"/>
                <w:szCs w:val="20"/>
                <w:lang w:eastAsia="es-MX"/>
              </w:rPr>
              <w:t xml:space="preserve">sí permite realizar una </w:t>
            </w:r>
            <w:r>
              <w:rPr>
                <w:rFonts w:ascii="Adobe Caslon Pro" w:hAnsi="Adobe Caslon Pro" w:cs="Calibri"/>
                <w:i/>
                <w:color w:val="000000"/>
                <w:sz w:val="20"/>
                <w:szCs w:val="20"/>
                <w:lang w:eastAsia="es-MX"/>
              </w:rPr>
              <w:t>rigurosa evaluación de impacto.</w:t>
            </w:r>
          </w:p>
          <w:p w:rsidR="00A225C2" w:rsidRDefault="00A225C2" w:rsidP="00F075EB">
            <w:pPr>
              <w:numPr>
                <w:ilvl w:val="0"/>
                <w:numId w:val="109"/>
              </w:numPr>
              <w:jc w:val="both"/>
              <w:rPr>
                <w:rFonts w:ascii="Adobe Caslon Pro" w:hAnsi="Adobe Caslon Pro" w:cs="Calibri"/>
                <w:i/>
                <w:color w:val="000000"/>
                <w:sz w:val="20"/>
                <w:szCs w:val="20"/>
                <w:lang w:eastAsia="es-MX"/>
              </w:rPr>
            </w:pPr>
            <w:r w:rsidRPr="00195C24">
              <w:rPr>
                <w:rFonts w:ascii="Adobe Caslon Pro" w:hAnsi="Adobe Caslon Pro" w:cs="Calibri"/>
                <w:i/>
                <w:color w:val="000000"/>
                <w:sz w:val="20"/>
                <w:szCs w:val="20"/>
                <w:lang w:eastAsia="es-MX"/>
              </w:rPr>
              <w:t>El Programa demuestra un adecuado progreso en alcanzar su Propósito y Fin.</w:t>
            </w:r>
          </w:p>
          <w:p w:rsidR="00A225C2" w:rsidRPr="00751EC4" w:rsidRDefault="00A225C2" w:rsidP="00A56E05">
            <w:pPr>
              <w:ind w:left="720"/>
              <w:jc w:val="both"/>
              <w:rPr>
                <w:rFonts w:ascii="Adobe Caslon Pro" w:hAnsi="Adobe Caslon Pro" w:cs="Calibri"/>
                <w:i/>
                <w:color w:val="000000"/>
                <w:sz w:val="20"/>
                <w:szCs w:val="20"/>
                <w:lang w:eastAsia="es-MX"/>
              </w:rPr>
            </w:pPr>
          </w:p>
          <w:p w:rsidR="00A225C2" w:rsidRPr="00FB1106" w:rsidRDefault="00A225C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EJERCICIO DE LOS RECURSOS</w:t>
            </w:r>
          </w:p>
          <w:p w:rsidR="00A225C2" w:rsidRPr="00195C24" w:rsidRDefault="00A225C2" w:rsidP="00F075EB">
            <w:pPr>
              <w:numPr>
                <w:ilvl w:val="0"/>
                <w:numId w:val="80"/>
              </w:numPr>
              <w:jc w:val="both"/>
              <w:rPr>
                <w:rFonts w:ascii="Adobe Caslon Pro" w:hAnsi="Adobe Caslon Pro" w:cs="Calibri"/>
                <w:i/>
                <w:color w:val="000000"/>
                <w:sz w:val="20"/>
                <w:szCs w:val="20"/>
                <w:lang w:eastAsia="es-MX"/>
              </w:rPr>
            </w:pPr>
            <w:r w:rsidRPr="00195C24">
              <w:rPr>
                <w:rFonts w:ascii="Adobe Caslon Pro" w:hAnsi="Adobe Caslon Pro" w:cs="Calibri"/>
                <w:i/>
                <w:color w:val="000000"/>
                <w:sz w:val="20"/>
                <w:szCs w:val="20"/>
                <w:lang w:eastAsia="es-MX"/>
              </w:rPr>
              <w:t>El recurso ministrado se ha transferido en tiempo y forma a las instancias ejecutoras.</w:t>
            </w:r>
          </w:p>
          <w:p w:rsidR="00A225C2" w:rsidRPr="00E00075" w:rsidRDefault="00A225C2" w:rsidP="00F075EB">
            <w:pPr>
              <w:numPr>
                <w:ilvl w:val="0"/>
                <w:numId w:val="80"/>
              </w:numPr>
              <w:jc w:val="both"/>
              <w:rPr>
                <w:rFonts w:ascii="Adobe Caslon Pro" w:hAnsi="Adobe Caslon Pro" w:cs="Calibri"/>
                <w:i/>
                <w:color w:val="000000"/>
                <w:sz w:val="20"/>
                <w:szCs w:val="20"/>
                <w:lang w:eastAsia="es-MX"/>
              </w:rPr>
            </w:pPr>
            <w:r w:rsidRPr="00195C24">
              <w:rPr>
                <w:rFonts w:ascii="Adobe Caslon Pro" w:hAnsi="Adobe Caslon Pro" w:cs="Calibri"/>
                <w:i/>
                <w:color w:val="000000"/>
                <w:sz w:val="20"/>
                <w:szCs w:val="20"/>
                <w:lang w:eastAsia="es-MX"/>
              </w:rPr>
              <w:t>Se cuenta con una Planeación Estratégica que define las acciones, obras, proyectos,</w:t>
            </w:r>
            <w:r>
              <w:rPr>
                <w:rFonts w:ascii="Adobe Caslon Pro" w:hAnsi="Adobe Caslon Pro" w:cs="Calibri"/>
                <w:i/>
                <w:color w:val="000000"/>
                <w:sz w:val="20"/>
                <w:szCs w:val="20"/>
                <w:lang w:eastAsia="es-MX"/>
              </w:rPr>
              <w:t xml:space="preserve"> </w:t>
            </w:r>
            <w:r w:rsidRPr="00E00075">
              <w:rPr>
                <w:rFonts w:ascii="Adobe Caslon Pro" w:hAnsi="Adobe Caslon Pro" w:cs="Calibri"/>
                <w:i/>
                <w:color w:val="000000"/>
                <w:sz w:val="20"/>
                <w:szCs w:val="20"/>
                <w:lang w:eastAsia="es-MX"/>
              </w:rPr>
              <w:t>actividades y bienes y servicios a entregar.</w:t>
            </w:r>
          </w:p>
          <w:p w:rsidR="00A225C2" w:rsidRPr="00E00075" w:rsidRDefault="00A225C2" w:rsidP="00F075EB">
            <w:pPr>
              <w:numPr>
                <w:ilvl w:val="0"/>
                <w:numId w:val="80"/>
              </w:numPr>
              <w:jc w:val="both"/>
              <w:rPr>
                <w:rFonts w:ascii="Adobe Caslon Pro" w:hAnsi="Adobe Caslon Pro" w:cs="Calibri"/>
                <w:i/>
                <w:color w:val="000000"/>
                <w:sz w:val="20"/>
                <w:szCs w:val="20"/>
                <w:lang w:eastAsia="es-MX"/>
              </w:rPr>
            </w:pPr>
            <w:r w:rsidRPr="00195C24">
              <w:rPr>
                <w:rFonts w:ascii="Adobe Caslon Pro" w:hAnsi="Adobe Caslon Pro" w:cs="Calibri"/>
                <w:i/>
                <w:color w:val="000000"/>
                <w:sz w:val="20"/>
                <w:szCs w:val="20"/>
                <w:lang w:eastAsia="es-MX"/>
              </w:rPr>
              <w:t>Se cuenta con la información que garantiza que la distribución de obras y proyectos,</w:t>
            </w:r>
            <w:r>
              <w:rPr>
                <w:rFonts w:ascii="Adobe Caslon Pro" w:hAnsi="Adobe Caslon Pro" w:cs="Calibri"/>
                <w:i/>
                <w:color w:val="000000"/>
                <w:sz w:val="20"/>
                <w:szCs w:val="20"/>
                <w:lang w:eastAsia="es-MX"/>
              </w:rPr>
              <w:t xml:space="preserve"> </w:t>
            </w:r>
            <w:r w:rsidRPr="00E00075">
              <w:rPr>
                <w:rFonts w:ascii="Adobe Caslon Pro" w:hAnsi="Adobe Caslon Pro" w:cs="Calibri"/>
                <w:i/>
                <w:color w:val="000000"/>
                <w:sz w:val="20"/>
                <w:szCs w:val="20"/>
                <w:lang w:eastAsia="es-MX"/>
              </w:rPr>
              <w:t>bienes y servicios es consistente con el Objetivo del Fondo.</w:t>
            </w:r>
          </w:p>
          <w:p w:rsidR="00A225C2" w:rsidRPr="00E00075" w:rsidRDefault="00A225C2" w:rsidP="00F075EB">
            <w:pPr>
              <w:numPr>
                <w:ilvl w:val="0"/>
                <w:numId w:val="80"/>
              </w:numPr>
              <w:jc w:val="both"/>
              <w:rPr>
                <w:rFonts w:ascii="Adobe Caslon Pro" w:hAnsi="Adobe Caslon Pro" w:cs="Calibri"/>
                <w:i/>
                <w:color w:val="000000"/>
                <w:sz w:val="20"/>
                <w:szCs w:val="20"/>
                <w:lang w:eastAsia="es-MX"/>
              </w:rPr>
            </w:pPr>
            <w:r w:rsidRPr="00195C24">
              <w:rPr>
                <w:rFonts w:ascii="Adobe Caslon Pro" w:hAnsi="Adobe Caslon Pro" w:cs="Calibri"/>
                <w:i/>
                <w:color w:val="000000"/>
                <w:sz w:val="20"/>
                <w:szCs w:val="20"/>
                <w:lang w:eastAsia="es-MX"/>
              </w:rPr>
              <w:t>Se muestra el grado de cumplimiento del avance físico de las obras y proyectos</w:t>
            </w:r>
            <w:r>
              <w:rPr>
                <w:rFonts w:ascii="Adobe Caslon Pro" w:hAnsi="Adobe Caslon Pro" w:cs="Calibri"/>
                <w:i/>
                <w:color w:val="000000"/>
                <w:sz w:val="20"/>
                <w:szCs w:val="20"/>
                <w:lang w:eastAsia="es-MX"/>
              </w:rPr>
              <w:t xml:space="preserve"> </w:t>
            </w:r>
            <w:r w:rsidRPr="00E00075">
              <w:rPr>
                <w:rFonts w:ascii="Adobe Caslon Pro" w:hAnsi="Adobe Caslon Pro" w:cs="Calibri"/>
                <w:i/>
                <w:color w:val="000000"/>
                <w:sz w:val="20"/>
                <w:szCs w:val="20"/>
                <w:lang w:eastAsia="es-MX"/>
              </w:rPr>
              <w:t>del Fondo.</w:t>
            </w:r>
          </w:p>
          <w:p w:rsidR="00A225C2" w:rsidRDefault="00A225C2" w:rsidP="00F075EB">
            <w:pPr>
              <w:numPr>
                <w:ilvl w:val="0"/>
                <w:numId w:val="80"/>
              </w:numPr>
              <w:jc w:val="both"/>
              <w:rPr>
                <w:rFonts w:ascii="Adobe Caslon Pro" w:hAnsi="Adobe Caslon Pro" w:cs="Calibri"/>
                <w:i/>
                <w:color w:val="000000"/>
                <w:sz w:val="20"/>
                <w:szCs w:val="20"/>
                <w:lang w:eastAsia="es-MX"/>
              </w:rPr>
            </w:pPr>
            <w:r w:rsidRPr="00195C24">
              <w:rPr>
                <w:rFonts w:ascii="Adobe Caslon Pro" w:hAnsi="Adobe Caslon Pro" w:cs="Calibri"/>
                <w:i/>
                <w:color w:val="000000"/>
                <w:sz w:val="20"/>
                <w:szCs w:val="20"/>
                <w:lang w:eastAsia="es-MX"/>
              </w:rPr>
              <w:t>Se cuenta con pleno conocimiento de la normatividad aplicable para proporcionar</w:t>
            </w:r>
            <w:r>
              <w:rPr>
                <w:rFonts w:ascii="Adobe Caslon Pro" w:hAnsi="Adobe Caslon Pro" w:cs="Calibri"/>
                <w:i/>
                <w:color w:val="000000"/>
                <w:sz w:val="20"/>
                <w:szCs w:val="20"/>
                <w:lang w:eastAsia="es-MX"/>
              </w:rPr>
              <w:t xml:space="preserve"> </w:t>
            </w:r>
            <w:r w:rsidRPr="00E00075">
              <w:rPr>
                <w:rFonts w:ascii="Adobe Caslon Pro" w:hAnsi="Adobe Caslon Pro" w:cs="Calibri"/>
                <w:i/>
                <w:color w:val="000000"/>
                <w:sz w:val="20"/>
                <w:szCs w:val="20"/>
                <w:lang w:eastAsia="es-MX"/>
              </w:rPr>
              <w:t>información sobre transparencia y rendición de cuentas.</w:t>
            </w:r>
          </w:p>
          <w:p w:rsidR="00A225C2" w:rsidRPr="003C3BE2" w:rsidRDefault="00A225C2" w:rsidP="00F075EB">
            <w:pPr>
              <w:numPr>
                <w:ilvl w:val="0"/>
                <w:numId w:val="80"/>
              </w:numPr>
              <w:jc w:val="both"/>
              <w:rPr>
                <w:rFonts w:ascii="Adobe Caslon Pro" w:hAnsi="Adobe Caslon Pro" w:cs="Calibri"/>
                <w:i/>
                <w:color w:val="000000"/>
                <w:sz w:val="20"/>
                <w:szCs w:val="20"/>
                <w:lang w:eastAsia="es-MX"/>
              </w:rPr>
            </w:pPr>
            <w:r w:rsidRPr="003C3BE2">
              <w:rPr>
                <w:rFonts w:ascii="Adobe Caslon Pro" w:hAnsi="Adobe Caslon Pro" w:cs="Calibri"/>
                <w:i/>
                <w:color w:val="000000"/>
                <w:sz w:val="20"/>
                <w:szCs w:val="20"/>
                <w:lang w:eastAsia="es-MX"/>
              </w:rPr>
              <w:t>Se cumple en tiempo y forma con los ordenamientos de normatividad aplicable</w:t>
            </w:r>
            <w:r>
              <w:rPr>
                <w:rFonts w:ascii="Adobe Caslon Pro" w:hAnsi="Adobe Caslon Pro" w:cs="Calibri"/>
                <w:i/>
                <w:color w:val="000000"/>
                <w:sz w:val="20"/>
                <w:szCs w:val="20"/>
                <w:lang w:eastAsia="es-MX"/>
              </w:rPr>
              <w:t xml:space="preserve"> </w:t>
            </w:r>
            <w:r w:rsidRPr="003C3BE2">
              <w:rPr>
                <w:rFonts w:ascii="Adobe Caslon Pro" w:hAnsi="Adobe Caslon Pro" w:cs="Calibri"/>
                <w:i/>
                <w:color w:val="000000"/>
                <w:sz w:val="20"/>
                <w:szCs w:val="20"/>
                <w:lang w:eastAsia="es-MX"/>
              </w:rPr>
              <w:t>en materia de información de resultados y financiera.</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A225C2" w:rsidRPr="00BE4199" w:rsidRDefault="00A225C2"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A225C2" w:rsidRDefault="00A225C2" w:rsidP="00A56E05">
            <w:pPr>
              <w:rPr>
                <w:rFonts w:ascii="Adobe Caslon Pro" w:hAnsi="Adobe Caslon Pro" w:cs="Calibri"/>
                <w:color w:val="000000"/>
                <w:sz w:val="20"/>
                <w:szCs w:val="20"/>
                <w:lang w:eastAsia="es-MX"/>
              </w:rPr>
            </w:pPr>
            <w:r w:rsidRPr="007D66F1">
              <w:rPr>
                <w:rFonts w:ascii="Adobe Caslon Pro" w:hAnsi="Adobe Caslon Pro" w:cs="Calibri"/>
                <w:color w:val="000000"/>
                <w:sz w:val="20"/>
                <w:szCs w:val="20"/>
                <w:lang w:eastAsia="es-MX"/>
              </w:rPr>
              <w:t>2.2.3 Debilidades:</w:t>
            </w:r>
          </w:p>
          <w:p w:rsidR="00A225C2" w:rsidRPr="00BE4199" w:rsidRDefault="00A225C2" w:rsidP="00A56E05">
            <w:pPr>
              <w:rPr>
                <w:rFonts w:ascii="Adobe Caslon Pro" w:hAnsi="Adobe Caslon Pro" w:cs="Calibri"/>
                <w:color w:val="000000"/>
                <w:sz w:val="20"/>
                <w:szCs w:val="20"/>
                <w:lang w:eastAsia="es-MX"/>
              </w:rPr>
            </w:pPr>
          </w:p>
          <w:p w:rsidR="00A225C2" w:rsidRDefault="00A225C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w:t>
            </w:r>
            <w:r w:rsidRPr="000D3BE9">
              <w:rPr>
                <w:rFonts w:ascii="Adobe Caslon Pro" w:hAnsi="Adobe Caslon Pro" w:cs="Calibri"/>
                <w:i/>
                <w:color w:val="000000"/>
                <w:sz w:val="20"/>
                <w:szCs w:val="20"/>
                <w:lang w:eastAsia="es-MX"/>
              </w:rPr>
              <w:t>O</w:t>
            </w:r>
          </w:p>
          <w:p w:rsidR="00A225C2" w:rsidRPr="00353FED" w:rsidRDefault="00A225C2" w:rsidP="00F075EB">
            <w:pPr>
              <w:numPr>
                <w:ilvl w:val="0"/>
                <w:numId w:val="110"/>
              </w:numPr>
              <w:autoSpaceDE w:val="0"/>
              <w:autoSpaceDN w:val="0"/>
              <w:adjustRightInd w:val="0"/>
              <w:jc w:val="both"/>
              <w:rPr>
                <w:rFonts w:ascii="Adobe Caslon Pro" w:hAnsi="Adobe Caslon Pro" w:cs="Calibri"/>
                <w:i/>
                <w:color w:val="000000"/>
                <w:sz w:val="20"/>
                <w:szCs w:val="20"/>
                <w:lang w:eastAsia="es-MX"/>
              </w:rPr>
            </w:pPr>
            <w:r w:rsidRPr="00353FED">
              <w:rPr>
                <w:rFonts w:ascii="Adobe Caslon Pro" w:hAnsi="Adobe Caslon Pro" w:cs="Calibri"/>
                <w:i/>
                <w:color w:val="000000"/>
                <w:sz w:val="20"/>
                <w:szCs w:val="20"/>
                <w:lang w:eastAsia="es-MX"/>
              </w:rPr>
              <w:t>Las Actividades del programa no son las suficie</w:t>
            </w:r>
            <w:r>
              <w:rPr>
                <w:rFonts w:ascii="Adobe Caslon Pro" w:hAnsi="Adobe Caslon Pro" w:cs="Calibri"/>
                <w:i/>
                <w:color w:val="000000"/>
                <w:sz w:val="20"/>
                <w:szCs w:val="20"/>
                <w:lang w:eastAsia="es-MX"/>
              </w:rPr>
              <w:t xml:space="preserve">ntes y necesarias para producir </w:t>
            </w:r>
            <w:r w:rsidRPr="00353FED">
              <w:rPr>
                <w:rFonts w:ascii="Adobe Caslon Pro" w:hAnsi="Adobe Caslon Pro" w:cs="Calibri"/>
                <w:i/>
                <w:color w:val="000000"/>
                <w:sz w:val="20"/>
                <w:szCs w:val="20"/>
                <w:lang w:eastAsia="es-MX"/>
              </w:rPr>
              <w:t>cada uno de los Componentes.</w:t>
            </w:r>
          </w:p>
          <w:p w:rsidR="00A225C2" w:rsidRDefault="00A225C2" w:rsidP="00F075EB">
            <w:pPr>
              <w:numPr>
                <w:ilvl w:val="0"/>
                <w:numId w:val="110"/>
              </w:numPr>
              <w:autoSpaceDE w:val="0"/>
              <w:autoSpaceDN w:val="0"/>
              <w:adjustRightInd w:val="0"/>
              <w:jc w:val="both"/>
              <w:rPr>
                <w:rFonts w:ascii="Adobe Caslon Pro" w:hAnsi="Adobe Caslon Pro" w:cs="Calibri"/>
                <w:i/>
                <w:color w:val="000000"/>
                <w:sz w:val="20"/>
                <w:szCs w:val="20"/>
                <w:lang w:eastAsia="es-MX"/>
              </w:rPr>
            </w:pPr>
            <w:r w:rsidRPr="00353FED">
              <w:rPr>
                <w:rFonts w:ascii="Adobe Caslon Pro" w:hAnsi="Adobe Caslon Pro" w:cs="Calibri"/>
                <w:i/>
                <w:color w:val="000000"/>
                <w:sz w:val="20"/>
                <w:szCs w:val="20"/>
                <w:lang w:eastAsia="es-MX"/>
              </w:rPr>
              <w:t>La lógica in</w:t>
            </w:r>
            <w:r>
              <w:rPr>
                <w:rFonts w:ascii="Adobe Caslon Pro" w:hAnsi="Adobe Caslon Pro" w:cs="Calibri"/>
                <w:i/>
                <w:color w:val="000000"/>
                <w:sz w:val="20"/>
                <w:szCs w:val="20"/>
                <w:lang w:eastAsia="es-MX"/>
              </w:rPr>
              <w:t>terna del programa no es clara.</w:t>
            </w:r>
          </w:p>
          <w:p w:rsidR="00A225C2" w:rsidRDefault="00A225C2" w:rsidP="00F075EB">
            <w:pPr>
              <w:numPr>
                <w:ilvl w:val="0"/>
                <w:numId w:val="110"/>
              </w:numPr>
              <w:autoSpaceDE w:val="0"/>
              <w:autoSpaceDN w:val="0"/>
              <w:adjustRightInd w:val="0"/>
              <w:jc w:val="both"/>
              <w:rPr>
                <w:rFonts w:ascii="Adobe Caslon Pro" w:hAnsi="Adobe Caslon Pro" w:cs="Calibri"/>
                <w:i/>
                <w:color w:val="000000"/>
                <w:sz w:val="20"/>
                <w:szCs w:val="20"/>
                <w:lang w:eastAsia="es-MX"/>
              </w:rPr>
            </w:pPr>
            <w:r w:rsidRPr="00353FED">
              <w:rPr>
                <w:rFonts w:ascii="Adobe Caslon Pro" w:hAnsi="Adobe Caslon Pro" w:cs="Calibri"/>
                <w:i/>
                <w:color w:val="000000"/>
                <w:sz w:val="20"/>
                <w:szCs w:val="20"/>
                <w:lang w:eastAsia="es-MX"/>
              </w:rPr>
              <w:t>Los indicadores del programa no tienen identificada</w:t>
            </w:r>
            <w:r>
              <w:rPr>
                <w:rFonts w:ascii="Adobe Caslon Pro" w:hAnsi="Adobe Caslon Pro" w:cs="Calibri"/>
                <w:i/>
                <w:color w:val="000000"/>
                <w:sz w:val="20"/>
                <w:szCs w:val="20"/>
                <w:lang w:eastAsia="es-MX"/>
              </w:rPr>
              <w:t xml:space="preserve"> su línea base, como referencia de comparación.</w:t>
            </w:r>
          </w:p>
          <w:p w:rsidR="00A225C2" w:rsidRDefault="00A225C2" w:rsidP="00F075EB">
            <w:pPr>
              <w:numPr>
                <w:ilvl w:val="0"/>
                <w:numId w:val="110"/>
              </w:numPr>
              <w:autoSpaceDE w:val="0"/>
              <w:autoSpaceDN w:val="0"/>
              <w:adjustRightInd w:val="0"/>
              <w:jc w:val="both"/>
              <w:rPr>
                <w:rFonts w:ascii="Adobe Caslon Pro" w:hAnsi="Adobe Caslon Pro" w:cs="Calibri"/>
                <w:i/>
                <w:color w:val="000000"/>
                <w:sz w:val="20"/>
                <w:szCs w:val="20"/>
                <w:lang w:eastAsia="es-MX"/>
              </w:rPr>
            </w:pPr>
            <w:r w:rsidRPr="00353FED">
              <w:rPr>
                <w:rFonts w:ascii="Adobe Caslon Pro" w:hAnsi="Adobe Caslon Pro" w:cs="Calibri"/>
                <w:i/>
                <w:color w:val="000000"/>
                <w:sz w:val="20"/>
                <w:szCs w:val="20"/>
                <w:lang w:eastAsia="es-MX"/>
              </w:rPr>
              <w:t>El programa no cuenta con Supuestos.</w:t>
            </w:r>
          </w:p>
          <w:p w:rsidR="00A225C2" w:rsidRDefault="00A225C2" w:rsidP="00F075EB">
            <w:pPr>
              <w:numPr>
                <w:ilvl w:val="0"/>
                <w:numId w:val="110"/>
              </w:numPr>
              <w:autoSpaceDE w:val="0"/>
              <w:autoSpaceDN w:val="0"/>
              <w:adjustRightInd w:val="0"/>
              <w:jc w:val="both"/>
              <w:rPr>
                <w:rFonts w:ascii="Adobe Caslon Pro" w:hAnsi="Adobe Caslon Pro" w:cs="Calibri"/>
                <w:i/>
                <w:color w:val="000000"/>
                <w:sz w:val="20"/>
                <w:szCs w:val="20"/>
                <w:lang w:eastAsia="es-MX"/>
              </w:rPr>
            </w:pPr>
            <w:r w:rsidRPr="000C6B9A">
              <w:rPr>
                <w:rFonts w:ascii="Adobe Caslon Pro" w:hAnsi="Adobe Caslon Pro" w:cs="Calibri"/>
                <w:i/>
                <w:color w:val="000000"/>
                <w:sz w:val="20"/>
                <w:szCs w:val="20"/>
                <w:lang w:eastAsia="es-MX"/>
              </w:rPr>
              <w:t>No se valida la lógica horizontal.</w:t>
            </w:r>
          </w:p>
          <w:p w:rsidR="00A225C2" w:rsidRDefault="00A225C2" w:rsidP="00A56E05">
            <w:pPr>
              <w:autoSpaceDE w:val="0"/>
              <w:autoSpaceDN w:val="0"/>
              <w:adjustRightInd w:val="0"/>
              <w:jc w:val="both"/>
              <w:rPr>
                <w:rFonts w:ascii="Adobe Caslon Pro" w:hAnsi="Adobe Caslon Pro" w:cs="Calibri"/>
                <w:i/>
                <w:color w:val="000000"/>
                <w:sz w:val="20"/>
                <w:szCs w:val="20"/>
                <w:lang w:eastAsia="es-MX"/>
              </w:rPr>
            </w:pPr>
          </w:p>
          <w:p w:rsidR="00A225C2" w:rsidRDefault="00A225C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PLANEACIÓN ESTRATÉGICA</w:t>
            </w:r>
          </w:p>
          <w:p w:rsidR="00A225C2" w:rsidRDefault="00A225C2" w:rsidP="00F075EB">
            <w:pPr>
              <w:numPr>
                <w:ilvl w:val="0"/>
                <w:numId w:val="111"/>
              </w:numPr>
              <w:autoSpaceDE w:val="0"/>
              <w:autoSpaceDN w:val="0"/>
              <w:adjustRightInd w:val="0"/>
              <w:jc w:val="both"/>
              <w:rPr>
                <w:rFonts w:ascii="Adobe Caslon Pro" w:hAnsi="Adobe Caslon Pro" w:cs="Calibri"/>
                <w:i/>
                <w:color w:val="000000"/>
                <w:sz w:val="20"/>
                <w:szCs w:val="20"/>
                <w:lang w:eastAsia="es-MX"/>
              </w:rPr>
            </w:pPr>
            <w:r w:rsidRPr="006127C5">
              <w:rPr>
                <w:rFonts w:ascii="Adobe Caslon Pro" w:hAnsi="Adobe Caslon Pro" w:cs="Calibri"/>
                <w:i/>
                <w:color w:val="000000"/>
                <w:sz w:val="20"/>
                <w:szCs w:val="20"/>
                <w:lang w:eastAsia="es-MX"/>
              </w:rPr>
              <w:t>Los indicadores del desempeño no tienen línea base.</w:t>
            </w:r>
          </w:p>
          <w:p w:rsidR="00A225C2" w:rsidRDefault="00A225C2" w:rsidP="00A56E05">
            <w:pPr>
              <w:autoSpaceDE w:val="0"/>
              <w:autoSpaceDN w:val="0"/>
              <w:adjustRightInd w:val="0"/>
              <w:ind w:left="720"/>
              <w:jc w:val="both"/>
              <w:rPr>
                <w:rFonts w:ascii="Adobe Caslon Pro" w:hAnsi="Adobe Caslon Pro" w:cs="Calibri"/>
                <w:i/>
                <w:color w:val="000000"/>
                <w:sz w:val="20"/>
                <w:szCs w:val="20"/>
                <w:lang w:eastAsia="es-MX"/>
              </w:rPr>
            </w:pPr>
          </w:p>
          <w:p w:rsidR="00A225C2" w:rsidRDefault="00A225C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COBERTURA Y FOCALIZACIÓN</w:t>
            </w:r>
          </w:p>
          <w:p w:rsidR="00A225C2" w:rsidRPr="006127C5" w:rsidRDefault="00A225C2"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6127C5">
              <w:rPr>
                <w:rFonts w:ascii="Adobe Caslon Pro" w:hAnsi="Adobe Caslon Pro" w:cs="Calibri"/>
                <w:i/>
                <w:color w:val="000000"/>
                <w:sz w:val="20"/>
                <w:szCs w:val="20"/>
                <w:lang w:eastAsia="es-MX"/>
              </w:rPr>
              <w:t>El Programa no cuenta con algún método para cuantificar y determinar la</w:t>
            </w:r>
            <w:r>
              <w:rPr>
                <w:rFonts w:ascii="Adobe Caslon Pro" w:hAnsi="Adobe Caslon Pro" w:cs="Calibri"/>
                <w:i/>
                <w:color w:val="000000"/>
                <w:sz w:val="20"/>
                <w:szCs w:val="20"/>
                <w:lang w:eastAsia="es-MX"/>
              </w:rPr>
              <w:t xml:space="preserve"> </w:t>
            </w:r>
            <w:r w:rsidRPr="006127C5">
              <w:rPr>
                <w:rFonts w:ascii="Adobe Caslon Pro" w:hAnsi="Adobe Caslon Pro" w:cs="Calibri"/>
                <w:i/>
                <w:color w:val="000000"/>
                <w:sz w:val="20"/>
                <w:szCs w:val="20"/>
                <w:lang w:eastAsia="es-MX"/>
              </w:rPr>
              <w:t>población potencial y objetivo.</w:t>
            </w:r>
          </w:p>
          <w:p w:rsidR="00A225C2" w:rsidRDefault="00A225C2"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6127C5">
              <w:rPr>
                <w:rFonts w:ascii="Adobe Caslon Pro" w:hAnsi="Adobe Caslon Pro" w:cs="Calibri"/>
                <w:i/>
                <w:color w:val="000000"/>
                <w:sz w:val="20"/>
                <w:szCs w:val="20"/>
                <w:lang w:eastAsia="es-MX"/>
              </w:rPr>
              <w:t>No se cuenta con algún mecanismo de actualización.</w:t>
            </w:r>
          </w:p>
          <w:p w:rsidR="00A225C2" w:rsidRPr="00DE4A57" w:rsidRDefault="00A225C2" w:rsidP="00A56E05">
            <w:pPr>
              <w:autoSpaceDE w:val="0"/>
              <w:autoSpaceDN w:val="0"/>
              <w:adjustRightInd w:val="0"/>
              <w:ind w:left="720"/>
              <w:jc w:val="both"/>
              <w:rPr>
                <w:rFonts w:ascii="Adobe Caslon Pro" w:hAnsi="Adobe Caslon Pro" w:cs="Calibri"/>
                <w:i/>
                <w:color w:val="000000"/>
                <w:sz w:val="20"/>
                <w:szCs w:val="20"/>
                <w:lang w:eastAsia="es-MX"/>
              </w:rPr>
            </w:pPr>
          </w:p>
          <w:p w:rsidR="00A225C2" w:rsidRDefault="00A225C2" w:rsidP="00A56E05">
            <w:pPr>
              <w:autoSpaceDE w:val="0"/>
              <w:autoSpaceDN w:val="0"/>
              <w:adjustRightInd w:val="0"/>
              <w:jc w:val="both"/>
              <w:rPr>
                <w:rFonts w:ascii="Adobe Caslon Pro" w:hAnsi="Adobe Caslon Pro" w:cs="Calibri"/>
                <w:i/>
                <w:color w:val="000000"/>
                <w:sz w:val="20"/>
                <w:szCs w:val="20"/>
                <w:lang w:eastAsia="es-MX"/>
              </w:rPr>
            </w:pPr>
            <w:r w:rsidRPr="000D3BE9">
              <w:rPr>
                <w:rFonts w:ascii="Adobe Caslon Pro" w:hAnsi="Adobe Caslon Pro" w:cs="Calibri"/>
                <w:i/>
                <w:color w:val="000000"/>
                <w:sz w:val="20"/>
                <w:szCs w:val="20"/>
                <w:lang w:eastAsia="es-MX"/>
              </w:rPr>
              <w:t>OPERACIÓN</w:t>
            </w:r>
          </w:p>
          <w:p w:rsidR="00A225C2" w:rsidRDefault="00A225C2" w:rsidP="00F075EB">
            <w:pPr>
              <w:numPr>
                <w:ilvl w:val="0"/>
                <w:numId w:val="112"/>
              </w:numPr>
              <w:jc w:val="both"/>
              <w:rPr>
                <w:rFonts w:ascii="Adobe Caslon Pro" w:hAnsi="Adobe Caslon Pro" w:cs="Calibri"/>
                <w:i/>
                <w:color w:val="000000"/>
                <w:sz w:val="20"/>
                <w:szCs w:val="20"/>
                <w:lang w:eastAsia="es-MX"/>
              </w:rPr>
            </w:pPr>
            <w:r w:rsidRPr="00371292">
              <w:rPr>
                <w:rFonts w:ascii="Adobe Caslon Pro" w:hAnsi="Adobe Caslon Pro" w:cs="Calibri"/>
                <w:i/>
                <w:color w:val="000000"/>
                <w:sz w:val="20"/>
                <w:szCs w:val="20"/>
                <w:lang w:eastAsia="es-MX"/>
              </w:rPr>
              <w:t>Se identifican componentes que podrían ser</w:t>
            </w:r>
            <w:r>
              <w:rPr>
                <w:rFonts w:ascii="Adobe Caslon Pro" w:hAnsi="Adobe Caslon Pro" w:cs="Calibri"/>
                <w:i/>
                <w:color w:val="000000"/>
                <w:sz w:val="20"/>
                <w:szCs w:val="20"/>
                <w:lang w:eastAsia="es-MX"/>
              </w:rPr>
              <w:t xml:space="preserve"> prescindibles de sustituir por otros más eficaces.</w:t>
            </w:r>
          </w:p>
          <w:p w:rsidR="00A225C2" w:rsidRPr="00371292" w:rsidRDefault="00A225C2" w:rsidP="00F075EB">
            <w:pPr>
              <w:numPr>
                <w:ilvl w:val="0"/>
                <w:numId w:val="112"/>
              </w:numPr>
              <w:jc w:val="both"/>
              <w:rPr>
                <w:rFonts w:ascii="Adobe Caslon Pro" w:hAnsi="Adobe Caslon Pro" w:cs="Calibri"/>
                <w:i/>
                <w:color w:val="000000"/>
                <w:sz w:val="20"/>
                <w:szCs w:val="20"/>
                <w:lang w:eastAsia="es-MX"/>
              </w:rPr>
            </w:pPr>
            <w:r w:rsidRPr="00371292">
              <w:rPr>
                <w:rFonts w:ascii="Adobe Caslon Pro" w:hAnsi="Adobe Caslon Pro" w:cs="Calibri"/>
                <w:i/>
                <w:color w:val="000000"/>
                <w:sz w:val="20"/>
                <w:szCs w:val="20"/>
                <w:lang w:eastAsia="es-MX"/>
              </w:rPr>
              <w:lastRenderedPageBreak/>
              <w:t>No existen procedimientos para medir costo-</w:t>
            </w:r>
            <w:r>
              <w:rPr>
                <w:rFonts w:ascii="Adobe Caslon Pro" w:hAnsi="Adobe Caslon Pro" w:cs="Calibri"/>
                <w:i/>
                <w:color w:val="000000"/>
                <w:sz w:val="20"/>
                <w:szCs w:val="20"/>
                <w:lang w:eastAsia="es-MX"/>
              </w:rPr>
              <w:t xml:space="preserve">efectividad en la ejecución del </w:t>
            </w:r>
            <w:r w:rsidRPr="00371292">
              <w:rPr>
                <w:rFonts w:ascii="Adobe Caslon Pro" w:hAnsi="Adobe Caslon Pro" w:cs="Calibri"/>
                <w:i/>
                <w:color w:val="000000"/>
                <w:sz w:val="20"/>
                <w:szCs w:val="20"/>
                <w:lang w:eastAsia="es-MX"/>
              </w:rPr>
              <w:t>Programa.</w:t>
            </w:r>
          </w:p>
          <w:p w:rsidR="00A225C2" w:rsidRDefault="00A225C2" w:rsidP="00F075EB">
            <w:pPr>
              <w:numPr>
                <w:ilvl w:val="0"/>
                <w:numId w:val="112"/>
              </w:numPr>
              <w:jc w:val="both"/>
              <w:rPr>
                <w:rFonts w:ascii="Adobe Caslon Pro" w:hAnsi="Adobe Caslon Pro" w:cs="Calibri"/>
                <w:i/>
                <w:color w:val="000000"/>
                <w:sz w:val="20"/>
                <w:szCs w:val="20"/>
                <w:lang w:eastAsia="es-MX"/>
              </w:rPr>
            </w:pPr>
            <w:r w:rsidRPr="00371292">
              <w:rPr>
                <w:rFonts w:ascii="Adobe Caslon Pro" w:hAnsi="Adobe Caslon Pro" w:cs="Calibri"/>
                <w:i/>
                <w:color w:val="000000"/>
                <w:sz w:val="20"/>
                <w:szCs w:val="20"/>
                <w:lang w:eastAsia="es-MX"/>
              </w:rPr>
              <w:t>En el Programa no se observan indicadores de eficiencia.</w:t>
            </w:r>
          </w:p>
          <w:p w:rsidR="00A225C2" w:rsidRDefault="00A225C2" w:rsidP="00A56E05">
            <w:pPr>
              <w:ind w:left="720"/>
              <w:jc w:val="both"/>
              <w:rPr>
                <w:rFonts w:ascii="Adobe Caslon Pro" w:hAnsi="Adobe Caslon Pro" w:cs="Calibri"/>
                <w:i/>
                <w:color w:val="000000"/>
                <w:sz w:val="20"/>
                <w:szCs w:val="20"/>
                <w:lang w:eastAsia="es-MX"/>
              </w:rPr>
            </w:pPr>
          </w:p>
          <w:p w:rsidR="00A225C2" w:rsidRDefault="00A225C2" w:rsidP="00A56E05">
            <w:p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A225C2" w:rsidRDefault="00A225C2" w:rsidP="00F075EB">
            <w:pPr>
              <w:numPr>
                <w:ilvl w:val="0"/>
                <w:numId w:val="84"/>
              </w:numPr>
              <w:jc w:val="both"/>
              <w:rPr>
                <w:rFonts w:ascii="Adobe Caslon Pro" w:hAnsi="Adobe Caslon Pro" w:cs="Calibri"/>
                <w:i/>
                <w:color w:val="000000"/>
                <w:sz w:val="20"/>
                <w:szCs w:val="20"/>
                <w:lang w:eastAsia="es-MX"/>
              </w:rPr>
            </w:pPr>
            <w:r w:rsidRPr="00371292">
              <w:rPr>
                <w:rFonts w:ascii="Adobe Caslon Pro" w:hAnsi="Adobe Caslon Pro" w:cs="Calibri"/>
                <w:i/>
                <w:color w:val="000000"/>
                <w:sz w:val="20"/>
                <w:szCs w:val="20"/>
                <w:lang w:eastAsia="es-MX"/>
              </w:rPr>
              <w:t>No existen instrumentos que permitan medir el grado de satisfacción de la</w:t>
            </w:r>
            <w:r>
              <w:rPr>
                <w:rFonts w:ascii="Adobe Caslon Pro" w:hAnsi="Adobe Caslon Pro" w:cs="Calibri"/>
                <w:i/>
                <w:color w:val="000000"/>
                <w:sz w:val="20"/>
                <w:szCs w:val="20"/>
                <w:lang w:eastAsia="es-MX"/>
              </w:rPr>
              <w:t xml:space="preserve"> </w:t>
            </w:r>
            <w:r w:rsidRPr="00371292">
              <w:rPr>
                <w:rFonts w:ascii="Adobe Caslon Pro" w:hAnsi="Adobe Caslon Pro" w:cs="Calibri"/>
                <w:i/>
                <w:color w:val="000000"/>
                <w:sz w:val="20"/>
                <w:szCs w:val="20"/>
                <w:lang w:eastAsia="es-MX"/>
              </w:rPr>
              <w:t>población.</w:t>
            </w:r>
          </w:p>
          <w:p w:rsidR="00A225C2" w:rsidRDefault="00A225C2" w:rsidP="00A56E05">
            <w:pPr>
              <w:jc w:val="both"/>
              <w:rPr>
                <w:rFonts w:ascii="Adobe Caslon Pro" w:hAnsi="Adobe Caslon Pro" w:cs="Calibri"/>
                <w:i/>
                <w:color w:val="000000"/>
                <w:sz w:val="20"/>
                <w:szCs w:val="20"/>
                <w:lang w:eastAsia="es-MX"/>
              </w:rPr>
            </w:pPr>
          </w:p>
          <w:p w:rsidR="00A225C2" w:rsidRDefault="00A225C2" w:rsidP="00A56E05">
            <w:pPr>
              <w:jc w:val="both"/>
              <w:rPr>
                <w:rFonts w:ascii="Adobe Caslon Pro" w:hAnsi="Adobe Caslon Pro" w:cs="Calibri"/>
                <w:i/>
                <w:color w:val="000000"/>
                <w:sz w:val="20"/>
                <w:szCs w:val="20"/>
                <w:lang w:eastAsia="es-MX"/>
              </w:rPr>
            </w:pPr>
            <w:r w:rsidRPr="00C41A47">
              <w:rPr>
                <w:rFonts w:ascii="Adobe Caslon Pro" w:hAnsi="Adobe Caslon Pro" w:cs="Calibri"/>
                <w:i/>
                <w:color w:val="000000"/>
                <w:sz w:val="20"/>
                <w:szCs w:val="20"/>
                <w:lang w:eastAsia="es-MX"/>
              </w:rPr>
              <w:t>RESULTADOS</w:t>
            </w:r>
          </w:p>
          <w:p w:rsidR="00A225C2" w:rsidRPr="00611322" w:rsidRDefault="00A225C2" w:rsidP="00F075EB">
            <w:pPr>
              <w:numPr>
                <w:ilvl w:val="0"/>
                <w:numId w:val="84"/>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No se tiene una </w:t>
            </w:r>
            <w:r w:rsidRPr="000C6B9A">
              <w:rPr>
                <w:rFonts w:ascii="Adobe Caslon Pro" w:hAnsi="Adobe Caslon Pro" w:cs="Calibri"/>
                <w:i/>
                <w:color w:val="000000"/>
                <w:sz w:val="20"/>
                <w:szCs w:val="20"/>
                <w:lang w:eastAsia="es-MX"/>
              </w:rPr>
              <w:t>evaluación externa del Programa que</w:t>
            </w:r>
            <w:r>
              <w:rPr>
                <w:rFonts w:ascii="Adobe Caslon Pro" w:hAnsi="Adobe Caslon Pro" w:cs="Calibri"/>
                <w:i/>
                <w:color w:val="000000"/>
                <w:sz w:val="20"/>
                <w:szCs w:val="20"/>
                <w:lang w:eastAsia="es-MX"/>
              </w:rPr>
              <w:t xml:space="preserve"> </w:t>
            </w:r>
            <w:r w:rsidRPr="000C6B9A">
              <w:rPr>
                <w:rFonts w:ascii="Adobe Caslon Pro" w:hAnsi="Adobe Caslon Pro" w:cs="Calibri"/>
                <w:i/>
                <w:color w:val="000000"/>
                <w:sz w:val="20"/>
                <w:szCs w:val="20"/>
                <w:lang w:eastAsia="es-MX"/>
              </w:rPr>
              <w:t>permita medir el impacto en la población objetivo.</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2.2.4 Amenazas:</w:t>
            </w:r>
          </w:p>
        </w:tc>
      </w:tr>
      <w:tr w:rsidR="00A225C2" w:rsidRPr="00BE4199" w:rsidTr="00A56E05">
        <w:trPr>
          <w:trHeight w:val="162"/>
        </w:trPr>
        <w:tc>
          <w:tcPr>
            <w:tcW w:w="9436" w:type="dxa"/>
            <w:gridSpan w:val="14"/>
            <w:tcBorders>
              <w:top w:val="nil"/>
              <w:left w:val="nil"/>
              <w:bottom w:val="single" w:sz="4" w:space="0" w:color="auto"/>
              <w:right w:val="nil"/>
            </w:tcBorders>
            <w:shd w:val="clear" w:color="auto" w:fill="auto"/>
            <w:hideMark/>
          </w:tcPr>
          <w:p w:rsidR="00A225C2" w:rsidRPr="00BE4199" w:rsidRDefault="00A225C2" w:rsidP="00A56E05">
            <w:pPr>
              <w:jc w:val="center"/>
              <w:rPr>
                <w:rFonts w:ascii="Adobe Caslon Pro" w:hAnsi="Adobe Caslon Pro" w:cs="Calibri"/>
                <w:color w:val="000000"/>
                <w:sz w:val="20"/>
                <w:szCs w:val="20"/>
                <w:lang w:eastAsia="es-MX"/>
              </w:rPr>
            </w:pP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A225C2" w:rsidRPr="00BE4199" w:rsidRDefault="00A225C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A225C2" w:rsidRPr="00BE4199" w:rsidTr="00A56E05">
        <w:trPr>
          <w:trHeight w:val="1435"/>
        </w:trPr>
        <w:tc>
          <w:tcPr>
            <w:tcW w:w="9436" w:type="dxa"/>
            <w:gridSpan w:val="14"/>
            <w:tcBorders>
              <w:top w:val="single" w:sz="4" w:space="0" w:color="auto"/>
              <w:left w:val="single" w:sz="4" w:space="0" w:color="auto"/>
              <w:right w:val="single" w:sz="4" w:space="0" w:color="000000"/>
            </w:tcBorders>
            <w:shd w:val="clear" w:color="auto" w:fill="auto"/>
            <w:noWrap/>
            <w:hideMark/>
          </w:tcPr>
          <w:p w:rsidR="00A225C2" w:rsidRDefault="00A225C2" w:rsidP="00F075EB">
            <w:pPr>
              <w:numPr>
                <w:ilvl w:val="1"/>
                <w:numId w:val="76"/>
              </w:num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Describir brevemente las conclusiones de la evaluación: </w:t>
            </w:r>
          </w:p>
          <w:p w:rsidR="00A225C2" w:rsidRDefault="00A225C2" w:rsidP="00F075EB">
            <w:pPr>
              <w:numPr>
                <w:ilvl w:val="0"/>
                <w:numId w:val="8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w:t>
            </w:r>
            <w:r w:rsidRPr="008E0202">
              <w:rPr>
                <w:rFonts w:ascii="Adobe Caslon Pro" w:hAnsi="Adobe Caslon Pro" w:cs="Calibri"/>
                <w:i/>
                <w:color w:val="000000"/>
                <w:sz w:val="20"/>
                <w:szCs w:val="20"/>
                <w:lang w:eastAsia="es-MX"/>
              </w:rPr>
              <w:t>a MIR cuenta co</w:t>
            </w:r>
            <w:r>
              <w:rPr>
                <w:rFonts w:ascii="Adobe Caslon Pro" w:hAnsi="Adobe Caslon Pro" w:cs="Calibri"/>
                <w:i/>
                <w:color w:val="000000"/>
                <w:sz w:val="20"/>
                <w:szCs w:val="20"/>
                <w:lang w:eastAsia="es-MX"/>
              </w:rPr>
              <w:t xml:space="preserve">n un Fin y Propósito claramente </w:t>
            </w:r>
            <w:r w:rsidRPr="008E0202">
              <w:rPr>
                <w:rFonts w:ascii="Adobe Caslon Pro" w:hAnsi="Adobe Caslon Pro" w:cs="Calibri"/>
                <w:i/>
                <w:color w:val="000000"/>
                <w:sz w:val="20"/>
                <w:szCs w:val="20"/>
                <w:lang w:eastAsia="es-MX"/>
              </w:rPr>
              <w:t>definidos que corresponden a la solución d</w:t>
            </w:r>
            <w:r>
              <w:rPr>
                <w:rFonts w:ascii="Adobe Caslon Pro" w:hAnsi="Adobe Caslon Pro" w:cs="Calibri"/>
                <w:i/>
                <w:color w:val="000000"/>
                <w:sz w:val="20"/>
                <w:szCs w:val="20"/>
                <w:lang w:eastAsia="es-MX"/>
              </w:rPr>
              <w:t xml:space="preserve">el problema, existiendo una relación </w:t>
            </w:r>
            <w:r w:rsidRPr="008E0202">
              <w:rPr>
                <w:rFonts w:ascii="Adobe Caslon Pro" w:hAnsi="Adobe Caslon Pro" w:cs="Calibri"/>
                <w:i/>
                <w:color w:val="000000"/>
                <w:sz w:val="20"/>
                <w:szCs w:val="20"/>
                <w:lang w:eastAsia="es-MX"/>
              </w:rPr>
              <w:t>lógica con el Plan Nacional de Desarrollo 2013-2018 y el Plan Estatal de Desarrollo</w:t>
            </w:r>
            <w:r>
              <w:rPr>
                <w:rFonts w:ascii="Adobe Caslon Pro" w:hAnsi="Adobe Caslon Pro" w:cs="Calibri"/>
                <w:i/>
                <w:color w:val="000000"/>
                <w:sz w:val="20"/>
                <w:szCs w:val="20"/>
                <w:lang w:eastAsia="es-MX"/>
              </w:rPr>
              <w:t xml:space="preserve"> </w:t>
            </w:r>
            <w:r w:rsidRPr="008E0202">
              <w:rPr>
                <w:rFonts w:ascii="Adobe Caslon Pro" w:hAnsi="Adobe Caslon Pro" w:cs="Calibri"/>
                <w:i/>
                <w:color w:val="000000"/>
                <w:sz w:val="20"/>
                <w:szCs w:val="20"/>
                <w:lang w:eastAsia="es-MX"/>
              </w:rPr>
              <w:t>2011-2016;</w:t>
            </w:r>
          </w:p>
          <w:p w:rsidR="00A225C2" w:rsidRDefault="00A225C2" w:rsidP="00F075EB">
            <w:pPr>
              <w:numPr>
                <w:ilvl w:val="0"/>
                <w:numId w:val="84"/>
              </w:numPr>
              <w:rPr>
                <w:rFonts w:ascii="Adobe Caslon Pro" w:hAnsi="Adobe Caslon Pro" w:cs="Calibri"/>
                <w:i/>
                <w:color w:val="000000"/>
                <w:sz w:val="20"/>
                <w:szCs w:val="20"/>
                <w:lang w:eastAsia="es-MX"/>
              </w:rPr>
            </w:pPr>
            <w:r w:rsidRPr="008E0202">
              <w:rPr>
                <w:rFonts w:ascii="Adobe Caslon Pro" w:hAnsi="Adobe Caslon Pro" w:cs="Calibri"/>
                <w:i/>
                <w:color w:val="000000"/>
                <w:sz w:val="20"/>
                <w:szCs w:val="20"/>
                <w:lang w:eastAsia="es-MX"/>
              </w:rPr>
              <w:t>Los retos que se observan respecto al diseño, se relacionan con las Actividades,</w:t>
            </w:r>
            <w:r>
              <w:rPr>
                <w:rFonts w:ascii="Adobe Caslon Pro" w:hAnsi="Adobe Caslon Pro" w:cs="Calibri"/>
                <w:i/>
                <w:color w:val="000000"/>
                <w:sz w:val="20"/>
                <w:szCs w:val="20"/>
                <w:lang w:eastAsia="es-MX"/>
              </w:rPr>
              <w:t xml:space="preserve"> </w:t>
            </w:r>
            <w:r w:rsidRPr="008E0202">
              <w:rPr>
                <w:rFonts w:ascii="Adobe Caslon Pro" w:hAnsi="Adobe Caslon Pro" w:cs="Calibri"/>
                <w:i/>
                <w:color w:val="000000"/>
                <w:sz w:val="20"/>
                <w:szCs w:val="20"/>
                <w:lang w:eastAsia="es-MX"/>
              </w:rPr>
              <w:t>las cuales no son las suficientes y necesarias para cumplir con cada uno de los</w:t>
            </w:r>
            <w:r>
              <w:rPr>
                <w:rFonts w:ascii="Adobe Caslon Pro" w:hAnsi="Adobe Caslon Pro" w:cs="Calibri"/>
                <w:i/>
                <w:color w:val="000000"/>
                <w:sz w:val="20"/>
                <w:szCs w:val="20"/>
                <w:lang w:eastAsia="es-MX"/>
              </w:rPr>
              <w:t xml:space="preserve"> </w:t>
            </w:r>
            <w:r w:rsidRPr="008E0202">
              <w:rPr>
                <w:rFonts w:ascii="Adobe Caslon Pro" w:hAnsi="Adobe Caslon Pro" w:cs="Calibri"/>
                <w:i/>
                <w:color w:val="000000"/>
                <w:sz w:val="20"/>
                <w:szCs w:val="20"/>
                <w:lang w:eastAsia="es-MX"/>
              </w:rPr>
              <w:t>Componentes. Asimismo, el Propósito no es claro ni lógico y por consecuencia, la lógica interna del programa no se puede realizar; a la vez, los indicadores no cuentan con la línea base ni los Supuestos, por lo cual, sin éstos no se puede validar la lógica horizontal del Programa.</w:t>
            </w:r>
          </w:p>
          <w:p w:rsidR="00A225C2" w:rsidRDefault="00A225C2" w:rsidP="00F075EB">
            <w:pPr>
              <w:numPr>
                <w:ilvl w:val="0"/>
                <w:numId w:val="84"/>
              </w:numPr>
              <w:rPr>
                <w:rFonts w:ascii="Adobe Caslon Pro" w:hAnsi="Adobe Caslon Pro" w:cs="Calibri"/>
                <w:i/>
                <w:color w:val="000000"/>
                <w:sz w:val="20"/>
                <w:szCs w:val="20"/>
                <w:lang w:eastAsia="es-MX"/>
              </w:rPr>
            </w:pPr>
            <w:r w:rsidRPr="001739E2">
              <w:rPr>
                <w:rFonts w:ascii="Adobe Caslon Pro" w:hAnsi="Adobe Caslon Pro" w:cs="Calibri"/>
                <w:i/>
                <w:color w:val="000000"/>
                <w:sz w:val="20"/>
                <w:szCs w:val="20"/>
                <w:lang w:eastAsia="es-MX"/>
              </w:rPr>
              <w:t>Es necesario definir claramente las Actividades del Programa, redactar el Propósito,</w:t>
            </w:r>
            <w:r>
              <w:rPr>
                <w:rFonts w:ascii="Adobe Caslon Pro" w:hAnsi="Adobe Caslon Pro" w:cs="Calibri"/>
                <w:i/>
                <w:color w:val="000000"/>
                <w:sz w:val="20"/>
                <w:szCs w:val="20"/>
                <w:lang w:eastAsia="es-MX"/>
              </w:rPr>
              <w:t xml:space="preserve"> </w:t>
            </w:r>
            <w:r w:rsidRPr="001739E2">
              <w:rPr>
                <w:rFonts w:ascii="Adobe Caslon Pro" w:hAnsi="Adobe Caslon Pro" w:cs="Calibri"/>
                <w:i/>
                <w:color w:val="000000"/>
                <w:sz w:val="20"/>
                <w:szCs w:val="20"/>
                <w:lang w:eastAsia="es-MX"/>
              </w:rPr>
              <w:t>establecer la línea base de cada uno de los indicadores, y redactar los Supuestos.</w:t>
            </w:r>
          </w:p>
          <w:p w:rsidR="00A225C2" w:rsidRDefault="00A225C2" w:rsidP="00F075EB">
            <w:pPr>
              <w:numPr>
                <w:ilvl w:val="0"/>
                <w:numId w:val="84"/>
              </w:numPr>
              <w:rPr>
                <w:rFonts w:ascii="Adobe Caslon Pro" w:hAnsi="Adobe Caslon Pro" w:cs="Calibri"/>
                <w:i/>
                <w:color w:val="000000"/>
                <w:sz w:val="20"/>
                <w:szCs w:val="20"/>
                <w:lang w:eastAsia="es-MX"/>
              </w:rPr>
            </w:pPr>
            <w:r w:rsidRPr="001739E2">
              <w:rPr>
                <w:rFonts w:ascii="Adobe Caslon Pro" w:hAnsi="Adobe Caslon Pro" w:cs="Calibri"/>
                <w:i/>
                <w:color w:val="000000"/>
                <w:sz w:val="20"/>
                <w:szCs w:val="20"/>
                <w:lang w:eastAsia="es-MX"/>
              </w:rPr>
              <w:t>En relación a la Planeación Estratégica, el Programa determina claramente a través</w:t>
            </w:r>
            <w:r>
              <w:rPr>
                <w:rFonts w:ascii="Adobe Caslon Pro" w:hAnsi="Adobe Caslon Pro" w:cs="Calibri"/>
                <w:i/>
                <w:color w:val="000000"/>
                <w:sz w:val="20"/>
                <w:szCs w:val="20"/>
                <w:lang w:eastAsia="es-MX"/>
              </w:rPr>
              <w:t xml:space="preserve"> </w:t>
            </w:r>
            <w:r w:rsidRPr="001739E2">
              <w:rPr>
                <w:rFonts w:ascii="Adobe Caslon Pro" w:hAnsi="Adobe Caslon Pro" w:cs="Calibri"/>
                <w:i/>
                <w:color w:val="000000"/>
                <w:sz w:val="20"/>
                <w:szCs w:val="20"/>
                <w:lang w:eastAsia="es-MX"/>
              </w:rPr>
              <w:t>de sus planes institucionales los resultados que busca alcanzar, cuenta con</w:t>
            </w:r>
            <w:r>
              <w:rPr>
                <w:rFonts w:ascii="Adobe Caslon Pro" w:hAnsi="Adobe Caslon Pro" w:cs="Calibri"/>
                <w:i/>
                <w:color w:val="000000"/>
                <w:sz w:val="20"/>
                <w:szCs w:val="20"/>
                <w:lang w:eastAsia="es-MX"/>
              </w:rPr>
              <w:t xml:space="preserve"> </w:t>
            </w:r>
            <w:r w:rsidRPr="001739E2">
              <w:rPr>
                <w:rFonts w:ascii="Adobe Caslon Pro" w:hAnsi="Adobe Caslon Pro" w:cs="Calibri"/>
                <w:i/>
                <w:color w:val="000000"/>
                <w:sz w:val="20"/>
                <w:szCs w:val="20"/>
                <w:lang w:eastAsia="es-MX"/>
              </w:rPr>
              <w:t>los elementos adecuados para establecer y definir los indicadores, la información</w:t>
            </w:r>
            <w:r>
              <w:rPr>
                <w:rFonts w:ascii="Adobe Caslon Pro" w:hAnsi="Adobe Caslon Pro" w:cs="Calibri"/>
                <w:i/>
                <w:color w:val="000000"/>
                <w:sz w:val="20"/>
                <w:szCs w:val="20"/>
                <w:lang w:eastAsia="es-MX"/>
              </w:rPr>
              <w:t xml:space="preserve"> </w:t>
            </w:r>
            <w:r w:rsidRPr="001739E2">
              <w:rPr>
                <w:rFonts w:ascii="Adobe Caslon Pro" w:hAnsi="Adobe Caslon Pro" w:cs="Calibri"/>
                <w:i/>
                <w:color w:val="000000"/>
                <w:sz w:val="20"/>
                <w:szCs w:val="20"/>
                <w:lang w:eastAsia="es-MX"/>
              </w:rPr>
              <w:t>que recolecta el programa permite monitorear el desempeño del mismo, el cual</w:t>
            </w:r>
            <w:r>
              <w:rPr>
                <w:rFonts w:ascii="Adobe Caslon Pro" w:hAnsi="Adobe Caslon Pro" w:cs="Calibri"/>
                <w:i/>
                <w:color w:val="000000"/>
                <w:sz w:val="20"/>
                <w:szCs w:val="20"/>
                <w:lang w:eastAsia="es-MX"/>
              </w:rPr>
              <w:t xml:space="preserve"> </w:t>
            </w:r>
            <w:r w:rsidRPr="001739E2">
              <w:rPr>
                <w:rFonts w:ascii="Adobe Caslon Pro" w:hAnsi="Adobe Caslon Pro" w:cs="Calibri"/>
                <w:i/>
                <w:color w:val="000000"/>
                <w:sz w:val="20"/>
                <w:szCs w:val="20"/>
                <w:lang w:eastAsia="es-MX"/>
              </w:rPr>
              <w:t>establece metas pertinentes y plazos específicos.</w:t>
            </w:r>
          </w:p>
          <w:p w:rsidR="00A225C2" w:rsidRDefault="00A225C2" w:rsidP="00F075EB">
            <w:pPr>
              <w:numPr>
                <w:ilvl w:val="0"/>
                <w:numId w:val="84"/>
              </w:numPr>
              <w:rPr>
                <w:rFonts w:ascii="Adobe Caslon Pro" w:hAnsi="Adobe Caslon Pro" w:cs="Calibri"/>
                <w:i/>
                <w:color w:val="000000"/>
                <w:sz w:val="20"/>
                <w:szCs w:val="20"/>
                <w:lang w:eastAsia="es-MX"/>
              </w:rPr>
            </w:pPr>
            <w:r w:rsidRPr="00EB1974">
              <w:rPr>
                <w:rFonts w:ascii="Adobe Caslon Pro" w:hAnsi="Adobe Caslon Pro" w:cs="Calibri"/>
                <w:i/>
                <w:color w:val="000000"/>
                <w:sz w:val="20"/>
                <w:szCs w:val="20"/>
                <w:lang w:eastAsia="es-MX"/>
              </w:rPr>
              <w:t>Respecto a la Cobertura y Focalización, se observó que se cuenta con un padrón</w:t>
            </w:r>
            <w:r>
              <w:rPr>
                <w:rFonts w:ascii="Adobe Caslon Pro" w:hAnsi="Adobe Caslon Pro" w:cs="Calibri"/>
                <w:i/>
                <w:color w:val="000000"/>
                <w:sz w:val="20"/>
                <w:szCs w:val="20"/>
                <w:lang w:eastAsia="es-MX"/>
              </w:rPr>
              <w:t xml:space="preserve"> </w:t>
            </w:r>
            <w:r w:rsidRPr="00EB1974">
              <w:rPr>
                <w:rFonts w:ascii="Adobe Caslon Pro" w:hAnsi="Adobe Caslon Pro" w:cs="Calibri"/>
                <w:i/>
                <w:color w:val="000000"/>
                <w:sz w:val="20"/>
                <w:szCs w:val="20"/>
                <w:lang w:eastAsia="es-MX"/>
              </w:rPr>
              <w:t>de beneficiarios y que la población objetivo del Programa fue atendida, aunque</w:t>
            </w:r>
            <w:r>
              <w:rPr>
                <w:rFonts w:ascii="Adobe Caslon Pro" w:hAnsi="Adobe Caslon Pro" w:cs="Calibri"/>
                <w:i/>
                <w:color w:val="000000"/>
                <w:sz w:val="20"/>
                <w:szCs w:val="20"/>
                <w:lang w:eastAsia="es-MX"/>
              </w:rPr>
              <w:t xml:space="preserve"> </w:t>
            </w:r>
            <w:r w:rsidRPr="00EB1974">
              <w:rPr>
                <w:rFonts w:ascii="Adobe Caslon Pro" w:hAnsi="Adobe Caslon Pro" w:cs="Calibri"/>
                <w:i/>
                <w:color w:val="000000"/>
                <w:sz w:val="20"/>
                <w:szCs w:val="20"/>
                <w:lang w:eastAsia="es-MX"/>
              </w:rPr>
              <w:t>los retos que se presentan son el no contar con algún método para cuantificar</w:t>
            </w:r>
            <w:r>
              <w:rPr>
                <w:rFonts w:ascii="Adobe Caslon Pro" w:hAnsi="Adobe Caslon Pro" w:cs="Calibri"/>
                <w:i/>
                <w:color w:val="000000"/>
                <w:sz w:val="20"/>
                <w:szCs w:val="20"/>
                <w:lang w:eastAsia="es-MX"/>
              </w:rPr>
              <w:t xml:space="preserve"> </w:t>
            </w:r>
            <w:r w:rsidRPr="00EB1974">
              <w:rPr>
                <w:rFonts w:ascii="Adobe Caslon Pro" w:hAnsi="Adobe Caslon Pro" w:cs="Calibri"/>
                <w:i/>
                <w:color w:val="000000"/>
                <w:sz w:val="20"/>
                <w:szCs w:val="20"/>
                <w:lang w:eastAsia="es-MX"/>
              </w:rPr>
              <w:t>y determinar la población potencial y objetivo y no tener algún mecanismo de</w:t>
            </w:r>
            <w:r>
              <w:rPr>
                <w:rFonts w:ascii="Adobe Caslon Pro" w:hAnsi="Adobe Caslon Pro" w:cs="Calibri"/>
                <w:i/>
                <w:color w:val="000000"/>
                <w:sz w:val="20"/>
                <w:szCs w:val="20"/>
                <w:lang w:eastAsia="es-MX"/>
              </w:rPr>
              <w:t xml:space="preserve"> </w:t>
            </w:r>
            <w:r w:rsidRPr="00EB1974">
              <w:rPr>
                <w:rFonts w:ascii="Adobe Caslon Pro" w:hAnsi="Adobe Caslon Pro" w:cs="Calibri"/>
                <w:i/>
                <w:color w:val="000000"/>
                <w:sz w:val="20"/>
                <w:szCs w:val="20"/>
                <w:lang w:eastAsia="es-MX"/>
              </w:rPr>
              <w:t>actualización</w:t>
            </w:r>
            <w:r>
              <w:rPr>
                <w:rFonts w:ascii="Adobe Caslon Pro" w:hAnsi="Adobe Caslon Pro" w:cs="Calibri"/>
                <w:i/>
                <w:color w:val="000000"/>
                <w:sz w:val="20"/>
                <w:szCs w:val="20"/>
                <w:lang w:eastAsia="es-MX"/>
              </w:rPr>
              <w:t>.</w:t>
            </w:r>
          </w:p>
          <w:p w:rsidR="00A225C2" w:rsidRDefault="00A225C2" w:rsidP="00F075EB">
            <w:pPr>
              <w:numPr>
                <w:ilvl w:val="0"/>
                <w:numId w:val="84"/>
              </w:numPr>
              <w:rPr>
                <w:rFonts w:ascii="Adobe Caslon Pro" w:hAnsi="Adobe Caslon Pro" w:cs="Calibri"/>
                <w:i/>
                <w:color w:val="000000"/>
                <w:sz w:val="20"/>
                <w:szCs w:val="20"/>
                <w:lang w:eastAsia="es-MX"/>
              </w:rPr>
            </w:pPr>
            <w:r w:rsidRPr="00552DC7">
              <w:rPr>
                <w:rFonts w:ascii="Adobe Caslon Pro" w:hAnsi="Adobe Caslon Pro" w:cs="Calibri"/>
                <w:i/>
                <w:color w:val="000000"/>
                <w:sz w:val="20"/>
                <w:szCs w:val="20"/>
                <w:lang w:eastAsia="es-MX"/>
              </w:rPr>
              <w:t>La parte operativa del Programa tiene mayoría de fortalezas, las cuales muestran</w:t>
            </w:r>
            <w:r>
              <w:rPr>
                <w:rFonts w:ascii="Adobe Caslon Pro" w:hAnsi="Adobe Caslon Pro" w:cs="Calibri"/>
                <w:i/>
                <w:color w:val="000000"/>
                <w:sz w:val="20"/>
                <w:szCs w:val="20"/>
                <w:lang w:eastAsia="es-MX"/>
              </w:rPr>
              <w:t xml:space="preserve"> </w:t>
            </w:r>
            <w:r w:rsidRPr="00552DC7">
              <w:rPr>
                <w:rFonts w:ascii="Adobe Caslon Pro" w:hAnsi="Adobe Caslon Pro" w:cs="Calibri"/>
                <w:i/>
                <w:color w:val="000000"/>
                <w:sz w:val="20"/>
                <w:szCs w:val="20"/>
                <w:lang w:eastAsia="es-MX"/>
              </w:rPr>
              <w:t>que se cuenta con procedimientos estandarizados y adecuados para la selección</w:t>
            </w:r>
            <w:r>
              <w:rPr>
                <w:rFonts w:ascii="Adobe Caslon Pro" w:hAnsi="Adobe Caslon Pro" w:cs="Calibri"/>
                <w:i/>
                <w:color w:val="000000"/>
                <w:sz w:val="20"/>
                <w:szCs w:val="20"/>
                <w:lang w:eastAsia="es-MX"/>
              </w:rPr>
              <w:t xml:space="preserve"> </w:t>
            </w:r>
            <w:r w:rsidRPr="00552DC7">
              <w:rPr>
                <w:rFonts w:ascii="Adobe Caslon Pro" w:hAnsi="Adobe Caslon Pro" w:cs="Calibri"/>
                <w:i/>
                <w:color w:val="000000"/>
                <w:sz w:val="20"/>
                <w:szCs w:val="20"/>
                <w:lang w:eastAsia="es-MX"/>
              </w:rPr>
              <w:t>de beneficiarios. Existe evidencia documental de que el Programa cumple con los</w:t>
            </w:r>
            <w:r>
              <w:rPr>
                <w:rFonts w:ascii="Adobe Caslon Pro" w:hAnsi="Adobe Caslon Pro" w:cs="Calibri"/>
                <w:i/>
                <w:color w:val="000000"/>
                <w:sz w:val="20"/>
                <w:szCs w:val="20"/>
                <w:lang w:eastAsia="es-MX"/>
              </w:rPr>
              <w:t xml:space="preserve"> </w:t>
            </w:r>
            <w:r w:rsidRPr="00552DC7">
              <w:rPr>
                <w:rFonts w:ascii="Adobe Caslon Pro" w:hAnsi="Adobe Caslon Pro" w:cs="Calibri"/>
                <w:i/>
                <w:color w:val="000000"/>
                <w:sz w:val="20"/>
                <w:szCs w:val="20"/>
                <w:lang w:eastAsia="es-MX"/>
              </w:rPr>
              <w:t>procesos de ejecución que se establecen en la normatividad</w:t>
            </w:r>
            <w:r>
              <w:rPr>
                <w:rFonts w:ascii="Adobe Caslon Pro" w:hAnsi="Adobe Caslon Pro" w:cs="Calibri"/>
                <w:i/>
                <w:color w:val="000000"/>
                <w:sz w:val="20"/>
                <w:szCs w:val="20"/>
                <w:lang w:eastAsia="es-MX"/>
              </w:rPr>
              <w:t>.</w:t>
            </w:r>
          </w:p>
          <w:p w:rsidR="00A225C2" w:rsidRDefault="00A225C2" w:rsidP="00F075EB">
            <w:pPr>
              <w:numPr>
                <w:ilvl w:val="0"/>
                <w:numId w:val="84"/>
              </w:numPr>
              <w:rPr>
                <w:rFonts w:ascii="Adobe Caslon Pro" w:hAnsi="Adobe Caslon Pro" w:cs="Calibri"/>
                <w:i/>
                <w:color w:val="000000"/>
                <w:sz w:val="20"/>
                <w:szCs w:val="20"/>
                <w:lang w:eastAsia="es-MX"/>
              </w:rPr>
            </w:pPr>
            <w:r w:rsidRPr="00D54322">
              <w:rPr>
                <w:rFonts w:ascii="Adobe Caslon Pro" w:hAnsi="Adobe Caslon Pro" w:cs="Calibri"/>
                <w:i/>
                <w:color w:val="000000"/>
                <w:sz w:val="20"/>
                <w:szCs w:val="20"/>
                <w:lang w:eastAsia="es-MX"/>
              </w:rPr>
              <w:t>En relación a la percepción de la población objetivo no se encontró evidencia de</w:t>
            </w:r>
            <w:r>
              <w:rPr>
                <w:rFonts w:ascii="Adobe Caslon Pro" w:hAnsi="Adobe Caslon Pro" w:cs="Calibri"/>
                <w:i/>
                <w:color w:val="000000"/>
                <w:sz w:val="20"/>
                <w:szCs w:val="20"/>
                <w:lang w:eastAsia="es-MX"/>
              </w:rPr>
              <w:t xml:space="preserve"> </w:t>
            </w:r>
            <w:r w:rsidRPr="00D54322">
              <w:rPr>
                <w:rFonts w:ascii="Adobe Caslon Pro" w:hAnsi="Adobe Caslon Pro" w:cs="Calibri"/>
                <w:i/>
                <w:color w:val="000000"/>
                <w:sz w:val="20"/>
                <w:szCs w:val="20"/>
                <w:lang w:eastAsia="es-MX"/>
              </w:rPr>
              <w:t>algún mecanismo que permitiera medir el grado de satisfacción de la población</w:t>
            </w:r>
            <w:r>
              <w:rPr>
                <w:rFonts w:ascii="Adobe Caslon Pro" w:hAnsi="Adobe Caslon Pro" w:cs="Calibri"/>
                <w:i/>
                <w:color w:val="000000"/>
                <w:sz w:val="20"/>
                <w:szCs w:val="20"/>
                <w:lang w:eastAsia="es-MX"/>
              </w:rPr>
              <w:t>.</w:t>
            </w:r>
          </w:p>
          <w:p w:rsidR="00A225C2" w:rsidRDefault="00A225C2" w:rsidP="00F075EB">
            <w:pPr>
              <w:numPr>
                <w:ilvl w:val="0"/>
                <w:numId w:val="84"/>
              </w:numPr>
              <w:rPr>
                <w:rFonts w:ascii="Adobe Caslon Pro" w:hAnsi="Adobe Caslon Pro" w:cs="Calibri"/>
                <w:i/>
                <w:color w:val="000000"/>
                <w:sz w:val="20"/>
                <w:szCs w:val="20"/>
                <w:lang w:eastAsia="es-MX"/>
              </w:rPr>
            </w:pPr>
            <w:r w:rsidRPr="00D54322">
              <w:rPr>
                <w:rFonts w:ascii="Adobe Caslon Pro" w:hAnsi="Adobe Caslon Pro" w:cs="Calibri"/>
                <w:i/>
                <w:color w:val="000000"/>
                <w:sz w:val="20"/>
                <w:szCs w:val="20"/>
                <w:lang w:eastAsia="es-MX"/>
              </w:rPr>
              <w:t>En la sección de los Resultados se observó que se cuenta con información</w:t>
            </w:r>
            <w:r>
              <w:rPr>
                <w:rFonts w:ascii="Adobe Caslon Pro" w:hAnsi="Adobe Caslon Pro" w:cs="Calibri"/>
                <w:i/>
                <w:color w:val="000000"/>
                <w:sz w:val="20"/>
                <w:szCs w:val="20"/>
                <w:lang w:eastAsia="es-MX"/>
              </w:rPr>
              <w:t xml:space="preserve"> </w:t>
            </w:r>
            <w:r w:rsidRPr="00D54322">
              <w:rPr>
                <w:rFonts w:ascii="Adobe Caslon Pro" w:hAnsi="Adobe Caslon Pro" w:cs="Calibri"/>
                <w:i/>
                <w:color w:val="000000"/>
                <w:sz w:val="20"/>
                <w:szCs w:val="20"/>
                <w:lang w:eastAsia="es-MX"/>
              </w:rPr>
              <w:t>veraz y oportuna sobre sus indicadores de Propósito y Fin</w:t>
            </w:r>
            <w:r>
              <w:rPr>
                <w:rFonts w:ascii="Adobe Caslon Pro" w:hAnsi="Adobe Caslon Pro" w:cs="Calibri"/>
                <w:i/>
                <w:color w:val="000000"/>
                <w:sz w:val="20"/>
                <w:szCs w:val="20"/>
                <w:lang w:eastAsia="es-MX"/>
              </w:rPr>
              <w:t>.</w:t>
            </w:r>
          </w:p>
          <w:p w:rsidR="00A225C2" w:rsidRPr="0064567B" w:rsidRDefault="00A225C2" w:rsidP="00F075EB">
            <w:pPr>
              <w:numPr>
                <w:ilvl w:val="0"/>
                <w:numId w:val="84"/>
              </w:numPr>
              <w:rPr>
                <w:rFonts w:ascii="Adobe Caslon Pro" w:hAnsi="Adobe Caslon Pro" w:cs="Calibri"/>
                <w:i/>
                <w:color w:val="000000"/>
                <w:sz w:val="20"/>
                <w:szCs w:val="20"/>
                <w:lang w:eastAsia="es-MX"/>
              </w:rPr>
            </w:pPr>
            <w:r w:rsidRPr="0064567B">
              <w:rPr>
                <w:rFonts w:ascii="Adobe Caslon Pro" w:hAnsi="Adobe Caslon Pro" w:cs="Calibri"/>
                <w:i/>
                <w:color w:val="000000"/>
                <w:sz w:val="20"/>
                <w:szCs w:val="20"/>
                <w:lang w:eastAsia="es-MX"/>
              </w:rPr>
              <w:t>Respecto a la evaluación de la aplicación de los recursos se encontró que los recursos ministrados se transfirieron en tiempo y forma a las instancias ejecutoras; que se cuenta con una planeación estratégica y con información que garantiza que la distribución de obras y proyectos, bienes y servicios es consistente</w:t>
            </w:r>
            <w:r>
              <w:rPr>
                <w:rFonts w:ascii="Adobe Caslon Pro" w:hAnsi="Adobe Caslon Pro" w:cs="Calibri"/>
                <w:i/>
                <w:color w:val="000000"/>
                <w:sz w:val="20"/>
                <w:szCs w:val="20"/>
                <w:lang w:eastAsia="es-MX"/>
              </w:rPr>
              <w:t xml:space="preserve"> </w:t>
            </w:r>
            <w:r w:rsidRPr="0064567B">
              <w:rPr>
                <w:rFonts w:ascii="Adobe Caslon Pro" w:hAnsi="Adobe Caslon Pro" w:cs="Calibri"/>
                <w:i/>
                <w:color w:val="000000"/>
                <w:sz w:val="20"/>
                <w:szCs w:val="20"/>
                <w:lang w:eastAsia="es-MX"/>
              </w:rPr>
              <w:t>con el Objetivo del Fondo.</w:t>
            </w:r>
          </w:p>
          <w:p w:rsidR="00A225C2" w:rsidRPr="006A396E" w:rsidRDefault="00A225C2" w:rsidP="00A56E05">
            <w:pPr>
              <w:ind w:left="360"/>
              <w:rPr>
                <w:rFonts w:ascii="Adobe Caslon Pro" w:hAnsi="Adobe Caslon Pro" w:cs="Calibri"/>
                <w:i/>
                <w:color w:val="000000"/>
                <w:sz w:val="20"/>
                <w:szCs w:val="20"/>
                <w:lang w:eastAsia="es-MX"/>
              </w:rPr>
            </w:pPr>
          </w:p>
        </w:tc>
      </w:tr>
      <w:tr w:rsidR="00A225C2" w:rsidRPr="00BE4199" w:rsidTr="00A56E05">
        <w:trPr>
          <w:trHeight w:val="264"/>
        </w:trPr>
        <w:tc>
          <w:tcPr>
            <w:tcW w:w="9436" w:type="dxa"/>
            <w:gridSpan w:val="14"/>
            <w:tcBorders>
              <w:top w:val="single" w:sz="4" w:space="0" w:color="auto"/>
              <w:left w:val="single" w:sz="4" w:space="0" w:color="auto"/>
              <w:bottom w:val="nil"/>
              <w:right w:val="single" w:sz="4" w:space="0" w:color="000000"/>
            </w:tcBorders>
            <w:shd w:val="clear" w:color="auto" w:fill="auto"/>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3.2 Describir las recomendaciones de acuerdo a su relevancia:</w:t>
            </w:r>
          </w:p>
        </w:tc>
      </w:tr>
      <w:tr w:rsidR="00A225C2"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hideMark/>
          </w:tcPr>
          <w:p w:rsidR="00A225C2" w:rsidRDefault="00A225C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DISEÑO</w:t>
            </w:r>
          </w:p>
          <w:p w:rsidR="00A225C2" w:rsidRPr="00EF6C10" w:rsidRDefault="00A225C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F6C10">
              <w:rPr>
                <w:rFonts w:ascii="Adobe Caslon Pro" w:hAnsi="Adobe Caslon Pro" w:cs="Calibri"/>
                <w:i/>
                <w:color w:val="000000"/>
                <w:sz w:val="20"/>
                <w:szCs w:val="20"/>
                <w:lang w:eastAsia="es-MX"/>
              </w:rPr>
              <w:t>Definir claramente las Actividades del programa de acuerdo con la Metodología</w:t>
            </w:r>
            <w:r>
              <w:rPr>
                <w:rFonts w:ascii="Adobe Caslon Pro" w:hAnsi="Adobe Caslon Pro" w:cs="Calibri"/>
                <w:i/>
                <w:color w:val="000000"/>
                <w:sz w:val="20"/>
                <w:szCs w:val="20"/>
                <w:lang w:eastAsia="es-MX"/>
              </w:rPr>
              <w:t xml:space="preserve"> </w:t>
            </w:r>
            <w:r w:rsidRPr="00EF6C10">
              <w:rPr>
                <w:rFonts w:ascii="Adobe Caslon Pro" w:hAnsi="Adobe Caslon Pro" w:cs="Calibri"/>
                <w:i/>
                <w:color w:val="000000"/>
                <w:sz w:val="20"/>
                <w:szCs w:val="20"/>
                <w:lang w:eastAsia="es-MX"/>
              </w:rPr>
              <w:t>del Marco Lógico.</w:t>
            </w:r>
          </w:p>
          <w:p w:rsidR="00A225C2" w:rsidRPr="00EF6C10" w:rsidRDefault="00A225C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F6C10">
              <w:rPr>
                <w:rFonts w:ascii="Adobe Caslon Pro" w:hAnsi="Adobe Caslon Pro" w:cs="Calibri"/>
                <w:i/>
                <w:color w:val="000000"/>
                <w:sz w:val="20"/>
                <w:szCs w:val="20"/>
                <w:lang w:eastAsia="es-MX"/>
              </w:rPr>
              <w:t>Corregir los puntos antes mencionados para realizar la lógica interna del Programa.</w:t>
            </w:r>
          </w:p>
          <w:p w:rsidR="00A225C2" w:rsidRPr="00EF6C10" w:rsidRDefault="00A225C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F6C10">
              <w:rPr>
                <w:rFonts w:ascii="Adobe Caslon Pro" w:hAnsi="Adobe Caslon Pro" w:cs="Calibri"/>
                <w:i/>
                <w:color w:val="000000"/>
                <w:sz w:val="20"/>
                <w:szCs w:val="20"/>
                <w:lang w:eastAsia="es-MX"/>
              </w:rPr>
              <w:lastRenderedPageBreak/>
              <w:t>Establecer la línea base de los indicadores como se indica en la metodología.</w:t>
            </w:r>
          </w:p>
          <w:p w:rsidR="00A225C2" w:rsidRPr="00625430" w:rsidRDefault="00A225C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F6C10">
              <w:rPr>
                <w:rFonts w:ascii="Adobe Caslon Pro" w:hAnsi="Adobe Caslon Pro" w:cs="Calibri"/>
                <w:i/>
                <w:color w:val="000000"/>
                <w:sz w:val="20"/>
                <w:szCs w:val="20"/>
                <w:lang w:eastAsia="es-MX"/>
              </w:rPr>
              <w:t>Redactar los Supuestos del Programa para validar la lógica horizontal.</w:t>
            </w:r>
          </w:p>
        </w:tc>
      </w:tr>
      <w:tr w:rsidR="00A225C2"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tcPr>
          <w:p w:rsidR="00A225C2" w:rsidRDefault="00A225C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lastRenderedPageBreak/>
              <w:t>PLANEACIÓN ESTRATÉGICA</w:t>
            </w:r>
          </w:p>
          <w:p w:rsidR="00A225C2" w:rsidRPr="00625430" w:rsidRDefault="00A225C2" w:rsidP="00F075EB">
            <w:pPr>
              <w:numPr>
                <w:ilvl w:val="0"/>
                <w:numId w:val="73"/>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w:t>
            </w:r>
            <w:r w:rsidRPr="007566A5">
              <w:rPr>
                <w:rFonts w:ascii="Adobe Caslon Pro" w:hAnsi="Adobe Caslon Pro" w:cs="Calibri"/>
                <w:i/>
                <w:color w:val="000000"/>
                <w:sz w:val="20"/>
                <w:szCs w:val="20"/>
                <w:lang w:eastAsia="es-MX"/>
              </w:rPr>
              <w:t>stablecer la línea base para cada uno de los indicadores.</w:t>
            </w:r>
          </w:p>
        </w:tc>
      </w:tr>
      <w:tr w:rsidR="00A225C2" w:rsidRPr="00BE4199" w:rsidTr="00A56E05">
        <w:trPr>
          <w:trHeight w:val="43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tcPr>
          <w:p w:rsidR="00A225C2" w:rsidRDefault="00A225C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COBERTURA Y FOCALIZACIÓN</w:t>
            </w:r>
          </w:p>
          <w:p w:rsidR="00A225C2" w:rsidRPr="00625430" w:rsidRDefault="00A225C2" w:rsidP="00F075EB">
            <w:pPr>
              <w:numPr>
                <w:ilvl w:val="0"/>
                <w:numId w:val="74"/>
              </w:numPr>
              <w:autoSpaceDE w:val="0"/>
              <w:autoSpaceDN w:val="0"/>
              <w:adjustRightInd w:val="0"/>
              <w:jc w:val="both"/>
              <w:rPr>
                <w:rFonts w:ascii="Adobe Caslon Pro" w:hAnsi="Adobe Caslon Pro" w:cs="Calibri"/>
                <w:i/>
                <w:color w:val="000000"/>
                <w:sz w:val="20"/>
                <w:szCs w:val="20"/>
                <w:lang w:eastAsia="es-MX"/>
              </w:rPr>
            </w:pPr>
            <w:r w:rsidRPr="007566A5">
              <w:rPr>
                <w:rFonts w:ascii="Adobe Caslon Pro" w:hAnsi="Adobe Caslon Pro" w:cs="Calibri"/>
                <w:i/>
                <w:color w:val="000000"/>
                <w:sz w:val="20"/>
                <w:szCs w:val="20"/>
                <w:lang w:eastAsia="es-MX"/>
              </w:rPr>
              <w:t>Establecer un mecanismo de actualización adecuado, y utilizar un instrumento</w:t>
            </w:r>
            <w:r>
              <w:rPr>
                <w:rFonts w:ascii="Adobe Caslon Pro" w:hAnsi="Adobe Caslon Pro" w:cs="Calibri"/>
                <w:i/>
                <w:color w:val="000000"/>
                <w:sz w:val="20"/>
                <w:szCs w:val="20"/>
                <w:lang w:eastAsia="es-MX"/>
              </w:rPr>
              <w:t xml:space="preserve"> </w:t>
            </w:r>
            <w:r w:rsidRPr="007566A5">
              <w:rPr>
                <w:rFonts w:ascii="Adobe Caslon Pro" w:hAnsi="Adobe Caslon Pro" w:cs="Calibri"/>
                <w:i/>
                <w:color w:val="000000"/>
                <w:sz w:val="20"/>
                <w:szCs w:val="20"/>
                <w:lang w:eastAsia="es-MX"/>
              </w:rPr>
              <w:t>que permita cuantificar a la población potencial y objetivo, así como</w:t>
            </w:r>
            <w:r>
              <w:rPr>
                <w:rFonts w:ascii="Adobe Caslon Pro" w:hAnsi="Adobe Caslon Pro" w:cs="Calibri"/>
                <w:i/>
                <w:color w:val="000000"/>
                <w:sz w:val="20"/>
                <w:szCs w:val="20"/>
                <w:lang w:eastAsia="es-MX"/>
              </w:rPr>
              <w:t xml:space="preserve"> </w:t>
            </w:r>
            <w:r w:rsidRPr="007566A5">
              <w:rPr>
                <w:rFonts w:ascii="Adobe Caslon Pro" w:hAnsi="Adobe Caslon Pro" w:cs="Calibri"/>
                <w:i/>
                <w:color w:val="000000"/>
                <w:sz w:val="20"/>
                <w:szCs w:val="20"/>
                <w:lang w:eastAsia="es-MX"/>
              </w:rPr>
              <w:t>su caracterización socioeconómica, entre otras.</w:t>
            </w:r>
          </w:p>
        </w:tc>
      </w:tr>
      <w:tr w:rsidR="00A225C2"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A225C2" w:rsidRPr="00FD280F" w:rsidRDefault="00A225C2" w:rsidP="00A56E05">
            <w:pPr>
              <w:autoSpaceDE w:val="0"/>
              <w:autoSpaceDN w:val="0"/>
              <w:adjustRightInd w:val="0"/>
              <w:jc w:val="both"/>
              <w:rPr>
                <w:rFonts w:ascii="Adobe Caslon Pro" w:hAnsi="Adobe Caslon Pro" w:cs="Calibri"/>
                <w:i/>
                <w:color w:val="000000"/>
                <w:sz w:val="20"/>
                <w:szCs w:val="20"/>
                <w:lang w:eastAsia="es-MX"/>
              </w:rPr>
            </w:pPr>
            <w:r w:rsidRPr="00C71799">
              <w:rPr>
                <w:rFonts w:ascii="Adobe Caslon Pro" w:hAnsi="Adobe Caslon Pro" w:cs="Calibri"/>
                <w:i/>
                <w:color w:val="000000"/>
                <w:sz w:val="20"/>
                <w:szCs w:val="20"/>
                <w:lang w:eastAsia="es-MX"/>
              </w:rPr>
              <w:t>OPERACIÓN</w:t>
            </w:r>
          </w:p>
          <w:p w:rsidR="00A225C2" w:rsidRPr="00FD280F" w:rsidRDefault="00A225C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w:t>
            </w:r>
            <w:r w:rsidRPr="00FD280F">
              <w:rPr>
                <w:rFonts w:ascii="Adobe Caslon Pro" w:hAnsi="Adobe Caslon Pro" w:cs="Calibri"/>
                <w:i/>
                <w:color w:val="000000"/>
                <w:sz w:val="20"/>
                <w:szCs w:val="20"/>
                <w:lang w:eastAsia="es-MX"/>
              </w:rPr>
              <w:t xml:space="preserve">edactar los Componentes para que contribuyan al logro del Propósito. </w:t>
            </w:r>
          </w:p>
          <w:p w:rsidR="00A225C2" w:rsidRPr="00FD280F" w:rsidRDefault="00A225C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w:t>
            </w:r>
            <w:r w:rsidRPr="00FD280F">
              <w:rPr>
                <w:rFonts w:ascii="Adobe Caslon Pro" w:hAnsi="Adobe Caslon Pro" w:cs="Calibri"/>
                <w:i/>
                <w:color w:val="000000"/>
                <w:sz w:val="20"/>
                <w:szCs w:val="20"/>
                <w:lang w:eastAsia="es-MX"/>
              </w:rPr>
              <w:t xml:space="preserve">stablecer algún tipo de procedimiento para medir el costo – efectividad del Programa. </w:t>
            </w:r>
          </w:p>
          <w:p w:rsidR="00A225C2" w:rsidRPr="00625430" w:rsidRDefault="00A225C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A</w:t>
            </w:r>
            <w:r w:rsidRPr="00FD280F">
              <w:rPr>
                <w:rFonts w:ascii="Adobe Caslon Pro" w:hAnsi="Adobe Caslon Pro" w:cs="Calibri"/>
                <w:i/>
                <w:color w:val="000000"/>
                <w:sz w:val="20"/>
                <w:szCs w:val="20"/>
                <w:lang w:eastAsia="es-MX"/>
              </w:rPr>
              <w:t>dicionar un indicador que mida la dimensión de eficiencia de las acciones realizadas mediante las obras y/o proye</w:t>
            </w:r>
            <w:r>
              <w:rPr>
                <w:rFonts w:ascii="Adobe Caslon Pro" w:hAnsi="Adobe Caslon Pro" w:cs="Calibri"/>
                <w:i/>
                <w:color w:val="000000"/>
                <w:sz w:val="20"/>
                <w:szCs w:val="20"/>
                <w:lang w:eastAsia="es-MX"/>
              </w:rPr>
              <w:t>ctos de inversión, entre otros.</w:t>
            </w:r>
          </w:p>
        </w:tc>
      </w:tr>
      <w:tr w:rsidR="00A225C2"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A225C2" w:rsidRDefault="00A225C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PERCEPCIÓN DE LA POBLACIÓN OBJETIVO</w:t>
            </w:r>
          </w:p>
          <w:p w:rsidR="00A225C2" w:rsidRPr="00625430" w:rsidRDefault="00A225C2" w:rsidP="00F075EB">
            <w:pPr>
              <w:numPr>
                <w:ilvl w:val="0"/>
                <w:numId w:val="113"/>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I</w:t>
            </w:r>
            <w:r w:rsidRPr="001C60AF">
              <w:rPr>
                <w:rFonts w:ascii="Adobe Caslon Pro" w:hAnsi="Adobe Caslon Pro" w:cs="Calibri"/>
                <w:i/>
                <w:color w:val="000000"/>
                <w:sz w:val="20"/>
                <w:szCs w:val="20"/>
                <w:lang w:eastAsia="es-MX"/>
              </w:rPr>
              <w:t>mplementar algún mecanismo o metodología para medir el</w:t>
            </w:r>
            <w:r>
              <w:rPr>
                <w:rFonts w:ascii="Adobe Caslon Pro" w:hAnsi="Adobe Caslon Pro" w:cs="Calibri"/>
                <w:i/>
                <w:color w:val="000000"/>
                <w:sz w:val="20"/>
                <w:szCs w:val="20"/>
                <w:lang w:eastAsia="es-MX"/>
              </w:rPr>
              <w:t xml:space="preserve"> </w:t>
            </w:r>
            <w:r w:rsidRPr="001C60AF">
              <w:rPr>
                <w:rFonts w:ascii="Adobe Caslon Pro" w:hAnsi="Adobe Caslon Pro" w:cs="Calibri"/>
                <w:i/>
                <w:color w:val="000000"/>
                <w:sz w:val="20"/>
                <w:szCs w:val="20"/>
                <w:lang w:eastAsia="es-MX"/>
              </w:rPr>
              <w:t>grado de satisfacción de la población.</w:t>
            </w:r>
          </w:p>
        </w:tc>
      </w:tr>
      <w:tr w:rsidR="00A225C2" w:rsidRPr="00BE4199" w:rsidTr="00A56E05">
        <w:trPr>
          <w:trHeight w:val="435"/>
        </w:trPr>
        <w:tc>
          <w:tcPr>
            <w:tcW w:w="9436" w:type="dxa"/>
            <w:gridSpan w:val="14"/>
            <w:tcBorders>
              <w:top w:val="nil"/>
              <w:left w:val="single" w:sz="4" w:space="0" w:color="auto"/>
              <w:bottom w:val="single" w:sz="4" w:space="0" w:color="auto"/>
              <w:right w:val="single" w:sz="4" w:space="0" w:color="000000"/>
            </w:tcBorders>
            <w:shd w:val="clear" w:color="auto" w:fill="auto"/>
            <w:noWrap/>
          </w:tcPr>
          <w:p w:rsidR="00A225C2" w:rsidRPr="00C71799" w:rsidRDefault="00A225C2" w:rsidP="00A56E05">
            <w:p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RESULTADOS</w:t>
            </w:r>
          </w:p>
          <w:p w:rsidR="00A225C2" w:rsidRPr="00625430" w:rsidRDefault="00A225C2"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w:t>
            </w:r>
            <w:r w:rsidRPr="001C60AF">
              <w:rPr>
                <w:rFonts w:ascii="Adobe Caslon Pro" w:hAnsi="Adobe Caslon Pro" w:cs="Calibri"/>
                <w:i/>
                <w:color w:val="000000"/>
                <w:sz w:val="20"/>
                <w:szCs w:val="20"/>
                <w:lang w:eastAsia="es-MX"/>
              </w:rPr>
              <w:t>ealizar algún tipo de evaluación externa que permita medir</w:t>
            </w:r>
            <w:r>
              <w:rPr>
                <w:rFonts w:ascii="Adobe Caslon Pro" w:hAnsi="Adobe Caslon Pro" w:cs="Calibri"/>
                <w:i/>
                <w:color w:val="000000"/>
                <w:sz w:val="20"/>
                <w:szCs w:val="20"/>
                <w:lang w:eastAsia="es-MX"/>
              </w:rPr>
              <w:t xml:space="preserve"> </w:t>
            </w:r>
            <w:r w:rsidRPr="001C60AF">
              <w:rPr>
                <w:rFonts w:ascii="Adobe Caslon Pro" w:hAnsi="Adobe Caslon Pro" w:cs="Calibri"/>
                <w:i/>
                <w:color w:val="000000"/>
                <w:sz w:val="20"/>
                <w:szCs w:val="20"/>
                <w:lang w:eastAsia="es-MX"/>
              </w:rPr>
              <w:t>cuál ha sido el impacto en la población objetivo.</w:t>
            </w:r>
          </w:p>
        </w:tc>
      </w:tr>
      <w:tr w:rsidR="00A225C2" w:rsidRPr="00BE4199" w:rsidTr="00A56E05">
        <w:trPr>
          <w:trHeight w:val="105"/>
        </w:trPr>
        <w:tc>
          <w:tcPr>
            <w:tcW w:w="579"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r>
      <w:tr w:rsidR="00A225C2" w:rsidRPr="00BE4199" w:rsidTr="00A56E05">
        <w:trPr>
          <w:trHeight w:val="420"/>
        </w:trPr>
        <w:tc>
          <w:tcPr>
            <w:tcW w:w="6965" w:type="dxa"/>
            <w:gridSpan w:val="11"/>
            <w:tcBorders>
              <w:top w:val="single" w:sz="4" w:space="0" w:color="auto"/>
              <w:left w:val="single" w:sz="4" w:space="0" w:color="auto"/>
              <w:bottom w:val="nil"/>
              <w:right w:val="nil"/>
            </w:tcBorders>
            <w:shd w:val="clear" w:color="000000" w:fill="C2D69A"/>
            <w:noWrap/>
            <w:vAlign w:val="bottom"/>
            <w:hideMark/>
          </w:tcPr>
          <w:p w:rsidR="00A225C2" w:rsidRPr="00BE4199" w:rsidRDefault="00A225C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4.1 Nombre del coordinador de la evaluación:</w:t>
            </w:r>
          </w:p>
          <w:p w:rsidR="00A225C2" w:rsidRPr="00BE4199"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Mtro. José de Jesús </w:t>
            </w:r>
            <w:proofErr w:type="spellStart"/>
            <w:r w:rsidRPr="00BE4199">
              <w:rPr>
                <w:rFonts w:ascii="Adobe Caslon Pro" w:hAnsi="Adobe Caslon Pro" w:cs="Calibri"/>
                <w:i/>
                <w:color w:val="000000"/>
                <w:sz w:val="20"/>
                <w:szCs w:val="20"/>
                <w:lang w:eastAsia="es-MX"/>
              </w:rPr>
              <w:t>Guizar</w:t>
            </w:r>
            <w:proofErr w:type="spellEnd"/>
            <w:r w:rsidRPr="00BE4199">
              <w:rPr>
                <w:rFonts w:ascii="Adobe Caslon Pro" w:hAnsi="Adobe Caslon Pro" w:cs="Calibri"/>
                <w:i/>
                <w:color w:val="000000"/>
                <w:sz w:val="20"/>
                <w:szCs w:val="20"/>
                <w:lang w:eastAsia="es-MX"/>
              </w:rPr>
              <w:t xml:space="preserve"> Jiménez</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4.2 Cargo:</w:t>
            </w:r>
          </w:p>
          <w:p w:rsidR="00A225C2" w:rsidRPr="00BE4199"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Consultor Investigador</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4.3 Institución a la que pertenece:  </w:t>
            </w:r>
          </w:p>
          <w:p w:rsidR="00A225C2" w:rsidRPr="00BE4199"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Instituto para el Desarrollo Técnico de las Haciendas Públicas (INDETEC)</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Default="00A225C2"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4.4 Principales colaboradores:</w:t>
            </w:r>
          </w:p>
          <w:p w:rsidR="00A225C2" w:rsidRPr="00F974F2" w:rsidRDefault="00A225C2"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Lic. Mónica Buenrostro Bermúdez</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4.5 Correo electrónico del coordinador de la evaluación:</w:t>
            </w:r>
          </w:p>
          <w:p w:rsidR="00A225C2" w:rsidRPr="00BE4199" w:rsidRDefault="009B1A50" w:rsidP="00A56E05">
            <w:pPr>
              <w:rPr>
                <w:rFonts w:ascii="Adobe Caslon Pro" w:hAnsi="Adobe Caslon Pro" w:cs="Calibri"/>
                <w:i/>
                <w:color w:val="000000"/>
                <w:sz w:val="20"/>
                <w:szCs w:val="20"/>
                <w:u w:val="single"/>
                <w:lang w:eastAsia="es-MX"/>
              </w:rPr>
            </w:pPr>
            <w:hyperlink r:id="rId181" w:history="1">
              <w:r w:rsidR="00A225C2" w:rsidRPr="00774FDF">
                <w:rPr>
                  <w:rStyle w:val="Hipervnculo"/>
                  <w:rFonts w:ascii="Adobe Caslon Pro" w:hAnsi="Adobe Caslon Pro" w:cs="Calibri"/>
                  <w:i/>
                  <w:sz w:val="20"/>
                  <w:szCs w:val="20"/>
                  <w:lang w:eastAsia="es-MX"/>
                </w:rPr>
                <w:t>jguizarj@indetec.gob.mx</w:t>
              </w:r>
            </w:hyperlink>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4.6 Teléfono (con clave lada):</w:t>
            </w:r>
          </w:p>
          <w:p w:rsidR="00A225C2" w:rsidRPr="00BE4199"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(33) 36695550</w:t>
            </w:r>
            <w:r>
              <w:rPr>
                <w:rFonts w:ascii="Adobe Caslon Pro" w:hAnsi="Adobe Caslon Pro" w:cs="Calibri"/>
                <w:i/>
                <w:color w:val="000000"/>
                <w:sz w:val="20"/>
                <w:szCs w:val="20"/>
                <w:lang w:eastAsia="es-MX"/>
              </w:rPr>
              <w:t xml:space="preserve"> </w:t>
            </w:r>
            <w:proofErr w:type="spellStart"/>
            <w:r>
              <w:rPr>
                <w:rFonts w:ascii="Adobe Caslon Pro" w:hAnsi="Adobe Caslon Pro" w:cs="Calibri"/>
                <w:i/>
                <w:color w:val="000000"/>
                <w:sz w:val="20"/>
                <w:szCs w:val="20"/>
                <w:lang w:eastAsia="es-MX"/>
              </w:rPr>
              <w:t>ext</w:t>
            </w:r>
            <w:proofErr w:type="spellEnd"/>
            <w:r>
              <w:rPr>
                <w:rFonts w:ascii="Adobe Caslon Pro" w:hAnsi="Adobe Caslon Pro" w:cs="Calibri"/>
                <w:i/>
                <w:color w:val="000000"/>
                <w:sz w:val="20"/>
                <w:szCs w:val="20"/>
                <w:lang w:eastAsia="es-MX"/>
              </w:rPr>
              <w:t xml:space="preserve"> 136</w:t>
            </w:r>
          </w:p>
        </w:tc>
      </w:tr>
      <w:tr w:rsidR="00A225C2" w:rsidRPr="00BE4199" w:rsidTr="00A56E05">
        <w:trPr>
          <w:trHeight w:val="75"/>
        </w:trPr>
        <w:tc>
          <w:tcPr>
            <w:tcW w:w="999" w:type="dxa"/>
            <w:gridSpan w:val="2"/>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r>
      <w:tr w:rsidR="00A225C2" w:rsidRPr="00BE4199" w:rsidTr="00A56E05">
        <w:trPr>
          <w:trHeight w:val="420"/>
        </w:trPr>
        <w:tc>
          <w:tcPr>
            <w:tcW w:w="6965" w:type="dxa"/>
            <w:gridSpan w:val="11"/>
            <w:tcBorders>
              <w:top w:val="single" w:sz="4" w:space="0" w:color="auto"/>
              <w:left w:val="single" w:sz="4" w:space="0" w:color="auto"/>
              <w:bottom w:val="single" w:sz="4" w:space="0" w:color="auto"/>
              <w:right w:val="nil"/>
            </w:tcBorders>
            <w:shd w:val="clear" w:color="000000" w:fill="C2D69A"/>
            <w:noWrap/>
            <w:vAlign w:val="bottom"/>
            <w:hideMark/>
          </w:tcPr>
          <w:p w:rsidR="00A225C2" w:rsidRPr="00BE4199" w:rsidRDefault="00A225C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A225C2" w:rsidRPr="00BE4199"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Fondo </w:t>
            </w:r>
            <w:r>
              <w:rPr>
                <w:rFonts w:ascii="Adobe Caslon Pro" w:hAnsi="Adobe Caslon Pro" w:cs="Calibri"/>
                <w:i/>
                <w:color w:val="000000"/>
                <w:sz w:val="20"/>
                <w:szCs w:val="20"/>
                <w:lang w:eastAsia="es-MX"/>
              </w:rPr>
              <w:t>Regional</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A225C2" w:rsidRPr="00BE4199" w:rsidRDefault="00A225C2"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FONREGIÓN</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w:t>
            </w:r>
            <w:r>
              <w:rPr>
                <w:rFonts w:ascii="Adobe Caslon Pro" w:hAnsi="Adobe Caslon Pro" w:cs="Calibri"/>
                <w:color w:val="000000"/>
                <w:sz w:val="20"/>
                <w:szCs w:val="20"/>
                <w:lang w:eastAsia="es-MX"/>
              </w:rPr>
              <w:t>dinador del (los) programa(s): </w:t>
            </w:r>
          </w:p>
          <w:p w:rsidR="00A225C2" w:rsidRPr="00F974F2" w:rsidRDefault="00A225C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Secretaría de Finanzas del Estado de Oaxaca (SEFIN)</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5.6 Nombre de la(s) unidad(es) administrativa(s) y de (los) titular(es) a cargo del (los) programa(s):</w:t>
            </w:r>
          </w:p>
        </w:tc>
      </w:tr>
      <w:tr w:rsidR="00A225C2" w:rsidRPr="00BE4199" w:rsidTr="00A56E05">
        <w:trPr>
          <w:trHeight w:val="408"/>
        </w:trPr>
        <w:tc>
          <w:tcPr>
            <w:tcW w:w="9436" w:type="dxa"/>
            <w:gridSpan w:val="14"/>
            <w:tcBorders>
              <w:left w:val="single" w:sz="4" w:space="0" w:color="auto"/>
              <w:bottom w:val="single" w:sz="4" w:space="0" w:color="auto"/>
              <w:right w:val="single" w:sz="4" w:space="0" w:color="auto"/>
            </w:tcBorders>
            <w:vAlign w:val="center"/>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A225C2" w:rsidRPr="00BE4199" w:rsidTr="00A56E05">
        <w:trPr>
          <w:trHeight w:val="55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A225C2" w:rsidRDefault="00A225C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Caminos y Aeropistas de Oaxaca</w:t>
            </w:r>
          </w:p>
          <w:p w:rsidR="00A225C2" w:rsidRDefault="00A225C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Comisión Estatal del Agua</w:t>
            </w:r>
          </w:p>
          <w:p w:rsidR="00A225C2" w:rsidRDefault="00A225C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Comisión Estatal de la Vivienda</w:t>
            </w:r>
          </w:p>
          <w:p w:rsidR="00A225C2" w:rsidRDefault="00A225C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Instituto Oaxaqueño Constructor de Infraestructura Física Educativa</w:t>
            </w:r>
          </w:p>
          <w:p w:rsidR="00A225C2" w:rsidRDefault="00A225C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Secretaría de las Infraestructuras y el Ordenamiento Territorial Sustentable</w:t>
            </w:r>
          </w:p>
          <w:p w:rsidR="00A225C2" w:rsidRPr="00BE4199" w:rsidRDefault="00A225C2" w:rsidP="00A56E05">
            <w:pPr>
              <w:rPr>
                <w:rFonts w:ascii="Adobe Caslon Pro" w:hAnsi="Adobe Caslon Pro" w:cs="Calibri"/>
                <w:i/>
                <w:color w:val="000000"/>
                <w:sz w:val="20"/>
                <w:szCs w:val="20"/>
                <w:lang w:eastAsia="es-MX"/>
              </w:rPr>
            </w:pPr>
            <w:r w:rsidRPr="00BC72D1">
              <w:rPr>
                <w:rFonts w:ascii="Adobe Caslon Pro" w:hAnsi="Adobe Caslon Pro" w:cs="Calibri"/>
                <w:i/>
                <w:color w:val="000000"/>
                <w:sz w:val="20"/>
                <w:szCs w:val="20"/>
                <w:lang w:eastAsia="es-MX"/>
              </w:rPr>
              <w:t>Secretaría de Salud del Estado de Oaxaca</w:t>
            </w:r>
          </w:p>
        </w:tc>
      </w:tr>
      <w:tr w:rsidR="00A225C2" w:rsidRPr="00BE4199" w:rsidTr="00A56E05">
        <w:trPr>
          <w:trHeight w:val="55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A225C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Arq. Guillermo Martínez Gómez</w:t>
            </w:r>
          </w:p>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Tel (951) 5016900 ext. 24376, 24390</w:t>
            </w:r>
          </w:p>
          <w:p w:rsidR="00A225C2" w:rsidRPr="0062525C" w:rsidRDefault="009B1A50" w:rsidP="00A56E05">
            <w:pPr>
              <w:rPr>
                <w:rFonts w:ascii="Adobe Caslon Pro" w:hAnsi="Adobe Caslon Pro" w:cs="Calibri"/>
                <w:i/>
                <w:color w:val="000000"/>
                <w:sz w:val="20"/>
                <w:szCs w:val="20"/>
                <w:lang w:eastAsia="es-MX"/>
              </w:rPr>
            </w:pPr>
            <w:hyperlink r:id="rId182" w:history="1">
              <w:r w:rsidR="00A225C2" w:rsidRPr="00D111E2">
                <w:rPr>
                  <w:rStyle w:val="Hipervnculo"/>
                  <w:rFonts w:ascii="Adobe Caslon Pro" w:hAnsi="Adobe Caslon Pro" w:cs="Calibri"/>
                  <w:i/>
                  <w:sz w:val="20"/>
                  <w:szCs w:val="20"/>
                  <w:lang w:eastAsia="es-MX"/>
                </w:rPr>
                <w:t>Guillermomartinez.cao@oaxaca.gob.mx</w:t>
              </w:r>
            </w:hyperlink>
          </w:p>
        </w:tc>
        <w:tc>
          <w:tcPr>
            <w:tcW w:w="4604" w:type="dxa"/>
            <w:gridSpan w:val="7"/>
            <w:tcBorders>
              <w:top w:val="single" w:sz="4" w:space="0" w:color="auto"/>
              <w:left w:val="nil"/>
              <w:bottom w:val="single" w:sz="4" w:space="0" w:color="auto"/>
              <w:right w:val="single" w:sz="4" w:space="0" w:color="000000"/>
            </w:tcBorders>
            <w:shd w:val="clear" w:color="auto" w:fill="auto"/>
            <w:hideMark/>
          </w:tcPr>
          <w:p w:rsidR="00A225C2" w:rsidRDefault="00A225C2"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Unidad administrativa</w:t>
            </w:r>
          </w:p>
          <w:p w:rsidR="00A225C2" w:rsidRPr="00BE4199" w:rsidRDefault="00A225C2"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 xml:space="preserve"> </w:t>
            </w:r>
            <w:r w:rsidRPr="00894465">
              <w:rPr>
                <w:rFonts w:ascii="Adobe Caslon Pro" w:hAnsi="Adobe Caslon Pro" w:cs="Calibri"/>
                <w:i/>
                <w:color w:val="000000"/>
                <w:sz w:val="20"/>
                <w:szCs w:val="20"/>
                <w:lang w:eastAsia="es-MX"/>
              </w:rPr>
              <w:t xml:space="preserve"> Dirección General Caminos y Aeropistas de Oaxaca</w:t>
            </w:r>
          </w:p>
        </w:tc>
      </w:tr>
      <w:tr w:rsidR="00A225C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Ing. Julián Rubén Ríos Ángeles</w:t>
            </w:r>
          </w:p>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Tel (951) 5016900 ext. 22502, 22516</w:t>
            </w:r>
          </w:p>
          <w:p w:rsidR="00A225C2" w:rsidRPr="00BE4199" w:rsidRDefault="00A225C2" w:rsidP="00A56E05">
            <w:pPr>
              <w:rPr>
                <w:rFonts w:ascii="Adobe Caslon Pro" w:hAnsi="Adobe Caslon Pro" w:cs="Calibri"/>
                <w:color w:val="000000"/>
                <w:sz w:val="20"/>
                <w:szCs w:val="20"/>
                <w:lang w:eastAsia="es-MX"/>
              </w:rPr>
            </w:pPr>
            <w:r w:rsidRPr="00894465">
              <w:rPr>
                <w:rFonts w:ascii="Adobe Caslon Pro" w:hAnsi="Adobe Caslon Pro" w:cs="Calibri"/>
                <w:i/>
                <w:color w:val="000000"/>
                <w:sz w:val="20"/>
                <w:szCs w:val="20"/>
                <w:lang w:eastAsia="es-MX"/>
              </w:rPr>
              <w:t>ceadirgral@gmail.com</w:t>
            </w:r>
          </w:p>
        </w:tc>
        <w:tc>
          <w:tcPr>
            <w:tcW w:w="4604" w:type="dxa"/>
            <w:gridSpan w:val="7"/>
            <w:tcBorders>
              <w:top w:val="single" w:sz="4" w:space="0" w:color="auto"/>
              <w:left w:val="nil"/>
              <w:bottom w:val="single" w:sz="4" w:space="0" w:color="auto"/>
              <w:right w:val="single" w:sz="4" w:space="0" w:color="000000"/>
            </w:tcBorders>
            <w:shd w:val="clear" w:color="auto" w:fill="auto"/>
          </w:tcPr>
          <w:p w:rsidR="00A225C2" w:rsidRDefault="00A225C2" w:rsidP="00A56E05">
            <w:pPr>
              <w:rPr>
                <w:rFonts w:ascii="Adobe Caslon Pro" w:hAnsi="Adobe Caslon Pro" w:cs="Calibri"/>
                <w:color w:val="000000"/>
                <w:sz w:val="20"/>
                <w:szCs w:val="20"/>
                <w:lang w:eastAsia="es-MX"/>
              </w:rPr>
            </w:pPr>
            <w:r w:rsidRPr="00894465">
              <w:rPr>
                <w:rFonts w:ascii="Adobe Caslon Pro" w:hAnsi="Adobe Caslon Pro" w:cs="Calibri"/>
                <w:i/>
                <w:color w:val="000000"/>
                <w:sz w:val="20"/>
                <w:szCs w:val="20"/>
                <w:lang w:eastAsia="es-MX"/>
              </w:rPr>
              <w:t>Dirección General Comisión Estatal del Agua</w:t>
            </w:r>
          </w:p>
        </w:tc>
      </w:tr>
      <w:tr w:rsidR="00A225C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Ing. Salvador Gerardo Cerna Gil</w:t>
            </w:r>
          </w:p>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Tel (951) 5016900 ext. 24751, 24250</w:t>
            </w:r>
          </w:p>
          <w:p w:rsidR="00A225C2" w:rsidRPr="00894465" w:rsidRDefault="009B1A50" w:rsidP="00A56E05">
            <w:pPr>
              <w:rPr>
                <w:rFonts w:ascii="Adobe Caslon Pro" w:hAnsi="Adobe Caslon Pro" w:cs="Calibri"/>
                <w:i/>
                <w:color w:val="000000"/>
                <w:sz w:val="20"/>
                <w:szCs w:val="20"/>
                <w:lang w:eastAsia="es-MX"/>
              </w:rPr>
            </w:pPr>
            <w:hyperlink r:id="rId183" w:history="1">
              <w:r w:rsidR="00A225C2" w:rsidRPr="00D111E2">
                <w:rPr>
                  <w:rStyle w:val="Hipervnculo"/>
                  <w:rFonts w:ascii="Adobe Caslon Pro" w:hAnsi="Adobe Caslon Pro" w:cs="Calibri"/>
                  <w:i/>
                  <w:sz w:val="20"/>
                  <w:szCs w:val="20"/>
                  <w:lang w:eastAsia="es-MX"/>
                </w:rPr>
                <w:t>Salvadorcernacevi@gmail.com</w:t>
              </w:r>
            </w:hyperlink>
          </w:p>
        </w:tc>
        <w:tc>
          <w:tcPr>
            <w:tcW w:w="4604" w:type="dxa"/>
            <w:gridSpan w:val="7"/>
            <w:tcBorders>
              <w:top w:val="single" w:sz="4" w:space="0" w:color="auto"/>
              <w:left w:val="nil"/>
              <w:bottom w:val="single" w:sz="4" w:space="0" w:color="auto"/>
              <w:right w:val="single" w:sz="4" w:space="0" w:color="000000"/>
            </w:tcBorders>
            <w:shd w:val="clear" w:color="auto" w:fill="auto"/>
          </w:tcPr>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Dirección General Comisión Estatal de Vivienda</w:t>
            </w:r>
          </w:p>
        </w:tc>
      </w:tr>
      <w:tr w:rsidR="00A225C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A225C2" w:rsidRPr="00894465" w:rsidRDefault="00A225C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Mtro. </w:t>
            </w:r>
            <w:proofErr w:type="gramStart"/>
            <w:r>
              <w:rPr>
                <w:rFonts w:ascii="Adobe Caslon Pro" w:hAnsi="Adobe Caslon Pro" w:cs="Calibri"/>
                <w:i/>
                <w:color w:val="000000"/>
                <w:sz w:val="20"/>
                <w:szCs w:val="20"/>
                <w:lang w:eastAsia="es-MX"/>
              </w:rPr>
              <w:t>e</w:t>
            </w:r>
            <w:r w:rsidRPr="00894465">
              <w:rPr>
                <w:rFonts w:ascii="Adobe Caslon Pro" w:hAnsi="Adobe Caslon Pro" w:cs="Calibri"/>
                <w:i/>
                <w:color w:val="000000"/>
                <w:sz w:val="20"/>
                <w:szCs w:val="20"/>
                <w:lang w:eastAsia="es-MX"/>
              </w:rPr>
              <w:t>n</w:t>
            </w:r>
            <w:proofErr w:type="gramEnd"/>
            <w:r w:rsidRPr="00894465">
              <w:rPr>
                <w:rFonts w:ascii="Adobe Caslon Pro" w:hAnsi="Adobe Caslon Pro" w:cs="Calibri"/>
                <w:i/>
                <w:color w:val="000000"/>
                <w:sz w:val="20"/>
                <w:szCs w:val="20"/>
                <w:lang w:eastAsia="es-MX"/>
              </w:rPr>
              <w:t xml:space="preserve"> Arq. Elí </w:t>
            </w:r>
            <w:proofErr w:type="spellStart"/>
            <w:r w:rsidRPr="00894465">
              <w:rPr>
                <w:rFonts w:ascii="Adobe Caslon Pro" w:hAnsi="Adobe Caslon Pro" w:cs="Calibri"/>
                <w:i/>
                <w:color w:val="000000"/>
                <w:sz w:val="20"/>
                <w:szCs w:val="20"/>
                <w:lang w:eastAsia="es-MX"/>
              </w:rPr>
              <w:t>Élfego</w:t>
            </w:r>
            <w:proofErr w:type="spellEnd"/>
            <w:r w:rsidRPr="00894465">
              <w:rPr>
                <w:rFonts w:ascii="Adobe Caslon Pro" w:hAnsi="Adobe Caslon Pro" w:cs="Calibri"/>
                <w:i/>
                <w:color w:val="000000"/>
                <w:sz w:val="20"/>
                <w:szCs w:val="20"/>
                <w:lang w:eastAsia="es-MX"/>
              </w:rPr>
              <w:t xml:space="preserve"> Pérez Matos</w:t>
            </w:r>
          </w:p>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Tel (951) 5020150 ext. 151</w:t>
            </w:r>
          </w:p>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elipm@oaxaca.gob.mx</w:t>
            </w:r>
          </w:p>
        </w:tc>
        <w:tc>
          <w:tcPr>
            <w:tcW w:w="4604" w:type="dxa"/>
            <w:gridSpan w:val="7"/>
            <w:tcBorders>
              <w:top w:val="single" w:sz="4" w:space="0" w:color="auto"/>
              <w:left w:val="nil"/>
              <w:bottom w:val="single" w:sz="4" w:space="0" w:color="auto"/>
              <w:right w:val="single" w:sz="4" w:space="0" w:color="000000"/>
            </w:tcBorders>
            <w:shd w:val="clear" w:color="auto" w:fill="auto"/>
          </w:tcPr>
          <w:p w:rsidR="00A225C2" w:rsidRPr="00894465" w:rsidRDefault="00A225C2" w:rsidP="00A56E05">
            <w:pPr>
              <w:rPr>
                <w:rFonts w:ascii="Adobe Caslon Pro" w:hAnsi="Adobe Caslon Pro" w:cs="Calibri"/>
                <w:i/>
                <w:color w:val="000000"/>
                <w:sz w:val="20"/>
                <w:szCs w:val="20"/>
                <w:lang w:eastAsia="es-MX"/>
              </w:rPr>
            </w:pPr>
            <w:r w:rsidRPr="00894465">
              <w:rPr>
                <w:rFonts w:ascii="Adobe Caslon Pro" w:hAnsi="Adobe Caslon Pro" w:cs="Calibri"/>
                <w:i/>
                <w:color w:val="000000"/>
                <w:sz w:val="20"/>
                <w:szCs w:val="20"/>
                <w:lang w:eastAsia="es-MX"/>
              </w:rPr>
              <w:t>Dirección General del Instituto Oaxaqueño Constructor de Infraestructura Física Educativa</w:t>
            </w:r>
          </w:p>
          <w:p w:rsidR="00A225C2" w:rsidRPr="00894465" w:rsidRDefault="00A225C2" w:rsidP="00A56E05">
            <w:pPr>
              <w:rPr>
                <w:rFonts w:ascii="Adobe Caslon Pro" w:hAnsi="Adobe Caslon Pro" w:cs="Calibri"/>
                <w:i/>
                <w:color w:val="000000"/>
                <w:sz w:val="20"/>
                <w:szCs w:val="20"/>
                <w:lang w:eastAsia="es-MX"/>
              </w:rPr>
            </w:pPr>
          </w:p>
        </w:tc>
      </w:tr>
      <w:tr w:rsidR="00A225C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A225C2" w:rsidRPr="00BE4199" w:rsidRDefault="00A225C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Dr. Germán de Jesús Tenorio Vasconcelos</w:t>
            </w:r>
          </w:p>
          <w:p w:rsidR="00A225C2" w:rsidRDefault="00A225C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(951) 51 634 64</w:t>
            </w:r>
          </w:p>
          <w:p w:rsidR="00A225C2" w:rsidRPr="00894465" w:rsidRDefault="00A225C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drgermantenorio@salud-oaxaca.gob.mx</w:t>
            </w:r>
          </w:p>
        </w:tc>
        <w:tc>
          <w:tcPr>
            <w:tcW w:w="4604" w:type="dxa"/>
            <w:gridSpan w:val="7"/>
            <w:tcBorders>
              <w:top w:val="single" w:sz="4" w:space="0" w:color="auto"/>
              <w:left w:val="nil"/>
              <w:bottom w:val="single" w:sz="4" w:space="0" w:color="auto"/>
              <w:right w:val="single" w:sz="4" w:space="0" w:color="000000"/>
            </w:tcBorders>
            <w:shd w:val="clear" w:color="auto" w:fill="auto"/>
          </w:tcPr>
          <w:p w:rsidR="00A225C2" w:rsidRPr="00894465" w:rsidRDefault="00A225C2"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Dirección General de Servicios de Salud de Oaxaca</w:t>
            </w:r>
          </w:p>
        </w:tc>
      </w:tr>
      <w:tr w:rsidR="00A225C2" w:rsidRPr="00BE4199" w:rsidTr="00A56E05">
        <w:trPr>
          <w:trHeight w:val="555"/>
        </w:trPr>
        <w:tc>
          <w:tcPr>
            <w:tcW w:w="4832" w:type="dxa"/>
            <w:gridSpan w:val="7"/>
            <w:tcBorders>
              <w:top w:val="single" w:sz="4" w:space="0" w:color="auto"/>
              <w:left w:val="single" w:sz="4" w:space="0" w:color="auto"/>
              <w:bottom w:val="single" w:sz="4" w:space="0" w:color="auto"/>
              <w:right w:val="single" w:sz="4" w:space="0" w:color="auto"/>
            </w:tcBorders>
            <w:shd w:val="clear" w:color="auto" w:fill="auto"/>
          </w:tcPr>
          <w:p w:rsidR="00A225C2" w:rsidRPr="00D111E2" w:rsidRDefault="00A225C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Ing. Netzahualcóyotl Salvatierra López</w:t>
            </w:r>
          </w:p>
          <w:p w:rsidR="00A225C2" w:rsidRPr="00D111E2" w:rsidRDefault="00A225C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Tel. 01 951 5016900 ext. 25001</w:t>
            </w:r>
          </w:p>
          <w:p w:rsidR="00A225C2" w:rsidRDefault="00A225C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netza.salvatierra@oaxaca.gob.mx</w:t>
            </w:r>
          </w:p>
        </w:tc>
        <w:tc>
          <w:tcPr>
            <w:tcW w:w="4604" w:type="dxa"/>
            <w:gridSpan w:val="7"/>
            <w:tcBorders>
              <w:top w:val="single" w:sz="4" w:space="0" w:color="auto"/>
              <w:left w:val="nil"/>
              <w:bottom w:val="single" w:sz="4" w:space="0" w:color="auto"/>
              <w:right w:val="single" w:sz="4" w:space="0" w:color="000000"/>
            </w:tcBorders>
            <w:shd w:val="clear" w:color="auto" w:fill="auto"/>
          </w:tcPr>
          <w:p w:rsidR="00A225C2" w:rsidRPr="00D111E2" w:rsidRDefault="00A225C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Secretario de las Infraestructuras y el Ordenamiento</w:t>
            </w:r>
          </w:p>
          <w:p w:rsidR="00A225C2" w:rsidRDefault="00A225C2" w:rsidP="00A56E05">
            <w:pPr>
              <w:rPr>
                <w:rFonts w:ascii="Adobe Caslon Pro" w:hAnsi="Adobe Caslon Pro" w:cs="Calibri"/>
                <w:i/>
                <w:color w:val="000000"/>
                <w:sz w:val="20"/>
                <w:szCs w:val="20"/>
                <w:lang w:eastAsia="es-MX"/>
              </w:rPr>
            </w:pPr>
            <w:r w:rsidRPr="00D111E2">
              <w:rPr>
                <w:rFonts w:ascii="Adobe Caslon Pro" w:hAnsi="Adobe Caslon Pro" w:cs="Calibri"/>
                <w:i/>
                <w:color w:val="000000"/>
                <w:sz w:val="20"/>
                <w:szCs w:val="20"/>
                <w:lang w:eastAsia="es-MX"/>
              </w:rPr>
              <w:t>Territorial Sustentable</w:t>
            </w:r>
          </w:p>
        </w:tc>
      </w:tr>
      <w:tr w:rsidR="00A225C2" w:rsidRPr="00BE4199" w:rsidTr="00A56E05">
        <w:trPr>
          <w:trHeight w:val="75"/>
        </w:trPr>
        <w:tc>
          <w:tcPr>
            <w:tcW w:w="999" w:type="dxa"/>
            <w:gridSpan w:val="2"/>
            <w:tcBorders>
              <w:top w:val="nil"/>
              <w:left w:val="nil"/>
              <w:bottom w:val="nil"/>
              <w:right w:val="nil"/>
            </w:tcBorders>
            <w:shd w:val="clear" w:color="auto" w:fill="auto"/>
            <w:hideMark/>
          </w:tcPr>
          <w:p w:rsidR="00A225C2" w:rsidRPr="00BE4199" w:rsidRDefault="00A225C2"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hideMark/>
          </w:tcPr>
          <w:p w:rsidR="00A225C2" w:rsidRPr="00BE4199" w:rsidRDefault="00A225C2"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hideMark/>
          </w:tcPr>
          <w:p w:rsidR="00A225C2" w:rsidRPr="00BE4199" w:rsidRDefault="00A225C2" w:rsidP="00A56E05">
            <w:pPr>
              <w:rPr>
                <w:rFonts w:ascii="Adobe Caslon Pro" w:hAnsi="Adobe Caslon Pro" w:cs="Calibri"/>
                <w:color w:val="000000"/>
                <w:sz w:val="20"/>
                <w:szCs w:val="20"/>
                <w:lang w:eastAsia="es-MX"/>
              </w:rPr>
            </w:pPr>
          </w:p>
        </w:tc>
        <w:tc>
          <w:tcPr>
            <w:tcW w:w="2526" w:type="dxa"/>
            <w:gridSpan w:val="5"/>
            <w:tcBorders>
              <w:top w:val="nil"/>
              <w:left w:val="nil"/>
              <w:bottom w:val="nil"/>
              <w:right w:val="nil"/>
            </w:tcBorders>
            <w:shd w:val="clear" w:color="auto" w:fill="auto"/>
            <w:hideMark/>
          </w:tcPr>
          <w:p w:rsidR="00A225C2" w:rsidRPr="00BE4199" w:rsidRDefault="00A225C2"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hideMark/>
          </w:tcPr>
          <w:p w:rsidR="00A225C2" w:rsidRPr="00BE4199" w:rsidRDefault="00A225C2"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hideMark/>
          </w:tcPr>
          <w:p w:rsidR="00A225C2" w:rsidRPr="00BE4199" w:rsidRDefault="00A225C2" w:rsidP="00A56E05">
            <w:pPr>
              <w:jc w:val="center"/>
              <w:rPr>
                <w:rFonts w:ascii="Adobe Caslon Pro" w:hAnsi="Adobe Caslon Pro" w:cs="Calibri"/>
                <w:color w:val="000000"/>
                <w:sz w:val="20"/>
                <w:szCs w:val="20"/>
                <w:lang w:eastAsia="es-MX"/>
              </w:rPr>
            </w:pPr>
          </w:p>
        </w:tc>
      </w:tr>
      <w:tr w:rsidR="00A225C2" w:rsidRPr="00BE4199" w:rsidTr="00A56E05">
        <w:trPr>
          <w:trHeight w:val="420"/>
        </w:trPr>
        <w:tc>
          <w:tcPr>
            <w:tcW w:w="8125" w:type="dxa"/>
            <w:gridSpan w:val="12"/>
            <w:tcBorders>
              <w:top w:val="single" w:sz="4" w:space="0" w:color="auto"/>
              <w:left w:val="single" w:sz="4" w:space="0" w:color="auto"/>
              <w:bottom w:val="single" w:sz="4" w:space="0" w:color="auto"/>
              <w:right w:val="nil"/>
            </w:tcBorders>
            <w:shd w:val="clear" w:color="000000" w:fill="C2D69A"/>
            <w:noWrap/>
            <w:vAlign w:val="bottom"/>
            <w:hideMark/>
          </w:tcPr>
          <w:p w:rsidR="00A225C2" w:rsidRPr="00BE4199" w:rsidRDefault="00A225C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Pr>
                <w:rFonts w:ascii="Adobe Caslon Pro" w:hAnsi="Adobe Caslon Pro" w:cs="Calibri"/>
                <w:color w:val="000000"/>
                <w:sz w:val="20"/>
                <w:szCs w:val="20"/>
                <w:lang w:eastAsia="es-MX"/>
              </w:rPr>
              <w:t>___ 6.1.5 Otro: C</w:t>
            </w:r>
            <w:r w:rsidRPr="000D3BE9">
              <w:rPr>
                <w:rFonts w:ascii="Adobe Caslon Pro" w:hAnsi="Adobe Caslon Pro" w:cs="Calibri"/>
                <w:color w:val="000000"/>
                <w:sz w:val="20"/>
                <w:szCs w:val="20"/>
                <w:lang w:eastAsia="es-MX"/>
              </w:rPr>
              <w:t>onveni</w:t>
            </w:r>
            <w:r>
              <w:rPr>
                <w:rFonts w:ascii="Adobe Caslon Pro" w:hAnsi="Adobe Caslon Pro" w:cs="Calibri"/>
                <w:color w:val="000000"/>
                <w:sz w:val="20"/>
                <w:szCs w:val="20"/>
                <w:lang w:eastAsia="es-MX"/>
              </w:rPr>
              <w:t>o de colaboración institucional</w:t>
            </w:r>
          </w:p>
        </w:tc>
      </w:tr>
      <w:tr w:rsidR="00A225C2" w:rsidRPr="00BE4199" w:rsidTr="00A56E05">
        <w:trPr>
          <w:trHeight w:val="395"/>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A225C2" w:rsidRPr="00BE4199"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Pr>
                <w:rFonts w:ascii="Times New Roman" w:hAnsi="Times New Roman"/>
                <w:color w:val="000000"/>
                <w:sz w:val="20"/>
                <w:szCs w:val="20"/>
                <w:lang w:eastAsia="es-MX"/>
              </w:rPr>
              <w:t> </w:t>
            </w:r>
            <w:r w:rsidRPr="00BE4199">
              <w:rPr>
                <w:rFonts w:ascii="Adobe Caslon Pro" w:hAnsi="Adobe Caslon Pro" w:cs="Calibri"/>
                <w:color w:val="000000"/>
                <w:sz w:val="20"/>
                <w:szCs w:val="20"/>
                <w:lang w:eastAsia="es-MX"/>
              </w:rPr>
              <w:t xml:space="preserve">Costo total de la evaluación:    </w:t>
            </w:r>
            <w:r w:rsidRPr="00BE4199">
              <w:rPr>
                <w:rFonts w:ascii="Adobe Caslon Pro" w:hAnsi="Adobe Caslon Pro" w:cs="Calibri"/>
                <w:i/>
                <w:color w:val="000000"/>
                <w:sz w:val="20"/>
                <w:szCs w:val="20"/>
                <w:lang w:eastAsia="es-MX"/>
              </w:rPr>
              <w:t xml:space="preserve">$ </w:t>
            </w:r>
            <w:r>
              <w:rPr>
                <w:rFonts w:ascii="Adobe Caslon Pro" w:hAnsi="Adobe Caslon Pro" w:cs="Calibri"/>
                <w:i/>
                <w:color w:val="000000"/>
                <w:sz w:val="20"/>
                <w:szCs w:val="20"/>
                <w:lang w:eastAsia="es-MX"/>
              </w:rPr>
              <w:t>120,000</w:t>
            </w:r>
            <w:r w:rsidRPr="00BE4199">
              <w:rPr>
                <w:rFonts w:ascii="Adobe Caslon Pro" w:hAnsi="Adobe Caslon Pro" w:cs="Calibri"/>
                <w:i/>
                <w:color w:val="000000"/>
                <w:sz w:val="20"/>
                <w:szCs w:val="20"/>
                <w:lang w:eastAsia="es-MX"/>
              </w:rPr>
              <w:t>.</w:t>
            </w:r>
            <w:r>
              <w:rPr>
                <w:rFonts w:ascii="Adobe Caslon Pro" w:hAnsi="Adobe Caslon Pro" w:cs="Calibri"/>
                <w:i/>
                <w:color w:val="000000"/>
                <w:sz w:val="20"/>
                <w:szCs w:val="20"/>
                <w:lang w:eastAsia="es-MX"/>
              </w:rPr>
              <w:t>00 (Ciento veinte</w:t>
            </w:r>
            <w:r w:rsidRPr="00BE4199">
              <w:rPr>
                <w:rFonts w:ascii="Adobe Caslon Pro" w:hAnsi="Adobe Caslon Pro" w:cs="Calibri"/>
                <w:i/>
                <w:color w:val="000000"/>
                <w:sz w:val="20"/>
                <w:szCs w:val="20"/>
                <w:lang w:eastAsia="es-MX"/>
              </w:rPr>
              <w:t xml:space="preserve"> mil pesos 00/100 M.N.) El costo</w:t>
            </w:r>
            <w:r>
              <w:rPr>
                <w:rFonts w:ascii="Adobe Caslon Pro" w:hAnsi="Adobe Caslon Pro" w:cs="Calibri"/>
                <w:i/>
                <w:color w:val="000000"/>
                <w:sz w:val="20"/>
                <w:szCs w:val="20"/>
                <w:lang w:eastAsia="es-MX"/>
              </w:rPr>
              <w:t xml:space="preserve"> corresponde a la evaluación del Fondo Regional.</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A225C2" w:rsidRPr="00BE4199" w:rsidRDefault="00A225C2"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A225C2" w:rsidRPr="00BE4199" w:rsidTr="00A56E05">
        <w:trPr>
          <w:trHeight w:val="162"/>
        </w:trPr>
        <w:tc>
          <w:tcPr>
            <w:tcW w:w="999" w:type="dxa"/>
            <w:gridSpan w:val="2"/>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bottom"/>
            <w:hideMark/>
          </w:tcPr>
          <w:p w:rsidR="00A225C2" w:rsidRPr="00BE4199" w:rsidRDefault="00A225C2" w:rsidP="00A56E05">
            <w:pPr>
              <w:rPr>
                <w:rFonts w:ascii="Adobe Caslon Pro" w:hAnsi="Adobe Caslon Pro" w:cs="Calibri"/>
                <w:color w:val="000000"/>
                <w:sz w:val="20"/>
                <w:szCs w:val="20"/>
                <w:lang w:eastAsia="es-MX"/>
              </w:rPr>
            </w:pPr>
          </w:p>
        </w:tc>
      </w:tr>
      <w:tr w:rsidR="00A225C2" w:rsidRPr="00BE4199" w:rsidTr="00A56E05">
        <w:trPr>
          <w:trHeight w:val="420"/>
        </w:trPr>
        <w:tc>
          <w:tcPr>
            <w:tcW w:w="4973" w:type="dxa"/>
            <w:gridSpan w:val="8"/>
            <w:tcBorders>
              <w:top w:val="single" w:sz="4" w:space="0" w:color="auto"/>
              <w:left w:val="single" w:sz="4" w:space="0" w:color="auto"/>
              <w:bottom w:val="single" w:sz="4" w:space="0" w:color="auto"/>
              <w:right w:val="nil"/>
            </w:tcBorders>
            <w:shd w:val="clear" w:color="000000" w:fill="C2D69A"/>
            <w:noWrap/>
            <w:vAlign w:val="bottom"/>
            <w:hideMark/>
          </w:tcPr>
          <w:p w:rsidR="00A225C2" w:rsidRPr="00BE4199" w:rsidRDefault="00A225C2"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bottom"/>
            <w:hideMark/>
          </w:tcPr>
          <w:p w:rsidR="00A225C2" w:rsidRPr="00BE4199" w:rsidRDefault="00A225C2"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Default="00A225C2"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A225C2" w:rsidRDefault="009B1A50" w:rsidP="00A56E05">
            <w:pPr>
              <w:rPr>
                <w:rFonts w:ascii="Adobe Caslon Pro" w:hAnsi="Adobe Caslon Pro" w:cs="Calibri"/>
                <w:color w:val="000000"/>
                <w:sz w:val="20"/>
                <w:szCs w:val="20"/>
                <w:lang w:eastAsia="es-MX"/>
              </w:rPr>
            </w:pPr>
            <w:hyperlink r:id="rId184" w:history="1">
              <w:r w:rsidR="00A225C2" w:rsidRPr="002F7F93">
                <w:rPr>
                  <w:rStyle w:val="Hipervnculo"/>
                  <w:rFonts w:ascii="Adobe Caslon Pro" w:hAnsi="Adobe Caslon Pro" w:cs="Calibri"/>
                  <w:sz w:val="20"/>
                  <w:szCs w:val="20"/>
                  <w:lang w:eastAsia="es-MX"/>
                </w:rPr>
                <w:t>http://www.jefaturadelagubernatura-evaluacion.oaxaca.gob.mx/index.php/pae-sidepanel/pae-2014</w:t>
              </w:r>
            </w:hyperlink>
          </w:p>
          <w:p w:rsidR="00A225C2" w:rsidRPr="00642484" w:rsidRDefault="009B1A50" w:rsidP="00A56E05">
            <w:pPr>
              <w:rPr>
                <w:rFonts w:ascii="Adobe Caslon Pro" w:hAnsi="Adobe Caslon Pro" w:cs="Calibri"/>
                <w:color w:val="000000"/>
                <w:sz w:val="20"/>
                <w:szCs w:val="20"/>
                <w:lang w:eastAsia="es-MX"/>
              </w:rPr>
            </w:pPr>
            <w:hyperlink r:id="rId185" w:history="1">
              <w:r w:rsidR="00A225C2" w:rsidRPr="002F7F93">
                <w:rPr>
                  <w:rStyle w:val="Hipervnculo"/>
                  <w:rFonts w:ascii="Adobe Caslon Pro" w:hAnsi="Adobe Caslon Pro" w:cs="Calibri"/>
                  <w:sz w:val="20"/>
                  <w:szCs w:val="20"/>
                  <w:lang w:eastAsia="es-MX"/>
                </w:rPr>
                <w:t>http://www.transparenciapresupuestaria.oaxaca.gob.mx/05_ev1_eprogramas.php</w:t>
              </w:r>
            </w:hyperlink>
          </w:p>
        </w:tc>
      </w:tr>
      <w:tr w:rsidR="00A225C2" w:rsidRPr="00BE4199" w:rsidTr="00A56E05">
        <w:trPr>
          <w:trHeight w:val="420"/>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5C2" w:rsidRDefault="00A225C2"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lastRenderedPageBreak/>
              <w:t>7.2  Difusión en internet del formato:</w:t>
            </w:r>
          </w:p>
          <w:p w:rsidR="00A225C2" w:rsidRPr="00642484" w:rsidRDefault="009B1A50" w:rsidP="00A56E05">
            <w:pPr>
              <w:rPr>
                <w:rFonts w:ascii="Adobe Caslon Pro" w:hAnsi="Adobe Caslon Pro" w:cs="Calibri"/>
                <w:color w:val="000000"/>
                <w:sz w:val="20"/>
                <w:szCs w:val="20"/>
                <w:lang w:eastAsia="es-MX"/>
              </w:rPr>
            </w:pPr>
            <w:hyperlink r:id="rId186" w:history="1">
              <w:r w:rsidR="00A225C2" w:rsidRPr="002F7F93">
                <w:rPr>
                  <w:rStyle w:val="Hipervnculo"/>
                  <w:rFonts w:ascii="Adobe Caslon Pro" w:hAnsi="Adobe Caslon Pro" w:cs="Calibri"/>
                  <w:sz w:val="20"/>
                  <w:szCs w:val="20"/>
                  <w:lang w:eastAsia="es-MX"/>
                </w:rPr>
                <w:t>http://www.jefaturadelagubernatura-evaluacion.oaxaca.gob.mx/index.php/pae-sidepanel/pae-2014</w:t>
              </w:r>
            </w:hyperlink>
          </w:p>
        </w:tc>
      </w:tr>
    </w:tbl>
    <w:p w:rsidR="00BC53A0" w:rsidRPr="00BC53A0" w:rsidRDefault="0072684E" w:rsidP="00BC53A0">
      <w:pPr>
        <w:rPr>
          <w:rFonts w:ascii="Arial" w:hAnsi="Arial" w:cs="Arial"/>
          <w:b/>
        </w:rPr>
      </w:pPr>
      <w:r>
        <w:rPr>
          <w:rFonts w:ascii="Arial" w:hAnsi="Arial" w:cs="Arial"/>
          <w:b/>
        </w:rPr>
        <w:t>14.2</w:t>
      </w:r>
      <w:r w:rsidR="00BC53A0" w:rsidRPr="00BC53A0">
        <w:rPr>
          <w:rFonts w:ascii="Arial" w:hAnsi="Arial" w:cs="Arial"/>
          <w:b/>
        </w:rPr>
        <w:t>.1</w:t>
      </w:r>
      <w:r w:rsidR="00FB524A">
        <w:rPr>
          <w:rFonts w:ascii="Arial" w:hAnsi="Arial" w:cs="Arial"/>
          <w:b/>
        </w:rPr>
        <w:t>7</w:t>
      </w:r>
      <w:r w:rsidR="00BC53A0" w:rsidRPr="00BC53A0">
        <w:rPr>
          <w:rFonts w:ascii="Arial" w:hAnsi="Arial" w:cs="Arial"/>
          <w:b/>
        </w:rPr>
        <w:t>.- FONDO DE APORTACIONES PARA LA EDUCACIÓN BÁSICA Y NORMAL (FAEB)</w:t>
      </w:r>
    </w:p>
    <w:p w:rsidR="00BC53A0" w:rsidRPr="00EC7307" w:rsidRDefault="00BC53A0" w:rsidP="00BC53A0">
      <w:pPr>
        <w:jc w:val="center"/>
        <w:rPr>
          <w:rFonts w:ascii="Adobe Caslon Pro" w:hAnsi="Adobe Caslon Pro" w:cs="Arial"/>
          <w:b/>
          <w:szCs w:val="20"/>
        </w:rPr>
      </w:pPr>
    </w:p>
    <w:tbl>
      <w:tblPr>
        <w:tblpPr w:leftFromText="141" w:rightFromText="141" w:vertAnchor="text" w:tblpXSpec="center" w:tblpY="1"/>
        <w:tblOverlap w:val="never"/>
        <w:tblW w:w="9436" w:type="dxa"/>
        <w:jc w:val="center"/>
        <w:tblCellMar>
          <w:left w:w="70" w:type="dxa"/>
          <w:right w:w="70" w:type="dxa"/>
        </w:tblCellMar>
        <w:tblLook w:val="04A0"/>
      </w:tblPr>
      <w:tblGrid>
        <w:gridCol w:w="579"/>
        <w:gridCol w:w="420"/>
        <w:gridCol w:w="1955"/>
        <w:gridCol w:w="1311"/>
        <w:gridCol w:w="160"/>
        <w:gridCol w:w="237"/>
        <w:gridCol w:w="170"/>
        <w:gridCol w:w="141"/>
        <w:gridCol w:w="667"/>
        <w:gridCol w:w="1311"/>
        <w:gridCol w:w="14"/>
        <w:gridCol w:w="1160"/>
        <w:gridCol w:w="151"/>
        <w:gridCol w:w="1160"/>
      </w:tblGrid>
      <w:tr w:rsidR="00BC53A0" w:rsidRPr="00BE4199" w:rsidTr="00A56E05">
        <w:trPr>
          <w:trHeight w:val="420"/>
          <w:jc w:val="center"/>
        </w:trPr>
        <w:tc>
          <w:tcPr>
            <w:tcW w:w="5640" w:type="dxa"/>
            <w:gridSpan w:val="9"/>
            <w:tcBorders>
              <w:top w:val="single" w:sz="4" w:space="0" w:color="auto"/>
              <w:left w:val="single" w:sz="4" w:space="0" w:color="auto"/>
              <w:bottom w:val="single" w:sz="4" w:space="0" w:color="auto"/>
              <w:right w:val="nil"/>
            </w:tcBorders>
            <w:shd w:val="clear" w:color="000000" w:fill="C2D69A"/>
            <w:noWrap/>
            <w:vAlign w:val="center"/>
            <w:hideMark/>
          </w:tcPr>
          <w:p w:rsidR="00BC53A0" w:rsidRPr="00BE4199" w:rsidRDefault="00BC53A0"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BC53A0" w:rsidRDefault="00BC53A0"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Evaluación Estratégica de Consistencia y Resultados del Fondo de Aportaciones </w:t>
            </w:r>
            <w:r>
              <w:rPr>
                <w:rFonts w:ascii="Adobe Caslon Pro" w:hAnsi="Adobe Caslon Pro" w:cs="Calibri"/>
                <w:i/>
                <w:color w:val="000000"/>
                <w:sz w:val="20"/>
                <w:szCs w:val="20"/>
                <w:lang w:eastAsia="es-MX"/>
              </w:rPr>
              <w:t>para la Educación Básica y Normal (FAEB)</w:t>
            </w:r>
          </w:p>
          <w:p w:rsidR="00BC53A0" w:rsidRPr="00BE4199" w:rsidRDefault="00BC53A0" w:rsidP="00A56E05">
            <w:pPr>
              <w:rPr>
                <w:rFonts w:ascii="Adobe Caslon Pro" w:hAnsi="Adobe Caslon Pro" w:cs="Calibri"/>
                <w:i/>
                <w:color w:val="000000"/>
                <w:sz w:val="20"/>
                <w:szCs w:val="20"/>
                <w:lang w:eastAsia="es-MX"/>
              </w:rPr>
            </w:pP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2071AF" w:rsidRDefault="00BC53A0" w:rsidP="00A56E05">
            <w:pPr>
              <w:rPr>
                <w:rFonts w:ascii="Adobe Caslon Pro" w:hAnsi="Adobe Caslon Pro" w:cs="Calibri"/>
                <w:color w:val="000000"/>
                <w:sz w:val="20"/>
                <w:szCs w:val="20"/>
                <w:lang w:eastAsia="es-MX"/>
              </w:rPr>
            </w:pPr>
            <w:r w:rsidRPr="002071AF">
              <w:rPr>
                <w:rFonts w:ascii="Adobe Caslon Pro" w:hAnsi="Adobe Caslon Pro" w:cs="Calibri"/>
                <w:color w:val="000000"/>
                <w:sz w:val="20"/>
                <w:szCs w:val="20"/>
                <w:lang w:eastAsia="es-MX"/>
              </w:rPr>
              <w:t>1.2 Fecha de inicio de la evaluación (</w:t>
            </w:r>
            <w:proofErr w:type="spellStart"/>
            <w:r w:rsidRPr="002071AF">
              <w:rPr>
                <w:rFonts w:ascii="Adobe Caslon Pro" w:hAnsi="Adobe Caslon Pro" w:cs="Calibri"/>
                <w:color w:val="000000"/>
                <w:sz w:val="20"/>
                <w:szCs w:val="20"/>
                <w:lang w:eastAsia="es-MX"/>
              </w:rPr>
              <w:t>dd</w:t>
            </w:r>
            <w:proofErr w:type="spellEnd"/>
            <w:r w:rsidRPr="002071AF">
              <w:rPr>
                <w:rFonts w:ascii="Adobe Caslon Pro" w:hAnsi="Adobe Caslon Pro" w:cs="Calibri"/>
                <w:color w:val="000000"/>
                <w:sz w:val="20"/>
                <w:szCs w:val="20"/>
                <w:lang w:eastAsia="es-MX"/>
              </w:rPr>
              <w:t>/mm/</w:t>
            </w:r>
            <w:proofErr w:type="spellStart"/>
            <w:r w:rsidRPr="002071AF">
              <w:rPr>
                <w:rFonts w:ascii="Adobe Caslon Pro" w:hAnsi="Adobe Caslon Pro" w:cs="Calibri"/>
                <w:color w:val="000000"/>
                <w:sz w:val="20"/>
                <w:szCs w:val="20"/>
                <w:lang w:eastAsia="es-MX"/>
              </w:rPr>
              <w:t>aaaa</w:t>
            </w:r>
            <w:proofErr w:type="spellEnd"/>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15/06/2015</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2071AF" w:rsidRDefault="00BC53A0" w:rsidP="00A56E05">
            <w:pPr>
              <w:rPr>
                <w:rFonts w:ascii="Adobe Caslon Pro" w:hAnsi="Adobe Caslon Pro" w:cs="Calibri"/>
                <w:color w:val="000000"/>
                <w:sz w:val="20"/>
                <w:szCs w:val="20"/>
                <w:lang w:eastAsia="es-MX"/>
              </w:rPr>
            </w:pPr>
            <w:r w:rsidRPr="002071AF">
              <w:rPr>
                <w:rFonts w:ascii="Adobe Caslon Pro" w:hAnsi="Adobe Caslon Pro" w:cs="Calibri"/>
                <w:color w:val="000000"/>
                <w:sz w:val="20"/>
                <w:szCs w:val="20"/>
                <w:lang w:eastAsia="es-MX"/>
              </w:rPr>
              <w:t>1.3 Fecha de término de la evaluación (</w:t>
            </w:r>
            <w:proofErr w:type="spellStart"/>
            <w:r w:rsidRPr="002071AF">
              <w:rPr>
                <w:rFonts w:ascii="Adobe Caslon Pro" w:hAnsi="Adobe Caslon Pro" w:cs="Calibri"/>
                <w:color w:val="000000"/>
                <w:sz w:val="20"/>
                <w:szCs w:val="20"/>
                <w:lang w:eastAsia="es-MX"/>
              </w:rPr>
              <w:t>dd</w:t>
            </w:r>
            <w:proofErr w:type="spellEnd"/>
            <w:r w:rsidRPr="002071AF">
              <w:rPr>
                <w:rFonts w:ascii="Adobe Caslon Pro" w:hAnsi="Adobe Caslon Pro" w:cs="Calibri"/>
                <w:color w:val="000000"/>
                <w:sz w:val="20"/>
                <w:szCs w:val="20"/>
                <w:lang w:eastAsia="es-MX"/>
              </w:rPr>
              <w:t>/mm/</w:t>
            </w:r>
            <w:proofErr w:type="spellStart"/>
            <w:r w:rsidRPr="002071AF">
              <w:rPr>
                <w:rFonts w:ascii="Adobe Caslon Pro" w:hAnsi="Adobe Caslon Pro" w:cs="Calibri"/>
                <w:color w:val="000000"/>
                <w:sz w:val="20"/>
                <w:szCs w:val="20"/>
                <w:lang w:eastAsia="es-MX"/>
              </w:rPr>
              <w:t>aaaa</w:t>
            </w:r>
            <w:proofErr w:type="spellEnd"/>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15/04/2016</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BC53A0" w:rsidRPr="00BE4199"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BC53A0" w:rsidRDefault="00BC53A0"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BC53A0" w:rsidRPr="00BE4199" w:rsidRDefault="00BC53A0" w:rsidP="00A56E05">
            <w:pPr>
              <w:rPr>
                <w:rFonts w:ascii="Adobe Caslon Pro" w:hAnsi="Adobe Caslon Pro" w:cs="Calibri"/>
                <w:i/>
                <w:color w:val="000000"/>
                <w:sz w:val="20"/>
                <w:szCs w:val="20"/>
                <w:lang w:eastAsia="es-MX"/>
              </w:rPr>
            </w:pPr>
          </w:p>
        </w:tc>
        <w:tc>
          <w:tcPr>
            <w:tcW w:w="4774" w:type="dxa"/>
            <w:gridSpan w:val="8"/>
            <w:tcBorders>
              <w:top w:val="single" w:sz="4" w:space="0" w:color="auto"/>
              <w:left w:val="single" w:sz="4" w:space="0" w:color="auto"/>
              <w:bottom w:val="single" w:sz="4" w:space="0" w:color="auto"/>
              <w:right w:val="single" w:sz="4" w:space="0" w:color="000000"/>
            </w:tcBorders>
            <w:shd w:val="clear" w:color="auto" w:fill="auto"/>
            <w:vAlign w:val="center"/>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BC53A0" w:rsidRDefault="00BC53A0"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p w:rsidR="00BC53A0" w:rsidRPr="00BE4199" w:rsidRDefault="00BC53A0" w:rsidP="00A56E05">
            <w:pPr>
              <w:rPr>
                <w:rFonts w:ascii="Adobe Caslon Pro" w:hAnsi="Adobe Caslon Pro" w:cs="Calibri"/>
                <w:color w:val="000000"/>
                <w:sz w:val="20"/>
                <w:szCs w:val="20"/>
                <w:lang w:eastAsia="es-MX"/>
              </w:rPr>
            </w:pP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BC53A0" w:rsidRDefault="00BC53A0"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Coadyuvar en la Consolidación del Sistema de Evaluación del Desempeño en el Estado de Oaxaca, a través de identificar y analizar la consistencia y resultados del Fondo de Aportaciones </w:t>
            </w:r>
            <w:r>
              <w:rPr>
                <w:rFonts w:ascii="Adobe Caslon Pro" w:hAnsi="Adobe Caslon Pro" w:cs="Calibri"/>
                <w:i/>
                <w:color w:val="000000"/>
                <w:sz w:val="20"/>
                <w:szCs w:val="20"/>
                <w:lang w:eastAsia="es-MX"/>
              </w:rPr>
              <w:t>para la Educación Básica y Normal (</w:t>
            </w:r>
            <w:r w:rsidRPr="00F2106F">
              <w:rPr>
                <w:rFonts w:ascii="Adobe Caslon Pro" w:hAnsi="Adobe Caslon Pro" w:cs="Calibri"/>
                <w:i/>
                <w:color w:val="000000"/>
                <w:sz w:val="20"/>
                <w:szCs w:val="20"/>
                <w:lang w:eastAsia="es-MX"/>
              </w:rPr>
              <w:t>FAEB), en cuanto al Diseño de la Matriz de Indicadores, la Planeación Estratégica, Cobertura y Focalización, Operación, Percepción de la Población Objetivo, Resultados y Ejercicio de los Recursos, con el fin de que las recomendaciones de este análisis retroalimenten el diseño, la gestión, el desempeño y el ejercicio de los recursos, con base en indicadores</w:t>
            </w:r>
            <w:r w:rsidRPr="00F2106F">
              <w:t xml:space="preserve"> </w:t>
            </w:r>
            <w:r w:rsidRPr="00F2106F">
              <w:rPr>
                <w:rFonts w:ascii="Adobe Caslon Pro" w:hAnsi="Adobe Caslon Pro" w:cs="Calibri"/>
                <w:i/>
                <w:color w:val="000000"/>
                <w:sz w:val="20"/>
                <w:szCs w:val="20"/>
                <w:lang w:eastAsia="es-MX"/>
              </w:rPr>
              <w:t>estratégicos y de gestión para el cumplimiento de los objetivos para los que están destinados.</w:t>
            </w:r>
          </w:p>
          <w:p w:rsidR="00BC53A0" w:rsidRPr="00BE4199" w:rsidRDefault="00BC53A0" w:rsidP="00A56E05">
            <w:pPr>
              <w:jc w:val="both"/>
              <w:rPr>
                <w:rFonts w:ascii="Adobe Caslon Pro" w:hAnsi="Adobe Caslon Pro" w:cs="Calibri"/>
                <w:i/>
                <w:color w:val="000000"/>
                <w:sz w:val="20"/>
                <w:szCs w:val="20"/>
                <w:lang w:eastAsia="es-MX"/>
              </w:rPr>
            </w:pP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BC53A0" w:rsidRDefault="00BC53A0"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BC53A0" w:rsidRPr="00910FE0" w:rsidRDefault="00BC53A0"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Diseño. Es un proceso analítico global que se enfoca en identificar los objetivos del Fondo de Aportaciones, del programa presupuestario que opera con recursos federales o del programa presupuestario estatal evaluado, según sea el caso, para luego determinar la consistencia de su diseño y los resultados con tales objetivos.</w:t>
            </w:r>
          </w:p>
          <w:p w:rsidR="00BC53A0" w:rsidRPr="00910FE0" w:rsidRDefault="00BC53A0"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Planeación Estratégica. Implica analizar los instrumentos de planeación, y corroborar si tal planeación tiene una orientación para resultados.</w:t>
            </w:r>
          </w:p>
          <w:p w:rsidR="00BC53A0" w:rsidRPr="00910FE0" w:rsidRDefault="00BC53A0"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Cobertura y Focalización. Corresponde cuantificar y determinar la población potencial y la población objetivo que está siendo atendida.</w:t>
            </w:r>
          </w:p>
          <w:p w:rsidR="00BC53A0" w:rsidRPr="00910FE0" w:rsidRDefault="00BC53A0"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Operación. Analiza las principales actividades y procesos establecidos en la normatividad aplicable; la eficiencia, eficacia y economía operativa; y el cumplimiento y avance en los indicadores estratégicos y de gestión.</w:t>
            </w:r>
          </w:p>
          <w:p w:rsidR="00BC53A0" w:rsidRPr="00910FE0" w:rsidRDefault="00BC53A0"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Percepción de la Población. Analiza el grado de satisfacción de los beneficiarios de los bienes y servicios que se producen.</w:t>
            </w:r>
          </w:p>
          <w:p w:rsidR="00BC53A0" w:rsidRPr="00910FE0" w:rsidRDefault="00BC53A0"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Resultados. Analiza los resultados intermedios y de impacto alcanzados, en términos de mejora o solución del problema por el cual fue creado.</w:t>
            </w:r>
          </w:p>
          <w:p w:rsidR="00BC53A0" w:rsidRPr="00910FE0" w:rsidRDefault="00BC53A0"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p>
          <w:p w:rsidR="00BC53A0" w:rsidRPr="00682064" w:rsidRDefault="00BC53A0" w:rsidP="00A56E05">
            <w:pPr>
              <w:ind w:left="720"/>
              <w:jc w:val="both"/>
              <w:rPr>
                <w:rFonts w:ascii="Adobe Caslon Pro" w:hAnsi="Adobe Caslon Pro" w:cs="Calibri"/>
                <w:i/>
                <w:color w:val="000000"/>
                <w:sz w:val="20"/>
                <w:szCs w:val="20"/>
                <w:lang w:eastAsia="es-MX"/>
              </w:rPr>
            </w:pP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1.7 Metodología utilizada en la evaluación:</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BC53A0" w:rsidRPr="00BE4199" w:rsidTr="00A56E05">
        <w:trPr>
          <w:trHeight w:val="420"/>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BC53A0" w:rsidRPr="00863E8F" w:rsidRDefault="00BC53A0"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tc>
      </w:tr>
      <w:tr w:rsidR="00BC53A0" w:rsidRPr="00BE4199" w:rsidTr="00A56E05">
        <w:trPr>
          <w:trHeight w:val="599"/>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Descripción de las técnicas y modelos utilizados: </w:t>
            </w:r>
          </w:p>
          <w:p w:rsidR="00BC53A0" w:rsidRDefault="00BC53A0"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nes y el proceso presupuestario, los cuales se encuentran en los Términos de Referencia en la siguiente liga:</w:t>
            </w:r>
          </w:p>
          <w:p w:rsidR="00BC53A0" w:rsidRDefault="009B1A50" w:rsidP="00A56E05">
            <w:pPr>
              <w:jc w:val="both"/>
              <w:rPr>
                <w:rStyle w:val="Hipervnculo"/>
                <w:rFonts w:ascii="Adobe Caslon Pro" w:hAnsi="Adobe Caslon Pro" w:cs="Calibri"/>
                <w:i/>
                <w:sz w:val="20"/>
                <w:szCs w:val="20"/>
                <w:lang w:eastAsia="es-MX"/>
              </w:rPr>
            </w:pPr>
            <w:hyperlink r:id="rId187" w:history="1">
              <w:r w:rsidR="00BC53A0" w:rsidRPr="002630FA">
                <w:rPr>
                  <w:rStyle w:val="Hipervnculo"/>
                  <w:rFonts w:ascii="Adobe Caslon Pro" w:hAnsi="Adobe Caslon Pro" w:cs="Calibri"/>
                  <w:i/>
                  <w:sz w:val="20"/>
                  <w:szCs w:val="20"/>
                  <w:lang w:eastAsia="es-MX"/>
                </w:rPr>
                <w:t>http://www.jefaturadelagubernatura-evaluacion.oaxaca.gob.mx/index.php/pae-sidepanel/pae-2015</w:t>
              </w:r>
            </w:hyperlink>
          </w:p>
          <w:p w:rsidR="00BC53A0" w:rsidRDefault="00BC53A0" w:rsidP="00A56E05">
            <w:pPr>
              <w:jc w:val="both"/>
              <w:rPr>
                <w:rStyle w:val="Hipervnculo"/>
                <w:rFonts w:ascii="Adobe Caslon Pro" w:hAnsi="Adobe Caslon Pro" w:cs="Calibri"/>
                <w:i/>
                <w:sz w:val="20"/>
                <w:szCs w:val="20"/>
                <w:lang w:eastAsia="es-MX"/>
              </w:rPr>
            </w:pPr>
          </w:p>
          <w:p w:rsidR="00BC53A0" w:rsidRDefault="00BC53A0"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Base de datos de gabinete utilizados para el análisis:</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Ficha Técnica del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MIR del fondo Federal.</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MIR Estatal del fondo o de los programas presupuestarios financiados con 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Vinculación del Programa y/o Proyecto con el Plan Nacional de Desarrollo y Plan Estatal de Desarrollo</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 Secto</w:t>
            </w:r>
            <w:r>
              <w:rPr>
                <w:rFonts w:ascii="Adobe Caslon Pro" w:hAnsi="Adobe Caslon Pro" w:cs="Calibri"/>
                <w:i/>
                <w:color w:val="000000"/>
                <w:sz w:val="20"/>
                <w:szCs w:val="20"/>
                <w:lang w:eastAsia="es-MX"/>
              </w:rPr>
              <w:t>rial de Desarrollo.</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 Estratégico o Institucional de la Coordinadora y de las Dependencias responsables de operar 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Objetivos Estratégicos de la Coordinadora y de las Dependencias responsables del operar 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en donde se incluya el análisis del problema del fondo o de los programas presupuestarios financiados con 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Listado de indicadores.</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Ficha técnica d</w:t>
            </w:r>
            <w:r>
              <w:rPr>
                <w:rFonts w:ascii="Adobe Caslon Pro" w:hAnsi="Adobe Caslon Pro" w:cs="Calibri"/>
                <w:i/>
                <w:color w:val="000000"/>
                <w:sz w:val="20"/>
                <w:szCs w:val="20"/>
                <w:lang w:eastAsia="es-MX"/>
              </w:rPr>
              <w:t>e los indicadores.</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Programas federales y/o estatales con características similares (ficha técnica o link de información)</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el procedimiento a través del cual se administra y opera el fondo y los programas presupuestarios financiados por 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para la selección de beneficiarios</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para la selección de proyectos</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Padrón de beneficiarios y link de difusión</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Características socioeconómicas de los beneficiarios</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los procedimientos de actualizac</w:t>
            </w:r>
            <w:r>
              <w:rPr>
                <w:rFonts w:ascii="Adobe Caslon Pro" w:hAnsi="Adobe Caslon Pro" w:cs="Calibri"/>
                <w:i/>
                <w:color w:val="000000"/>
                <w:sz w:val="20"/>
                <w:szCs w:val="20"/>
                <w:lang w:eastAsia="es-MX"/>
              </w:rPr>
              <w:t>ión del padrón de beneficiarios.</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Cuantificar a la Población Potencial, objetivo, atendida</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Instrumento para medir la satisfacción del usuario y sus resultados</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Manual de planeac</w:t>
            </w:r>
            <w:r>
              <w:rPr>
                <w:rFonts w:ascii="Adobe Caslon Pro" w:hAnsi="Adobe Caslon Pro" w:cs="Calibri"/>
                <w:i/>
                <w:color w:val="000000"/>
                <w:sz w:val="20"/>
                <w:szCs w:val="20"/>
                <w:lang w:eastAsia="es-MX"/>
              </w:rPr>
              <w:t>ión, programación y presupuesto.</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Presupuesto aprobado, ejercido y no devengado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Avance físico-financiero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técnico que contenga los procesos de la entrega/recepción de componentes (actas de entrega- recepción)</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Cierre de ejercicio.</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Instrumentos de recuperación de Deuda relacionados con el cumplimiento de objetivos del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Calendario de transferencia de recursos para la operación del fondo (De la federación a la Entidad)</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Calendario de transferencia de recursos para la operación del fondo (De la Entidad a las ejecutoras)</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Reportes de Cuenta Pública</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Informe sobre la situación económica, las finanzas públicas y la deuda pública. Formato único sobre aplicaciones de recursos federales</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 de seguimiento y monitoreo financiero del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lastRenderedPageBreak/>
              <w:t>Formato de resultados del PASH.</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los sistemas de información que se utilizan en la gestión del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Costos de Operación del fondo.</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de Procedimientos para medir costo-efectividad en la ejecución del fondo.</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de resultados de la medición costo-efectividad del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Estructura organizacional de la dependencia, que incluya las áreas operativas relacionadas con 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Manual organizacional de la dependencia, que incluya las responsabilidades y funciones asociadas con 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del Sistema de Evaluación del Desempeño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 del avance de gestión y resultados (reporte de indicadores de la MIR)</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Reporte de Evaluación del fondo.</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ocupado para la evaluación del fondo (</w:t>
            </w:r>
            <w:proofErr w:type="spellStart"/>
            <w:r w:rsidRPr="00D2150C">
              <w:rPr>
                <w:rFonts w:ascii="Adobe Caslon Pro" w:hAnsi="Adobe Caslon Pro" w:cs="Calibri"/>
                <w:i/>
                <w:color w:val="000000"/>
                <w:sz w:val="20"/>
                <w:szCs w:val="20"/>
                <w:lang w:eastAsia="es-MX"/>
              </w:rPr>
              <w:t>TdR's</w:t>
            </w:r>
            <w:proofErr w:type="spellEnd"/>
            <w:r w:rsidRPr="00D2150C">
              <w:rPr>
                <w:rFonts w:ascii="Adobe Caslon Pro" w:hAnsi="Adobe Caslon Pro" w:cs="Calibri"/>
                <w:i/>
                <w:color w:val="000000"/>
                <w:sz w:val="20"/>
                <w:szCs w:val="20"/>
                <w:lang w:eastAsia="es-MX"/>
              </w:rPr>
              <w:t>)</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Planes de mejora asociados a la evaluación del fondo</w:t>
            </w:r>
            <w:r>
              <w:rPr>
                <w:rFonts w:ascii="Adobe Caslon Pro" w:hAnsi="Adobe Caslon Pro" w:cs="Calibri"/>
                <w:i/>
                <w:color w:val="000000"/>
                <w:sz w:val="20"/>
                <w:szCs w:val="20"/>
                <w:lang w:eastAsia="es-MX"/>
              </w:rPr>
              <w:t>.</w:t>
            </w:r>
          </w:p>
          <w:p w:rsidR="00BC53A0" w:rsidRPr="00D2150C"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del Sistema de Rendición de Cuentas y Transparencia para los funcionarios que administran el fondo</w:t>
            </w:r>
            <w:r>
              <w:rPr>
                <w:rFonts w:ascii="Adobe Caslon Pro" w:hAnsi="Adobe Caslon Pro" w:cs="Calibri"/>
                <w:i/>
                <w:color w:val="000000"/>
                <w:sz w:val="20"/>
                <w:szCs w:val="20"/>
                <w:lang w:eastAsia="es-MX"/>
              </w:rPr>
              <w:t>.</w:t>
            </w:r>
          </w:p>
          <w:p w:rsidR="00BC53A0" w:rsidRDefault="00BC53A0"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Páginas Web de Transparencia y/o gaceta oficial en donde se transparente la operación del fondo</w:t>
            </w:r>
            <w:r>
              <w:rPr>
                <w:rFonts w:ascii="Adobe Caslon Pro" w:hAnsi="Adobe Caslon Pro" w:cs="Calibri"/>
                <w:i/>
                <w:color w:val="000000"/>
                <w:sz w:val="20"/>
                <w:szCs w:val="20"/>
                <w:lang w:eastAsia="es-MX"/>
              </w:rPr>
              <w:t xml:space="preserve"> </w:t>
            </w:r>
            <w:r w:rsidRPr="00D2150C">
              <w:rPr>
                <w:rFonts w:ascii="Adobe Caslon Pro" w:hAnsi="Adobe Caslon Pro" w:cs="Calibri"/>
                <w:i/>
                <w:color w:val="000000"/>
                <w:sz w:val="20"/>
                <w:szCs w:val="20"/>
                <w:lang w:eastAsia="es-MX"/>
              </w:rPr>
              <w:t>(financiera, operativa, percepción de la población, evaluación)</w:t>
            </w:r>
            <w:r>
              <w:rPr>
                <w:rFonts w:ascii="Adobe Caslon Pro" w:hAnsi="Adobe Caslon Pro" w:cs="Calibri"/>
                <w:i/>
                <w:color w:val="000000"/>
                <w:sz w:val="20"/>
                <w:szCs w:val="20"/>
                <w:lang w:eastAsia="es-MX"/>
              </w:rPr>
              <w:t>.</w:t>
            </w:r>
          </w:p>
          <w:p w:rsidR="00BC53A0" w:rsidRPr="000D1A21" w:rsidRDefault="00BC53A0" w:rsidP="00A56E05">
            <w:pPr>
              <w:ind w:left="720"/>
              <w:rPr>
                <w:rFonts w:ascii="Adobe Caslon Pro" w:hAnsi="Adobe Caslon Pro" w:cs="Calibri"/>
                <w:i/>
                <w:color w:val="000000"/>
                <w:sz w:val="20"/>
                <w:szCs w:val="20"/>
                <w:lang w:eastAsia="es-MX"/>
              </w:rPr>
            </w:pPr>
          </w:p>
        </w:tc>
      </w:tr>
      <w:tr w:rsidR="00BC53A0" w:rsidRPr="00BE4199" w:rsidTr="00A56E05">
        <w:trPr>
          <w:trHeight w:val="58"/>
          <w:jc w:val="center"/>
        </w:trPr>
        <w:tc>
          <w:tcPr>
            <w:tcW w:w="999" w:type="dxa"/>
            <w:gridSpan w:val="2"/>
            <w:tcBorders>
              <w:top w:val="single" w:sz="4" w:space="0" w:color="auto"/>
              <w:bottom w:val="single" w:sz="4" w:space="0" w:color="auto"/>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 </w:t>
            </w:r>
          </w:p>
        </w:tc>
        <w:tc>
          <w:tcPr>
            <w:tcW w:w="8437" w:type="dxa"/>
            <w:gridSpan w:val="12"/>
            <w:tcBorders>
              <w:top w:val="single" w:sz="4" w:space="0" w:color="auto"/>
              <w:bottom w:val="single" w:sz="4" w:space="0" w:color="auto"/>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r>
      <w:tr w:rsidR="00BC53A0" w:rsidRPr="00BE4199" w:rsidTr="00A56E05">
        <w:trPr>
          <w:trHeight w:val="420"/>
          <w:jc w:val="center"/>
        </w:trPr>
        <w:tc>
          <w:tcPr>
            <w:tcW w:w="8125" w:type="dxa"/>
            <w:gridSpan w:val="12"/>
            <w:tcBorders>
              <w:top w:val="single" w:sz="4" w:space="0" w:color="auto"/>
              <w:left w:val="single" w:sz="4" w:space="0" w:color="auto"/>
              <w:bottom w:val="single" w:sz="4" w:space="0" w:color="auto"/>
              <w:right w:val="nil"/>
            </w:tcBorders>
            <w:shd w:val="clear" w:color="000000" w:fill="C2D69A"/>
            <w:noWrap/>
            <w:vAlign w:val="center"/>
            <w:hideMark/>
          </w:tcPr>
          <w:p w:rsidR="00BC53A0" w:rsidRPr="00BE4199" w:rsidRDefault="00BC53A0"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BC53A0" w:rsidRPr="00BE4199" w:rsidTr="00A56E05">
        <w:trPr>
          <w:trHeight w:val="461"/>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BC53A0"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2.1 Describir los hallazgos más relevantes de la evaluación: </w:t>
            </w:r>
          </w:p>
          <w:p w:rsidR="00BC53A0" w:rsidRPr="00175A53" w:rsidRDefault="00BC53A0" w:rsidP="00A56E05">
            <w:pPr>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DISEÑO</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 xml:space="preserve">Los objetivos Estratégicos del Plan </w:t>
            </w:r>
            <w:r>
              <w:rPr>
                <w:rFonts w:ascii="Adobe Caslon Pro" w:hAnsi="Adobe Caslon Pro" w:cs="Calibri"/>
                <w:i/>
                <w:color w:val="000000"/>
                <w:sz w:val="20"/>
                <w:szCs w:val="20"/>
                <w:lang w:eastAsia="es-MX"/>
              </w:rPr>
              <w:t>Estatal de Desarrollo</w:t>
            </w:r>
            <w:r w:rsidRPr="00175A53">
              <w:rPr>
                <w:rFonts w:ascii="Adobe Caslon Pro" w:hAnsi="Adobe Caslon Pro" w:cs="Calibri"/>
                <w:i/>
                <w:color w:val="000000"/>
                <w:sz w:val="20"/>
                <w:szCs w:val="20"/>
                <w:lang w:eastAsia="es-MX"/>
              </w:rPr>
              <w:t xml:space="preserve"> y del Plan Nacional Desarrollo tienen una vinculación lógica a los objetivos del Fondo.</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Se tiene una selección de beneficiarios que sí cumple con los criterios de elegibilidad y requisitos establecidos en la normatividad aplicable.</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Los Indicadores de los Niveles de Desempeño carecen de línea base.</w:t>
            </w:r>
          </w:p>
          <w:p w:rsidR="00BC53A0" w:rsidRPr="00175A53" w:rsidRDefault="00BC53A0" w:rsidP="00F075EB">
            <w:pPr>
              <w:numPr>
                <w:ilvl w:val="0"/>
                <w:numId w:val="12"/>
              </w:numPr>
              <w:jc w:val="both"/>
              <w:rPr>
                <w:rFonts w:ascii="Adobe Caslon Pro" w:hAnsi="Adobe Caslon Pro" w:cs="Calibri"/>
                <w:color w:val="000000"/>
                <w:sz w:val="20"/>
                <w:szCs w:val="20"/>
                <w:lang w:eastAsia="es-MX"/>
              </w:rPr>
            </w:pPr>
            <w:r w:rsidRPr="00175A53">
              <w:rPr>
                <w:rFonts w:ascii="Adobe Caslon Pro" w:hAnsi="Adobe Caslon Pro" w:cs="Calibri"/>
                <w:i/>
                <w:color w:val="000000"/>
                <w:sz w:val="20"/>
                <w:szCs w:val="20"/>
                <w:lang w:eastAsia="es-MX"/>
              </w:rPr>
              <w:t>Se valida la lógica horizontal y vertical, ya que los objetivos (Fin, Propósito, Componente y Actividad), Indicadores, Medios de Verificación y Supuestos muestran una relación lógica causal.</w:t>
            </w:r>
          </w:p>
          <w:p w:rsidR="00BC53A0" w:rsidRPr="00175A53" w:rsidRDefault="00BC53A0" w:rsidP="00A56E05">
            <w:pPr>
              <w:ind w:left="720"/>
              <w:jc w:val="both"/>
              <w:rPr>
                <w:rFonts w:ascii="Adobe Caslon Pro" w:hAnsi="Adobe Caslon Pro" w:cs="Calibri"/>
                <w:color w:val="000000"/>
                <w:sz w:val="20"/>
                <w:szCs w:val="20"/>
                <w:lang w:eastAsia="es-MX"/>
              </w:rPr>
            </w:pPr>
          </w:p>
          <w:p w:rsidR="00BC53A0" w:rsidRPr="00175A53" w:rsidRDefault="00BC53A0" w:rsidP="00A56E05">
            <w:p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PLANEACIÓN ESTRATÉGICA</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En los planes se establecen con claridad los Objetivos Estratégicos que se busca alcanzar.</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Se cuenta con información oportuna y veraz que permite monitorear su desempeño.</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Se tienen Indicadores de Desempeño con metas pertinentes y plazos específicos.</w:t>
            </w:r>
          </w:p>
          <w:p w:rsidR="00BC53A0" w:rsidRPr="00175A53" w:rsidRDefault="00BC53A0" w:rsidP="00F075EB">
            <w:pPr>
              <w:numPr>
                <w:ilvl w:val="0"/>
                <w:numId w:val="12"/>
              </w:numPr>
              <w:jc w:val="both"/>
              <w:rPr>
                <w:rFonts w:ascii="Adobe Caslon Pro" w:hAnsi="Adobe Caslon Pro" w:cs="Calibri"/>
                <w:color w:val="000000"/>
                <w:sz w:val="20"/>
                <w:szCs w:val="20"/>
                <w:lang w:eastAsia="es-MX"/>
              </w:rPr>
            </w:pPr>
            <w:r w:rsidRPr="00175A53">
              <w:rPr>
                <w:rFonts w:ascii="Adobe Caslon Pro" w:hAnsi="Adobe Caslon Pro" w:cs="Calibri"/>
                <w:i/>
                <w:color w:val="000000"/>
                <w:sz w:val="20"/>
                <w:szCs w:val="20"/>
                <w:lang w:eastAsia="es-MX"/>
              </w:rPr>
              <w:t>El presupuesto está ligado al cumplimiento de las metas de desempeño.</w:t>
            </w:r>
          </w:p>
          <w:p w:rsidR="00BC53A0" w:rsidRPr="00175A53" w:rsidRDefault="00BC53A0" w:rsidP="00A56E05">
            <w:pPr>
              <w:jc w:val="both"/>
              <w:rPr>
                <w:rFonts w:ascii="Adobe Caslon Pro" w:hAnsi="Adobe Caslon Pro" w:cs="Calibri"/>
                <w:i/>
                <w:color w:val="000000"/>
                <w:sz w:val="20"/>
                <w:szCs w:val="20"/>
                <w:lang w:eastAsia="es-MX"/>
              </w:rPr>
            </w:pPr>
          </w:p>
          <w:p w:rsidR="00BC53A0" w:rsidRPr="00175A53" w:rsidRDefault="00BC53A0" w:rsidP="00A56E05">
            <w:p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COBERTURA Y FOCALIZACIÓN</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No se encontró evidencia del Método para cuantificar la Población Objetivo, Población Potencial y Población Atendida.</w:t>
            </w:r>
          </w:p>
          <w:p w:rsidR="00BC53A0" w:rsidRPr="00BA7533" w:rsidRDefault="00BC53A0" w:rsidP="00A56E05">
            <w:pPr>
              <w:ind w:left="720"/>
              <w:jc w:val="both"/>
              <w:rPr>
                <w:rFonts w:ascii="Adobe Caslon Pro" w:hAnsi="Adobe Caslon Pro" w:cs="Calibri"/>
                <w:i/>
                <w:color w:val="000000"/>
                <w:sz w:val="20"/>
                <w:szCs w:val="20"/>
                <w:highlight w:val="green"/>
                <w:lang w:eastAsia="es-MX"/>
              </w:rPr>
            </w:pPr>
          </w:p>
          <w:p w:rsidR="00BC53A0" w:rsidRPr="00175A53" w:rsidRDefault="00BC53A0" w:rsidP="00A56E05">
            <w:p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OPERACIÓN</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Existen procedimientos estandarizados y criterios de elegibilidad para la selección de beneficiarios.</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Se cumple con los procedimientos de ejecución establecidos en la normatividad.</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Se cuenta con un Sistema de Rendición de Cuentas y Transparencia para los funcionarios de la administración del Fondo.</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Existe una integración entre los distintos sistemas de información que conforman la administración financiera.</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Cuenta con Indicadores de Eficacia de los niveles de desempeño Fin, Propósito, Componente y Actividad.</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lastRenderedPageBreak/>
              <w:t>No se han identificado y cuantificado costos de operación y costos unitarios del Propósito y Componente.</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No cuentan con procedimientos para medir el costo-efectividad en la ejecución.</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No cuentan con Indicadores de eficiencia de los niveles de desempeño Fin, Propósito, Componente y Actividad.</w:t>
            </w:r>
          </w:p>
          <w:p w:rsidR="00BC53A0" w:rsidRPr="00175A53" w:rsidRDefault="00BC53A0" w:rsidP="00A56E05">
            <w:pPr>
              <w:jc w:val="both"/>
              <w:rPr>
                <w:rFonts w:ascii="Adobe Caslon Pro" w:hAnsi="Adobe Caslon Pro" w:cs="Calibri"/>
                <w:i/>
                <w:color w:val="000000"/>
                <w:sz w:val="20"/>
                <w:szCs w:val="20"/>
                <w:lang w:eastAsia="es-MX"/>
              </w:rPr>
            </w:pPr>
          </w:p>
          <w:p w:rsidR="00BC53A0" w:rsidRPr="00175A53" w:rsidRDefault="00BC53A0" w:rsidP="00A56E05">
            <w:p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PERCEPCIÓN DE LA POBLACIÓN OBJETIVO</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No se cuenta con mecanismos que puedan medir el grado de satisfacción de la Población Objetivo.</w:t>
            </w:r>
          </w:p>
          <w:p w:rsidR="00BC53A0" w:rsidRPr="00175A53" w:rsidRDefault="00BC53A0" w:rsidP="00A56E05">
            <w:pPr>
              <w:jc w:val="both"/>
              <w:rPr>
                <w:rFonts w:ascii="Adobe Caslon Pro" w:hAnsi="Adobe Caslon Pro" w:cs="Calibri"/>
                <w:i/>
                <w:color w:val="000000"/>
                <w:sz w:val="20"/>
                <w:szCs w:val="20"/>
                <w:lang w:eastAsia="es-MX"/>
              </w:rPr>
            </w:pPr>
          </w:p>
          <w:p w:rsidR="00BC53A0" w:rsidRPr="00175A53" w:rsidRDefault="00BC53A0" w:rsidP="00A56E05">
            <w:p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RESULTADOS</w:t>
            </w:r>
          </w:p>
          <w:p w:rsidR="00BC53A0" w:rsidRPr="00175A53" w:rsidRDefault="00BC53A0" w:rsidP="00F075EB">
            <w:pPr>
              <w:numPr>
                <w:ilvl w:val="0"/>
                <w:numId w:val="12"/>
              </w:numPr>
              <w:jc w:val="both"/>
              <w:rPr>
                <w:rFonts w:ascii="Adobe Caslon Pro" w:hAnsi="Adobe Caslon Pro" w:cs="Calibri"/>
                <w:i/>
                <w:color w:val="000000"/>
                <w:sz w:val="20"/>
                <w:szCs w:val="20"/>
                <w:lang w:eastAsia="es-MX"/>
              </w:rPr>
            </w:pPr>
            <w:r w:rsidRPr="00175A53">
              <w:rPr>
                <w:rFonts w:ascii="Adobe Caslon Pro" w:hAnsi="Adobe Caslon Pro" w:cs="Calibri"/>
                <w:i/>
                <w:color w:val="000000"/>
                <w:sz w:val="20"/>
                <w:szCs w:val="20"/>
                <w:lang w:eastAsia="es-MX"/>
              </w:rPr>
              <w:t>Se recolecta información trimestralmente, y se presentan los reportes sobre la Situación Económica, las Finanzas Públicas y la Deuda Pública en el Portal Aplicativo de la Secretaría de Hacienda (PASH), así como el avance en la Ficha Técnica de Indicadores y la Matriz de Indicadores para Resultados (MIR) del Fondo utilizada por el Estado de Oaxaca.</w:t>
            </w:r>
          </w:p>
          <w:p w:rsidR="00BC53A0" w:rsidRPr="00BE4199" w:rsidRDefault="00BC53A0" w:rsidP="00A56E05">
            <w:pPr>
              <w:jc w:val="both"/>
              <w:rPr>
                <w:rFonts w:ascii="Adobe Caslon Pro" w:hAnsi="Adobe Caslon Pro" w:cs="Calibri"/>
                <w:color w:val="000000"/>
                <w:sz w:val="20"/>
                <w:szCs w:val="20"/>
                <w:lang w:eastAsia="es-MX"/>
              </w:rPr>
            </w:pPr>
          </w:p>
        </w:tc>
      </w:tr>
      <w:tr w:rsidR="00BC53A0" w:rsidRPr="00BE4199" w:rsidTr="00A56E05">
        <w:trPr>
          <w:trHeight w:val="420"/>
          <w:jc w:val="center"/>
        </w:trPr>
        <w:tc>
          <w:tcPr>
            <w:tcW w:w="9436" w:type="dxa"/>
            <w:gridSpan w:val="14"/>
            <w:vMerge w:val="restart"/>
            <w:tcBorders>
              <w:top w:val="single" w:sz="4" w:space="0" w:color="auto"/>
              <w:left w:val="single" w:sz="4" w:space="0" w:color="auto"/>
              <w:bottom w:val="nil"/>
              <w:right w:val="single" w:sz="4" w:space="0" w:color="000000"/>
            </w:tcBorders>
            <w:shd w:val="clear" w:color="auto" w:fill="auto"/>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2.2 Señalar cuáles son las principales Fortalezas, Oportunidades, Debilidades y Amenazas (FODA), de acuerdo con los temas del programa, estrategia o instituciones.</w:t>
            </w:r>
          </w:p>
        </w:tc>
      </w:tr>
      <w:tr w:rsidR="00BC53A0" w:rsidRPr="00BE4199" w:rsidTr="00A56E05">
        <w:trPr>
          <w:trHeight w:val="340"/>
          <w:jc w:val="center"/>
        </w:trPr>
        <w:tc>
          <w:tcPr>
            <w:tcW w:w="9436" w:type="dxa"/>
            <w:gridSpan w:val="14"/>
            <w:vMerge/>
            <w:tcBorders>
              <w:top w:val="single" w:sz="4" w:space="0" w:color="auto"/>
              <w:left w:val="single" w:sz="4" w:space="0" w:color="auto"/>
              <w:bottom w:val="nil"/>
              <w:right w:val="single" w:sz="4" w:space="0" w:color="000000"/>
            </w:tcBorders>
            <w:vAlign w:val="center"/>
            <w:hideMark/>
          </w:tcPr>
          <w:p w:rsidR="00BC53A0" w:rsidRPr="00BE4199" w:rsidRDefault="00BC53A0" w:rsidP="00A56E05">
            <w:pPr>
              <w:rPr>
                <w:rFonts w:ascii="Adobe Caslon Pro" w:hAnsi="Adobe Caslon Pro" w:cs="Calibri"/>
                <w:color w:val="000000"/>
                <w:sz w:val="20"/>
                <w:szCs w:val="20"/>
                <w:lang w:eastAsia="es-MX"/>
              </w:rPr>
            </w:pP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BC53A0" w:rsidRPr="00E71100" w:rsidRDefault="00BC53A0" w:rsidP="00A56E05">
            <w:pPr>
              <w:jc w:val="both"/>
              <w:rPr>
                <w:rFonts w:ascii="Adobe Caslon Pro" w:hAnsi="Adobe Caslon Pro" w:cs="Calibri"/>
                <w:i/>
                <w:color w:val="000000"/>
                <w:sz w:val="20"/>
                <w:szCs w:val="20"/>
                <w:lang w:eastAsia="es-MX"/>
              </w:rPr>
            </w:pPr>
            <w:r w:rsidRPr="00E71100">
              <w:rPr>
                <w:rFonts w:ascii="Adobe Caslon Pro" w:hAnsi="Adobe Caslon Pro" w:cs="Calibri"/>
                <w:i/>
                <w:color w:val="000000"/>
                <w:sz w:val="20"/>
                <w:szCs w:val="20"/>
                <w:lang w:eastAsia="es-MX"/>
              </w:rPr>
              <w:t>2.2.1 Fortalezas:</w:t>
            </w:r>
          </w:p>
          <w:p w:rsidR="00BC53A0" w:rsidRPr="00A3095B" w:rsidRDefault="00BC53A0" w:rsidP="00A56E05">
            <w:p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DISEÑO</w:t>
            </w:r>
          </w:p>
          <w:p w:rsidR="00BC53A0" w:rsidRPr="00A3095B" w:rsidRDefault="00BC53A0" w:rsidP="00F075EB">
            <w:pPr>
              <w:numPr>
                <w:ilvl w:val="0"/>
                <w:numId w:val="12"/>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Los objetivos Estratégicos del Plan de Desarrollo Estatal y del Plan Nacional Desarrollo tienen una vinculación lógica a los objetivos del Fondo.</w:t>
            </w:r>
          </w:p>
          <w:p w:rsidR="00BC53A0" w:rsidRPr="00A3095B" w:rsidRDefault="00BC53A0" w:rsidP="00F075EB">
            <w:pPr>
              <w:numPr>
                <w:ilvl w:val="0"/>
                <w:numId w:val="12"/>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La Lógica Vertical y Horizontal se valida en su totalidad.</w:t>
            </w:r>
          </w:p>
          <w:p w:rsidR="00BC53A0" w:rsidRPr="00A3095B" w:rsidRDefault="00BC53A0" w:rsidP="00F075EB">
            <w:pPr>
              <w:numPr>
                <w:ilvl w:val="0"/>
                <w:numId w:val="12"/>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Existe una congruencia entre la normatividad aplicable y su lógica interna.</w:t>
            </w:r>
          </w:p>
          <w:p w:rsidR="00BC53A0" w:rsidRPr="00A3095B" w:rsidRDefault="00BC53A0" w:rsidP="00F075EB">
            <w:pPr>
              <w:numPr>
                <w:ilvl w:val="0"/>
                <w:numId w:val="12"/>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Se tiene una selección de beneficiarios que sí cumple con los criterios de elegibilidad y requisitos establecidos en la normatividad aplicable.</w:t>
            </w:r>
          </w:p>
          <w:p w:rsidR="00BC53A0" w:rsidRPr="00A3095B" w:rsidRDefault="00BC53A0" w:rsidP="00A56E05">
            <w:pPr>
              <w:ind w:left="720"/>
              <w:jc w:val="both"/>
              <w:rPr>
                <w:rFonts w:ascii="Adobe Caslon Pro" w:hAnsi="Adobe Caslon Pro" w:cs="Calibri"/>
                <w:i/>
                <w:color w:val="000000"/>
                <w:sz w:val="20"/>
                <w:szCs w:val="20"/>
                <w:lang w:eastAsia="es-MX"/>
              </w:rPr>
            </w:pPr>
          </w:p>
          <w:p w:rsidR="00BC53A0" w:rsidRPr="00A3095B" w:rsidRDefault="00BC53A0" w:rsidP="00A56E05">
            <w:p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PLANEACIÓN ESTRATÉGICA</w:t>
            </w:r>
          </w:p>
          <w:p w:rsidR="00BC53A0" w:rsidRPr="00A3095B" w:rsidRDefault="00BC53A0" w:rsidP="00F075EB">
            <w:pPr>
              <w:numPr>
                <w:ilvl w:val="0"/>
                <w:numId w:val="77"/>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En los planes se establecen con claridad los Objetivos Estratégicos que se busca alcanzar.</w:t>
            </w:r>
          </w:p>
          <w:p w:rsidR="00BC53A0" w:rsidRPr="00A3095B" w:rsidRDefault="00BC53A0" w:rsidP="00F075EB">
            <w:pPr>
              <w:numPr>
                <w:ilvl w:val="0"/>
                <w:numId w:val="77"/>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Se cuenta con información oportuna y veraz que permite monitorear su desempeño.</w:t>
            </w:r>
          </w:p>
          <w:p w:rsidR="00BC53A0" w:rsidRPr="00A3095B" w:rsidRDefault="00BC53A0" w:rsidP="00F075EB">
            <w:pPr>
              <w:numPr>
                <w:ilvl w:val="0"/>
                <w:numId w:val="77"/>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Se tienen Indicadores de Desempeño con metas pertinentes y plazos específicos.</w:t>
            </w:r>
          </w:p>
          <w:p w:rsidR="00BC53A0" w:rsidRPr="00A3095B" w:rsidRDefault="00BC53A0" w:rsidP="00F075EB">
            <w:pPr>
              <w:numPr>
                <w:ilvl w:val="0"/>
                <w:numId w:val="77"/>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 xml:space="preserve">El presupuesto está ligado al cumplimiento de las metas y los programas Estatales con los cuales el Estado de Oaxaca ejerce el recurso. </w:t>
            </w:r>
          </w:p>
          <w:p w:rsidR="00BC53A0" w:rsidRPr="00A3095B" w:rsidRDefault="00BC53A0" w:rsidP="00A56E05">
            <w:pPr>
              <w:ind w:left="360"/>
              <w:jc w:val="both"/>
              <w:rPr>
                <w:rFonts w:ascii="Adobe Caslon Pro" w:hAnsi="Adobe Caslon Pro" w:cs="Calibri"/>
                <w:i/>
                <w:color w:val="000000"/>
                <w:sz w:val="20"/>
                <w:szCs w:val="20"/>
                <w:lang w:eastAsia="es-MX"/>
              </w:rPr>
            </w:pPr>
          </w:p>
          <w:p w:rsidR="00BC53A0" w:rsidRPr="00A3095B" w:rsidRDefault="00BC53A0" w:rsidP="00A56E05">
            <w:p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COBERTURA Y FOCALIZACIÓN</w:t>
            </w:r>
          </w:p>
          <w:p w:rsidR="00BC53A0" w:rsidRPr="00A3095B" w:rsidRDefault="00BC53A0" w:rsidP="00F075EB">
            <w:pPr>
              <w:numPr>
                <w:ilvl w:val="0"/>
                <w:numId w:val="78"/>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No se cuenta con información que trate de la Población Atendida y por lo tanto, no se puede obtener la Cobertura y su Eficiencia respecto al Fondo.</w:t>
            </w:r>
          </w:p>
          <w:p w:rsidR="00BC53A0" w:rsidRPr="00A3095B" w:rsidRDefault="00BC53A0" w:rsidP="00F075EB">
            <w:pPr>
              <w:numPr>
                <w:ilvl w:val="0"/>
                <w:numId w:val="78"/>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Identificar la Población Atendida por el Fondo.</w:t>
            </w:r>
          </w:p>
          <w:p w:rsidR="00BC53A0" w:rsidRPr="00A3095B" w:rsidRDefault="00BC53A0" w:rsidP="00A56E05">
            <w:pPr>
              <w:ind w:left="72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 xml:space="preserve"> </w:t>
            </w:r>
          </w:p>
          <w:p w:rsidR="00BC53A0" w:rsidRPr="00A3095B" w:rsidRDefault="00BC53A0" w:rsidP="00A56E05">
            <w:p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OPERACIÓN</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Existen procedimientos estandarizados y criterios de elegibilidad para la selección de beneficiarios.</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Se cumple con los procedimientos de ejecución establecidos en la normatividad.</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Se cuenta con una estructura organizacional que permite producir el Componente y cumplir con el Propósito.</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Existe una relación de colaboración y coordinación efectiva entre el Fondo y los demás programas con los que existe una sinergia.</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Los mecanismos de transferencias de los recursos operan eficaz y eficientemente.</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Existen mecanismos de actualización y depuración del padrón de beneficiarios.</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 xml:space="preserve">Tiene un sistema de Rendición de Cuentas y Transparencias para los funcionarios de la administración </w:t>
            </w:r>
            <w:r w:rsidRPr="00A3095B">
              <w:rPr>
                <w:rFonts w:ascii="Adobe Caslon Pro" w:hAnsi="Adobe Caslon Pro" w:cs="Calibri"/>
                <w:i/>
                <w:color w:val="000000"/>
                <w:sz w:val="20"/>
                <w:szCs w:val="20"/>
                <w:lang w:eastAsia="es-MX"/>
              </w:rPr>
              <w:lastRenderedPageBreak/>
              <w:t>del Fondo.</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Existe una integración entre los distintos sistemas de información que conforman la administración financiera.</w:t>
            </w:r>
          </w:p>
          <w:p w:rsidR="00BC53A0" w:rsidRPr="00A3095B" w:rsidRDefault="00BC53A0" w:rsidP="00A56E05">
            <w:pPr>
              <w:jc w:val="both"/>
              <w:rPr>
                <w:rFonts w:ascii="Adobe Caslon Pro" w:hAnsi="Adobe Caslon Pro" w:cs="Calibri"/>
                <w:i/>
                <w:color w:val="000000"/>
                <w:sz w:val="20"/>
                <w:szCs w:val="20"/>
                <w:lang w:eastAsia="es-MX"/>
              </w:rPr>
            </w:pPr>
          </w:p>
          <w:p w:rsidR="00BC53A0" w:rsidRPr="00A3095B" w:rsidRDefault="00BC53A0" w:rsidP="00A56E05">
            <w:p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RESULTADOS</w:t>
            </w:r>
          </w:p>
          <w:p w:rsidR="00BC53A0" w:rsidRPr="00A3095B" w:rsidRDefault="00BC53A0" w:rsidP="00F075EB">
            <w:pPr>
              <w:numPr>
                <w:ilvl w:val="0"/>
                <w:numId w:val="79"/>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Se recolecta información trimestralmente, y se presentan los reportes sobre la Situación Económica, las Finanzas Públicas y la Deuda Pública en el Portal aplicativo de la Secretaría de Hacienda PASH, así como el avance en la Ficha Técnica de Indicadores y la Matriz de Indicadores para Resultados MIR del Fondo utilizada por Estado de Oaxaca.</w:t>
            </w:r>
          </w:p>
          <w:p w:rsidR="00BC53A0" w:rsidRPr="00085408" w:rsidRDefault="00BC53A0" w:rsidP="00A56E05">
            <w:pPr>
              <w:jc w:val="both"/>
              <w:rPr>
                <w:rFonts w:ascii="Adobe Caslon Pro" w:hAnsi="Adobe Caslon Pro" w:cs="Calibri"/>
                <w:i/>
                <w:color w:val="000000"/>
                <w:sz w:val="20"/>
                <w:szCs w:val="20"/>
                <w:lang w:eastAsia="es-MX"/>
              </w:rPr>
            </w:pP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BC53A0" w:rsidRPr="00BE4199" w:rsidRDefault="00BC53A0"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BC53A0" w:rsidRDefault="00BC53A0" w:rsidP="00A56E05">
            <w:pPr>
              <w:rPr>
                <w:rFonts w:ascii="Adobe Caslon Pro" w:hAnsi="Adobe Caslon Pro" w:cs="Calibri"/>
                <w:color w:val="000000"/>
                <w:sz w:val="20"/>
                <w:szCs w:val="20"/>
                <w:lang w:eastAsia="es-MX"/>
              </w:rPr>
            </w:pPr>
            <w:r w:rsidRPr="007D66F1">
              <w:rPr>
                <w:rFonts w:ascii="Adobe Caslon Pro" w:hAnsi="Adobe Caslon Pro" w:cs="Calibri"/>
                <w:color w:val="000000"/>
                <w:sz w:val="20"/>
                <w:szCs w:val="20"/>
                <w:lang w:eastAsia="es-MX"/>
              </w:rPr>
              <w:t>2.2.3 Debilidades:</w:t>
            </w:r>
          </w:p>
          <w:p w:rsidR="00BC53A0" w:rsidRPr="00A3095B" w:rsidRDefault="00BC53A0" w:rsidP="00A56E05">
            <w:p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DISEÑO</w:t>
            </w:r>
          </w:p>
          <w:p w:rsidR="00BC53A0" w:rsidRPr="00A3095B" w:rsidRDefault="00BC53A0" w:rsidP="00F075EB">
            <w:pPr>
              <w:numPr>
                <w:ilvl w:val="0"/>
                <w:numId w:val="81"/>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Los objetivos de los niveles de la MIR no están redactados atendiendo a la metodología de la Guía para la Elaboración de la Matriz de Indicadores para Resultados del CONEVAL.</w:t>
            </w:r>
          </w:p>
          <w:p w:rsidR="00BC53A0" w:rsidRPr="00A3095B" w:rsidRDefault="00BC53A0" w:rsidP="00F075EB">
            <w:pPr>
              <w:numPr>
                <w:ilvl w:val="0"/>
                <w:numId w:val="81"/>
              </w:num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Los Indicadores de los Niveles de Desempeño carecen de línea base.</w:t>
            </w:r>
          </w:p>
          <w:p w:rsidR="00BC53A0" w:rsidRPr="00A3095B" w:rsidRDefault="00BC53A0" w:rsidP="00A56E05">
            <w:pPr>
              <w:ind w:left="720"/>
              <w:jc w:val="both"/>
              <w:rPr>
                <w:rFonts w:ascii="Adobe Caslon Pro" w:hAnsi="Adobe Caslon Pro" w:cs="Calibri"/>
                <w:i/>
                <w:color w:val="000000"/>
                <w:sz w:val="20"/>
                <w:szCs w:val="20"/>
                <w:lang w:eastAsia="es-MX"/>
              </w:rPr>
            </w:pPr>
          </w:p>
          <w:p w:rsidR="00BC53A0" w:rsidRPr="00A3095B" w:rsidRDefault="00BC53A0" w:rsidP="00A56E05">
            <w:p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OPERACIÓN</w:t>
            </w:r>
          </w:p>
          <w:p w:rsidR="00BC53A0" w:rsidRPr="00A3095B" w:rsidRDefault="00BC53A0"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No se han identificado y cuantificado costos de operación y costos unitarios del Propósito y Componente.</w:t>
            </w:r>
          </w:p>
          <w:p w:rsidR="00BC53A0" w:rsidRPr="00A3095B" w:rsidRDefault="00BC53A0"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No tiene procedimientos para medir el costo-efectividad en la ejecución.</w:t>
            </w:r>
          </w:p>
          <w:p w:rsidR="00BC53A0" w:rsidRPr="00A3095B" w:rsidRDefault="00BC53A0"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No tiene Indicadores de eficiencia</w:t>
            </w:r>
          </w:p>
          <w:p w:rsidR="00BC53A0" w:rsidRPr="00A3095B" w:rsidRDefault="00BC53A0" w:rsidP="00A56E05">
            <w:pPr>
              <w:autoSpaceDE w:val="0"/>
              <w:autoSpaceDN w:val="0"/>
              <w:adjustRightInd w:val="0"/>
              <w:ind w:left="720"/>
              <w:jc w:val="both"/>
              <w:rPr>
                <w:rFonts w:ascii="Adobe Caslon Pro" w:hAnsi="Adobe Caslon Pro" w:cs="Calibri"/>
                <w:i/>
                <w:color w:val="000000"/>
                <w:sz w:val="20"/>
                <w:szCs w:val="20"/>
                <w:lang w:eastAsia="es-MX"/>
              </w:rPr>
            </w:pPr>
          </w:p>
          <w:p w:rsidR="00BC53A0" w:rsidRPr="00A3095B" w:rsidRDefault="00BC53A0" w:rsidP="00A56E05">
            <w:pPr>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PERCEPCIÓN DE LA POBLACIÓN OBJETIVO</w:t>
            </w:r>
          </w:p>
          <w:p w:rsidR="00BC53A0" w:rsidRPr="00B86DD8" w:rsidRDefault="00BC53A0" w:rsidP="00F075EB">
            <w:pPr>
              <w:numPr>
                <w:ilvl w:val="0"/>
                <w:numId w:val="84"/>
              </w:numPr>
              <w:jc w:val="both"/>
              <w:rPr>
                <w:rFonts w:ascii="Adobe Caslon Pro" w:hAnsi="Adobe Caslon Pro" w:cs="Calibri"/>
                <w:color w:val="000000"/>
                <w:sz w:val="20"/>
                <w:szCs w:val="20"/>
                <w:lang w:eastAsia="es-MX"/>
              </w:rPr>
            </w:pPr>
            <w:r w:rsidRPr="00A3095B">
              <w:rPr>
                <w:rFonts w:ascii="Adobe Caslon Pro" w:hAnsi="Adobe Caslon Pro" w:cs="Calibri"/>
                <w:i/>
                <w:color w:val="000000"/>
                <w:sz w:val="20"/>
                <w:szCs w:val="20"/>
                <w:lang w:eastAsia="es-MX"/>
              </w:rPr>
              <w:t>No se cuenta con mecanismos que puedan medir el grado de satisfacción de la Población Objetivo.</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2.2.4 Amenazas:</w:t>
            </w:r>
          </w:p>
        </w:tc>
      </w:tr>
      <w:tr w:rsidR="00BC53A0" w:rsidRPr="00BE4199" w:rsidTr="00A56E05">
        <w:trPr>
          <w:trHeight w:val="162"/>
          <w:jc w:val="center"/>
        </w:trPr>
        <w:tc>
          <w:tcPr>
            <w:tcW w:w="9436" w:type="dxa"/>
            <w:gridSpan w:val="14"/>
            <w:tcBorders>
              <w:top w:val="nil"/>
              <w:left w:val="nil"/>
              <w:bottom w:val="single" w:sz="4" w:space="0" w:color="auto"/>
              <w:right w:val="nil"/>
            </w:tcBorders>
            <w:shd w:val="clear" w:color="auto" w:fill="auto"/>
            <w:vAlign w:val="center"/>
            <w:hideMark/>
          </w:tcPr>
          <w:p w:rsidR="00BC53A0" w:rsidRPr="00BE4199" w:rsidRDefault="00BC53A0" w:rsidP="00A56E05">
            <w:pPr>
              <w:jc w:val="center"/>
              <w:rPr>
                <w:rFonts w:ascii="Adobe Caslon Pro" w:hAnsi="Adobe Caslon Pro" w:cs="Calibri"/>
                <w:color w:val="000000"/>
                <w:sz w:val="20"/>
                <w:szCs w:val="20"/>
                <w:lang w:eastAsia="es-MX"/>
              </w:rPr>
            </w:pP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000000" w:fill="C2D69A"/>
            <w:noWrap/>
            <w:vAlign w:val="center"/>
            <w:hideMark/>
          </w:tcPr>
          <w:p w:rsidR="00BC53A0" w:rsidRPr="00BE4199" w:rsidRDefault="00BC53A0"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BC53A0" w:rsidRPr="00BE4199" w:rsidTr="00A56E05">
        <w:trPr>
          <w:trHeight w:val="1435"/>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BC53A0" w:rsidRDefault="00BC53A0" w:rsidP="00F075EB">
            <w:pPr>
              <w:numPr>
                <w:ilvl w:val="1"/>
                <w:numId w:val="76"/>
              </w:num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Describir brevemente las conclusiones de la evaluación: </w:t>
            </w:r>
          </w:p>
          <w:p w:rsidR="00BC53A0" w:rsidRPr="00A3095B" w:rsidRDefault="00BC53A0" w:rsidP="00A56E05">
            <w:pPr>
              <w:ind w:left="36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1.- El Fondo de Aportaciones para la Educación Básica y Normal, se encuentra alineado a las estrategias y objetivos del Plan Estatal de Desarrollo (2011-2016) del Estado de Oaxaca.</w:t>
            </w:r>
          </w:p>
          <w:p w:rsidR="00BC53A0" w:rsidRPr="00A3095B" w:rsidRDefault="00BC53A0" w:rsidP="00A56E05">
            <w:pPr>
              <w:ind w:left="360"/>
              <w:jc w:val="both"/>
              <w:rPr>
                <w:rFonts w:ascii="Adobe Caslon Pro" w:hAnsi="Adobe Caslon Pro" w:cs="Calibri"/>
                <w:i/>
                <w:color w:val="000000"/>
                <w:sz w:val="20"/>
                <w:szCs w:val="20"/>
                <w:lang w:eastAsia="es-MX"/>
              </w:rPr>
            </w:pPr>
          </w:p>
          <w:p w:rsidR="00BC53A0" w:rsidRPr="00A3095B" w:rsidRDefault="00BC53A0" w:rsidP="00A56E05">
            <w:pPr>
              <w:ind w:left="36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2.- En la Matriz de Indicadores para Resultados el Fin y el Propósito que se establecen, están vinculados de acuerdo con el objetivo del Fondo, sin embargo, no están redactados como lo establece la Metodología del Marco Lógico. Los indicadores de desempeño de los niveles de Fin y Propósito plasman de manera clara su objeto de medición, pero no cuentan con línea base.</w:t>
            </w:r>
          </w:p>
          <w:p w:rsidR="00BC53A0" w:rsidRPr="00A3095B" w:rsidRDefault="00BC53A0" w:rsidP="00A56E05">
            <w:pPr>
              <w:ind w:left="360"/>
              <w:jc w:val="both"/>
              <w:rPr>
                <w:rFonts w:ascii="Adobe Caslon Pro" w:hAnsi="Adobe Caslon Pro" w:cs="Calibri"/>
                <w:i/>
                <w:color w:val="000000"/>
                <w:sz w:val="20"/>
                <w:szCs w:val="20"/>
                <w:lang w:eastAsia="es-MX"/>
              </w:rPr>
            </w:pPr>
          </w:p>
          <w:p w:rsidR="00BC53A0" w:rsidRPr="00A3095B" w:rsidRDefault="00BC53A0" w:rsidP="00A56E05">
            <w:pPr>
              <w:ind w:left="36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3.- No se cuenta con información referente al grado de satisfacción de la población atendida con respecto a los servicios proporcionados, no obstante que en la Ficha Técnica del Fondo se hace mención de un grado de satisfacción al 100%, no se presentan los instrumentos con los cuales se obtuvo dicha información.</w:t>
            </w:r>
          </w:p>
          <w:p w:rsidR="00BC53A0" w:rsidRPr="00A3095B" w:rsidRDefault="00BC53A0" w:rsidP="00A56E05">
            <w:pPr>
              <w:ind w:left="360"/>
              <w:jc w:val="both"/>
              <w:rPr>
                <w:rFonts w:ascii="Adobe Caslon Pro" w:hAnsi="Adobe Caslon Pro" w:cs="Calibri"/>
                <w:i/>
                <w:color w:val="000000"/>
                <w:sz w:val="20"/>
                <w:szCs w:val="20"/>
                <w:lang w:eastAsia="es-MX"/>
              </w:rPr>
            </w:pPr>
          </w:p>
          <w:p w:rsidR="00BC53A0" w:rsidRPr="00A3095B" w:rsidRDefault="00BC53A0" w:rsidP="00A56E05">
            <w:pPr>
              <w:ind w:left="36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4.- La selección de beneficiarios cuenta con los procedimientos estandarizados y adecuados; los criterios de elegibilidad y requisitos establecidos en la normatividad aplicable sí se cumplen.</w:t>
            </w:r>
          </w:p>
          <w:p w:rsidR="00BC53A0" w:rsidRPr="00A3095B" w:rsidRDefault="00BC53A0" w:rsidP="00A56E05">
            <w:pPr>
              <w:ind w:left="360"/>
              <w:jc w:val="both"/>
              <w:rPr>
                <w:rFonts w:ascii="Adobe Caslon Pro" w:hAnsi="Adobe Caslon Pro" w:cs="Calibri"/>
                <w:i/>
                <w:color w:val="000000"/>
                <w:sz w:val="20"/>
                <w:szCs w:val="20"/>
                <w:lang w:eastAsia="es-MX"/>
              </w:rPr>
            </w:pPr>
          </w:p>
          <w:p w:rsidR="00BC53A0" w:rsidRPr="00A3095B" w:rsidRDefault="00BC53A0" w:rsidP="00A56E05">
            <w:pPr>
              <w:ind w:left="36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 xml:space="preserve">5.- El Instituto Estatal de Educación Pública de Oaxaca, como instancia de coordinadora cuenta con una estructura organizacional que les permite entregar y/o producir los Componentes y alcanzar el logro del Propósito de cada uno de ellos. A su vez, se cuenta con un Manual de Organización del Instituto en el cual se estipulan las formas de organización, funcionamiento, los recursos del gobierno Estatal y Federal con los que </w:t>
            </w:r>
            <w:r w:rsidRPr="00A3095B">
              <w:rPr>
                <w:rFonts w:ascii="Adobe Caslon Pro" w:hAnsi="Adobe Caslon Pro" w:cs="Calibri"/>
                <w:i/>
                <w:color w:val="000000"/>
                <w:sz w:val="20"/>
                <w:szCs w:val="20"/>
                <w:lang w:eastAsia="es-MX"/>
              </w:rPr>
              <w:lastRenderedPageBreak/>
              <w:t>se financian los servicios educativos del ente ejecutor.</w:t>
            </w:r>
          </w:p>
          <w:p w:rsidR="00BC53A0" w:rsidRPr="00A3095B" w:rsidRDefault="00BC53A0" w:rsidP="00A56E05">
            <w:pPr>
              <w:ind w:left="360"/>
              <w:jc w:val="both"/>
              <w:rPr>
                <w:rFonts w:ascii="Adobe Caslon Pro" w:hAnsi="Adobe Caslon Pro" w:cs="Calibri"/>
                <w:i/>
                <w:color w:val="000000"/>
                <w:sz w:val="20"/>
                <w:szCs w:val="20"/>
                <w:lang w:eastAsia="es-MX"/>
              </w:rPr>
            </w:pPr>
          </w:p>
          <w:p w:rsidR="00BC53A0" w:rsidRDefault="00BC53A0" w:rsidP="00A56E05">
            <w:pPr>
              <w:ind w:left="36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6.- Se cuenta con sistem</w:t>
            </w:r>
            <w:r>
              <w:rPr>
                <w:rFonts w:ascii="Adobe Caslon Pro" w:hAnsi="Adobe Caslon Pro" w:cs="Calibri"/>
                <w:i/>
                <w:color w:val="000000"/>
                <w:sz w:val="20"/>
                <w:szCs w:val="20"/>
                <w:lang w:eastAsia="es-MX"/>
              </w:rPr>
              <w:t>as de información en la gestión.</w:t>
            </w:r>
          </w:p>
          <w:p w:rsidR="00BC53A0" w:rsidRPr="006A396E" w:rsidRDefault="00BC53A0" w:rsidP="00A56E05">
            <w:pPr>
              <w:jc w:val="both"/>
              <w:rPr>
                <w:rFonts w:ascii="Adobe Caslon Pro" w:hAnsi="Adobe Caslon Pro" w:cs="Calibri"/>
                <w:i/>
                <w:color w:val="000000"/>
                <w:sz w:val="20"/>
                <w:szCs w:val="20"/>
                <w:lang w:eastAsia="es-MX"/>
              </w:rPr>
            </w:pPr>
          </w:p>
        </w:tc>
      </w:tr>
      <w:tr w:rsidR="00BC53A0" w:rsidRPr="00BE4199" w:rsidTr="00A56E05">
        <w:trPr>
          <w:trHeight w:val="264"/>
          <w:jc w:val="center"/>
        </w:trPr>
        <w:tc>
          <w:tcPr>
            <w:tcW w:w="9436" w:type="dxa"/>
            <w:gridSpan w:val="14"/>
            <w:tcBorders>
              <w:top w:val="single" w:sz="4" w:space="0" w:color="auto"/>
              <w:left w:val="single" w:sz="4" w:space="0" w:color="auto"/>
              <w:bottom w:val="nil"/>
              <w:right w:val="single" w:sz="4" w:space="0" w:color="000000"/>
            </w:tcBorders>
            <w:shd w:val="clear" w:color="auto" w:fill="auto"/>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3.2 Describir las recomendaciones de acuerdo a su relevancia:</w:t>
            </w:r>
          </w:p>
        </w:tc>
      </w:tr>
      <w:tr w:rsidR="00BC53A0" w:rsidRPr="00BE4199" w:rsidTr="00A56E05">
        <w:trPr>
          <w:trHeight w:val="43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A3095B" w:rsidRDefault="00BC53A0" w:rsidP="00A56E05">
            <w:p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DISEÑO</w:t>
            </w:r>
          </w:p>
          <w:p w:rsidR="00BC53A0" w:rsidRPr="00A3095B" w:rsidRDefault="00BC53A0"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Mejorar los Objetivos de los diferentes Niveles de Desempeño de la Matriz de Indicadores para Resultados del Fondo utilizada por el Estado de Oaxaca.</w:t>
            </w:r>
          </w:p>
          <w:p w:rsidR="00BC53A0" w:rsidRPr="00A3095B" w:rsidRDefault="00BC53A0"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 xml:space="preserve"> Incluir en los Indicadores de los Niveles de Desempeño una línea base.</w:t>
            </w:r>
          </w:p>
          <w:p w:rsidR="00BC53A0" w:rsidRPr="00A3095B" w:rsidRDefault="00BC53A0" w:rsidP="00A56E05">
            <w:pPr>
              <w:autoSpaceDE w:val="0"/>
              <w:autoSpaceDN w:val="0"/>
              <w:adjustRightInd w:val="0"/>
              <w:ind w:left="720"/>
              <w:jc w:val="both"/>
              <w:rPr>
                <w:rFonts w:ascii="Adobe Caslon Pro" w:hAnsi="Adobe Caslon Pro" w:cs="Calibri"/>
                <w:i/>
                <w:color w:val="000000"/>
                <w:sz w:val="20"/>
                <w:szCs w:val="20"/>
                <w:lang w:eastAsia="es-MX"/>
              </w:rPr>
            </w:pPr>
          </w:p>
        </w:tc>
      </w:tr>
      <w:tr w:rsidR="00BC53A0"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BC53A0" w:rsidRPr="00A3095B" w:rsidRDefault="00BC53A0" w:rsidP="00A56E05">
            <w:p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OPERACIÓN</w:t>
            </w:r>
          </w:p>
          <w:p w:rsidR="00BC53A0" w:rsidRPr="00A3095B" w:rsidRDefault="00BC53A0"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Cuantificar y realizar costos de operación y costos unitarios del Propósito y Componente.</w:t>
            </w:r>
          </w:p>
          <w:p w:rsidR="00BC53A0" w:rsidRPr="00A3095B" w:rsidRDefault="00BC53A0"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Realizar procedimientos para medir el costo-efectividad para la ejecución del Fondo.</w:t>
            </w:r>
          </w:p>
          <w:p w:rsidR="00BC53A0" w:rsidRPr="00A3095B" w:rsidRDefault="00BC53A0"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Incluir Indicadores que midan la dimensión de eficiencia.</w:t>
            </w:r>
          </w:p>
          <w:p w:rsidR="00BC53A0" w:rsidRPr="00A3095B" w:rsidRDefault="00BC53A0" w:rsidP="00A56E05">
            <w:pPr>
              <w:autoSpaceDE w:val="0"/>
              <w:autoSpaceDN w:val="0"/>
              <w:adjustRightInd w:val="0"/>
              <w:ind w:left="360"/>
              <w:jc w:val="both"/>
              <w:rPr>
                <w:rFonts w:ascii="Adobe Caslon Pro" w:hAnsi="Adobe Caslon Pro" w:cs="Calibri"/>
                <w:i/>
                <w:color w:val="000000"/>
                <w:sz w:val="20"/>
                <w:szCs w:val="20"/>
                <w:lang w:eastAsia="es-MX"/>
              </w:rPr>
            </w:pPr>
          </w:p>
        </w:tc>
      </w:tr>
      <w:tr w:rsidR="00BC53A0"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BC53A0" w:rsidRPr="00A3095B" w:rsidRDefault="00BC53A0" w:rsidP="00A56E05">
            <w:p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PERCEPCIÓN DE LA POBLACIÓN OBJETIVO</w:t>
            </w:r>
          </w:p>
          <w:p w:rsidR="00BC53A0" w:rsidRDefault="00BC53A0"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Se recomienda hacer instrumentos y/o mecanismos que permitan medir el grado de satisfacción de la Población Objetivo.</w:t>
            </w:r>
          </w:p>
          <w:p w:rsidR="00BC53A0" w:rsidRPr="00A3095B" w:rsidRDefault="00BC53A0" w:rsidP="00A56E05">
            <w:pPr>
              <w:autoSpaceDE w:val="0"/>
              <w:autoSpaceDN w:val="0"/>
              <w:adjustRightInd w:val="0"/>
              <w:ind w:left="720"/>
              <w:jc w:val="both"/>
              <w:rPr>
                <w:rFonts w:ascii="Adobe Caslon Pro" w:hAnsi="Adobe Caslon Pro" w:cs="Calibri"/>
                <w:i/>
                <w:color w:val="000000"/>
                <w:sz w:val="20"/>
                <w:szCs w:val="20"/>
                <w:lang w:eastAsia="es-MX"/>
              </w:rPr>
            </w:pPr>
          </w:p>
        </w:tc>
      </w:tr>
      <w:tr w:rsidR="00BC53A0" w:rsidRPr="00BE4199" w:rsidTr="00A56E05">
        <w:trPr>
          <w:trHeight w:val="105"/>
          <w:jc w:val="center"/>
        </w:trPr>
        <w:tc>
          <w:tcPr>
            <w:tcW w:w="579"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r>
      <w:tr w:rsidR="00BC53A0" w:rsidRPr="00BE4199" w:rsidTr="00A56E05">
        <w:trPr>
          <w:trHeight w:val="420"/>
          <w:jc w:val="center"/>
        </w:trPr>
        <w:tc>
          <w:tcPr>
            <w:tcW w:w="6965" w:type="dxa"/>
            <w:gridSpan w:val="11"/>
            <w:tcBorders>
              <w:top w:val="single" w:sz="4" w:space="0" w:color="auto"/>
              <w:left w:val="single" w:sz="4" w:space="0" w:color="auto"/>
              <w:bottom w:val="nil"/>
              <w:right w:val="nil"/>
            </w:tcBorders>
            <w:shd w:val="clear" w:color="000000" w:fill="C2D69A"/>
            <w:noWrap/>
            <w:vAlign w:val="center"/>
            <w:hideMark/>
          </w:tcPr>
          <w:p w:rsidR="00BC53A0" w:rsidRPr="00BE4199" w:rsidRDefault="00BC53A0"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A3095B" w:rsidRDefault="00BC53A0" w:rsidP="00A56E05">
            <w:pPr>
              <w:rPr>
                <w:rFonts w:ascii="Adobe Caslon Pro" w:hAnsi="Adobe Caslon Pro" w:cs="Calibri"/>
                <w:color w:val="000000"/>
                <w:sz w:val="20"/>
                <w:szCs w:val="20"/>
                <w:lang w:eastAsia="es-MX"/>
              </w:rPr>
            </w:pPr>
            <w:r w:rsidRPr="00A3095B">
              <w:rPr>
                <w:rFonts w:ascii="Adobe Caslon Pro" w:hAnsi="Adobe Caslon Pro" w:cs="Calibri"/>
                <w:color w:val="000000"/>
                <w:sz w:val="20"/>
                <w:szCs w:val="20"/>
                <w:lang w:eastAsia="es-MX"/>
              </w:rPr>
              <w:t>4.1 Nombre del coordinador de la evaluación:</w:t>
            </w:r>
          </w:p>
          <w:p w:rsidR="00BC53A0" w:rsidRPr="00A3095B" w:rsidRDefault="00BC53A0" w:rsidP="00A56E05">
            <w:pPr>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 xml:space="preserve">Mtro. José de Jesús </w:t>
            </w:r>
            <w:proofErr w:type="spellStart"/>
            <w:r w:rsidRPr="00A3095B">
              <w:rPr>
                <w:rFonts w:ascii="Adobe Caslon Pro" w:hAnsi="Adobe Caslon Pro" w:cs="Calibri"/>
                <w:i/>
                <w:color w:val="000000"/>
                <w:sz w:val="20"/>
                <w:szCs w:val="20"/>
                <w:lang w:eastAsia="es-MX"/>
              </w:rPr>
              <w:t>Guizar</w:t>
            </w:r>
            <w:proofErr w:type="spellEnd"/>
            <w:r w:rsidRPr="00A3095B">
              <w:rPr>
                <w:rFonts w:ascii="Adobe Caslon Pro" w:hAnsi="Adobe Caslon Pro" w:cs="Calibri"/>
                <w:i/>
                <w:color w:val="000000"/>
                <w:sz w:val="20"/>
                <w:szCs w:val="20"/>
                <w:lang w:eastAsia="es-MX"/>
              </w:rPr>
              <w:t xml:space="preserve"> Jiménez</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A3095B" w:rsidRDefault="00BC53A0" w:rsidP="00A56E05">
            <w:pPr>
              <w:rPr>
                <w:rFonts w:ascii="Adobe Caslon Pro" w:hAnsi="Adobe Caslon Pro" w:cs="Calibri"/>
                <w:color w:val="000000"/>
                <w:sz w:val="20"/>
                <w:szCs w:val="20"/>
                <w:lang w:eastAsia="es-MX"/>
              </w:rPr>
            </w:pPr>
            <w:r w:rsidRPr="00A3095B">
              <w:rPr>
                <w:rFonts w:ascii="Adobe Caslon Pro" w:hAnsi="Adobe Caslon Pro" w:cs="Calibri"/>
                <w:color w:val="000000"/>
                <w:sz w:val="20"/>
                <w:szCs w:val="20"/>
                <w:lang w:eastAsia="es-MX"/>
              </w:rPr>
              <w:t>4.2 Cargo:</w:t>
            </w:r>
          </w:p>
          <w:p w:rsidR="00BC53A0" w:rsidRPr="00A3095B" w:rsidRDefault="00BC53A0" w:rsidP="00A56E05">
            <w:pPr>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Consultor Investigador</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A3095B" w:rsidRDefault="00BC53A0" w:rsidP="00A56E05">
            <w:pPr>
              <w:rPr>
                <w:rFonts w:ascii="Adobe Caslon Pro" w:hAnsi="Adobe Caslon Pro" w:cs="Calibri"/>
                <w:color w:val="000000"/>
                <w:sz w:val="20"/>
                <w:szCs w:val="20"/>
                <w:lang w:eastAsia="es-MX"/>
              </w:rPr>
            </w:pPr>
            <w:r w:rsidRPr="00A3095B">
              <w:rPr>
                <w:rFonts w:ascii="Adobe Caslon Pro" w:hAnsi="Adobe Caslon Pro" w:cs="Calibri"/>
                <w:color w:val="000000"/>
                <w:sz w:val="20"/>
                <w:szCs w:val="20"/>
                <w:lang w:eastAsia="es-MX"/>
              </w:rPr>
              <w:t>4.3 Institución a la que pertenece:  </w:t>
            </w:r>
          </w:p>
          <w:p w:rsidR="00BC53A0" w:rsidRPr="00A3095B" w:rsidRDefault="00BC53A0" w:rsidP="00A56E05">
            <w:pPr>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Instituto para el Desarrollo Técnico de las Haciendas Públicas (INDETEC)</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266C56" w:rsidRDefault="00BC53A0" w:rsidP="00A56E05">
            <w:pPr>
              <w:rPr>
                <w:rFonts w:ascii="Adobe Caslon Pro" w:hAnsi="Adobe Caslon Pro" w:cs="Calibri"/>
                <w:color w:val="000000"/>
                <w:sz w:val="20"/>
                <w:szCs w:val="20"/>
                <w:lang w:eastAsia="es-MX"/>
              </w:rPr>
            </w:pPr>
            <w:r w:rsidRPr="00A3095B">
              <w:rPr>
                <w:rFonts w:ascii="Adobe Caslon Pro" w:hAnsi="Adobe Caslon Pro" w:cs="Calibri"/>
                <w:color w:val="000000"/>
                <w:sz w:val="20"/>
                <w:szCs w:val="20"/>
                <w:lang w:eastAsia="es-MX"/>
              </w:rPr>
              <w:t>4.4 Principales colaboradores:</w:t>
            </w:r>
          </w:p>
          <w:p w:rsidR="00BC53A0" w:rsidRPr="00A3095B" w:rsidRDefault="00BC53A0" w:rsidP="00A56E05">
            <w:pPr>
              <w:rPr>
                <w:rFonts w:ascii="Adobe Caslon Pro" w:hAnsi="Adobe Caslon Pro" w:cs="Calibri"/>
                <w:color w:val="000000"/>
                <w:sz w:val="20"/>
                <w:szCs w:val="20"/>
                <w:lang w:eastAsia="es-MX"/>
              </w:rPr>
            </w:pPr>
            <w:r w:rsidRPr="00A3095B">
              <w:rPr>
                <w:rFonts w:ascii="Adobe Caslon Pro" w:hAnsi="Adobe Caslon Pro" w:cs="Calibri"/>
                <w:i/>
                <w:color w:val="000000"/>
                <w:sz w:val="20"/>
                <w:szCs w:val="20"/>
                <w:lang w:eastAsia="es-MX"/>
              </w:rPr>
              <w:t>Lic. Paulina Milagros Pantoja Aguilar</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A3095B" w:rsidRDefault="00BC53A0" w:rsidP="00A56E05">
            <w:pPr>
              <w:rPr>
                <w:rFonts w:ascii="Adobe Caslon Pro" w:hAnsi="Adobe Caslon Pro" w:cs="Calibri"/>
                <w:color w:val="000000"/>
                <w:sz w:val="20"/>
                <w:szCs w:val="20"/>
                <w:lang w:eastAsia="es-MX"/>
              </w:rPr>
            </w:pPr>
            <w:r w:rsidRPr="00A3095B">
              <w:rPr>
                <w:rFonts w:ascii="Adobe Caslon Pro" w:hAnsi="Adobe Caslon Pro" w:cs="Calibri"/>
                <w:color w:val="000000"/>
                <w:sz w:val="20"/>
                <w:szCs w:val="20"/>
                <w:lang w:eastAsia="es-MX"/>
              </w:rPr>
              <w:t>4.5 Correo electrónico del coordinador de la evaluación:</w:t>
            </w:r>
          </w:p>
          <w:p w:rsidR="00BC53A0" w:rsidRPr="00A3095B" w:rsidRDefault="009B1A50" w:rsidP="00A56E05">
            <w:pPr>
              <w:rPr>
                <w:rFonts w:ascii="Adobe Caslon Pro" w:hAnsi="Adobe Caslon Pro" w:cs="Calibri"/>
                <w:i/>
                <w:color w:val="000000"/>
                <w:sz w:val="20"/>
                <w:szCs w:val="20"/>
                <w:u w:val="single"/>
                <w:lang w:eastAsia="es-MX"/>
              </w:rPr>
            </w:pPr>
            <w:hyperlink r:id="rId188" w:history="1">
              <w:r w:rsidR="00BC53A0" w:rsidRPr="00A3095B">
                <w:rPr>
                  <w:rStyle w:val="Hipervnculo"/>
                  <w:rFonts w:ascii="Adobe Caslon Pro" w:hAnsi="Adobe Caslon Pro" w:cs="Calibri"/>
                  <w:i/>
                  <w:sz w:val="20"/>
                  <w:szCs w:val="20"/>
                  <w:lang w:eastAsia="es-MX"/>
                </w:rPr>
                <w:t>jguizarj@indetec.gob.mx</w:t>
              </w:r>
            </w:hyperlink>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A3095B" w:rsidRDefault="00BC53A0" w:rsidP="00A56E05">
            <w:pPr>
              <w:rPr>
                <w:rFonts w:ascii="Adobe Caslon Pro" w:hAnsi="Adobe Caslon Pro" w:cs="Calibri"/>
                <w:color w:val="000000"/>
                <w:sz w:val="20"/>
                <w:szCs w:val="20"/>
                <w:lang w:eastAsia="es-MX"/>
              </w:rPr>
            </w:pPr>
            <w:r w:rsidRPr="00A3095B">
              <w:rPr>
                <w:rFonts w:ascii="Adobe Caslon Pro" w:hAnsi="Adobe Caslon Pro" w:cs="Calibri"/>
                <w:color w:val="000000"/>
                <w:sz w:val="20"/>
                <w:szCs w:val="20"/>
                <w:lang w:eastAsia="es-MX"/>
              </w:rPr>
              <w:t>4.6 Teléfono (con clave lada):</w:t>
            </w:r>
          </w:p>
          <w:p w:rsidR="00BC53A0" w:rsidRPr="00A3095B" w:rsidRDefault="00BC53A0" w:rsidP="00A56E05">
            <w:pPr>
              <w:rPr>
                <w:rFonts w:ascii="Adobe Caslon Pro" w:hAnsi="Adobe Caslon Pro" w:cs="Calibri"/>
                <w:i/>
                <w:color w:val="000000"/>
                <w:sz w:val="20"/>
                <w:szCs w:val="20"/>
                <w:lang w:eastAsia="es-MX"/>
              </w:rPr>
            </w:pPr>
            <w:r w:rsidRPr="00A3095B">
              <w:rPr>
                <w:rFonts w:ascii="Adobe Caslon Pro" w:hAnsi="Adobe Caslon Pro" w:cs="Calibri"/>
                <w:i/>
                <w:color w:val="000000"/>
                <w:sz w:val="20"/>
                <w:szCs w:val="20"/>
                <w:lang w:eastAsia="es-MX"/>
              </w:rPr>
              <w:t>01 (33) 36695550</w:t>
            </w:r>
          </w:p>
        </w:tc>
      </w:tr>
      <w:tr w:rsidR="00BC53A0" w:rsidRPr="00BE4199" w:rsidTr="00A56E05">
        <w:trPr>
          <w:trHeight w:val="75"/>
          <w:jc w:val="center"/>
        </w:trPr>
        <w:tc>
          <w:tcPr>
            <w:tcW w:w="999" w:type="dxa"/>
            <w:gridSpan w:val="2"/>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r>
      <w:tr w:rsidR="00BC53A0" w:rsidRPr="00BE4199" w:rsidTr="00A56E05">
        <w:trPr>
          <w:trHeight w:val="420"/>
          <w:jc w:val="center"/>
        </w:trPr>
        <w:tc>
          <w:tcPr>
            <w:tcW w:w="6965" w:type="dxa"/>
            <w:gridSpan w:val="11"/>
            <w:tcBorders>
              <w:top w:val="single" w:sz="4" w:space="0" w:color="auto"/>
              <w:left w:val="single" w:sz="4" w:space="0" w:color="auto"/>
              <w:bottom w:val="single" w:sz="4" w:space="0" w:color="auto"/>
              <w:right w:val="nil"/>
            </w:tcBorders>
            <w:shd w:val="clear" w:color="000000" w:fill="C2D69A"/>
            <w:noWrap/>
            <w:vAlign w:val="center"/>
            <w:hideMark/>
          </w:tcPr>
          <w:p w:rsidR="00BC53A0" w:rsidRPr="00BE4199" w:rsidRDefault="00BC53A0"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BC53A0" w:rsidRPr="00BE4199" w:rsidRDefault="00BC53A0"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Fondo de Aportaciones </w:t>
            </w:r>
            <w:r>
              <w:rPr>
                <w:rFonts w:ascii="Adobe Caslon Pro" w:hAnsi="Adobe Caslon Pro" w:cs="Calibri"/>
                <w:i/>
                <w:color w:val="000000"/>
                <w:sz w:val="20"/>
                <w:szCs w:val="20"/>
                <w:lang w:eastAsia="es-MX"/>
              </w:rPr>
              <w:t>para la Educación Básica y Normal</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BC53A0" w:rsidRPr="00BE4199" w:rsidRDefault="00BC53A0"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FAEB</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w:t>
            </w:r>
            <w:r>
              <w:rPr>
                <w:rFonts w:ascii="Adobe Caslon Pro" w:hAnsi="Adobe Caslon Pro" w:cs="Calibri"/>
                <w:color w:val="000000"/>
                <w:sz w:val="20"/>
                <w:szCs w:val="20"/>
                <w:lang w:eastAsia="es-MX"/>
              </w:rPr>
              <w:t>dinador del (los) programa(s): </w:t>
            </w:r>
          </w:p>
          <w:p w:rsidR="00BC53A0" w:rsidRPr="00F974F2" w:rsidRDefault="00BC53A0" w:rsidP="00A56E05">
            <w:pPr>
              <w:rPr>
                <w:rFonts w:ascii="Adobe Caslon Pro" w:hAnsi="Adobe Caslon Pro" w:cs="Calibri"/>
                <w:i/>
                <w:color w:val="000000"/>
                <w:sz w:val="20"/>
                <w:szCs w:val="20"/>
                <w:lang w:eastAsia="es-MX"/>
              </w:rPr>
            </w:pPr>
            <w:r w:rsidRPr="00F974F2">
              <w:rPr>
                <w:rFonts w:ascii="Adobe Caslon Pro" w:hAnsi="Adobe Caslon Pro" w:cs="Calibri"/>
                <w:i/>
                <w:color w:val="000000"/>
                <w:sz w:val="20"/>
                <w:szCs w:val="20"/>
                <w:lang w:eastAsia="es-MX"/>
              </w:rPr>
              <w:t>Instituto Estatal de Educación Pública de Oaxaca (IEEPO)</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5.5 Ámbito gubernamental al que pertenece(n) el(los) programa(s):</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 Nombre de la(s) unidad(es) administrativa(s) y de (los) titular(es) a cargo del (los) programa(s):</w:t>
            </w:r>
          </w:p>
        </w:tc>
      </w:tr>
      <w:tr w:rsidR="00BC53A0" w:rsidRPr="00BE4199" w:rsidTr="00A56E05">
        <w:trPr>
          <w:trHeight w:val="408"/>
          <w:jc w:val="center"/>
        </w:trPr>
        <w:tc>
          <w:tcPr>
            <w:tcW w:w="9436" w:type="dxa"/>
            <w:gridSpan w:val="14"/>
            <w:tcBorders>
              <w:left w:val="single" w:sz="4" w:space="0" w:color="auto"/>
              <w:bottom w:val="single" w:sz="4" w:space="0" w:color="auto"/>
              <w:right w:val="single" w:sz="4" w:space="0" w:color="auto"/>
            </w:tcBorders>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BC53A0" w:rsidRPr="00BE4199" w:rsidTr="00A56E05">
        <w:trPr>
          <w:trHeight w:val="55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BC53A0" w:rsidRPr="00BE4199" w:rsidRDefault="00BC53A0" w:rsidP="00A56E05">
            <w:pPr>
              <w:rPr>
                <w:rFonts w:ascii="Adobe Caslon Pro" w:hAnsi="Adobe Caslon Pro" w:cs="Calibri"/>
                <w:i/>
                <w:color w:val="000000"/>
                <w:sz w:val="20"/>
                <w:szCs w:val="20"/>
                <w:lang w:eastAsia="es-MX"/>
              </w:rPr>
            </w:pPr>
            <w:r w:rsidRPr="00F974F2">
              <w:rPr>
                <w:rFonts w:ascii="Adobe Caslon Pro" w:hAnsi="Adobe Caslon Pro" w:cs="Calibri"/>
                <w:i/>
                <w:color w:val="000000"/>
                <w:sz w:val="20"/>
                <w:szCs w:val="20"/>
                <w:lang w:eastAsia="es-MX"/>
              </w:rPr>
              <w:t>Instituto Estatal de Educación Pública de Oaxaca (IEEPO)</w:t>
            </w:r>
          </w:p>
        </w:tc>
      </w:tr>
      <w:tr w:rsidR="00BC53A0" w:rsidRPr="00BE4199" w:rsidTr="00A56E05">
        <w:trPr>
          <w:trHeight w:val="55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BC53A0" w:rsidRPr="00BE4199" w:rsidTr="00A56E05">
        <w:trPr>
          <w:trHeight w:val="555"/>
          <w:jc w:val="center"/>
        </w:trPr>
        <w:tc>
          <w:tcPr>
            <w:tcW w:w="483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BC53A0" w:rsidRPr="00BE4199" w:rsidRDefault="00BC53A0"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Lic. Moisés Robles Cruz</w:t>
            </w:r>
          </w:p>
          <w:p w:rsidR="00BC53A0" w:rsidRDefault="00BC53A0"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(951) 51 58019</w:t>
            </w:r>
          </w:p>
          <w:p w:rsidR="00BC53A0" w:rsidRDefault="009B1A50" w:rsidP="00A56E05">
            <w:pPr>
              <w:rPr>
                <w:rFonts w:ascii="Adobe Caslon Pro" w:hAnsi="Adobe Caslon Pro" w:cs="Calibri"/>
                <w:i/>
                <w:color w:val="000000"/>
                <w:sz w:val="20"/>
                <w:szCs w:val="20"/>
                <w:lang w:eastAsia="es-MX"/>
              </w:rPr>
            </w:pPr>
            <w:hyperlink r:id="rId189" w:history="1">
              <w:r w:rsidR="00BC53A0" w:rsidRPr="00204665">
                <w:rPr>
                  <w:rStyle w:val="Hipervnculo"/>
                  <w:rFonts w:ascii="Adobe Caslon Pro" w:hAnsi="Adobe Caslon Pro" w:cs="Calibri"/>
                  <w:i/>
                  <w:sz w:val="20"/>
                  <w:szCs w:val="20"/>
                  <w:lang w:eastAsia="es-MX"/>
                </w:rPr>
                <w:t>Ieepo.direcciongeneral@oaxaca.gob.mx</w:t>
              </w:r>
            </w:hyperlink>
          </w:p>
          <w:p w:rsidR="00BC53A0" w:rsidRDefault="009B1A50" w:rsidP="00A56E05">
            <w:pPr>
              <w:rPr>
                <w:rFonts w:ascii="Adobe Caslon Pro" w:hAnsi="Adobe Caslon Pro" w:cs="Calibri"/>
                <w:i/>
                <w:color w:val="000000"/>
                <w:sz w:val="20"/>
                <w:szCs w:val="20"/>
                <w:lang w:eastAsia="es-MX"/>
              </w:rPr>
            </w:pPr>
            <w:hyperlink r:id="rId190" w:history="1">
              <w:r w:rsidR="00BC53A0" w:rsidRPr="00204665">
                <w:rPr>
                  <w:rStyle w:val="Hipervnculo"/>
                  <w:rFonts w:ascii="Adobe Caslon Pro" w:hAnsi="Adobe Caslon Pro" w:cs="Calibri"/>
                  <w:i/>
                  <w:sz w:val="20"/>
                  <w:szCs w:val="20"/>
                  <w:lang w:eastAsia="es-MX"/>
                </w:rPr>
                <w:t>direcciongral@ieepo.edu.mx</w:t>
              </w:r>
            </w:hyperlink>
          </w:p>
          <w:p w:rsidR="00BC53A0" w:rsidRPr="0062525C" w:rsidRDefault="00BC53A0" w:rsidP="00A56E05">
            <w:pPr>
              <w:rPr>
                <w:rFonts w:ascii="Adobe Caslon Pro" w:hAnsi="Adobe Caslon Pro" w:cs="Calibri"/>
                <w:i/>
                <w:color w:val="000000"/>
                <w:sz w:val="20"/>
                <w:szCs w:val="20"/>
                <w:lang w:eastAsia="es-MX"/>
              </w:rPr>
            </w:pPr>
          </w:p>
        </w:tc>
        <w:tc>
          <w:tcPr>
            <w:tcW w:w="4604" w:type="dxa"/>
            <w:gridSpan w:val="7"/>
            <w:tcBorders>
              <w:top w:val="single" w:sz="4" w:space="0" w:color="auto"/>
              <w:left w:val="nil"/>
              <w:bottom w:val="single" w:sz="4" w:space="0" w:color="auto"/>
              <w:right w:val="single" w:sz="4" w:space="0" w:color="000000"/>
            </w:tcBorders>
            <w:shd w:val="clear" w:color="auto" w:fill="auto"/>
            <w:vAlign w:val="center"/>
            <w:hideMark/>
          </w:tcPr>
          <w:p w:rsidR="00BC53A0" w:rsidRDefault="00BC53A0"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Unidad administrativa</w:t>
            </w:r>
          </w:p>
          <w:p w:rsidR="00BC53A0" w:rsidRPr="00BE4199" w:rsidRDefault="00BC53A0"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 xml:space="preserve"> Dirección General del</w:t>
            </w:r>
            <w:r w:rsidRPr="00F974F2">
              <w:rPr>
                <w:rFonts w:ascii="Adobe Caslon Pro" w:hAnsi="Adobe Caslon Pro" w:cs="Calibri"/>
                <w:i/>
                <w:color w:val="000000"/>
                <w:sz w:val="20"/>
                <w:szCs w:val="20"/>
                <w:lang w:eastAsia="es-MX"/>
              </w:rPr>
              <w:t xml:space="preserve"> Instituto Estatal de Educación Pública de Oaxaca (IEEPO</w:t>
            </w:r>
            <w:r>
              <w:rPr>
                <w:rFonts w:ascii="Adobe Caslon Pro" w:hAnsi="Adobe Caslon Pro" w:cs="Calibri"/>
                <w:i/>
                <w:color w:val="000000"/>
                <w:sz w:val="20"/>
                <w:szCs w:val="20"/>
                <w:lang w:eastAsia="es-MX"/>
              </w:rPr>
              <w:t>)</w:t>
            </w:r>
          </w:p>
        </w:tc>
      </w:tr>
      <w:tr w:rsidR="00BC53A0" w:rsidRPr="00BE4199" w:rsidTr="00A56E05">
        <w:trPr>
          <w:trHeight w:val="75"/>
          <w:jc w:val="center"/>
        </w:trPr>
        <w:tc>
          <w:tcPr>
            <w:tcW w:w="999" w:type="dxa"/>
            <w:gridSpan w:val="2"/>
            <w:tcBorders>
              <w:top w:val="nil"/>
              <w:left w:val="nil"/>
              <w:bottom w:val="nil"/>
              <w:right w:val="nil"/>
            </w:tcBorders>
            <w:shd w:val="clear" w:color="auto" w:fill="auto"/>
            <w:vAlign w:val="center"/>
            <w:hideMark/>
          </w:tcPr>
          <w:p w:rsidR="00BC53A0" w:rsidRPr="00BE4199" w:rsidRDefault="00BC53A0"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vAlign w:val="center"/>
            <w:hideMark/>
          </w:tcPr>
          <w:p w:rsidR="00BC53A0" w:rsidRPr="00BE4199" w:rsidRDefault="00BC53A0"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vAlign w:val="center"/>
            <w:hideMark/>
          </w:tcPr>
          <w:p w:rsidR="00BC53A0" w:rsidRPr="00BE4199" w:rsidRDefault="00BC53A0" w:rsidP="00A56E05">
            <w:pPr>
              <w:rPr>
                <w:rFonts w:ascii="Adobe Caslon Pro" w:hAnsi="Adobe Caslon Pro" w:cs="Calibri"/>
                <w:color w:val="000000"/>
                <w:sz w:val="20"/>
                <w:szCs w:val="20"/>
                <w:lang w:eastAsia="es-MX"/>
              </w:rPr>
            </w:pPr>
          </w:p>
        </w:tc>
        <w:tc>
          <w:tcPr>
            <w:tcW w:w="2526" w:type="dxa"/>
            <w:gridSpan w:val="5"/>
            <w:tcBorders>
              <w:top w:val="nil"/>
              <w:left w:val="nil"/>
              <w:bottom w:val="nil"/>
              <w:right w:val="nil"/>
            </w:tcBorders>
            <w:shd w:val="clear" w:color="auto" w:fill="auto"/>
            <w:vAlign w:val="center"/>
            <w:hideMark/>
          </w:tcPr>
          <w:p w:rsidR="00BC53A0" w:rsidRPr="00BE4199" w:rsidRDefault="00BC53A0"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vAlign w:val="center"/>
            <w:hideMark/>
          </w:tcPr>
          <w:p w:rsidR="00BC53A0" w:rsidRPr="00BE4199" w:rsidRDefault="00BC53A0"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vAlign w:val="center"/>
            <w:hideMark/>
          </w:tcPr>
          <w:p w:rsidR="00BC53A0" w:rsidRPr="00BE4199" w:rsidRDefault="00BC53A0" w:rsidP="00A56E05">
            <w:pPr>
              <w:jc w:val="center"/>
              <w:rPr>
                <w:rFonts w:ascii="Adobe Caslon Pro" w:hAnsi="Adobe Caslon Pro" w:cs="Calibri"/>
                <w:color w:val="000000"/>
                <w:sz w:val="20"/>
                <w:szCs w:val="20"/>
                <w:lang w:eastAsia="es-MX"/>
              </w:rPr>
            </w:pPr>
          </w:p>
        </w:tc>
      </w:tr>
      <w:tr w:rsidR="00BC53A0" w:rsidRPr="00BE4199" w:rsidTr="00A56E05">
        <w:trPr>
          <w:trHeight w:val="420"/>
          <w:jc w:val="center"/>
        </w:trPr>
        <w:tc>
          <w:tcPr>
            <w:tcW w:w="8125" w:type="dxa"/>
            <w:gridSpan w:val="12"/>
            <w:tcBorders>
              <w:top w:val="single" w:sz="4" w:space="0" w:color="auto"/>
              <w:left w:val="single" w:sz="4" w:space="0" w:color="auto"/>
              <w:bottom w:val="single" w:sz="4" w:space="0" w:color="auto"/>
              <w:right w:val="nil"/>
            </w:tcBorders>
            <w:shd w:val="clear" w:color="000000" w:fill="C2D69A"/>
            <w:noWrap/>
            <w:vAlign w:val="center"/>
            <w:hideMark/>
          </w:tcPr>
          <w:p w:rsidR="00BC53A0" w:rsidRPr="00BE4199" w:rsidRDefault="00BC53A0"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Pr>
                <w:rFonts w:ascii="Adobe Caslon Pro" w:hAnsi="Adobe Caslon Pro" w:cs="Calibri"/>
                <w:color w:val="000000"/>
                <w:sz w:val="20"/>
                <w:szCs w:val="20"/>
                <w:lang w:eastAsia="es-MX"/>
              </w:rPr>
              <w:t>___ 6.1.5 Otro: C</w:t>
            </w:r>
            <w:r w:rsidRPr="000D3BE9">
              <w:rPr>
                <w:rFonts w:ascii="Adobe Caslon Pro" w:hAnsi="Adobe Caslon Pro" w:cs="Calibri"/>
                <w:color w:val="000000"/>
                <w:sz w:val="20"/>
                <w:szCs w:val="20"/>
                <w:lang w:eastAsia="es-MX"/>
              </w:rPr>
              <w:t>onveni</w:t>
            </w:r>
            <w:r>
              <w:rPr>
                <w:rFonts w:ascii="Adobe Caslon Pro" w:hAnsi="Adobe Caslon Pro" w:cs="Calibri"/>
                <w:color w:val="000000"/>
                <w:sz w:val="20"/>
                <w:szCs w:val="20"/>
                <w:lang w:eastAsia="es-MX"/>
              </w:rPr>
              <w:t>o de colaboración institucional</w:t>
            </w:r>
          </w:p>
        </w:tc>
      </w:tr>
      <w:tr w:rsidR="00BC53A0" w:rsidRPr="00BE4199" w:rsidTr="00A56E05">
        <w:trPr>
          <w:trHeight w:val="39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BC53A0" w:rsidRPr="00BE4199" w:rsidRDefault="00BC53A0"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Costo total de la evaluación</w:t>
            </w:r>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$ 2, 276,000.00 (Dos millones doscientos setenta y seis mil pesos 00/100 M.N.) El costo corresponde a la evaluación de siete Fondos de Aportaciones del Ramo General 33, Fondo Regional y siete programas presupuestarios Estatales.</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BC53A0" w:rsidRPr="00BE4199" w:rsidRDefault="00BC53A0"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BC53A0" w:rsidRPr="00BE4199" w:rsidTr="00A56E05">
        <w:trPr>
          <w:trHeight w:val="162"/>
          <w:jc w:val="center"/>
        </w:trPr>
        <w:tc>
          <w:tcPr>
            <w:tcW w:w="999" w:type="dxa"/>
            <w:gridSpan w:val="2"/>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BC53A0" w:rsidRPr="00BE4199" w:rsidRDefault="00BC53A0" w:rsidP="00A56E05">
            <w:pPr>
              <w:rPr>
                <w:rFonts w:ascii="Adobe Caslon Pro" w:hAnsi="Adobe Caslon Pro" w:cs="Calibri"/>
                <w:color w:val="000000"/>
                <w:sz w:val="20"/>
                <w:szCs w:val="20"/>
                <w:lang w:eastAsia="es-MX"/>
              </w:rPr>
            </w:pPr>
          </w:p>
        </w:tc>
      </w:tr>
      <w:tr w:rsidR="00BC53A0" w:rsidRPr="00BE4199" w:rsidTr="00A56E05">
        <w:trPr>
          <w:trHeight w:val="420"/>
          <w:jc w:val="center"/>
        </w:trPr>
        <w:tc>
          <w:tcPr>
            <w:tcW w:w="4973" w:type="dxa"/>
            <w:gridSpan w:val="8"/>
            <w:tcBorders>
              <w:top w:val="single" w:sz="4" w:space="0" w:color="auto"/>
              <w:left w:val="single" w:sz="4" w:space="0" w:color="auto"/>
              <w:bottom w:val="single" w:sz="4" w:space="0" w:color="auto"/>
              <w:right w:val="nil"/>
            </w:tcBorders>
            <w:shd w:val="clear" w:color="000000" w:fill="C2D69A"/>
            <w:noWrap/>
            <w:vAlign w:val="center"/>
            <w:hideMark/>
          </w:tcPr>
          <w:p w:rsidR="00BC53A0" w:rsidRPr="00BE4199" w:rsidRDefault="00BC53A0"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BC53A0" w:rsidRPr="00BE4199" w:rsidRDefault="00BC53A0"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Default="00BC53A0"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BC53A0" w:rsidRPr="004003A7" w:rsidRDefault="00BC53A0" w:rsidP="00A56E05">
            <w:pPr>
              <w:rPr>
                <w:rStyle w:val="Hipervnculo"/>
                <w:rFonts w:ascii="Adobe Caslon Pro" w:hAnsi="Adobe Caslon Pro" w:cs="Calibri"/>
                <w:i/>
                <w:sz w:val="20"/>
                <w:szCs w:val="20"/>
                <w:lang w:eastAsia="es-MX"/>
              </w:rPr>
            </w:pPr>
            <w:r w:rsidRPr="004003A7">
              <w:rPr>
                <w:rStyle w:val="Hipervnculo"/>
                <w:rFonts w:ascii="Adobe Caslon Pro" w:hAnsi="Adobe Caslon Pro" w:cs="Calibri"/>
                <w:i/>
                <w:sz w:val="20"/>
                <w:szCs w:val="20"/>
                <w:lang w:eastAsia="es-MX"/>
              </w:rPr>
              <w:t>http://www.jefaturadelagubernatura-evaluacion.oaxaca.gob.mx/index.php/pae-sidepanel/pae-2015</w:t>
            </w:r>
          </w:p>
          <w:p w:rsidR="00BC53A0" w:rsidRPr="00642484" w:rsidRDefault="009B1A50" w:rsidP="00A56E05">
            <w:pPr>
              <w:rPr>
                <w:rFonts w:ascii="Adobe Caslon Pro" w:hAnsi="Adobe Caslon Pro" w:cs="Calibri"/>
                <w:color w:val="000000"/>
                <w:sz w:val="20"/>
                <w:szCs w:val="20"/>
                <w:lang w:eastAsia="es-MX"/>
              </w:rPr>
            </w:pPr>
            <w:hyperlink r:id="rId191" w:history="1">
              <w:r w:rsidR="00BC53A0" w:rsidRPr="002071AF">
                <w:rPr>
                  <w:rStyle w:val="Hipervnculo"/>
                  <w:rFonts w:ascii="Adobe Caslon Pro" w:hAnsi="Adobe Caslon Pro" w:cs="Calibri"/>
                  <w:i/>
                  <w:sz w:val="20"/>
                  <w:szCs w:val="20"/>
                  <w:lang w:eastAsia="es-MX"/>
                </w:rPr>
                <w:t>http://www.transparenciapresupuestaria.oaxaca.gob.mx/05_ev1_eprogramas.php</w:t>
              </w:r>
            </w:hyperlink>
          </w:p>
        </w:tc>
      </w:tr>
      <w:tr w:rsidR="00BC53A0"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53A0" w:rsidRDefault="00BC53A0"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7.2  Difusión en internet del formato:</w:t>
            </w:r>
          </w:p>
          <w:p w:rsidR="00BC53A0" w:rsidRPr="004003A7" w:rsidRDefault="00BC53A0" w:rsidP="00A56E05">
            <w:pPr>
              <w:rPr>
                <w:rStyle w:val="Hipervnculo"/>
                <w:rFonts w:ascii="Adobe Caslon Pro" w:hAnsi="Adobe Caslon Pro" w:cs="Calibri"/>
                <w:i/>
                <w:sz w:val="20"/>
                <w:szCs w:val="20"/>
                <w:lang w:eastAsia="es-MX"/>
              </w:rPr>
            </w:pPr>
            <w:r w:rsidRPr="004003A7">
              <w:rPr>
                <w:rStyle w:val="Hipervnculo"/>
                <w:rFonts w:ascii="Adobe Caslon Pro" w:hAnsi="Adobe Caslon Pro" w:cs="Calibri"/>
                <w:i/>
                <w:sz w:val="20"/>
                <w:szCs w:val="20"/>
                <w:lang w:eastAsia="es-MX"/>
              </w:rPr>
              <w:t>http://www.jefaturadelagubernatura-evaluacion.oaxaca.gob.mx/index.php/pae-sidepanel/pae-2015</w:t>
            </w:r>
          </w:p>
          <w:p w:rsidR="00BC53A0" w:rsidRPr="00642484" w:rsidRDefault="00BC53A0" w:rsidP="00A56E05">
            <w:pPr>
              <w:rPr>
                <w:rFonts w:ascii="Adobe Caslon Pro" w:hAnsi="Adobe Caslon Pro" w:cs="Calibri"/>
                <w:color w:val="000000"/>
                <w:sz w:val="20"/>
                <w:szCs w:val="20"/>
                <w:lang w:eastAsia="es-MX"/>
              </w:rPr>
            </w:pPr>
          </w:p>
        </w:tc>
      </w:tr>
    </w:tbl>
    <w:p w:rsidR="00BC53A0" w:rsidRPr="00066E84" w:rsidRDefault="00BC53A0" w:rsidP="00BC53A0">
      <w:pPr>
        <w:rPr>
          <w:rFonts w:ascii="Adobe Caslon Pro" w:hAnsi="Adobe Caslon Pro"/>
          <w:b/>
          <w:sz w:val="20"/>
          <w:szCs w:val="20"/>
          <w:lang w:eastAsia="es-MX"/>
        </w:rPr>
      </w:pPr>
    </w:p>
    <w:p w:rsidR="00BC53A0" w:rsidRDefault="00BC53A0" w:rsidP="00BC53A0">
      <w:pPr>
        <w:autoSpaceDE w:val="0"/>
        <w:autoSpaceDN w:val="0"/>
        <w:adjustRightInd w:val="0"/>
        <w:jc w:val="both"/>
        <w:rPr>
          <w:rFonts w:cs="Calibri"/>
          <w:sz w:val="16"/>
          <w:szCs w:val="16"/>
        </w:rPr>
      </w:pPr>
    </w:p>
    <w:p w:rsidR="00BC53A0" w:rsidRDefault="00BC53A0" w:rsidP="00A225C2">
      <w:pPr>
        <w:autoSpaceDE w:val="0"/>
        <w:autoSpaceDN w:val="0"/>
        <w:adjustRightInd w:val="0"/>
        <w:jc w:val="both"/>
        <w:rPr>
          <w:rFonts w:cs="Calibri"/>
          <w:sz w:val="16"/>
          <w:szCs w:val="16"/>
        </w:rPr>
      </w:pPr>
    </w:p>
    <w:p w:rsidR="0074576E" w:rsidRDefault="0074576E">
      <w:pPr>
        <w:rPr>
          <w:rFonts w:ascii="Arial" w:hAnsi="Arial" w:cs="Arial"/>
          <w:b/>
        </w:rPr>
      </w:pPr>
      <w:r>
        <w:rPr>
          <w:rFonts w:ascii="Arial" w:hAnsi="Arial" w:cs="Arial"/>
          <w:b/>
        </w:rPr>
        <w:br w:type="page"/>
      </w:r>
    </w:p>
    <w:p w:rsidR="0074576E" w:rsidRPr="0074576E" w:rsidRDefault="0074576E" w:rsidP="0074576E">
      <w:pPr>
        <w:contextualSpacing/>
        <w:jc w:val="both"/>
        <w:rPr>
          <w:rFonts w:ascii="Arial" w:hAnsi="Arial" w:cs="Arial"/>
          <w:b/>
        </w:rPr>
      </w:pPr>
      <w:r w:rsidRPr="0074576E">
        <w:rPr>
          <w:rFonts w:ascii="Arial" w:hAnsi="Arial" w:cs="Arial"/>
          <w:b/>
        </w:rPr>
        <w:lastRenderedPageBreak/>
        <w:t>14.</w:t>
      </w:r>
      <w:r w:rsidR="0072684E">
        <w:rPr>
          <w:rFonts w:ascii="Arial" w:hAnsi="Arial" w:cs="Arial"/>
          <w:b/>
        </w:rPr>
        <w:t>2</w:t>
      </w:r>
      <w:r w:rsidRPr="0074576E">
        <w:rPr>
          <w:rFonts w:ascii="Arial" w:hAnsi="Arial" w:cs="Arial"/>
          <w:b/>
        </w:rPr>
        <w:t>.</w:t>
      </w:r>
      <w:r w:rsidR="00FB524A">
        <w:rPr>
          <w:rFonts w:ascii="Arial" w:hAnsi="Arial" w:cs="Arial"/>
          <w:b/>
        </w:rPr>
        <w:t>18</w:t>
      </w:r>
      <w:r w:rsidRPr="0074576E">
        <w:rPr>
          <w:rFonts w:ascii="Arial" w:hAnsi="Arial" w:cs="Arial"/>
          <w:b/>
        </w:rPr>
        <w:t>.- FONDO DE APORTACIONES PARA LA SEGURIDAD PÚBLICA (FASP)</w:t>
      </w:r>
    </w:p>
    <w:p w:rsidR="0074576E" w:rsidRDefault="0074576E" w:rsidP="0074576E">
      <w:pPr>
        <w:pStyle w:val="Prrafodelista"/>
        <w:ind w:left="0"/>
        <w:jc w:val="center"/>
        <w:rPr>
          <w:rFonts w:ascii="Adobe Caslon Pro" w:hAnsi="Adobe Caslon Pro" w:cs="Calibri"/>
          <w:i/>
          <w:color w:val="000000"/>
          <w:lang w:eastAsia="es-MX"/>
        </w:rPr>
      </w:pPr>
    </w:p>
    <w:tbl>
      <w:tblPr>
        <w:tblpPr w:leftFromText="141" w:rightFromText="141" w:vertAnchor="text" w:tblpXSpec="center" w:tblpY="1"/>
        <w:tblOverlap w:val="never"/>
        <w:tblW w:w="9436" w:type="dxa"/>
        <w:jc w:val="center"/>
        <w:tblCellMar>
          <w:left w:w="70" w:type="dxa"/>
          <w:right w:w="70" w:type="dxa"/>
        </w:tblCellMar>
        <w:tblLook w:val="04A0"/>
      </w:tblPr>
      <w:tblGrid>
        <w:gridCol w:w="579"/>
        <w:gridCol w:w="420"/>
        <w:gridCol w:w="1955"/>
        <w:gridCol w:w="1311"/>
        <w:gridCol w:w="160"/>
        <w:gridCol w:w="237"/>
        <w:gridCol w:w="170"/>
        <w:gridCol w:w="141"/>
        <w:gridCol w:w="667"/>
        <w:gridCol w:w="1311"/>
        <w:gridCol w:w="14"/>
        <w:gridCol w:w="1160"/>
        <w:gridCol w:w="151"/>
        <w:gridCol w:w="1160"/>
      </w:tblGrid>
      <w:tr w:rsidR="0074576E" w:rsidRPr="00BE4199" w:rsidTr="00A56E05">
        <w:trPr>
          <w:trHeight w:val="420"/>
          <w:jc w:val="center"/>
        </w:trPr>
        <w:tc>
          <w:tcPr>
            <w:tcW w:w="5640" w:type="dxa"/>
            <w:gridSpan w:val="9"/>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74576E" w:rsidRPr="00BE4199" w:rsidRDefault="0074576E"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Evaluación Estratégica de Consistencia y Resultados del  Fondo de Aportaciones </w:t>
            </w:r>
            <w:r>
              <w:rPr>
                <w:rFonts w:ascii="Adobe Caslon Pro" w:hAnsi="Adobe Caslon Pro" w:cs="Calibri"/>
                <w:i/>
                <w:color w:val="000000"/>
                <w:sz w:val="20"/>
                <w:szCs w:val="20"/>
                <w:lang w:eastAsia="es-MX"/>
              </w:rPr>
              <w:t>para la Seguridad Pública (FASP)</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2071AF" w:rsidRDefault="0074576E" w:rsidP="00A56E05">
            <w:pPr>
              <w:rPr>
                <w:rFonts w:ascii="Adobe Caslon Pro" w:hAnsi="Adobe Caslon Pro" w:cs="Calibri"/>
                <w:color w:val="000000"/>
                <w:sz w:val="20"/>
                <w:szCs w:val="20"/>
                <w:lang w:eastAsia="es-MX"/>
              </w:rPr>
            </w:pPr>
            <w:r w:rsidRPr="002071AF">
              <w:rPr>
                <w:rFonts w:ascii="Adobe Caslon Pro" w:hAnsi="Adobe Caslon Pro" w:cs="Calibri"/>
                <w:color w:val="000000"/>
                <w:sz w:val="20"/>
                <w:szCs w:val="20"/>
                <w:lang w:eastAsia="es-MX"/>
              </w:rPr>
              <w:t>1.2 Fecha de inicio de la evaluación (</w:t>
            </w:r>
            <w:proofErr w:type="spellStart"/>
            <w:r w:rsidRPr="002071AF">
              <w:rPr>
                <w:rFonts w:ascii="Adobe Caslon Pro" w:hAnsi="Adobe Caslon Pro" w:cs="Calibri"/>
                <w:color w:val="000000"/>
                <w:sz w:val="20"/>
                <w:szCs w:val="20"/>
                <w:lang w:eastAsia="es-MX"/>
              </w:rPr>
              <w:t>dd</w:t>
            </w:r>
            <w:proofErr w:type="spellEnd"/>
            <w:r w:rsidRPr="002071AF">
              <w:rPr>
                <w:rFonts w:ascii="Adobe Caslon Pro" w:hAnsi="Adobe Caslon Pro" w:cs="Calibri"/>
                <w:color w:val="000000"/>
                <w:sz w:val="20"/>
                <w:szCs w:val="20"/>
                <w:lang w:eastAsia="es-MX"/>
              </w:rPr>
              <w:t>/mm/</w:t>
            </w:r>
            <w:proofErr w:type="spellStart"/>
            <w:r w:rsidRPr="002071AF">
              <w:rPr>
                <w:rFonts w:ascii="Adobe Caslon Pro" w:hAnsi="Adobe Caslon Pro" w:cs="Calibri"/>
                <w:color w:val="000000"/>
                <w:sz w:val="20"/>
                <w:szCs w:val="20"/>
                <w:lang w:eastAsia="es-MX"/>
              </w:rPr>
              <w:t>aaaa</w:t>
            </w:r>
            <w:proofErr w:type="spellEnd"/>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15/06/2015</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2071AF" w:rsidRDefault="0074576E" w:rsidP="00A56E05">
            <w:pPr>
              <w:rPr>
                <w:rFonts w:ascii="Adobe Caslon Pro" w:hAnsi="Adobe Caslon Pro" w:cs="Calibri"/>
                <w:color w:val="000000"/>
                <w:sz w:val="20"/>
                <w:szCs w:val="20"/>
                <w:lang w:eastAsia="es-MX"/>
              </w:rPr>
            </w:pPr>
            <w:r w:rsidRPr="002071AF">
              <w:rPr>
                <w:rFonts w:ascii="Adobe Caslon Pro" w:hAnsi="Adobe Caslon Pro" w:cs="Calibri"/>
                <w:color w:val="000000"/>
                <w:sz w:val="20"/>
                <w:szCs w:val="20"/>
                <w:lang w:eastAsia="es-MX"/>
              </w:rPr>
              <w:t>1.3 Fecha de término de la evaluación (</w:t>
            </w:r>
            <w:proofErr w:type="spellStart"/>
            <w:r w:rsidRPr="002071AF">
              <w:rPr>
                <w:rFonts w:ascii="Adobe Caslon Pro" w:hAnsi="Adobe Caslon Pro" w:cs="Calibri"/>
                <w:color w:val="000000"/>
                <w:sz w:val="20"/>
                <w:szCs w:val="20"/>
                <w:lang w:eastAsia="es-MX"/>
              </w:rPr>
              <w:t>dd</w:t>
            </w:r>
            <w:proofErr w:type="spellEnd"/>
            <w:r w:rsidRPr="002071AF">
              <w:rPr>
                <w:rFonts w:ascii="Adobe Caslon Pro" w:hAnsi="Adobe Caslon Pro" w:cs="Calibri"/>
                <w:color w:val="000000"/>
                <w:sz w:val="20"/>
                <w:szCs w:val="20"/>
                <w:lang w:eastAsia="es-MX"/>
              </w:rPr>
              <w:t>/mm/</w:t>
            </w:r>
            <w:proofErr w:type="spellStart"/>
            <w:r w:rsidRPr="002071AF">
              <w:rPr>
                <w:rFonts w:ascii="Adobe Caslon Pro" w:hAnsi="Adobe Caslon Pro" w:cs="Calibri"/>
                <w:color w:val="000000"/>
                <w:sz w:val="20"/>
                <w:szCs w:val="20"/>
                <w:lang w:eastAsia="es-MX"/>
              </w:rPr>
              <w:t>aaaa</w:t>
            </w:r>
            <w:proofErr w:type="spellEnd"/>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15/04/2016</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74576E" w:rsidRPr="00BE4199"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76E"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74576E" w:rsidRPr="00BE4199" w:rsidRDefault="0074576E" w:rsidP="00A56E05">
            <w:pPr>
              <w:rPr>
                <w:rFonts w:ascii="Adobe Caslon Pro" w:hAnsi="Adobe Caslon Pro" w:cs="Calibri"/>
                <w:i/>
                <w:color w:val="000000"/>
                <w:sz w:val="20"/>
                <w:szCs w:val="20"/>
                <w:lang w:eastAsia="es-MX"/>
              </w:rPr>
            </w:pPr>
          </w:p>
        </w:tc>
        <w:tc>
          <w:tcPr>
            <w:tcW w:w="4774" w:type="dxa"/>
            <w:gridSpan w:val="8"/>
            <w:tcBorders>
              <w:top w:val="single" w:sz="4" w:space="0" w:color="auto"/>
              <w:left w:val="single" w:sz="4" w:space="0" w:color="auto"/>
              <w:bottom w:val="single" w:sz="4" w:space="0" w:color="auto"/>
              <w:right w:val="single" w:sz="4" w:space="0" w:color="000000"/>
            </w:tcBorders>
            <w:shd w:val="clear" w:color="auto" w:fill="auto"/>
            <w:vAlign w:val="center"/>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74576E"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74576E" w:rsidRDefault="0074576E"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Coadyuvar en la Consolidación del Sistema de Evaluación del Desempeño en el Estado de Oaxaca, a través de identificar y analizar la consistencia y resultados del  Fondo de Aportaciones </w:t>
            </w:r>
            <w:r>
              <w:rPr>
                <w:rFonts w:ascii="Adobe Caslon Pro" w:hAnsi="Adobe Caslon Pro" w:cs="Calibri"/>
                <w:i/>
                <w:color w:val="000000"/>
                <w:sz w:val="20"/>
                <w:szCs w:val="20"/>
                <w:lang w:eastAsia="es-MX"/>
              </w:rPr>
              <w:t xml:space="preserve">para la Seguridad Pública (FASP) </w:t>
            </w:r>
            <w:r w:rsidRPr="00F2106F">
              <w:rPr>
                <w:rFonts w:ascii="Adobe Caslon Pro" w:hAnsi="Adobe Caslon Pro" w:cs="Calibri"/>
                <w:i/>
                <w:color w:val="000000"/>
                <w:sz w:val="20"/>
                <w:szCs w:val="20"/>
                <w:lang w:eastAsia="es-MX"/>
              </w:rPr>
              <w:t>en cuanto al Diseño de la Matriz de Indicadores, la Planeación Estratégica, Cobertura y Focalización, Operación, Percepción de la Población Objetivo, Resultados y Ejercicio de los Recursos, con el fin de que las recomendaciones de este análisis retroalimenten el diseño, la gestión, el desempeño y el ejercicio de los recursos, con base en indicadores</w:t>
            </w:r>
            <w:r w:rsidRPr="00F2106F">
              <w:t xml:space="preserve"> </w:t>
            </w:r>
            <w:r w:rsidRPr="00F2106F">
              <w:rPr>
                <w:rFonts w:ascii="Adobe Caslon Pro" w:hAnsi="Adobe Caslon Pro" w:cs="Calibri"/>
                <w:i/>
                <w:color w:val="000000"/>
                <w:sz w:val="20"/>
                <w:szCs w:val="20"/>
                <w:lang w:eastAsia="es-MX"/>
              </w:rPr>
              <w:t>estratégicos y de gestión para el cumplimiento de los objetivos para los que están destinados.</w:t>
            </w:r>
          </w:p>
          <w:p w:rsidR="0074576E" w:rsidRPr="00BE4199" w:rsidRDefault="0074576E" w:rsidP="00A56E05">
            <w:pPr>
              <w:jc w:val="both"/>
              <w:rPr>
                <w:rFonts w:ascii="Adobe Caslon Pro" w:hAnsi="Adobe Caslon Pro" w:cs="Calibri"/>
                <w: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74576E"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Diseño. Es un proceso analítico global que se enfoca en identificar los objetivos del Fondo de Aportaciones, del programa presupuestario que opera con recursos federales o del programa presupuestario estatal evaluado, según sea el caso, para luego determinar la consistencia de su diseño y los resultados con tales objetivos.</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Planeación Estratégica. Implica analizar los instrumentos de planeación, y corroborar si tal planeación tiene una orientación para resultados.</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Cobertura y Focalización. Corresponde cuantificar y determinar la población potencial y la población objetivo que está siendo atendida.</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Operación. Analiza las principales actividades y procesos establecidos en la normatividad aplicable; la eficiencia, eficacia y economía operativa; y el cumplimiento y avance en los indicadores estratégicos y de gestión.</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Percepción de la Población. Analiza el grado de satisfacción de los beneficiarios de los bienes y servicios que se producen.</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Resultados. Analiza los resultados intermedios y de impacto alcanzados, en términos de mejora o solución del problema por el cual fue creado.</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p>
          <w:p w:rsidR="0074576E" w:rsidRPr="00682064" w:rsidRDefault="0074576E" w:rsidP="00A56E05">
            <w:pPr>
              <w:ind w:left="720"/>
              <w:jc w:val="both"/>
              <w:rPr>
                <w:rFonts w:ascii="Adobe Caslon Pro" w:hAnsi="Adobe Caslon Pro" w:cs="Calibri"/>
                <w: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Instrumentos de recolección de información: </w:t>
            </w:r>
          </w:p>
        </w:tc>
      </w:tr>
      <w:tr w:rsidR="0074576E" w:rsidRPr="00BE4199" w:rsidTr="00A56E05">
        <w:trPr>
          <w:trHeight w:val="420"/>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74576E" w:rsidRPr="00863E8F" w:rsidRDefault="0074576E"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tc>
      </w:tr>
      <w:tr w:rsidR="0074576E" w:rsidRPr="00BE4199" w:rsidTr="00A56E05">
        <w:trPr>
          <w:trHeight w:val="599"/>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Descripción de las técnicas y modelos utilizados: </w:t>
            </w:r>
          </w:p>
          <w:p w:rsidR="0074576E" w:rsidRDefault="0074576E"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nes y el proceso presupuestario, los cuales se encuentran en los Términos de Referencia en la siguiente liga:</w:t>
            </w:r>
          </w:p>
          <w:p w:rsidR="0074576E" w:rsidRDefault="009B1A50" w:rsidP="00A56E05">
            <w:pPr>
              <w:jc w:val="both"/>
              <w:rPr>
                <w:rStyle w:val="Hipervnculo"/>
                <w:rFonts w:ascii="Adobe Caslon Pro" w:hAnsi="Adobe Caslon Pro" w:cs="Calibri"/>
                <w:i/>
                <w:sz w:val="20"/>
                <w:szCs w:val="20"/>
                <w:lang w:eastAsia="es-MX"/>
              </w:rPr>
            </w:pPr>
            <w:hyperlink r:id="rId192" w:history="1">
              <w:r w:rsidR="0074576E" w:rsidRPr="002630FA">
                <w:rPr>
                  <w:rStyle w:val="Hipervnculo"/>
                  <w:rFonts w:ascii="Adobe Caslon Pro" w:hAnsi="Adobe Caslon Pro" w:cs="Calibri"/>
                  <w:i/>
                  <w:sz w:val="20"/>
                  <w:szCs w:val="20"/>
                  <w:lang w:eastAsia="es-MX"/>
                </w:rPr>
                <w:t>http://www.jefaturadelagubernatura-evaluacion.oaxaca.gob.mx/index.php/pae-sidepanel/pae-2015</w:t>
              </w:r>
            </w:hyperlink>
          </w:p>
          <w:p w:rsidR="0074576E" w:rsidRDefault="0074576E" w:rsidP="00A56E05">
            <w:pPr>
              <w:jc w:val="both"/>
              <w:rPr>
                <w:rStyle w:val="Hipervnculo"/>
                <w:rFonts w:ascii="Adobe Caslon Pro" w:hAnsi="Adobe Caslon Pro" w:cs="Calibri"/>
                <w:i/>
                <w:sz w:val="20"/>
                <w:szCs w:val="20"/>
                <w:lang w:eastAsia="es-MX"/>
              </w:rPr>
            </w:pPr>
          </w:p>
          <w:p w:rsidR="0074576E"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Base de datos de gabinete utilizados para el análisis:</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Ficha Técnica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MIR del fondo Federal.</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MIR Estatal del fondo o de los programas presupuestarios financiados con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Vinculación del Programa y/o Proyecto con el Plan Nacional de Desarrollo y Plan Estatal de Desarrollo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 Secto</w:t>
            </w:r>
            <w:r>
              <w:rPr>
                <w:rFonts w:ascii="Adobe Caslon Pro" w:hAnsi="Adobe Caslon Pro" w:cs="Calibri"/>
                <w:i/>
                <w:color w:val="000000"/>
                <w:sz w:val="20"/>
                <w:szCs w:val="20"/>
                <w:lang w:eastAsia="es-MX"/>
              </w:rPr>
              <w:t>rial de Desarrollo.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 Estratégico o Institucional de la Coordinadora y de las Dependencias responsables de operar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Objetivos Estratégicos de la Coordinadora y de las Dependencias responsables del operar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en donde se incluya el análisis del problema del fondo o de los programas presupuestarios financiados con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Listado de indicadores.</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Ficha técnica d</w:t>
            </w:r>
            <w:r>
              <w:rPr>
                <w:rFonts w:ascii="Adobe Caslon Pro" w:hAnsi="Adobe Caslon Pro" w:cs="Calibri"/>
                <w:i/>
                <w:color w:val="000000"/>
                <w:sz w:val="20"/>
                <w:szCs w:val="20"/>
                <w:lang w:eastAsia="es-MX"/>
              </w:rPr>
              <w:t>e los indicadores.</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Programas federales y/o estatales con características similares (ficha técnica o link de información)</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el procedimiento a través del cual se administra y opera el fondo y los programas presupuestarios financiados por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para la selección de beneficiarios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para la selección de proyectos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Padrón de beneficiarios y link de difusión</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Características socioeconómicas de los beneficiarios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los procedimientos de actualizac</w:t>
            </w:r>
            <w:r>
              <w:rPr>
                <w:rFonts w:ascii="Adobe Caslon Pro" w:hAnsi="Adobe Caslon Pro" w:cs="Calibri"/>
                <w:i/>
                <w:color w:val="000000"/>
                <w:sz w:val="20"/>
                <w:szCs w:val="20"/>
                <w:lang w:eastAsia="es-MX"/>
              </w:rPr>
              <w:t>ión del padrón de beneficiarios.</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Cuantificar a la Población Potencial, objetivo, atendida</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Instrumento para medir la satisfacción del usuario y sus resultados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Manual de planeac</w:t>
            </w:r>
            <w:r>
              <w:rPr>
                <w:rFonts w:ascii="Adobe Caslon Pro" w:hAnsi="Adobe Caslon Pro" w:cs="Calibri"/>
                <w:i/>
                <w:color w:val="000000"/>
                <w:sz w:val="20"/>
                <w:szCs w:val="20"/>
                <w:lang w:eastAsia="es-MX"/>
              </w:rPr>
              <w:t>ión, programación y presupuesto.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Presupuesto aprobado, ejercido y no devengado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Avance físico-financiero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técnico que contenga los procesos de la entrega/recepción de componentes (actas de entrega- recepción)</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Cierre de ejercicio.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Instrumentos de recuperación de Deuda relacionados con el cumplimiento de objetivos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Calendario de transferencia de recursos para la operación del fondo (De la federación a la Entidad)</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Calendario de transferencia de recursos para la operación del fondo (De la Entidad a las ejecutoras)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Reportes de Cuenta Pública</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Informe sobre la situación económica, las finanzas públicas y la deuda pública. Formato único sobre aplicaciones de recursos federales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 de seguimiento y monitoreo financiero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Formato de resultados del PASH.</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los sistemas de información que se utilizan en la gestión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Costos de Operación del fondo.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de Procedimientos para medir costo-efectividad en la ejecución del fondo.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de resultados de la medición costo-efectividad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Estructura organizacional de la dependencia, que incluya las áreas operativas relacionadas con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lastRenderedPageBreak/>
              <w:t>Manual organizacional de la dependencia, que incluya las responsabilidades y funciones asociadas con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del Sistema de Evaluación del Desempeño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 del avance de gestión y resultados (reporte de indicadores de la MIR)</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Reporte de Evaluación del fondo.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ocupado para la evaluación del fondo (</w:t>
            </w:r>
            <w:proofErr w:type="spellStart"/>
            <w:r w:rsidRPr="00D2150C">
              <w:rPr>
                <w:rFonts w:ascii="Adobe Caslon Pro" w:hAnsi="Adobe Caslon Pro" w:cs="Calibri"/>
                <w:i/>
                <w:color w:val="000000"/>
                <w:sz w:val="20"/>
                <w:szCs w:val="20"/>
                <w:lang w:eastAsia="es-MX"/>
              </w:rPr>
              <w:t>TdR's</w:t>
            </w:r>
            <w:proofErr w:type="spellEnd"/>
            <w:r w:rsidRPr="00D2150C">
              <w:rPr>
                <w:rFonts w:ascii="Adobe Caslon Pro" w:hAnsi="Adobe Caslon Pro" w:cs="Calibri"/>
                <w:i/>
                <w:color w:val="000000"/>
                <w:sz w:val="20"/>
                <w:szCs w:val="20"/>
                <w:lang w:eastAsia="es-MX"/>
              </w:rPr>
              <w:t>)</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Planes de mejora asociados a la evaluación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del Sistema de Rendición de Cuentas y Transparencia para los funcionarios que administran el fondo</w:t>
            </w:r>
            <w:r>
              <w:rPr>
                <w:rFonts w:ascii="Adobe Caslon Pro" w:hAnsi="Adobe Caslon Pro" w:cs="Calibri"/>
                <w:i/>
                <w:color w:val="000000"/>
                <w:sz w:val="20"/>
                <w:szCs w:val="20"/>
                <w:lang w:eastAsia="es-MX"/>
              </w:rPr>
              <w:t>.</w:t>
            </w:r>
          </w:p>
          <w:p w:rsidR="0074576E" w:rsidRPr="000D1A21"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Páginas Web de Transparencia y/o gaceta oficial en donde se transparente la operación del fondo</w:t>
            </w:r>
            <w:r>
              <w:rPr>
                <w:rFonts w:ascii="Adobe Caslon Pro" w:hAnsi="Adobe Caslon Pro" w:cs="Calibri"/>
                <w:i/>
                <w:color w:val="000000"/>
                <w:sz w:val="20"/>
                <w:szCs w:val="20"/>
                <w:lang w:eastAsia="es-MX"/>
              </w:rPr>
              <w:t xml:space="preserve"> </w:t>
            </w:r>
            <w:r w:rsidRPr="00D2150C">
              <w:rPr>
                <w:rFonts w:ascii="Adobe Caslon Pro" w:hAnsi="Adobe Caslon Pro" w:cs="Calibri"/>
                <w:i/>
                <w:color w:val="000000"/>
                <w:sz w:val="20"/>
                <w:szCs w:val="20"/>
                <w:lang w:eastAsia="es-MX"/>
              </w:rPr>
              <w:t>(financiera, operativa, percepción de la población, evaluación)</w:t>
            </w:r>
            <w:r>
              <w:rPr>
                <w:rFonts w:ascii="Adobe Caslon Pro" w:hAnsi="Adobe Caslon Pro" w:cs="Calibri"/>
                <w:i/>
                <w:color w:val="000000"/>
                <w:sz w:val="20"/>
                <w:szCs w:val="20"/>
                <w:lang w:eastAsia="es-MX"/>
              </w:rPr>
              <w:t>.</w:t>
            </w:r>
          </w:p>
        </w:tc>
      </w:tr>
      <w:tr w:rsidR="0074576E" w:rsidRPr="00BE4199" w:rsidTr="00A56E05">
        <w:trPr>
          <w:trHeight w:val="58"/>
          <w:jc w:val="center"/>
        </w:trPr>
        <w:tc>
          <w:tcPr>
            <w:tcW w:w="999" w:type="dxa"/>
            <w:gridSpan w:val="2"/>
            <w:tcBorders>
              <w:top w:val="single" w:sz="4" w:space="0" w:color="auto"/>
              <w:bottom w:val="single" w:sz="4" w:space="0" w:color="auto"/>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 </w:t>
            </w:r>
          </w:p>
        </w:tc>
        <w:tc>
          <w:tcPr>
            <w:tcW w:w="8437" w:type="dxa"/>
            <w:gridSpan w:val="12"/>
            <w:tcBorders>
              <w:top w:val="single" w:sz="4" w:space="0" w:color="auto"/>
              <w:bottom w:val="single" w:sz="4" w:space="0" w:color="auto"/>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8125" w:type="dxa"/>
            <w:gridSpan w:val="12"/>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61"/>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74576E" w:rsidRPr="00EB27F0" w:rsidRDefault="0074576E" w:rsidP="00A56E05">
            <w:pPr>
              <w:rPr>
                <w:rFonts w:ascii="Adobe Caslon Pro" w:hAnsi="Adobe Caslon Pro" w:cs="Calibri"/>
                <w:color w:val="000000"/>
                <w:sz w:val="20"/>
                <w:szCs w:val="20"/>
                <w:lang w:eastAsia="es-MX"/>
              </w:rPr>
            </w:pPr>
            <w:r w:rsidRPr="00EB27F0">
              <w:rPr>
                <w:rFonts w:ascii="Adobe Caslon Pro" w:hAnsi="Adobe Caslon Pro" w:cs="Calibri"/>
                <w:color w:val="000000"/>
                <w:sz w:val="20"/>
                <w:szCs w:val="20"/>
                <w:lang w:eastAsia="es-MX"/>
              </w:rPr>
              <w:t>2.1 Describir los hallazgos más relevantes de la evaluación: </w:t>
            </w:r>
          </w:p>
          <w:p w:rsidR="0074576E" w:rsidRPr="00EB27F0" w:rsidRDefault="0074576E" w:rsidP="00A56E05">
            <w:pPr>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DISEÑO</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Se cuenta con una Matriz de Indicadores para Resultados (MIR) Federal del Fondo de Aportaciones para la Seguridad Pública.</w:t>
            </w:r>
          </w:p>
          <w:p w:rsidR="0074576E" w:rsidRPr="00EB27F0" w:rsidRDefault="0074576E" w:rsidP="00F075EB">
            <w:pPr>
              <w:numPr>
                <w:ilvl w:val="0"/>
                <w:numId w:val="12"/>
              </w:numPr>
              <w:jc w:val="both"/>
              <w:rPr>
                <w:rFonts w:ascii="Adobe Caslon Pro" w:hAnsi="Adobe Caslon Pro" w:cs="Calibri"/>
                <w:color w:val="000000"/>
                <w:sz w:val="20"/>
                <w:szCs w:val="20"/>
                <w:lang w:eastAsia="es-MX"/>
              </w:rPr>
            </w:pPr>
            <w:r w:rsidRPr="00EB27F0">
              <w:rPr>
                <w:rFonts w:ascii="Adobe Caslon Pro" w:hAnsi="Adobe Caslon Pro" w:cs="Calibri"/>
                <w:i/>
                <w:color w:val="000000"/>
                <w:sz w:val="20"/>
                <w:szCs w:val="20"/>
                <w:lang w:eastAsia="es-MX"/>
              </w:rPr>
              <w:t>Con base en el Anexo Técnico Único del Convenio de Coordinación del Fondo de Aportaciones para la Seguridad Pública 2014, el FASP opera con 17 Programas de Prioridad Nacional, de los cuales se cuenta con información sobre las metas y objetivos establecidos en dicho Anexo.</w:t>
            </w:r>
          </w:p>
          <w:p w:rsidR="0074576E" w:rsidRPr="005702E8" w:rsidRDefault="0074576E" w:rsidP="00A56E05">
            <w:pPr>
              <w:ind w:left="720"/>
              <w:jc w:val="both"/>
              <w:rPr>
                <w:rFonts w:ascii="Adobe Caslon Pro" w:hAnsi="Adobe Caslon Pro" w:cs="Calibri"/>
                <w:color w:val="000000"/>
                <w:sz w:val="20"/>
                <w:szCs w:val="20"/>
                <w:highlight w:val="green"/>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PLANEACIÓN ESTRATÉGICA</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Se establece la vinculación directa del Fondo de Aportaciones para la Seguridad Pública (FASP) con el Plan Nacional de Desarrollo (2013-2018) y el Plan Estatal de Desarrollo de Oaxaca (2011-2016).</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El Programa Sectorial de Procuración de Justicia del Estado de Oaxaca 2011-2016, los programas operativos de esta dependencia con los cuales pudiera existir una complementariedad con el FASP.</w:t>
            </w:r>
          </w:p>
          <w:p w:rsidR="0074576E" w:rsidRPr="00EB27F0" w:rsidRDefault="0074576E" w:rsidP="00A56E05">
            <w:pPr>
              <w:ind w:left="72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COBERTURA Y FOCALIZACIÓN</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No se han coordinado los esfuerzos para establecer un mecanismo que permita cuantificar exclusivamente a la población potencial y objetivo de los recursos del FASP.</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Falta de una metodología para determinar la población objetivo, potencial y atendida con los programas operados con los recursos del FASP.</w:t>
            </w:r>
          </w:p>
          <w:p w:rsidR="0074576E" w:rsidRPr="00EB27F0" w:rsidRDefault="0074576E" w:rsidP="00A56E05">
            <w:pPr>
              <w:ind w:left="72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OPERACIÓN</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Se cuenta con una estructura organizacional amplia del Secretariado Ejecutivo Estatal de Seguridad y de la Procuraduría General de Justicia del Estado de Oaxaca, lo cual facilita la ejecución de los recursos del FASP.</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Se cuenta con información sobre cada uno de los 17 Programas de Prioridad Nacional sobre el avance físico y financiero, recursos aprobados, recursos ejercidos y recursos disponibles.</w:t>
            </w:r>
          </w:p>
          <w:p w:rsidR="0074576E" w:rsidRPr="00EB27F0" w:rsidRDefault="0074576E" w:rsidP="00A56E05">
            <w:pPr>
              <w:ind w:left="72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PERCEPCIÓN DE LA POBLACIÓN OBJETIVO</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En los Lineamientos Generales para el Diseño y Ejecución de los Programas de Evaluación del Fondo de Aportaciones para la Seguridad Pública de los Estados y el Distrito Federal 2014 se establece una metodología de evaluación, para medir el grado de satisfacción de los elementos de seguridad, la cual es la Evaluación Institucional realizada por el Instituto Nacional de Administración Pública (INAP).</w:t>
            </w:r>
          </w:p>
          <w:p w:rsidR="0074576E" w:rsidRPr="00EB27F0" w:rsidRDefault="0074576E" w:rsidP="00A56E05">
            <w:pPr>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RESULTADOS</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 xml:space="preserve">Se identifica el grado de eficiencia según las metas programadas y cumplidas de los Programas de </w:t>
            </w:r>
            <w:r w:rsidRPr="00EB27F0">
              <w:rPr>
                <w:rFonts w:ascii="Adobe Caslon Pro" w:hAnsi="Adobe Caslon Pro" w:cs="Calibri"/>
                <w:i/>
                <w:color w:val="000000"/>
                <w:sz w:val="20"/>
                <w:szCs w:val="20"/>
                <w:lang w:eastAsia="es-MX"/>
              </w:rPr>
              <w:lastRenderedPageBreak/>
              <w:t>Prioridad Nacional en la Evaluación Integral realizada por el Instituto Nacional de Administración Pública (INAP).</w:t>
            </w:r>
          </w:p>
          <w:p w:rsidR="0074576E" w:rsidRPr="00EB27F0" w:rsidRDefault="0074576E" w:rsidP="00A56E05">
            <w:pPr>
              <w:ind w:left="72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EJERCICIO DE LOS RECURSOS</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En la Evaluación Integral del FASP realizada por el INAP, se establece que en promedio el 50% es el grado de avance de los Programas de Prioridad Nacional del FASP 2014.</w:t>
            </w:r>
          </w:p>
          <w:p w:rsidR="0074576E" w:rsidRPr="00484EC1" w:rsidRDefault="0074576E" w:rsidP="00A56E05">
            <w:pPr>
              <w:jc w:val="both"/>
              <w:rPr>
                <w:rFonts w:ascii="Adobe Caslon Pro" w:hAnsi="Adobe Caslon Pro" w:cs="Calibri"/>
                <w:i/>
                <w:color w:val="000000"/>
                <w:sz w:val="20"/>
                <w:szCs w:val="20"/>
                <w:lang w:eastAsia="es-MX"/>
              </w:rPr>
            </w:pPr>
          </w:p>
        </w:tc>
      </w:tr>
      <w:tr w:rsidR="0074576E" w:rsidRPr="00BE4199" w:rsidTr="00A56E05">
        <w:trPr>
          <w:trHeight w:val="420"/>
          <w:jc w:val="center"/>
        </w:trPr>
        <w:tc>
          <w:tcPr>
            <w:tcW w:w="9436" w:type="dxa"/>
            <w:gridSpan w:val="14"/>
            <w:vMerge w:val="restart"/>
            <w:tcBorders>
              <w:top w:val="single" w:sz="4" w:space="0" w:color="auto"/>
              <w:left w:val="single" w:sz="4" w:space="0" w:color="auto"/>
              <w:bottom w:val="nil"/>
              <w:right w:val="single" w:sz="4" w:space="0" w:color="000000"/>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2.2 Señalar cuáles son las principales Fortalezas, Oportunidades, Debilidades y Amenazas (FODA), de acuerdo con los temas del programa, estrategia o instituciones.</w:t>
            </w:r>
          </w:p>
        </w:tc>
      </w:tr>
      <w:tr w:rsidR="0074576E" w:rsidRPr="00BE4199" w:rsidTr="00A56E05">
        <w:trPr>
          <w:trHeight w:val="340"/>
          <w:jc w:val="center"/>
        </w:trPr>
        <w:tc>
          <w:tcPr>
            <w:tcW w:w="9436" w:type="dxa"/>
            <w:gridSpan w:val="14"/>
            <w:vMerge/>
            <w:tcBorders>
              <w:top w:val="single" w:sz="4" w:space="0" w:color="auto"/>
              <w:left w:val="single" w:sz="4" w:space="0" w:color="auto"/>
              <w:bottom w:val="nil"/>
              <w:right w:val="single" w:sz="4" w:space="0" w:color="000000"/>
            </w:tcBorders>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E71100" w:rsidRDefault="0074576E" w:rsidP="00A56E05">
            <w:pPr>
              <w:jc w:val="both"/>
              <w:rPr>
                <w:rFonts w:ascii="Adobe Caslon Pro" w:hAnsi="Adobe Caslon Pro" w:cs="Calibri"/>
                <w:i/>
                <w:color w:val="000000"/>
                <w:sz w:val="20"/>
                <w:szCs w:val="20"/>
                <w:lang w:eastAsia="es-MX"/>
              </w:rPr>
            </w:pPr>
            <w:r w:rsidRPr="00E71100">
              <w:rPr>
                <w:rFonts w:ascii="Adobe Caslon Pro" w:hAnsi="Adobe Caslon Pro" w:cs="Calibri"/>
                <w:i/>
                <w:color w:val="000000"/>
                <w:sz w:val="20"/>
                <w:szCs w:val="20"/>
                <w:lang w:eastAsia="es-MX"/>
              </w:rPr>
              <w:t>2.2.1 Fortalezas:</w:t>
            </w: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DISEÑO</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Existe una Matriz de Indicadores para Resultados (MIR) Federal del Fondo.</w:t>
            </w:r>
          </w:p>
          <w:p w:rsidR="0074576E" w:rsidRPr="00EB27F0" w:rsidRDefault="0074576E" w:rsidP="00F075EB">
            <w:pPr>
              <w:numPr>
                <w:ilvl w:val="0"/>
                <w:numId w:val="12"/>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 xml:space="preserve">Los Programas de Prioridad Nacional del FASP cuentan con información y metas apegadas a los objetivos Nacionales. </w:t>
            </w:r>
          </w:p>
          <w:p w:rsidR="0074576E" w:rsidRPr="00EB27F0" w:rsidRDefault="0074576E" w:rsidP="00A56E05">
            <w:pPr>
              <w:ind w:left="36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PLANEACIÓN ESTRATÉGICA</w:t>
            </w:r>
          </w:p>
          <w:p w:rsidR="0074576E" w:rsidRPr="00EB27F0" w:rsidRDefault="0074576E" w:rsidP="00F075EB">
            <w:pPr>
              <w:numPr>
                <w:ilvl w:val="0"/>
                <w:numId w:val="77"/>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Las fichas técnicas de los Programas de Prioridad Nacional cuentan con objetivos estratégicos y metas que los Estados deberán alcanzar.</w:t>
            </w:r>
          </w:p>
          <w:p w:rsidR="0074576E" w:rsidRPr="00EB27F0" w:rsidRDefault="0074576E" w:rsidP="00F075EB">
            <w:pPr>
              <w:numPr>
                <w:ilvl w:val="0"/>
                <w:numId w:val="77"/>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Existen programas sectoriales que operan en el estado de Oaxaca, los cuales son complementarios a los del FASP.</w:t>
            </w:r>
          </w:p>
          <w:p w:rsidR="0074576E" w:rsidRPr="004F49B4" w:rsidRDefault="0074576E" w:rsidP="00A56E05">
            <w:pPr>
              <w:ind w:left="72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COBERTURA Y FOCALIZACIÓN</w:t>
            </w:r>
          </w:p>
          <w:p w:rsidR="0074576E" w:rsidRPr="00EB27F0" w:rsidRDefault="0074576E" w:rsidP="00F075EB">
            <w:pPr>
              <w:numPr>
                <w:ilvl w:val="0"/>
                <w:numId w:val="78"/>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 xml:space="preserve">Se identifica la población total del estado de Oaxaca como la población potencial y objetivo del FASP, con base al censo de población y vivienda 2010 del Instituto Nacional de Estadística, Geografía e Informática (INEGI). </w:t>
            </w:r>
          </w:p>
          <w:p w:rsidR="0074576E" w:rsidRPr="00EB27F0" w:rsidRDefault="0074576E" w:rsidP="00A56E05">
            <w:pPr>
              <w:ind w:left="72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OPERACIÓN</w:t>
            </w:r>
          </w:p>
          <w:p w:rsidR="0074576E" w:rsidRPr="00EB27F0" w:rsidRDefault="0074576E" w:rsidP="00F075EB">
            <w:pPr>
              <w:numPr>
                <w:ilvl w:val="0"/>
                <w:numId w:val="79"/>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La Matriz de Indicadores para Resultados del FASP a nivel Federal cuenta con indicadores para medir el grado de eficiencia de las operaciones.</w:t>
            </w:r>
          </w:p>
          <w:p w:rsidR="0074576E" w:rsidRPr="00EB27F0" w:rsidRDefault="0074576E" w:rsidP="00F075EB">
            <w:pPr>
              <w:numPr>
                <w:ilvl w:val="0"/>
                <w:numId w:val="79"/>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Informe sobre cada uno de los Programas de Prioridad Nacional sobre el avance físico y financiero, recursos aprobados, recursos ejercidos y recursos disponibles.</w:t>
            </w:r>
          </w:p>
          <w:p w:rsidR="0074576E" w:rsidRPr="00EB27F0" w:rsidRDefault="0074576E" w:rsidP="00F075EB">
            <w:pPr>
              <w:numPr>
                <w:ilvl w:val="0"/>
                <w:numId w:val="79"/>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Tanto el Secretariado Ejecutivo Estatal de Seguridad como la Procuraduría General de Justicia del Estado de Oaxaca cuentan con una estructura organizacional amplia para la ejecución de los recursos del FASP.</w:t>
            </w:r>
          </w:p>
          <w:p w:rsidR="0074576E" w:rsidRPr="00EB27F0" w:rsidRDefault="0074576E" w:rsidP="00A56E05">
            <w:pPr>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PERCEPCIÓN DE LA POBLACIÓN OBJETIVO</w:t>
            </w:r>
          </w:p>
          <w:p w:rsidR="0074576E" w:rsidRPr="00EB27F0" w:rsidRDefault="0074576E" w:rsidP="00F075EB">
            <w:pPr>
              <w:numPr>
                <w:ilvl w:val="0"/>
                <w:numId w:val="115"/>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Metodología derivada de los Lineamientos Generales para el Diseño y Ejecución de los Programas de Evaluación del Fondo de Aportaciones para la Seguridad Pública de los Estados y el Distrito Federal 2014, para medir el grado de satisfacción que es la Evaluación Institucional realizada por el Instituto Nacional de Administración Pública (INAP).</w:t>
            </w:r>
          </w:p>
          <w:p w:rsidR="0074576E" w:rsidRPr="00EB27F0" w:rsidRDefault="0074576E" w:rsidP="00A56E05">
            <w:pPr>
              <w:ind w:left="36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RESULTADOS</w:t>
            </w:r>
          </w:p>
          <w:p w:rsidR="0074576E" w:rsidRPr="00EB27F0" w:rsidRDefault="0074576E" w:rsidP="00F075EB">
            <w:pPr>
              <w:numPr>
                <w:ilvl w:val="0"/>
                <w:numId w:val="79"/>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Con la información obtenida de los Programas de Prioridad Nacional y las evaluaciones externas, se puede realizar una evaluación de impacto.</w:t>
            </w:r>
          </w:p>
          <w:p w:rsidR="0074576E" w:rsidRPr="00EB27F0" w:rsidRDefault="0074576E" w:rsidP="00F075EB">
            <w:pPr>
              <w:numPr>
                <w:ilvl w:val="0"/>
                <w:numId w:val="79"/>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La Evaluación Integral realizada por el Instituto Nacional de Administración Pública (INAP) identifica el grado de eficiencia según las metas programadas y cumplidas de los Programas de Prioridad Nacional.</w:t>
            </w:r>
          </w:p>
          <w:p w:rsidR="0074576E" w:rsidRPr="00EB27F0" w:rsidRDefault="0074576E" w:rsidP="00A56E05">
            <w:pPr>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EJERCICIO DE LOS RECURSOS</w:t>
            </w:r>
          </w:p>
          <w:p w:rsidR="0074576E" w:rsidRPr="00EB27F0" w:rsidRDefault="0074576E" w:rsidP="00F075EB">
            <w:pPr>
              <w:numPr>
                <w:ilvl w:val="0"/>
                <w:numId w:val="116"/>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lastRenderedPageBreak/>
              <w:t>En promedio, el 50% es el grado de avance de los Programas de Prioridad Nacional del FASP con base a la Evaluación Integral del FASP realizada por el INAP.</w:t>
            </w:r>
          </w:p>
          <w:p w:rsidR="0074576E" w:rsidRPr="00EB27F0" w:rsidRDefault="0074576E" w:rsidP="00F075EB">
            <w:pPr>
              <w:numPr>
                <w:ilvl w:val="0"/>
                <w:numId w:val="116"/>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Se cumple con la normatividad sobre el acceso de información y transparencia, mediante las páginas web de transparencia del estado de Oaxaca, en donde se encuentra publicada la información.</w:t>
            </w:r>
          </w:p>
          <w:p w:rsidR="0074576E" w:rsidRPr="00085408" w:rsidRDefault="0074576E" w:rsidP="00A56E05">
            <w:pPr>
              <w:jc w:val="both"/>
              <w:rPr>
                <w:rFonts w:ascii="Adobe Caslon Pro" w:hAnsi="Adobe Caslon Pro" w:cs="Calibri"/>
                <w: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Default="0074576E" w:rsidP="00A56E05">
            <w:pPr>
              <w:rPr>
                <w:rFonts w:ascii="Adobe Caslon Pro" w:hAnsi="Adobe Caslon Pro" w:cs="Calibri"/>
                <w:color w:val="000000"/>
                <w:sz w:val="20"/>
                <w:szCs w:val="20"/>
                <w:lang w:eastAsia="es-MX"/>
              </w:rPr>
            </w:pPr>
            <w:r w:rsidRPr="007D66F1">
              <w:rPr>
                <w:rFonts w:ascii="Adobe Caslon Pro" w:hAnsi="Adobe Caslon Pro" w:cs="Calibri"/>
                <w:color w:val="000000"/>
                <w:sz w:val="20"/>
                <w:szCs w:val="20"/>
                <w:lang w:eastAsia="es-MX"/>
              </w:rPr>
              <w:t>2.2.3 Debilidades:</w:t>
            </w: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DISEÑO</w:t>
            </w:r>
          </w:p>
          <w:p w:rsidR="0074576E" w:rsidRPr="00EB27F0" w:rsidRDefault="0074576E" w:rsidP="00F075EB">
            <w:pPr>
              <w:numPr>
                <w:ilvl w:val="0"/>
                <w:numId w:val="81"/>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No se encontró con evidencia de la existencia de una MIR Estatal del FASP, así mismo la Matriz de Indicadores para Resultados (MIR) Federal del FASP no se encuentra completa.</w:t>
            </w:r>
          </w:p>
          <w:p w:rsidR="0074576E" w:rsidRPr="00EB27F0" w:rsidRDefault="0074576E" w:rsidP="00A56E05">
            <w:pPr>
              <w:ind w:left="36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PLANEACIÓN ESTRATÉGICA</w:t>
            </w:r>
          </w:p>
          <w:p w:rsidR="0074576E" w:rsidRPr="00EB27F0" w:rsidRDefault="0074576E" w:rsidP="00F075EB">
            <w:pPr>
              <w:numPr>
                <w:ilvl w:val="0"/>
                <w:numId w:val="81"/>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Los indicadores establecidos en la MIR del FASP 2014 a nivel Federal, no cuentan con una línea base.</w:t>
            </w:r>
          </w:p>
          <w:p w:rsidR="0074576E" w:rsidRPr="00EB27F0" w:rsidRDefault="0074576E" w:rsidP="00F075EB">
            <w:pPr>
              <w:numPr>
                <w:ilvl w:val="0"/>
                <w:numId w:val="81"/>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Las fichas técnicas de los programa de prioridad Nacional no cuentan con indicadores y no son establecidos dentro de la MIR.</w:t>
            </w:r>
          </w:p>
          <w:p w:rsidR="0074576E" w:rsidRPr="00EB27F0" w:rsidRDefault="0074576E" w:rsidP="00A56E05">
            <w:pPr>
              <w:ind w:left="72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COBERTURA Y FOCALIZACIÓN</w:t>
            </w:r>
          </w:p>
          <w:p w:rsidR="0074576E" w:rsidRPr="00EB27F0" w:rsidRDefault="0074576E" w:rsidP="00F075EB">
            <w:pPr>
              <w:numPr>
                <w:ilvl w:val="0"/>
                <w:numId w:val="117"/>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 xml:space="preserve">La población </w:t>
            </w:r>
            <w:proofErr w:type="gramStart"/>
            <w:r w:rsidRPr="00EB27F0">
              <w:rPr>
                <w:rFonts w:ascii="Adobe Caslon Pro" w:hAnsi="Adobe Caslon Pro" w:cs="Calibri"/>
                <w:i/>
                <w:color w:val="000000"/>
                <w:sz w:val="20"/>
                <w:szCs w:val="20"/>
                <w:lang w:eastAsia="es-MX"/>
              </w:rPr>
              <w:t>objetivo</w:t>
            </w:r>
            <w:proofErr w:type="gramEnd"/>
            <w:r w:rsidRPr="00EB27F0">
              <w:rPr>
                <w:rFonts w:ascii="Adobe Caslon Pro" w:hAnsi="Adobe Caslon Pro" w:cs="Calibri"/>
                <w:i/>
                <w:color w:val="000000"/>
                <w:sz w:val="20"/>
                <w:szCs w:val="20"/>
                <w:lang w:eastAsia="es-MX"/>
              </w:rPr>
              <w:t xml:space="preserve"> y potencial de los programas operados con los recursos del FASP no es definida de una manera clara.</w:t>
            </w:r>
          </w:p>
          <w:p w:rsidR="0074576E" w:rsidRPr="00EB27F0" w:rsidRDefault="0074576E" w:rsidP="00A56E05">
            <w:pPr>
              <w:jc w:val="both"/>
              <w:rPr>
                <w:rFonts w:ascii="Adobe Caslon Pro" w:hAnsi="Adobe Caslon Pro" w:cs="Calibri"/>
                <w:i/>
                <w:color w:val="000000"/>
                <w:sz w:val="20"/>
                <w:szCs w:val="20"/>
                <w:lang w:eastAsia="es-MX"/>
              </w:rPr>
            </w:pPr>
          </w:p>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OPERACIÓN</w:t>
            </w:r>
          </w:p>
          <w:p w:rsidR="0074576E" w:rsidRPr="00EB27F0" w:rsidRDefault="0074576E"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No se cuenta con un procedimiento establecido para medir el costo-efectividad de la ejecución de los recursos del FASP.</w:t>
            </w:r>
          </w:p>
          <w:p w:rsidR="0074576E" w:rsidRPr="00EB27F0" w:rsidRDefault="0074576E"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No existe evidencia que contenga la metodología empleada para la selección de los beneficiarios de los programas del Fondo.</w:t>
            </w:r>
          </w:p>
          <w:p w:rsidR="0074576E" w:rsidRPr="00EB27F0" w:rsidRDefault="0074576E" w:rsidP="00A56E05">
            <w:pPr>
              <w:autoSpaceDE w:val="0"/>
              <w:autoSpaceDN w:val="0"/>
              <w:adjustRightInd w:val="0"/>
              <w:ind w:left="720"/>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PERCEPCIÓN DE LA POBLACIÓN OBJETIVO</w:t>
            </w:r>
          </w:p>
          <w:p w:rsidR="0074576E" w:rsidRPr="00EB27F0" w:rsidRDefault="0074576E" w:rsidP="00F075EB">
            <w:pPr>
              <w:numPr>
                <w:ilvl w:val="0"/>
                <w:numId w:val="84"/>
              </w:numPr>
              <w:jc w:val="both"/>
              <w:rPr>
                <w:rFonts w:ascii="Adobe Caslon Pro" w:hAnsi="Adobe Caslon Pro" w:cs="Calibri"/>
                <w:color w:val="000000"/>
                <w:sz w:val="20"/>
                <w:szCs w:val="20"/>
                <w:lang w:eastAsia="es-MX"/>
              </w:rPr>
            </w:pPr>
            <w:r w:rsidRPr="00EB27F0">
              <w:rPr>
                <w:rFonts w:ascii="Adobe Caslon Pro" w:hAnsi="Adobe Caslon Pro" w:cs="Calibri"/>
                <w:i/>
                <w:color w:val="000000"/>
                <w:sz w:val="20"/>
                <w:szCs w:val="20"/>
                <w:lang w:eastAsia="es-MX"/>
              </w:rPr>
              <w:t>Se identifica como población objetivo a la población del estado de Oaxaca, y las evaluaciones externas son dirigidas a los elementos de seguridad.</w:t>
            </w:r>
          </w:p>
          <w:p w:rsidR="0074576E" w:rsidRPr="00EB27F0" w:rsidRDefault="0074576E" w:rsidP="00A56E05">
            <w:pPr>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RESULTADOS</w:t>
            </w:r>
          </w:p>
          <w:p w:rsidR="0074576E" w:rsidRPr="00EB27F0" w:rsidRDefault="0074576E" w:rsidP="00F075EB">
            <w:pPr>
              <w:numPr>
                <w:ilvl w:val="0"/>
                <w:numId w:val="84"/>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No se realiza un informe o evaluación que permita identificar el avance del Fin y Propósito establecido en la MIR Federal del FASP.</w:t>
            </w:r>
          </w:p>
          <w:p w:rsidR="0074576E" w:rsidRPr="00EB27F0" w:rsidRDefault="0074576E" w:rsidP="00A56E05">
            <w:pPr>
              <w:jc w:val="both"/>
              <w:rPr>
                <w:rFonts w:ascii="Adobe Caslon Pro" w:hAnsi="Adobe Caslon Pro" w:cs="Calibri"/>
                <w:i/>
                <w:color w:val="000000"/>
                <w:sz w:val="20"/>
                <w:szCs w:val="20"/>
                <w:lang w:eastAsia="es-MX"/>
              </w:rPr>
            </w:pPr>
          </w:p>
          <w:p w:rsidR="0074576E" w:rsidRPr="00EB27F0" w:rsidRDefault="0074576E" w:rsidP="00A56E05">
            <w:p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EJERCICIO DE LOS RECURSOS</w:t>
            </w:r>
          </w:p>
          <w:p w:rsidR="0074576E" w:rsidRPr="00EB27F0" w:rsidRDefault="0074576E" w:rsidP="00F075EB">
            <w:pPr>
              <w:numPr>
                <w:ilvl w:val="0"/>
                <w:numId w:val="84"/>
              </w:numPr>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No se encontró evidencia de los oficios de transferencia de los recursos del FASP a los entes ejecutores, para determinar si se entregaron de acuerdo con lo establecido.</w:t>
            </w:r>
          </w:p>
          <w:p w:rsidR="0074576E" w:rsidRPr="00B86DD8" w:rsidRDefault="0074576E" w:rsidP="00A56E05">
            <w:pPr>
              <w:jc w:val="both"/>
              <w:rPr>
                <w:rFonts w:ascii="Adobe Caslon Pro" w:hAnsi="Adobe Caslon Pro" w:cs="Calibr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2.2.4 Amenazas:</w:t>
            </w:r>
          </w:p>
        </w:tc>
      </w:tr>
      <w:tr w:rsidR="0074576E" w:rsidRPr="00BE4199" w:rsidTr="00A56E05">
        <w:trPr>
          <w:trHeight w:val="162"/>
          <w:jc w:val="center"/>
        </w:trPr>
        <w:tc>
          <w:tcPr>
            <w:tcW w:w="9436" w:type="dxa"/>
            <w:gridSpan w:val="14"/>
            <w:tcBorders>
              <w:top w:val="nil"/>
              <w:left w:val="nil"/>
              <w:bottom w:val="single" w:sz="4" w:space="0" w:color="auto"/>
              <w:right w:val="nil"/>
            </w:tcBorders>
            <w:shd w:val="clear" w:color="auto" w:fill="auto"/>
            <w:vAlign w:val="center"/>
            <w:hideMark/>
          </w:tcPr>
          <w:p w:rsidR="0074576E" w:rsidRPr="00BE4199" w:rsidRDefault="0074576E" w:rsidP="00A56E05">
            <w:pPr>
              <w:jc w:val="center"/>
              <w:rPr>
                <w:rFonts w:ascii="Adobe Caslon Pro" w:hAnsi="Adobe Caslon Pro" w:cs="Calibr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74576E" w:rsidRPr="00BE4199" w:rsidTr="00A56E05">
        <w:trPr>
          <w:trHeight w:val="1435"/>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74576E" w:rsidRDefault="0074576E" w:rsidP="00F075EB">
            <w:pPr>
              <w:numPr>
                <w:ilvl w:val="1"/>
                <w:numId w:val="76"/>
              </w:num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Describir brevemente las conclusiones de la evaluación: </w:t>
            </w:r>
          </w:p>
          <w:p w:rsidR="0074576E" w:rsidRPr="00EB27F0" w:rsidRDefault="0074576E" w:rsidP="00A56E05">
            <w:pPr>
              <w:ind w:left="36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1.- El Fondo de Aportaciones para la Seguridad Pública (FASP</w:t>
            </w:r>
            <w:r w:rsidRPr="00EB27F0">
              <w:t xml:space="preserve">), </w:t>
            </w:r>
            <w:r w:rsidRPr="00EB27F0">
              <w:rPr>
                <w:rFonts w:ascii="Adobe Caslon Pro" w:hAnsi="Adobe Caslon Pro" w:cs="Calibri"/>
                <w:i/>
                <w:color w:val="000000"/>
                <w:sz w:val="20"/>
                <w:szCs w:val="20"/>
                <w:lang w:eastAsia="es-MX"/>
              </w:rPr>
              <w:t xml:space="preserve">cuenta con una Matriz de Indicadores para Resultados (MIR) Federal, en la cual se establece la descripción del Fin, Propósito, Componentes y Actividades; de igual manera, establecen los Indicadores para cada uno de los niveles de desempeño; sin embargo, no cuenta con Medios de Verificación ni Supuestos. En este sentido, es recomendable que la MIR sea modificada con base en la metodología de la Guía para la Elaboración de la Matriz de Indicadores para </w:t>
            </w:r>
            <w:r w:rsidRPr="00EB27F0">
              <w:rPr>
                <w:rFonts w:ascii="Adobe Caslon Pro" w:hAnsi="Adobe Caslon Pro" w:cs="Calibri"/>
                <w:i/>
                <w:color w:val="000000"/>
                <w:sz w:val="20"/>
                <w:szCs w:val="20"/>
                <w:lang w:eastAsia="es-MX"/>
              </w:rPr>
              <w:lastRenderedPageBreak/>
              <w:t>Resultados del Consejo Nacional de Evaluación de la Política de Desarrollo Social (CONEVAL).</w:t>
            </w:r>
          </w:p>
          <w:p w:rsidR="0074576E" w:rsidRPr="00EB27F0" w:rsidRDefault="0074576E" w:rsidP="00A56E05">
            <w:pPr>
              <w:ind w:left="360"/>
              <w:jc w:val="both"/>
              <w:rPr>
                <w:rFonts w:ascii="Adobe Caslon Pro" w:hAnsi="Adobe Caslon Pro" w:cs="Calibri"/>
                <w:i/>
                <w:color w:val="000000"/>
                <w:sz w:val="20"/>
                <w:szCs w:val="20"/>
                <w:lang w:eastAsia="es-MX"/>
              </w:rPr>
            </w:pPr>
          </w:p>
          <w:p w:rsidR="0074576E" w:rsidRPr="00EB27F0" w:rsidRDefault="0074576E" w:rsidP="00A56E05">
            <w:pPr>
              <w:ind w:left="36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2.- Existe coordinación entre los programas operativos que se desprenden del Programa Sectorial de Justicia del Estado de Oaxaca, con los 17 Programas de Prioridad Nacional con los que cuenta el FASP, los cuales cuentan con metas establecidas para la contribución al Fin del Fondo.</w:t>
            </w:r>
          </w:p>
          <w:p w:rsidR="0074576E" w:rsidRPr="00EB27F0" w:rsidRDefault="0074576E" w:rsidP="00A56E05">
            <w:pPr>
              <w:ind w:left="360"/>
              <w:jc w:val="both"/>
              <w:rPr>
                <w:rFonts w:ascii="Adobe Caslon Pro" w:hAnsi="Adobe Caslon Pro" w:cs="Calibri"/>
                <w:i/>
                <w:color w:val="000000"/>
                <w:sz w:val="20"/>
                <w:szCs w:val="20"/>
                <w:lang w:eastAsia="es-MX"/>
              </w:rPr>
            </w:pPr>
          </w:p>
          <w:p w:rsidR="0074576E" w:rsidRPr="00EB27F0" w:rsidRDefault="0074576E" w:rsidP="00A56E05">
            <w:pPr>
              <w:ind w:left="36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3.- En relación con la identificación de la población objetivo, potencial y beneficiaria, se considera a la población total del Estado de Oaxaca sin especificar de</w:t>
            </w:r>
            <w:r w:rsidRPr="00EB27F0">
              <w:t xml:space="preserve"> </w:t>
            </w:r>
            <w:r w:rsidRPr="00EB27F0">
              <w:rPr>
                <w:rFonts w:ascii="Adobe Caslon Pro" w:hAnsi="Adobe Caslon Pro" w:cs="Calibri"/>
                <w:i/>
                <w:color w:val="000000"/>
                <w:sz w:val="20"/>
                <w:szCs w:val="20"/>
                <w:lang w:eastAsia="es-MX"/>
              </w:rPr>
              <w:t>manera clara los beneficiarios directos del recurso y/o Programas de Prioridad Nacional del FASP.</w:t>
            </w:r>
          </w:p>
          <w:p w:rsidR="0074576E" w:rsidRPr="00EB27F0" w:rsidRDefault="0074576E" w:rsidP="00A56E05">
            <w:pPr>
              <w:ind w:left="360"/>
              <w:jc w:val="both"/>
              <w:rPr>
                <w:rFonts w:ascii="Adobe Caslon Pro" w:hAnsi="Adobe Caslon Pro" w:cs="Calibri"/>
                <w:i/>
                <w:color w:val="000000"/>
                <w:sz w:val="20"/>
                <w:szCs w:val="20"/>
                <w:lang w:eastAsia="es-MX"/>
              </w:rPr>
            </w:pPr>
          </w:p>
          <w:p w:rsidR="0074576E" w:rsidRPr="00EB27F0" w:rsidRDefault="0074576E" w:rsidP="00A56E05">
            <w:pPr>
              <w:ind w:left="36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4.- El Estado de Oaxaca cuenta con una estructura organizacional robusta del Secretariado Ejecutivo del Sistema Estatal de Seguridad Pública y de la Procuraduría General de Justicia para la operación del FASP.</w:t>
            </w:r>
          </w:p>
          <w:p w:rsidR="0074576E" w:rsidRPr="00EB27F0" w:rsidRDefault="0074576E" w:rsidP="00A56E05">
            <w:pPr>
              <w:ind w:left="360"/>
              <w:jc w:val="both"/>
              <w:rPr>
                <w:rFonts w:ascii="Adobe Caslon Pro" w:hAnsi="Adobe Caslon Pro" w:cs="Calibri"/>
                <w:i/>
                <w:color w:val="000000"/>
                <w:sz w:val="20"/>
                <w:szCs w:val="20"/>
                <w:lang w:eastAsia="es-MX"/>
              </w:rPr>
            </w:pPr>
          </w:p>
          <w:p w:rsidR="0074576E" w:rsidRPr="00EB27F0" w:rsidRDefault="0074576E" w:rsidP="00A56E05">
            <w:pPr>
              <w:ind w:left="36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5.- No se recolecta información de manera constante con la que se pueda medir el grado de avance de los Indicadores de Fin y Propósito; sin embargo, los programa de prioridad Nacional cuenta con el avance del cumplimiento de u objetivos de acuerdo con sus actividades asociada al Fondo.</w:t>
            </w:r>
          </w:p>
          <w:p w:rsidR="0074576E" w:rsidRPr="006A396E" w:rsidRDefault="0074576E" w:rsidP="00A56E05">
            <w:pPr>
              <w:jc w:val="both"/>
              <w:rPr>
                <w:rFonts w:ascii="Adobe Caslon Pro" w:hAnsi="Adobe Caslon Pro" w:cs="Calibri"/>
                <w:i/>
                <w:color w:val="000000"/>
                <w:sz w:val="20"/>
                <w:szCs w:val="20"/>
                <w:lang w:eastAsia="es-MX"/>
              </w:rPr>
            </w:pPr>
          </w:p>
        </w:tc>
      </w:tr>
      <w:tr w:rsidR="0074576E" w:rsidRPr="00BE4199" w:rsidTr="00A56E05">
        <w:trPr>
          <w:trHeight w:val="264"/>
          <w:jc w:val="center"/>
        </w:trPr>
        <w:tc>
          <w:tcPr>
            <w:tcW w:w="9436" w:type="dxa"/>
            <w:gridSpan w:val="14"/>
            <w:tcBorders>
              <w:top w:val="single" w:sz="4" w:space="0" w:color="auto"/>
              <w:left w:val="single" w:sz="4" w:space="0" w:color="auto"/>
              <w:bottom w:val="nil"/>
              <w:right w:val="single" w:sz="4" w:space="0" w:color="000000"/>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3.2 Describir las recomendaciones de acuerdo a su relevancia:</w:t>
            </w:r>
          </w:p>
        </w:tc>
      </w:tr>
      <w:tr w:rsidR="0074576E" w:rsidRPr="00BE4199" w:rsidTr="00A56E05">
        <w:trPr>
          <w:trHeight w:val="43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DISEÑO</w:t>
            </w:r>
          </w:p>
          <w:p w:rsidR="0074576E" w:rsidRPr="00EB27F0"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Utilizar la metodología de la Guía para la Elaboración de la Matriz de Indicadores para Resultados del Consejo Nacional de Evaluación de Política de Desarrollo Social (CONEVAL), para la creación de una MIR Estatal del FASP, la cual incluya los Programas de Prioridad Nacional del Fondo.</w:t>
            </w:r>
          </w:p>
          <w:p w:rsidR="0074576E" w:rsidRPr="00143529" w:rsidRDefault="0074576E" w:rsidP="00A56E05">
            <w:pPr>
              <w:autoSpaceDE w:val="0"/>
              <w:autoSpaceDN w:val="0"/>
              <w:adjustRightInd w:val="0"/>
              <w:ind w:left="720"/>
              <w:jc w:val="both"/>
              <w:rPr>
                <w:rFonts w:ascii="Adobe Caslon Pro" w:hAnsi="Adobe Caslon Pro" w:cs="Calibri"/>
                <w:i/>
                <w:color w:val="000000"/>
                <w:sz w:val="20"/>
                <w:szCs w:val="20"/>
                <w:highlight w:val="yellow"/>
                <w:lang w:eastAsia="es-MX"/>
              </w:rPr>
            </w:pPr>
          </w:p>
        </w:tc>
      </w:tr>
      <w:tr w:rsidR="0074576E" w:rsidRPr="00BE4199" w:rsidTr="00A56E05">
        <w:trPr>
          <w:trHeight w:val="43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tcPr>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PLANEACIÓN ESTRATÉGICA</w:t>
            </w:r>
          </w:p>
          <w:p w:rsidR="0074576E" w:rsidRPr="00EB27F0"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Utilizar la metodología de la Guía para la Elaboración de la Matriz de Indicadores para Resultados del Consejo Nacional de Evaluación de Política de Desarrollo Social (CONEVAL), para modificar la MIR Federal del FASP y elaborar una MIR Estatal en la que se integren los Programas de Prioridad Nacional.</w:t>
            </w:r>
          </w:p>
          <w:p w:rsidR="0074576E" w:rsidRPr="00EB27F0"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tcPr>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COBERTURA Y FOCALIZACIÓN</w:t>
            </w:r>
          </w:p>
          <w:p w:rsidR="0074576E" w:rsidRPr="00EB27F0"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 xml:space="preserve">Establecer un sistema de información, que establezca la metodología para determinar la población </w:t>
            </w:r>
            <w:proofErr w:type="gramStart"/>
            <w:r w:rsidRPr="00EB27F0">
              <w:rPr>
                <w:rFonts w:ascii="Adobe Caslon Pro" w:hAnsi="Adobe Caslon Pro" w:cs="Calibri"/>
                <w:i/>
                <w:color w:val="000000"/>
                <w:sz w:val="20"/>
                <w:szCs w:val="20"/>
                <w:lang w:eastAsia="es-MX"/>
              </w:rPr>
              <w:t>objetivo</w:t>
            </w:r>
            <w:proofErr w:type="gramEnd"/>
            <w:r w:rsidRPr="00EB27F0">
              <w:rPr>
                <w:rFonts w:ascii="Adobe Caslon Pro" w:hAnsi="Adobe Caslon Pro" w:cs="Calibri"/>
                <w:i/>
                <w:color w:val="000000"/>
                <w:sz w:val="20"/>
                <w:szCs w:val="20"/>
                <w:lang w:eastAsia="es-MX"/>
              </w:rPr>
              <w:t>, potencial y atendida con los programas operados con los recursos del FASP.</w:t>
            </w:r>
          </w:p>
          <w:p w:rsidR="0074576E" w:rsidRPr="00EB27F0"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OPERACIÓN</w:t>
            </w:r>
          </w:p>
          <w:p w:rsidR="0074576E" w:rsidRPr="00EB27F0"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Establecer el proceso para la entrega de los componentes establecidos en la MIR, así como el costo-efectividad de los mismos.</w:t>
            </w:r>
          </w:p>
          <w:p w:rsidR="0074576E" w:rsidRPr="00EB27F0"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Realizar una metodología para la selección de los beneficiarios y una base de datos de los mismos de cada uno de los programas asociados al FASP.</w:t>
            </w:r>
          </w:p>
          <w:p w:rsidR="0074576E" w:rsidRPr="00EB27F0"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PERCEPCIÓN DE LA POBLACIÓN OBJETIVO</w:t>
            </w:r>
          </w:p>
          <w:p w:rsidR="0074576E" w:rsidRPr="00EB27F0" w:rsidRDefault="0074576E"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 xml:space="preserve">Restablecer la metodología para determinar la población </w:t>
            </w:r>
            <w:proofErr w:type="gramStart"/>
            <w:r w:rsidRPr="00EB27F0">
              <w:rPr>
                <w:rFonts w:ascii="Adobe Caslon Pro" w:hAnsi="Adobe Caslon Pro" w:cs="Calibri"/>
                <w:i/>
                <w:color w:val="000000"/>
                <w:sz w:val="20"/>
                <w:szCs w:val="20"/>
                <w:lang w:eastAsia="es-MX"/>
              </w:rPr>
              <w:t>objetivo</w:t>
            </w:r>
            <w:proofErr w:type="gramEnd"/>
            <w:r w:rsidRPr="00EB27F0">
              <w:rPr>
                <w:rFonts w:ascii="Adobe Caslon Pro" w:hAnsi="Adobe Caslon Pro" w:cs="Calibri"/>
                <w:i/>
                <w:color w:val="000000"/>
                <w:sz w:val="20"/>
                <w:szCs w:val="20"/>
                <w:lang w:eastAsia="es-MX"/>
              </w:rPr>
              <w:t>, potencial y atendida, así como que la evaluación sea dirigida a la misma población, para conocer su opinión.</w:t>
            </w:r>
          </w:p>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RESULTADOS</w:t>
            </w:r>
          </w:p>
          <w:p w:rsidR="0074576E" w:rsidRPr="00EB27F0" w:rsidRDefault="0074576E"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Realizar el avance de lo establecido en la MIR para determinar el grado de avance de lo establecido en la misma.</w:t>
            </w:r>
          </w:p>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EB27F0" w:rsidRDefault="0074576E" w:rsidP="00A56E05">
            <w:p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EJERCICIO DE LOS RECURSOS</w:t>
            </w:r>
          </w:p>
          <w:p w:rsidR="0074576E" w:rsidRPr="00EB27F0" w:rsidRDefault="0074576E"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Establecer nuevas estrategias para alcanzar un mayor cumplimiento en el avance de los Programas de Prioridad Nacional.</w:t>
            </w:r>
          </w:p>
          <w:p w:rsidR="0074576E" w:rsidRPr="00EB27F0" w:rsidRDefault="0074576E" w:rsidP="00A56E05">
            <w:pPr>
              <w:autoSpaceDE w:val="0"/>
              <w:autoSpaceDN w:val="0"/>
              <w:adjustRightInd w:val="0"/>
              <w:ind w:left="360"/>
              <w:jc w:val="both"/>
              <w:rPr>
                <w:rFonts w:ascii="Adobe Caslon Pro" w:hAnsi="Adobe Caslon Pro" w:cs="Calibri"/>
                <w:i/>
                <w:color w:val="000000"/>
                <w:sz w:val="20"/>
                <w:szCs w:val="20"/>
                <w:lang w:eastAsia="es-MX"/>
              </w:rPr>
            </w:pPr>
          </w:p>
        </w:tc>
      </w:tr>
      <w:tr w:rsidR="0074576E" w:rsidRPr="00BE4199" w:rsidTr="00A56E05">
        <w:trPr>
          <w:trHeight w:val="105"/>
          <w:jc w:val="center"/>
        </w:trPr>
        <w:tc>
          <w:tcPr>
            <w:tcW w:w="579"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6965" w:type="dxa"/>
            <w:gridSpan w:val="11"/>
            <w:tcBorders>
              <w:top w:val="single" w:sz="4" w:space="0" w:color="auto"/>
              <w:left w:val="single" w:sz="4" w:space="0" w:color="auto"/>
              <w:bottom w:val="nil"/>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EB27F0" w:rsidRDefault="0074576E" w:rsidP="00A56E05">
            <w:pPr>
              <w:rPr>
                <w:rFonts w:ascii="Adobe Caslon Pro" w:hAnsi="Adobe Caslon Pro" w:cs="Calibri"/>
                <w:color w:val="000000"/>
                <w:sz w:val="20"/>
                <w:szCs w:val="20"/>
                <w:lang w:eastAsia="es-MX"/>
              </w:rPr>
            </w:pPr>
            <w:r w:rsidRPr="00EB27F0">
              <w:rPr>
                <w:rFonts w:ascii="Adobe Caslon Pro" w:hAnsi="Adobe Caslon Pro" w:cs="Calibri"/>
                <w:color w:val="000000"/>
                <w:sz w:val="20"/>
                <w:szCs w:val="20"/>
                <w:lang w:eastAsia="es-MX"/>
              </w:rPr>
              <w:t>4.1 Nombre del coordinador de la evaluación:</w:t>
            </w:r>
          </w:p>
          <w:p w:rsidR="0074576E" w:rsidRPr="00EB27F0" w:rsidRDefault="0074576E" w:rsidP="00A56E05">
            <w:pPr>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 xml:space="preserve">Mtro. José de Jesús </w:t>
            </w:r>
            <w:proofErr w:type="spellStart"/>
            <w:r w:rsidRPr="00EB27F0">
              <w:rPr>
                <w:rFonts w:ascii="Adobe Caslon Pro" w:hAnsi="Adobe Caslon Pro" w:cs="Calibri"/>
                <w:i/>
                <w:color w:val="000000"/>
                <w:sz w:val="20"/>
                <w:szCs w:val="20"/>
                <w:lang w:eastAsia="es-MX"/>
              </w:rPr>
              <w:t>Guizar</w:t>
            </w:r>
            <w:proofErr w:type="spellEnd"/>
            <w:r w:rsidRPr="00EB27F0">
              <w:rPr>
                <w:rFonts w:ascii="Adobe Caslon Pro" w:hAnsi="Adobe Caslon Pro" w:cs="Calibri"/>
                <w:i/>
                <w:color w:val="000000"/>
                <w:sz w:val="20"/>
                <w:szCs w:val="20"/>
                <w:lang w:eastAsia="es-MX"/>
              </w:rPr>
              <w:t xml:space="preserve"> Jiménez</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EB27F0" w:rsidRDefault="0074576E" w:rsidP="00A56E05">
            <w:pPr>
              <w:rPr>
                <w:rFonts w:ascii="Adobe Caslon Pro" w:hAnsi="Adobe Caslon Pro" w:cs="Calibri"/>
                <w:color w:val="000000"/>
                <w:sz w:val="20"/>
                <w:szCs w:val="20"/>
                <w:lang w:eastAsia="es-MX"/>
              </w:rPr>
            </w:pPr>
            <w:r w:rsidRPr="00EB27F0">
              <w:rPr>
                <w:rFonts w:ascii="Adobe Caslon Pro" w:hAnsi="Adobe Caslon Pro" w:cs="Calibri"/>
                <w:color w:val="000000"/>
                <w:sz w:val="20"/>
                <w:szCs w:val="20"/>
                <w:lang w:eastAsia="es-MX"/>
              </w:rPr>
              <w:t>4.2 Cargo:</w:t>
            </w:r>
          </w:p>
          <w:p w:rsidR="0074576E" w:rsidRPr="00EB27F0" w:rsidRDefault="0074576E" w:rsidP="00A56E05">
            <w:pPr>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Consultor Investigador</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EB27F0" w:rsidRDefault="0074576E" w:rsidP="00A56E05">
            <w:pPr>
              <w:rPr>
                <w:rFonts w:ascii="Adobe Caslon Pro" w:hAnsi="Adobe Caslon Pro" w:cs="Calibri"/>
                <w:color w:val="000000"/>
                <w:sz w:val="20"/>
                <w:szCs w:val="20"/>
                <w:lang w:eastAsia="es-MX"/>
              </w:rPr>
            </w:pPr>
            <w:r w:rsidRPr="00EB27F0">
              <w:rPr>
                <w:rFonts w:ascii="Adobe Caslon Pro" w:hAnsi="Adobe Caslon Pro" w:cs="Calibri"/>
                <w:color w:val="000000"/>
                <w:sz w:val="20"/>
                <w:szCs w:val="20"/>
                <w:lang w:eastAsia="es-MX"/>
              </w:rPr>
              <w:t>4.3 Institución a la que pertenece:  </w:t>
            </w:r>
          </w:p>
          <w:p w:rsidR="0074576E" w:rsidRPr="00EB27F0" w:rsidRDefault="0074576E" w:rsidP="00A56E05">
            <w:pPr>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Instituto para el Desarrollo Técnico de las Haciendas Públicas (INDETEC)</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EB27F0" w:rsidRDefault="0074576E" w:rsidP="00A56E05">
            <w:pPr>
              <w:rPr>
                <w:rFonts w:ascii="Adobe Caslon Pro" w:hAnsi="Adobe Caslon Pro" w:cs="Calibri"/>
                <w:color w:val="000000"/>
                <w:sz w:val="20"/>
                <w:szCs w:val="20"/>
                <w:lang w:eastAsia="es-MX"/>
              </w:rPr>
            </w:pPr>
            <w:r w:rsidRPr="00EB27F0">
              <w:rPr>
                <w:rFonts w:ascii="Adobe Caslon Pro" w:hAnsi="Adobe Caslon Pro" w:cs="Calibri"/>
                <w:color w:val="000000"/>
                <w:sz w:val="20"/>
                <w:szCs w:val="20"/>
                <w:lang w:eastAsia="es-MX"/>
              </w:rPr>
              <w:t>4.4 Principales colaboradores:</w:t>
            </w:r>
          </w:p>
          <w:p w:rsidR="0074576E" w:rsidRPr="00EB27F0" w:rsidRDefault="0074576E" w:rsidP="00A56E05">
            <w:pPr>
              <w:rPr>
                <w:rFonts w:ascii="Adobe Caslon Pro" w:hAnsi="Adobe Caslon Pro" w:cs="Calibri"/>
                <w:color w:val="000000"/>
                <w:sz w:val="20"/>
                <w:szCs w:val="20"/>
                <w:lang w:eastAsia="es-MX"/>
              </w:rPr>
            </w:pPr>
            <w:proofErr w:type="spellStart"/>
            <w:r w:rsidRPr="00EB27F0">
              <w:rPr>
                <w:rFonts w:ascii="Adobe Caslon Pro" w:hAnsi="Adobe Caslon Pro" w:cs="Calibri"/>
                <w:i/>
                <w:color w:val="000000"/>
                <w:sz w:val="20"/>
                <w:szCs w:val="20"/>
                <w:lang w:eastAsia="es-MX"/>
              </w:rPr>
              <w:t>Samantha</w:t>
            </w:r>
            <w:proofErr w:type="spellEnd"/>
            <w:r w:rsidRPr="00EB27F0">
              <w:rPr>
                <w:rFonts w:ascii="Adobe Caslon Pro" w:hAnsi="Adobe Caslon Pro" w:cs="Calibri"/>
                <w:i/>
                <w:color w:val="000000"/>
                <w:sz w:val="20"/>
                <w:szCs w:val="20"/>
                <w:lang w:eastAsia="es-MX"/>
              </w:rPr>
              <w:t xml:space="preserve"> Morones Rubio</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EB27F0" w:rsidRDefault="0074576E" w:rsidP="00A56E05">
            <w:pPr>
              <w:rPr>
                <w:rFonts w:ascii="Adobe Caslon Pro" w:hAnsi="Adobe Caslon Pro" w:cs="Calibri"/>
                <w:color w:val="000000"/>
                <w:sz w:val="20"/>
                <w:szCs w:val="20"/>
                <w:lang w:eastAsia="es-MX"/>
              </w:rPr>
            </w:pPr>
            <w:r w:rsidRPr="00EB27F0">
              <w:rPr>
                <w:rFonts w:ascii="Adobe Caslon Pro" w:hAnsi="Adobe Caslon Pro" w:cs="Calibri"/>
                <w:color w:val="000000"/>
                <w:sz w:val="20"/>
                <w:szCs w:val="20"/>
                <w:lang w:eastAsia="es-MX"/>
              </w:rPr>
              <w:t>4.5 Correo electrónico del coordinador de la evaluación:</w:t>
            </w:r>
          </w:p>
          <w:p w:rsidR="0074576E" w:rsidRPr="00EB27F0" w:rsidRDefault="009B1A50" w:rsidP="00A56E05">
            <w:pPr>
              <w:rPr>
                <w:rFonts w:ascii="Adobe Caslon Pro" w:hAnsi="Adobe Caslon Pro" w:cs="Calibri"/>
                <w:i/>
                <w:color w:val="000000"/>
                <w:sz w:val="20"/>
                <w:szCs w:val="20"/>
                <w:u w:val="single"/>
                <w:lang w:eastAsia="es-MX"/>
              </w:rPr>
            </w:pPr>
            <w:hyperlink r:id="rId193" w:history="1">
              <w:r w:rsidR="0074576E" w:rsidRPr="00EB27F0">
                <w:rPr>
                  <w:rStyle w:val="Hipervnculo"/>
                  <w:rFonts w:ascii="Adobe Caslon Pro" w:hAnsi="Adobe Caslon Pro" w:cs="Calibri"/>
                  <w:i/>
                  <w:sz w:val="20"/>
                  <w:szCs w:val="20"/>
                  <w:lang w:eastAsia="es-MX"/>
                </w:rPr>
                <w:t>jguizarj@indetec.gob.mx</w:t>
              </w:r>
            </w:hyperlink>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EB27F0" w:rsidRDefault="0074576E" w:rsidP="00A56E05">
            <w:pPr>
              <w:rPr>
                <w:rFonts w:ascii="Adobe Caslon Pro" w:hAnsi="Adobe Caslon Pro" w:cs="Calibri"/>
                <w:color w:val="000000"/>
                <w:sz w:val="20"/>
                <w:szCs w:val="20"/>
                <w:lang w:eastAsia="es-MX"/>
              </w:rPr>
            </w:pPr>
            <w:r w:rsidRPr="00EB27F0">
              <w:rPr>
                <w:rFonts w:ascii="Adobe Caslon Pro" w:hAnsi="Adobe Caslon Pro" w:cs="Calibri"/>
                <w:color w:val="000000"/>
                <w:sz w:val="20"/>
                <w:szCs w:val="20"/>
                <w:lang w:eastAsia="es-MX"/>
              </w:rPr>
              <w:t>4.6 Teléfono (con clave lada):</w:t>
            </w:r>
          </w:p>
          <w:p w:rsidR="0074576E" w:rsidRPr="00EB27F0" w:rsidRDefault="0074576E" w:rsidP="00A56E05">
            <w:pPr>
              <w:rPr>
                <w:rFonts w:ascii="Adobe Caslon Pro" w:hAnsi="Adobe Caslon Pro" w:cs="Calibri"/>
                <w:i/>
                <w:color w:val="000000"/>
                <w:sz w:val="20"/>
                <w:szCs w:val="20"/>
                <w:lang w:eastAsia="es-MX"/>
              </w:rPr>
            </w:pPr>
            <w:r w:rsidRPr="00EB27F0">
              <w:rPr>
                <w:rFonts w:ascii="Adobe Caslon Pro" w:hAnsi="Adobe Caslon Pro" w:cs="Calibri"/>
                <w:i/>
                <w:color w:val="000000"/>
                <w:sz w:val="20"/>
                <w:szCs w:val="20"/>
                <w:lang w:eastAsia="es-MX"/>
              </w:rPr>
              <w:t>01 (33) 36695550 Ext. 136</w:t>
            </w:r>
          </w:p>
        </w:tc>
      </w:tr>
      <w:tr w:rsidR="0074576E" w:rsidRPr="00BE4199" w:rsidTr="00A56E05">
        <w:trPr>
          <w:trHeight w:val="75"/>
          <w:jc w:val="center"/>
        </w:trPr>
        <w:tc>
          <w:tcPr>
            <w:tcW w:w="999"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6965" w:type="dxa"/>
            <w:gridSpan w:val="11"/>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5.1 Nombre del (los) programa(s) evaluado(s):</w:t>
            </w:r>
          </w:p>
          <w:p w:rsidR="0074576E" w:rsidRPr="00BE4199"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Fondo de Aportaciones </w:t>
            </w:r>
            <w:r>
              <w:rPr>
                <w:rFonts w:ascii="Adobe Caslon Pro" w:hAnsi="Adobe Caslon Pro" w:cs="Calibri"/>
                <w:i/>
                <w:color w:val="000000"/>
                <w:sz w:val="20"/>
                <w:szCs w:val="20"/>
                <w:lang w:eastAsia="es-MX"/>
              </w:rPr>
              <w:t>para la Seguridad Pública</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74576E" w:rsidRPr="00BE4199" w:rsidRDefault="0074576E"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FASP</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w:t>
            </w:r>
            <w:r>
              <w:rPr>
                <w:rFonts w:ascii="Adobe Caslon Pro" w:hAnsi="Adobe Caslon Pro" w:cs="Calibri"/>
                <w:color w:val="000000"/>
                <w:sz w:val="20"/>
                <w:szCs w:val="20"/>
                <w:lang w:eastAsia="es-MX"/>
              </w:rPr>
              <w:t>dinador del (los) programa(s): </w:t>
            </w:r>
          </w:p>
          <w:p w:rsidR="0074576E" w:rsidRPr="00F974F2"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Secretaría de Seguridad Pública</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 Nombre de la(s) unidad(es) administrativa(s) y de (los) titular(es) a cargo del (los) programa(s):</w:t>
            </w:r>
          </w:p>
        </w:tc>
      </w:tr>
      <w:tr w:rsidR="0074576E" w:rsidRPr="00BE4199" w:rsidTr="00A56E05">
        <w:trPr>
          <w:trHeight w:val="408"/>
          <w:jc w:val="center"/>
        </w:trPr>
        <w:tc>
          <w:tcPr>
            <w:tcW w:w="9436" w:type="dxa"/>
            <w:gridSpan w:val="14"/>
            <w:tcBorders>
              <w:left w:val="single" w:sz="4" w:space="0" w:color="auto"/>
              <w:bottom w:val="single" w:sz="4" w:space="0" w:color="auto"/>
              <w:right w:val="single" w:sz="4" w:space="0" w:color="auto"/>
            </w:tcBorders>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74576E" w:rsidRPr="00BE4199" w:rsidTr="00A56E05">
        <w:trPr>
          <w:trHeight w:val="55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74576E" w:rsidRPr="00BE4199"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Secretaría de Seguridad Pública (SSP).</w:t>
            </w:r>
          </w:p>
        </w:tc>
      </w:tr>
      <w:tr w:rsidR="0074576E" w:rsidRPr="00BE4199" w:rsidTr="00A56E05">
        <w:trPr>
          <w:trHeight w:val="55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74576E" w:rsidRPr="00BE4199" w:rsidTr="00A56E05">
        <w:trPr>
          <w:trHeight w:val="555"/>
          <w:jc w:val="center"/>
        </w:trPr>
        <w:tc>
          <w:tcPr>
            <w:tcW w:w="483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76E" w:rsidRDefault="0074576E" w:rsidP="00A56E05">
            <w:pPr>
              <w:rPr>
                <w:rFonts w:ascii="Adobe Caslon Pro" w:hAnsi="Adobe Caslon Pro" w:cs="Calibri"/>
                <w:i/>
                <w:color w:val="000000"/>
                <w:sz w:val="20"/>
                <w:szCs w:val="20"/>
                <w:lang w:eastAsia="es-MX"/>
              </w:rPr>
            </w:pPr>
            <w:r w:rsidRPr="00BA5B27">
              <w:rPr>
                <w:rFonts w:ascii="Adobe Caslon Pro" w:hAnsi="Adobe Caslon Pro" w:cs="Calibri"/>
                <w:i/>
                <w:color w:val="000000"/>
                <w:sz w:val="20"/>
                <w:szCs w:val="20"/>
                <w:lang w:eastAsia="es-MX"/>
              </w:rPr>
              <w:t xml:space="preserve">Lic. Jorge Alberto Ruiz Martínez </w:t>
            </w:r>
          </w:p>
          <w:p w:rsidR="0074576E" w:rsidRDefault="0074576E" w:rsidP="00A56E05">
            <w:pPr>
              <w:rPr>
                <w:rFonts w:ascii="Adobe Caslon Pro" w:hAnsi="Adobe Caslon Pro" w:cs="Calibri"/>
                <w:i/>
                <w:color w:val="000000"/>
                <w:sz w:val="20"/>
                <w:szCs w:val="20"/>
                <w:lang w:eastAsia="es-MX"/>
              </w:rPr>
            </w:pPr>
            <w:r w:rsidRPr="00BA5B27">
              <w:rPr>
                <w:rFonts w:ascii="Adobe Caslon Pro" w:hAnsi="Adobe Caslon Pro" w:cs="Calibri"/>
                <w:i/>
                <w:color w:val="000000"/>
                <w:sz w:val="20"/>
                <w:szCs w:val="20"/>
                <w:lang w:eastAsia="es-MX"/>
              </w:rPr>
              <w:t xml:space="preserve">(951) 501-50-45 </w:t>
            </w:r>
          </w:p>
          <w:p w:rsidR="0074576E" w:rsidRPr="0062525C" w:rsidRDefault="0074576E" w:rsidP="00A56E05">
            <w:pPr>
              <w:rPr>
                <w:rFonts w:ascii="Adobe Caslon Pro" w:hAnsi="Adobe Caslon Pro" w:cs="Calibri"/>
                <w:i/>
                <w:color w:val="000000"/>
                <w:sz w:val="20"/>
                <w:szCs w:val="20"/>
                <w:lang w:eastAsia="es-MX"/>
              </w:rPr>
            </w:pPr>
          </w:p>
        </w:tc>
        <w:tc>
          <w:tcPr>
            <w:tcW w:w="4604" w:type="dxa"/>
            <w:gridSpan w:val="7"/>
            <w:tcBorders>
              <w:top w:val="single" w:sz="4" w:space="0" w:color="auto"/>
              <w:left w:val="nil"/>
              <w:bottom w:val="single" w:sz="4" w:space="0" w:color="auto"/>
              <w:right w:val="single" w:sz="4" w:space="0" w:color="000000"/>
            </w:tcBorders>
            <w:shd w:val="clear" w:color="auto" w:fill="auto"/>
            <w:vAlign w:val="center"/>
            <w:hideMark/>
          </w:tcPr>
          <w:p w:rsidR="0074576E" w:rsidRDefault="0074576E"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Unidad administrativa</w:t>
            </w:r>
          </w:p>
          <w:p w:rsidR="0074576E" w:rsidRPr="00BE4199" w:rsidRDefault="0074576E" w:rsidP="00A56E05">
            <w:pPr>
              <w:rPr>
                <w:rFonts w:ascii="Adobe Caslon Pro" w:hAnsi="Adobe Caslon Pro" w:cs="Calibri"/>
                <w:color w:val="000000"/>
                <w:sz w:val="20"/>
                <w:szCs w:val="20"/>
                <w:lang w:eastAsia="es-MX"/>
              </w:rPr>
            </w:pPr>
            <w:r w:rsidRPr="009378AF">
              <w:rPr>
                <w:rFonts w:ascii="Adobe Caslon Pro" w:hAnsi="Adobe Caslon Pro" w:cs="Calibri"/>
                <w:i/>
                <w:color w:val="000000"/>
                <w:sz w:val="20"/>
                <w:szCs w:val="20"/>
                <w:lang w:eastAsia="es-MX"/>
              </w:rPr>
              <w:t xml:space="preserve">Secretario </w:t>
            </w:r>
            <w:r>
              <w:rPr>
                <w:rFonts w:ascii="Adobe Caslon Pro" w:hAnsi="Adobe Caslon Pro" w:cs="Calibri"/>
                <w:i/>
                <w:color w:val="000000"/>
                <w:sz w:val="20"/>
                <w:szCs w:val="20"/>
                <w:lang w:eastAsia="es-MX"/>
              </w:rPr>
              <w:t>d</w:t>
            </w:r>
            <w:r w:rsidRPr="009378AF">
              <w:rPr>
                <w:rFonts w:ascii="Adobe Caslon Pro" w:hAnsi="Adobe Caslon Pro" w:cs="Calibri"/>
                <w:i/>
                <w:color w:val="000000"/>
                <w:sz w:val="20"/>
                <w:szCs w:val="20"/>
                <w:lang w:eastAsia="es-MX"/>
              </w:rPr>
              <w:t>e Seguridad Pública</w:t>
            </w:r>
            <w:r>
              <w:rPr>
                <w:rFonts w:ascii="Adobe Caslon Pro" w:hAnsi="Adobe Caslon Pro" w:cs="Calibri"/>
                <w:i/>
                <w:color w:val="000000"/>
                <w:sz w:val="20"/>
                <w:szCs w:val="20"/>
                <w:lang w:eastAsia="es-MX"/>
              </w:rPr>
              <w:t xml:space="preserve"> (SSP).</w:t>
            </w:r>
          </w:p>
        </w:tc>
      </w:tr>
      <w:tr w:rsidR="0074576E" w:rsidRPr="00BE4199" w:rsidTr="00A56E05">
        <w:trPr>
          <w:trHeight w:val="75"/>
          <w:jc w:val="center"/>
        </w:trPr>
        <w:tc>
          <w:tcPr>
            <w:tcW w:w="999" w:type="dxa"/>
            <w:gridSpan w:val="2"/>
            <w:tcBorders>
              <w:top w:val="nil"/>
              <w:left w:val="nil"/>
              <w:bottom w:val="nil"/>
              <w:right w:val="nil"/>
            </w:tcBorders>
            <w:shd w:val="clear" w:color="auto" w:fill="auto"/>
            <w:vAlign w:val="center"/>
            <w:hideMark/>
          </w:tcPr>
          <w:p w:rsidR="0074576E" w:rsidRPr="00BE4199" w:rsidRDefault="0074576E"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vAlign w:val="center"/>
            <w:hideMark/>
          </w:tcPr>
          <w:p w:rsidR="0074576E" w:rsidRPr="00BE4199" w:rsidRDefault="0074576E"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526" w:type="dxa"/>
            <w:gridSpan w:val="5"/>
            <w:tcBorders>
              <w:top w:val="nil"/>
              <w:left w:val="nil"/>
              <w:bottom w:val="nil"/>
              <w:right w:val="nil"/>
            </w:tcBorders>
            <w:shd w:val="clear" w:color="auto" w:fill="auto"/>
            <w:vAlign w:val="center"/>
            <w:hideMark/>
          </w:tcPr>
          <w:p w:rsidR="0074576E" w:rsidRPr="00BE4199" w:rsidRDefault="0074576E"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vAlign w:val="center"/>
            <w:hideMark/>
          </w:tcPr>
          <w:p w:rsidR="0074576E" w:rsidRPr="00BE4199" w:rsidRDefault="0074576E"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vAlign w:val="center"/>
            <w:hideMark/>
          </w:tcPr>
          <w:p w:rsidR="0074576E" w:rsidRPr="00BE4199" w:rsidRDefault="0074576E" w:rsidP="00A56E05">
            <w:pPr>
              <w:jc w:val="center"/>
              <w:rPr>
                <w:rFonts w:ascii="Adobe Caslon Pro" w:hAnsi="Adobe Caslon Pro" w:cs="Calibri"/>
                <w:color w:val="000000"/>
                <w:sz w:val="20"/>
                <w:szCs w:val="20"/>
                <w:lang w:eastAsia="es-MX"/>
              </w:rPr>
            </w:pPr>
          </w:p>
        </w:tc>
      </w:tr>
      <w:tr w:rsidR="0074576E" w:rsidRPr="00BE4199" w:rsidTr="00A56E05">
        <w:trPr>
          <w:trHeight w:val="420"/>
          <w:jc w:val="center"/>
        </w:trPr>
        <w:tc>
          <w:tcPr>
            <w:tcW w:w="8125" w:type="dxa"/>
            <w:gridSpan w:val="12"/>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6.1.1 Adjudicación Directa__  6.1.2 Invitación a tres___ 6.1.3 Licitación Pública Nacional___</w:t>
            </w:r>
          </w:p>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Pr>
                <w:rFonts w:ascii="Adobe Caslon Pro" w:hAnsi="Adobe Caslon Pro" w:cs="Calibri"/>
                <w:color w:val="000000"/>
                <w:sz w:val="20"/>
                <w:szCs w:val="20"/>
                <w:lang w:eastAsia="es-MX"/>
              </w:rPr>
              <w:t>___ 6.1.5 Otro: C</w:t>
            </w:r>
            <w:r w:rsidRPr="000D3BE9">
              <w:rPr>
                <w:rFonts w:ascii="Adobe Caslon Pro" w:hAnsi="Adobe Caslon Pro" w:cs="Calibri"/>
                <w:color w:val="000000"/>
                <w:sz w:val="20"/>
                <w:szCs w:val="20"/>
                <w:lang w:eastAsia="es-MX"/>
              </w:rPr>
              <w:t>onveni</w:t>
            </w:r>
            <w:r>
              <w:rPr>
                <w:rFonts w:ascii="Adobe Caslon Pro" w:hAnsi="Adobe Caslon Pro" w:cs="Calibri"/>
                <w:color w:val="000000"/>
                <w:sz w:val="20"/>
                <w:szCs w:val="20"/>
                <w:lang w:eastAsia="es-MX"/>
              </w:rPr>
              <w:t>o de colaboración institucional</w:t>
            </w:r>
          </w:p>
        </w:tc>
      </w:tr>
      <w:tr w:rsidR="0074576E" w:rsidRPr="00BE4199" w:rsidTr="00A56E05">
        <w:trPr>
          <w:trHeight w:val="39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74576E" w:rsidRPr="00BE4199"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Costo total de la evaluación</w:t>
            </w:r>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$ 2, 276,000.00 (Dos millones doscientos setenta y seis mil pesos 00/100 M.N.) El costo corresponde a la evaluación de siete Fondos de Aportaciones del Ramo General 33, Fondo Regional y siete programas presupuestarios Estatales.</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74576E" w:rsidRPr="00BE4199"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74576E" w:rsidRPr="00BE4199" w:rsidTr="00A56E05">
        <w:trPr>
          <w:trHeight w:val="162"/>
          <w:jc w:val="center"/>
        </w:trPr>
        <w:tc>
          <w:tcPr>
            <w:tcW w:w="999"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4973" w:type="dxa"/>
            <w:gridSpan w:val="8"/>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74576E" w:rsidRPr="004003A7" w:rsidRDefault="0074576E" w:rsidP="00A56E05">
            <w:pPr>
              <w:rPr>
                <w:rStyle w:val="Hipervnculo"/>
                <w:rFonts w:ascii="Adobe Caslon Pro" w:hAnsi="Adobe Caslon Pro" w:cs="Calibri"/>
                <w:i/>
                <w:sz w:val="20"/>
                <w:szCs w:val="20"/>
                <w:lang w:eastAsia="es-MX"/>
              </w:rPr>
            </w:pPr>
            <w:r w:rsidRPr="004003A7">
              <w:rPr>
                <w:rStyle w:val="Hipervnculo"/>
                <w:rFonts w:ascii="Adobe Caslon Pro" w:hAnsi="Adobe Caslon Pro" w:cs="Calibri"/>
                <w:i/>
                <w:sz w:val="20"/>
                <w:szCs w:val="20"/>
                <w:lang w:eastAsia="es-MX"/>
              </w:rPr>
              <w:t>http://www.jefaturadelagubernatura-evaluacion.oaxaca.gob.mx/index.php/pae-sidepanel/pae-2015</w:t>
            </w:r>
          </w:p>
          <w:p w:rsidR="0074576E" w:rsidRPr="00642484" w:rsidRDefault="009B1A50" w:rsidP="00A56E05">
            <w:pPr>
              <w:rPr>
                <w:rFonts w:ascii="Adobe Caslon Pro" w:hAnsi="Adobe Caslon Pro" w:cs="Calibri"/>
                <w:color w:val="000000"/>
                <w:sz w:val="20"/>
                <w:szCs w:val="20"/>
                <w:lang w:eastAsia="es-MX"/>
              </w:rPr>
            </w:pPr>
            <w:hyperlink r:id="rId194" w:history="1">
              <w:r w:rsidR="0074576E" w:rsidRPr="002071AF">
                <w:rPr>
                  <w:rStyle w:val="Hipervnculo"/>
                  <w:rFonts w:ascii="Adobe Caslon Pro" w:hAnsi="Adobe Caslon Pro" w:cs="Calibri"/>
                  <w:i/>
                  <w:sz w:val="20"/>
                  <w:szCs w:val="20"/>
                  <w:lang w:eastAsia="es-MX"/>
                </w:rPr>
                <w:t>http://www.transparenciapresupuestaria.oaxaca.gob.mx/05_ev1_eprogramas.php</w:t>
              </w:r>
            </w:hyperlink>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7.2  Difusión en internet del formato:</w:t>
            </w:r>
          </w:p>
          <w:p w:rsidR="0074576E" w:rsidRPr="004003A7" w:rsidRDefault="0074576E" w:rsidP="00A56E05">
            <w:pPr>
              <w:rPr>
                <w:rStyle w:val="Hipervnculo"/>
                <w:rFonts w:ascii="Adobe Caslon Pro" w:hAnsi="Adobe Caslon Pro" w:cs="Calibri"/>
                <w:i/>
                <w:sz w:val="20"/>
                <w:szCs w:val="20"/>
                <w:lang w:eastAsia="es-MX"/>
              </w:rPr>
            </w:pPr>
            <w:r w:rsidRPr="004003A7">
              <w:rPr>
                <w:rStyle w:val="Hipervnculo"/>
                <w:rFonts w:ascii="Adobe Caslon Pro" w:hAnsi="Adobe Caslon Pro" w:cs="Calibri"/>
                <w:i/>
                <w:sz w:val="20"/>
                <w:szCs w:val="20"/>
                <w:lang w:eastAsia="es-MX"/>
              </w:rPr>
              <w:t>http://www.jefaturadelagubernatura-evaluacion.oaxaca.gob.mx/index.php/pae-sidepanel/pae-2015</w:t>
            </w:r>
          </w:p>
          <w:p w:rsidR="0074576E" w:rsidRPr="00642484" w:rsidRDefault="0074576E" w:rsidP="00A56E05">
            <w:pPr>
              <w:rPr>
                <w:rFonts w:ascii="Adobe Caslon Pro" w:hAnsi="Adobe Caslon Pro" w:cs="Calibri"/>
                <w:color w:val="000000"/>
                <w:sz w:val="20"/>
                <w:szCs w:val="20"/>
                <w:lang w:eastAsia="es-MX"/>
              </w:rPr>
            </w:pPr>
          </w:p>
        </w:tc>
      </w:tr>
    </w:tbl>
    <w:p w:rsidR="0074576E" w:rsidRPr="00066E84" w:rsidRDefault="0074576E" w:rsidP="0074576E">
      <w:pPr>
        <w:rPr>
          <w:rFonts w:ascii="Adobe Caslon Pro" w:hAnsi="Adobe Caslon Pro"/>
          <w:b/>
          <w:sz w:val="20"/>
          <w:szCs w:val="20"/>
          <w:lang w:eastAsia="es-MX"/>
        </w:rPr>
      </w:pPr>
    </w:p>
    <w:p w:rsidR="0074576E" w:rsidRDefault="0074576E" w:rsidP="0074576E">
      <w:pPr>
        <w:autoSpaceDE w:val="0"/>
        <w:autoSpaceDN w:val="0"/>
        <w:adjustRightInd w:val="0"/>
        <w:jc w:val="both"/>
        <w:rPr>
          <w:rFonts w:cs="Calibri"/>
          <w:sz w:val="16"/>
          <w:szCs w:val="16"/>
        </w:rPr>
      </w:pPr>
    </w:p>
    <w:p w:rsidR="0074576E" w:rsidRDefault="0074576E">
      <w:pPr>
        <w:rPr>
          <w:rFonts w:ascii="Arial" w:hAnsi="Arial" w:cs="Arial"/>
          <w:b/>
        </w:rPr>
      </w:pPr>
      <w:r>
        <w:rPr>
          <w:rFonts w:ascii="Arial" w:hAnsi="Arial" w:cs="Arial"/>
          <w:b/>
        </w:rPr>
        <w:br w:type="page"/>
      </w:r>
    </w:p>
    <w:p w:rsidR="0074576E" w:rsidRPr="0074576E" w:rsidRDefault="0074576E" w:rsidP="0074576E">
      <w:pPr>
        <w:contextualSpacing/>
        <w:jc w:val="both"/>
        <w:rPr>
          <w:rFonts w:ascii="Arial" w:hAnsi="Arial" w:cs="Arial"/>
          <w:b/>
        </w:rPr>
      </w:pPr>
      <w:r w:rsidRPr="0074576E">
        <w:rPr>
          <w:rFonts w:ascii="Arial" w:hAnsi="Arial" w:cs="Arial"/>
          <w:b/>
        </w:rPr>
        <w:lastRenderedPageBreak/>
        <w:t>14.</w:t>
      </w:r>
      <w:r w:rsidR="0072684E">
        <w:rPr>
          <w:rFonts w:ascii="Arial" w:hAnsi="Arial" w:cs="Arial"/>
          <w:b/>
        </w:rPr>
        <w:t>2</w:t>
      </w:r>
      <w:r w:rsidRPr="0074576E">
        <w:rPr>
          <w:rFonts w:ascii="Arial" w:hAnsi="Arial" w:cs="Arial"/>
          <w:b/>
        </w:rPr>
        <w:t>.</w:t>
      </w:r>
      <w:r w:rsidR="00FB524A">
        <w:rPr>
          <w:rFonts w:ascii="Arial" w:hAnsi="Arial" w:cs="Arial"/>
          <w:b/>
        </w:rPr>
        <w:t>19</w:t>
      </w:r>
      <w:r w:rsidRPr="0074576E">
        <w:rPr>
          <w:rFonts w:ascii="Arial" w:hAnsi="Arial" w:cs="Arial"/>
          <w:b/>
        </w:rPr>
        <w:t>.- FONDO DE APORTACIONES PARA</w:t>
      </w:r>
      <w:r>
        <w:rPr>
          <w:rFonts w:ascii="Arial" w:hAnsi="Arial" w:cs="Arial"/>
          <w:b/>
        </w:rPr>
        <w:t xml:space="preserve"> LOS SERVICIOS DE SALUD (FASSA)</w:t>
      </w:r>
    </w:p>
    <w:p w:rsidR="0074576E" w:rsidRDefault="0074576E" w:rsidP="0074576E">
      <w:pPr>
        <w:pStyle w:val="Prrafodelista"/>
        <w:ind w:left="0"/>
        <w:jc w:val="center"/>
        <w:rPr>
          <w:rFonts w:ascii="Adobe Caslon Pro" w:hAnsi="Adobe Caslon Pro" w:cs="Calibri"/>
          <w:i/>
          <w:color w:val="000000"/>
          <w:lang w:eastAsia="es-MX"/>
        </w:rPr>
      </w:pPr>
    </w:p>
    <w:tbl>
      <w:tblPr>
        <w:tblpPr w:leftFromText="141" w:rightFromText="141" w:vertAnchor="text" w:tblpXSpec="center" w:tblpY="1"/>
        <w:tblOverlap w:val="never"/>
        <w:tblW w:w="9436" w:type="dxa"/>
        <w:jc w:val="center"/>
        <w:tblCellMar>
          <w:left w:w="70" w:type="dxa"/>
          <w:right w:w="70" w:type="dxa"/>
        </w:tblCellMar>
        <w:tblLook w:val="04A0"/>
      </w:tblPr>
      <w:tblGrid>
        <w:gridCol w:w="579"/>
        <w:gridCol w:w="420"/>
        <w:gridCol w:w="1955"/>
        <w:gridCol w:w="1311"/>
        <w:gridCol w:w="160"/>
        <w:gridCol w:w="237"/>
        <w:gridCol w:w="170"/>
        <w:gridCol w:w="141"/>
        <w:gridCol w:w="667"/>
        <w:gridCol w:w="1311"/>
        <w:gridCol w:w="14"/>
        <w:gridCol w:w="1160"/>
        <w:gridCol w:w="151"/>
        <w:gridCol w:w="1160"/>
      </w:tblGrid>
      <w:tr w:rsidR="0074576E" w:rsidRPr="00BE4199" w:rsidTr="00A56E05">
        <w:trPr>
          <w:trHeight w:val="420"/>
          <w:jc w:val="center"/>
        </w:trPr>
        <w:tc>
          <w:tcPr>
            <w:tcW w:w="5640" w:type="dxa"/>
            <w:gridSpan w:val="9"/>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1. Descripción de la evaluación</w:t>
            </w:r>
          </w:p>
        </w:tc>
        <w:tc>
          <w:tcPr>
            <w:tcW w:w="1325" w:type="dxa"/>
            <w:gridSpan w:val="2"/>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1.1 Nombre de la evaluación: </w:t>
            </w:r>
          </w:p>
          <w:p w:rsidR="0074576E" w:rsidRPr="00BE4199" w:rsidRDefault="0074576E"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Evaluación Estratégica d</w:t>
            </w:r>
            <w:r>
              <w:rPr>
                <w:rFonts w:ascii="Adobe Caslon Pro" w:hAnsi="Adobe Caslon Pro" w:cs="Calibri"/>
                <w:i/>
                <w:color w:val="000000"/>
                <w:sz w:val="20"/>
                <w:szCs w:val="20"/>
                <w:lang w:eastAsia="es-MX"/>
              </w:rPr>
              <w:t xml:space="preserve">e Consistencia y Resultados del </w:t>
            </w:r>
            <w:r w:rsidRPr="00BE4199">
              <w:rPr>
                <w:rFonts w:ascii="Adobe Caslon Pro" w:hAnsi="Adobe Caslon Pro" w:cs="Calibri"/>
                <w:i/>
                <w:color w:val="000000"/>
                <w:sz w:val="20"/>
                <w:szCs w:val="20"/>
                <w:lang w:eastAsia="es-MX"/>
              </w:rPr>
              <w:t xml:space="preserve">Fondo de Aportaciones </w:t>
            </w:r>
            <w:r>
              <w:rPr>
                <w:rFonts w:ascii="Adobe Caslon Pro" w:hAnsi="Adobe Caslon Pro" w:cs="Calibri"/>
                <w:i/>
                <w:color w:val="000000"/>
                <w:sz w:val="20"/>
                <w:szCs w:val="20"/>
                <w:lang w:eastAsia="es-MX"/>
              </w:rPr>
              <w:t>para los Servicios de Salud (FASSA).</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2071AF" w:rsidRDefault="0074576E" w:rsidP="00A56E05">
            <w:pPr>
              <w:rPr>
                <w:rFonts w:ascii="Adobe Caslon Pro" w:hAnsi="Adobe Caslon Pro" w:cs="Calibri"/>
                <w:color w:val="000000"/>
                <w:sz w:val="20"/>
                <w:szCs w:val="20"/>
                <w:lang w:eastAsia="es-MX"/>
              </w:rPr>
            </w:pPr>
            <w:r w:rsidRPr="002071AF">
              <w:rPr>
                <w:rFonts w:ascii="Adobe Caslon Pro" w:hAnsi="Adobe Caslon Pro" w:cs="Calibri"/>
                <w:color w:val="000000"/>
                <w:sz w:val="20"/>
                <w:szCs w:val="20"/>
                <w:lang w:eastAsia="es-MX"/>
              </w:rPr>
              <w:t>1.2 Fecha de inicio de la evaluación (</w:t>
            </w:r>
            <w:proofErr w:type="spellStart"/>
            <w:r w:rsidRPr="002071AF">
              <w:rPr>
                <w:rFonts w:ascii="Adobe Caslon Pro" w:hAnsi="Adobe Caslon Pro" w:cs="Calibri"/>
                <w:color w:val="000000"/>
                <w:sz w:val="20"/>
                <w:szCs w:val="20"/>
                <w:lang w:eastAsia="es-MX"/>
              </w:rPr>
              <w:t>dd</w:t>
            </w:r>
            <w:proofErr w:type="spellEnd"/>
            <w:r w:rsidRPr="002071AF">
              <w:rPr>
                <w:rFonts w:ascii="Adobe Caslon Pro" w:hAnsi="Adobe Caslon Pro" w:cs="Calibri"/>
                <w:color w:val="000000"/>
                <w:sz w:val="20"/>
                <w:szCs w:val="20"/>
                <w:lang w:eastAsia="es-MX"/>
              </w:rPr>
              <w:t>/mm/</w:t>
            </w:r>
            <w:proofErr w:type="spellStart"/>
            <w:r w:rsidRPr="002071AF">
              <w:rPr>
                <w:rFonts w:ascii="Adobe Caslon Pro" w:hAnsi="Adobe Caslon Pro" w:cs="Calibri"/>
                <w:color w:val="000000"/>
                <w:sz w:val="20"/>
                <w:szCs w:val="20"/>
                <w:lang w:eastAsia="es-MX"/>
              </w:rPr>
              <w:t>aaaa</w:t>
            </w:r>
            <w:proofErr w:type="spellEnd"/>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15/06/2015</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2071AF" w:rsidRDefault="0074576E" w:rsidP="00A56E05">
            <w:pPr>
              <w:rPr>
                <w:rFonts w:ascii="Adobe Caslon Pro" w:hAnsi="Adobe Caslon Pro" w:cs="Calibri"/>
                <w:color w:val="000000"/>
                <w:sz w:val="20"/>
                <w:szCs w:val="20"/>
                <w:lang w:eastAsia="es-MX"/>
              </w:rPr>
            </w:pPr>
            <w:r w:rsidRPr="002071AF">
              <w:rPr>
                <w:rFonts w:ascii="Adobe Caslon Pro" w:hAnsi="Adobe Caslon Pro" w:cs="Calibri"/>
                <w:color w:val="000000"/>
                <w:sz w:val="20"/>
                <w:szCs w:val="20"/>
                <w:lang w:eastAsia="es-MX"/>
              </w:rPr>
              <w:t>1.3 Fecha de término de la evaluación (</w:t>
            </w:r>
            <w:proofErr w:type="spellStart"/>
            <w:r w:rsidRPr="002071AF">
              <w:rPr>
                <w:rFonts w:ascii="Adobe Caslon Pro" w:hAnsi="Adobe Caslon Pro" w:cs="Calibri"/>
                <w:color w:val="000000"/>
                <w:sz w:val="20"/>
                <w:szCs w:val="20"/>
                <w:lang w:eastAsia="es-MX"/>
              </w:rPr>
              <w:t>dd</w:t>
            </w:r>
            <w:proofErr w:type="spellEnd"/>
            <w:r w:rsidRPr="002071AF">
              <w:rPr>
                <w:rFonts w:ascii="Adobe Caslon Pro" w:hAnsi="Adobe Caslon Pro" w:cs="Calibri"/>
                <w:color w:val="000000"/>
                <w:sz w:val="20"/>
                <w:szCs w:val="20"/>
                <w:lang w:eastAsia="es-MX"/>
              </w:rPr>
              <w:t>/mm/</w:t>
            </w:r>
            <w:proofErr w:type="spellStart"/>
            <w:r w:rsidRPr="002071AF">
              <w:rPr>
                <w:rFonts w:ascii="Adobe Caslon Pro" w:hAnsi="Adobe Caslon Pro" w:cs="Calibri"/>
                <w:color w:val="000000"/>
                <w:sz w:val="20"/>
                <w:szCs w:val="20"/>
                <w:lang w:eastAsia="es-MX"/>
              </w:rPr>
              <w:t>aaaa</w:t>
            </w:r>
            <w:proofErr w:type="spellEnd"/>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15/04/2016</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1.4 Nombre de la persona responsable de darle seguimiento a la evaluación y  nombre de la unidad administrativa a la que pertenece:</w:t>
            </w:r>
          </w:p>
        </w:tc>
      </w:tr>
      <w:tr w:rsidR="0074576E" w:rsidRPr="00BE4199" w:rsidTr="00A56E05">
        <w:trPr>
          <w:trHeight w:val="420"/>
          <w:jc w:val="center"/>
        </w:trPr>
        <w:tc>
          <w:tcPr>
            <w:tcW w:w="46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76E"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Mtro. Gonzalo Lapuente Sastre</w:t>
            </w:r>
          </w:p>
          <w:p w:rsidR="0074576E" w:rsidRPr="00BE4199" w:rsidRDefault="0074576E" w:rsidP="00A56E05">
            <w:pPr>
              <w:rPr>
                <w:rFonts w:ascii="Adobe Caslon Pro" w:hAnsi="Adobe Caslon Pro" w:cs="Calibri"/>
                <w:i/>
                <w:color w:val="000000"/>
                <w:sz w:val="20"/>
                <w:szCs w:val="20"/>
                <w:lang w:eastAsia="es-MX"/>
              </w:rPr>
            </w:pPr>
          </w:p>
        </w:tc>
        <w:tc>
          <w:tcPr>
            <w:tcW w:w="4774" w:type="dxa"/>
            <w:gridSpan w:val="8"/>
            <w:tcBorders>
              <w:top w:val="single" w:sz="4" w:space="0" w:color="auto"/>
              <w:left w:val="single" w:sz="4" w:space="0" w:color="auto"/>
              <w:bottom w:val="single" w:sz="4" w:space="0" w:color="auto"/>
              <w:right w:val="single" w:sz="4" w:space="0" w:color="000000"/>
            </w:tcBorders>
            <w:shd w:val="clear" w:color="auto" w:fill="auto"/>
            <w:vAlign w:val="center"/>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Unidad administrativa: </w:t>
            </w:r>
          </w:p>
          <w:p w:rsidR="0074576E"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Coordinación de</w:t>
            </w:r>
            <w:r>
              <w:rPr>
                <w:rFonts w:ascii="Adobe Caslon Pro" w:hAnsi="Adobe Caslon Pro" w:cs="Calibri"/>
                <w:i/>
                <w:color w:val="000000"/>
                <w:sz w:val="20"/>
                <w:szCs w:val="20"/>
                <w:lang w:eastAsia="es-MX"/>
              </w:rPr>
              <w:t xml:space="preserve"> Evaluación e Informes</w:t>
            </w:r>
            <w:r w:rsidRPr="00BE4199">
              <w:rPr>
                <w:rFonts w:ascii="Adobe Caslon Pro" w:hAnsi="Adobe Caslon Pro" w:cs="Calibri"/>
                <w:i/>
                <w:color w:val="000000"/>
                <w:sz w:val="20"/>
                <w:szCs w:val="20"/>
                <w:lang w:eastAsia="es-MX"/>
              </w:rPr>
              <w:t xml:space="preserve"> de la Jefatura de la Gubernatura del Gobierno del </w:t>
            </w:r>
            <w:r>
              <w:rPr>
                <w:rFonts w:ascii="Adobe Caslon Pro" w:hAnsi="Adobe Caslon Pro" w:cs="Calibri"/>
                <w:i/>
                <w:color w:val="000000"/>
                <w:sz w:val="20"/>
                <w:szCs w:val="20"/>
                <w:lang w:eastAsia="es-MX"/>
              </w:rPr>
              <w:t>E</w:t>
            </w:r>
            <w:r w:rsidRPr="00BE4199">
              <w:rPr>
                <w:rFonts w:ascii="Adobe Caslon Pro" w:hAnsi="Adobe Caslon Pro" w:cs="Calibri"/>
                <w:i/>
                <w:color w:val="000000"/>
                <w:sz w:val="20"/>
                <w:szCs w:val="20"/>
                <w:lang w:eastAsia="es-MX"/>
              </w:rPr>
              <w:t>stado de Oaxaca.</w:t>
            </w:r>
          </w:p>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1.5 Objetivo general de la evaluación:</w:t>
            </w:r>
          </w:p>
          <w:p w:rsidR="0074576E" w:rsidRDefault="0074576E" w:rsidP="00A56E05">
            <w:pPr>
              <w:jc w:val="both"/>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Coadyuvar en la Consolidación del Sistema de Evaluación del Desempeño en el Estado de Oaxaca, a través de identificar y analizar la consistencia y resultados del  Fondo de Aportaciones </w:t>
            </w:r>
            <w:r>
              <w:rPr>
                <w:rFonts w:ascii="Adobe Caslon Pro" w:hAnsi="Adobe Caslon Pro" w:cs="Calibri"/>
                <w:i/>
                <w:color w:val="000000"/>
                <w:sz w:val="20"/>
                <w:szCs w:val="20"/>
                <w:lang w:eastAsia="es-MX"/>
              </w:rPr>
              <w:t xml:space="preserve">para los Servicios de Salud (FASSA), </w:t>
            </w:r>
            <w:r w:rsidRPr="00F2106F">
              <w:rPr>
                <w:rFonts w:ascii="Adobe Caslon Pro" w:hAnsi="Adobe Caslon Pro" w:cs="Calibri"/>
                <w:i/>
                <w:color w:val="000000"/>
                <w:sz w:val="20"/>
                <w:szCs w:val="20"/>
                <w:lang w:eastAsia="es-MX"/>
              </w:rPr>
              <w:t>en cuanto al Diseño de la Matriz de Indicadores, la Planeación Estratégica, Cobertura y Focalización, Operación, Percepción de la Población Objetivo, Resultados y Ejercicio de los Recursos, con el fin de que las recomendaciones de este análisis retroalimenten el diseño, la gestión, el desempeño y el ejercicio de los recursos, con base en indicadores</w:t>
            </w:r>
            <w:r w:rsidRPr="00F2106F">
              <w:t xml:space="preserve"> </w:t>
            </w:r>
            <w:r w:rsidRPr="00F2106F">
              <w:rPr>
                <w:rFonts w:ascii="Adobe Caslon Pro" w:hAnsi="Adobe Caslon Pro" w:cs="Calibri"/>
                <w:i/>
                <w:color w:val="000000"/>
                <w:sz w:val="20"/>
                <w:szCs w:val="20"/>
                <w:lang w:eastAsia="es-MX"/>
              </w:rPr>
              <w:t>estratégicos y de gestión para el cumplimiento de los objetivos para los que están destinados.</w:t>
            </w:r>
          </w:p>
          <w:p w:rsidR="0074576E" w:rsidRPr="00BE4199" w:rsidRDefault="0074576E" w:rsidP="00A56E05">
            <w:pPr>
              <w:jc w:val="both"/>
              <w:rPr>
                <w:rFonts w:ascii="Adobe Caslon Pro" w:hAnsi="Adobe Caslon Pro" w:cs="Calibri"/>
                <w: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1.6 Objetivos específicos de la evaluación:</w:t>
            </w:r>
          </w:p>
          <w:p w:rsidR="0074576E"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Evaluar el fondo en los siguientes aspectos:</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Diseño. Es un proceso analítico global que se enfoca en identificar los objetivos del Fondo de Aportaciones, del programa presupuestario que opera con recursos federales o del programa presupuestario estatal evaluado, según sea el caso, para luego determinar la consistencia de su diseño y los resultados con tales objetivos.</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Planeación Estratégica. Implica analizar los instrumentos de planeación, y corroborar si tal planeación tiene una orientación para resultados.</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Cobertura y Focalización. Corresponde cuantificar y determinar la población potencial y la población objetivo que está siendo atendida.</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Operación. Analiza las principales actividades y procesos establecidos en la normatividad aplicable; la eficiencia, eficacia y economía operativa; y el cumplimiento y avance en los indicadores estratégicos y de gestión.</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Percepción de la Población. Analiza el grado de satisfacción de los beneficiarios de los bienes y servicios que se producen.</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Resultados. Analiza los resultados intermedios y de impacto alcanzados, en términos de mejora o solución del problema por el cual fue creado.</w:t>
            </w:r>
          </w:p>
          <w:p w:rsidR="0074576E" w:rsidRPr="00910FE0" w:rsidRDefault="0074576E" w:rsidP="00F075EB">
            <w:pPr>
              <w:numPr>
                <w:ilvl w:val="0"/>
                <w:numId w:val="72"/>
              </w:numPr>
              <w:jc w:val="both"/>
              <w:rPr>
                <w:rFonts w:ascii="Adobe Caslon Pro" w:hAnsi="Adobe Caslon Pro" w:cs="Calibri"/>
                <w:i/>
                <w:color w:val="000000"/>
                <w:sz w:val="20"/>
                <w:szCs w:val="20"/>
                <w:lang w:eastAsia="es-MX"/>
              </w:rPr>
            </w:pPr>
            <w:r w:rsidRPr="00910FE0">
              <w:rPr>
                <w:rFonts w:ascii="Adobe Caslon Pro" w:hAnsi="Adobe Caslon Pro" w:cs="Calibri"/>
                <w:i/>
                <w:color w:val="000000"/>
                <w:sz w:val="20"/>
                <w:szCs w:val="20"/>
                <w:lang w:eastAsia="es-MX"/>
              </w:rPr>
              <w:t>Ejercicio de los recursos. Analiza el grado de cumplimiento en la aplicación de los recursos en tiempo y forma, de acuerdo a los objetivos para los cuales están destinados.</w:t>
            </w:r>
          </w:p>
          <w:p w:rsidR="0074576E" w:rsidRPr="00682064" w:rsidRDefault="0074576E" w:rsidP="00A56E05">
            <w:pPr>
              <w:ind w:left="720"/>
              <w:jc w:val="both"/>
              <w:rPr>
                <w:rFonts w:ascii="Adobe Caslon Pro" w:hAnsi="Adobe Caslon Pro" w:cs="Calibri"/>
                <w: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1.7 Metodología utilizada en la evaluación:</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Instrumentos de recolección de información: </w:t>
            </w:r>
          </w:p>
        </w:tc>
      </w:tr>
      <w:tr w:rsidR="0074576E" w:rsidRPr="00BE4199" w:rsidTr="00A56E05">
        <w:trPr>
          <w:trHeight w:val="420"/>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 Cuestionarios__   Entrevistas__   Formatos__   </w:t>
            </w:r>
            <w:proofErr w:type="spellStart"/>
            <w:r w:rsidRPr="00BE4199">
              <w:rPr>
                <w:rFonts w:ascii="Adobe Caslon Pro" w:hAnsi="Adobe Caslon Pro" w:cs="Calibri"/>
                <w:color w:val="000000"/>
                <w:sz w:val="20"/>
                <w:szCs w:val="20"/>
                <w:lang w:eastAsia="es-MX"/>
              </w:rPr>
              <w:t>Otros_X</w:t>
            </w:r>
            <w:proofErr w:type="spellEnd"/>
            <w:r w:rsidRPr="00BE4199">
              <w:rPr>
                <w:rFonts w:ascii="Adobe Caslon Pro" w:hAnsi="Adobe Caslon Pro" w:cs="Calibri"/>
                <w:color w:val="000000"/>
                <w:sz w:val="20"/>
                <w:szCs w:val="20"/>
                <w:lang w:eastAsia="es-MX"/>
              </w:rPr>
              <w:t>_  Especifique:</w:t>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r w:rsidRPr="00BE4199">
              <w:rPr>
                <w:rFonts w:ascii="Adobe Caslon Pro" w:hAnsi="Adobe Caslon Pro" w:cs="Calibri"/>
                <w:color w:val="000000"/>
                <w:sz w:val="20"/>
                <w:szCs w:val="20"/>
                <w:lang w:eastAsia="es-MX"/>
              </w:rPr>
              <w:softHyphen/>
            </w:r>
          </w:p>
          <w:p w:rsidR="0074576E" w:rsidRPr="00863E8F" w:rsidRDefault="0074576E" w:rsidP="00F075EB">
            <w:pPr>
              <w:numPr>
                <w:ilvl w:val="0"/>
                <w:numId w:val="12"/>
              </w:num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 xml:space="preserve">Información proporcionada por la dependencia </w:t>
            </w:r>
            <w:r>
              <w:rPr>
                <w:rFonts w:ascii="Adobe Caslon Pro" w:hAnsi="Adobe Caslon Pro" w:cs="Calibri"/>
                <w:i/>
                <w:color w:val="000000"/>
                <w:sz w:val="20"/>
                <w:szCs w:val="20"/>
                <w:lang w:eastAsia="es-MX"/>
              </w:rPr>
              <w:t>o entidad responsable del fondo y consultas en sitios web.</w:t>
            </w:r>
          </w:p>
        </w:tc>
      </w:tr>
      <w:tr w:rsidR="0074576E" w:rsidRPr="00BE4199" w:rsidTr="00A56E05">
        <w:trPr>
          <w:trHeight w:val="599"/>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Descripción de las técnicas y modelos utilizados: </w:t>
            </w:r>
          </w:p>
          <w:p w:rsidR="0074576E" w:rsidRDefault="0074576E" w:rsidP="00A56E05">
            <w:pPr>
              <w:jc w:val="both"/>
              <w:rPr>
                <w:rFonts w:ascii="Adobe Caslon Pro" w:hAnsi="Adobe Caslon Pro" w:cs="Calibri"/>
                <w:i/>
                <w:color w:val="000000"/>
                <w:sz w:val="20"/>
                <w:szCs w:val="20"/>
                <w:lang w:eastAsia="es-MX"/>
              </w:rPr>
            </w:pPr>
            <w:r w:rsidRPr="00CF5A67">
              <w:rPr>
                <w:rFonts w:ascii="Adobe Caslon Pro" w:hAnsi="Adobe Caslon Pro" w:cs="Calibri"/>
                <w:i/>
                <w:color w:val="000000"/>
                <w:sz w:val="20"/>
                <w:szCs w:val="20"/>
                <w:lang w:eastAsia="es-MX"/>
              </w:rPr>
              <w:t>La metodología de Evaluación fue desarrollada por “LA JEFATURA”, quien funge como la Instancia Técnica de Evaluación, con la finalidad de obtener información confiable para mejorar la gestión, la toma de decisio</w:t>
            </w:r>
            <w:r>
              <w:rPr>
                <w:rFonts w:ascii="Adobe Caslon Pro" w:hAnsi="Adobe Caslon Pro" w:cs="Calibri"/>
                <w:i/>
                <w:color w:val="000000"/>
                <w:sz w:val="20"/>
                <w:szCs w:val="20"/>
                <w:lang w:eastAsia="es-MX"/>
              </w:rPr>
              <w:t>nes y el proceso presupuestario, los cuales se encuentran en los Términos de Referencia en la siguiente liga:</w:t>
            </w:r>
          </w:p>
          <w:p w:rsidR="0074576E" w:rsidRDefault="009B1A50" w:rsidP="00A56E05">
            <w:pPr>
              <w:jc w:val="both"/>
              <w:rPr>
                <w:rStyle w:val="Hipervnculo"/>
                <w:rFonts w:ascii="Adobe Caslon Pro" w:hAnsi="Adobe Caslon Pro" w:cs="Calibri"/>
                <w:i/>
                <w:sz w:val="20"/>
                <w:szCs w:val="20"/>
                <w:lang w:eastAsia="es-MX"/>
              </w:rPr>
            </w:pPr>
            <w:hyperlink r:id="rId195" w:history="1">
              <w:r w:rsidR="0074576E" w:rsidRPr="002630FA">
                <w:rPr>
                  <w:rStyle w:val="Hipervnculo"/>
                  <w:rFonts w:ascii="Adobe Caslon Pro" w:hAnsi="Adobe Caslon Pro" w:cs="Calibri"/>
                  <w:i/>
                  <w:sz w:val="20"/>
                  <w:szCs w:val="20"/>
                  <w:lang w:eastAsia="es-MX"/>
                </w:rPr>
                <w:t>http://www.jefaturadelagubernatura-evaluacion.oaxaca.gob.mx/index.php/pae-sidepanel/pae-2015</w:t>
              </w:r>
            </w:hyperlink>
          </w:p>
          <w:p w:rsidR="0074576E" w:rsidRDefault="0074576E" w:rsidP="00A56E05">
            <w:pPr>
              <w:jc w:val="both"/>
              <w:rPr>
                <w:rStyle w:val="Hipervnculo"/>
                <w:rFonts w:ascii="Adobe Caslon Pro" w:hAnsi="Adobe Caslon Pro" w:cs="Calibri"/>
                <w:i/>
                <w:sz w:val="20"/>
                <w:szCs w:val="20"/>
                <w:lang w:eastAsia="es-MX"/>
              </w:rPr>
            </w:pPr>
          </w:p>
          <w:p w:rsidR="0074576E"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Base de datos de gabinete utilizados para el análisis:</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Ficha Técnica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MIR del fondo Federal.</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MIR Estatal del fondo o de los programas presupuestarios financiados con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Vinculación del Programa y/o Proyecto con el Plan Nacional de Desarrollo y Plan Estatal de Desarrollo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 Secto</w:t>
            </w:r>
            <w:r>
              <w:rPr>
                <w:rFonts w:ascii="Adobe Caslon Pro" w:hAnsi="Adobe Caslon Pro" w:cs="Calibri"/>
                <w:i/>
                <w:color w:val="000000"/>
                <w:sz w:val="20"/>
                <w:szCs w:val="20"/>
                <w:lang w:eastAsia="es-MX"/>
              </w:rPr>
              <w:t>rial de Desarrollo.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 Estratégico o Institucional de la Coordinadora y de las Dependencias responsables de operar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Objetivos Estratégicos de la Coordinadora y de las Dependencias responsables del operar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en donde se incluya el análisis del problema del fondo o de los programas presupuestarios financiados con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Listado de indicadores.</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Ficha técnica d</w:t>
            </w:r>
            <w:r>
              <w:rPr>
                <w:rFonts w:ascii="Adobe Caslon Pro" w:hAnsi="Adobe Caslon Pro" w:cs="Calibri"/>
                <w:i/>
                <w:color w:val="000000"/>
                <w:sz w:val="20"/>
                <w:szCs w:val="20"/>
                <w:lang w:eastAsia="es-MX"/>
              </w:rPr>
              <w:t>e los indicadores.</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Programas federales y/o estatales con características similares (ficha técnica o link de información)</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el procedimiento a través del cual se administra y opera el fondo y los programas presupuestarios financiados por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para la selección de beneficiarios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para la selección de proyectos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Padrón de beneficiarios y link de difusión</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Características socioeconómicas de los beneficiarios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los procedimientos de actualizac</w:t>
            </w:r>
            <w:r>
              <w:rPr>
                <w:rFonts w:ascii="Adobe Caslon Pro" w:hAnsi="Adobe Caslon Pro" w:cs="Calibri"/>
                <w:i/>
                <w:color w:val="000000"/>
                <w:sz w:val="20"/>
                <w:szCs w:val="20"/>
                <w:lang w:eastAsia="es-MX"/>
              </w:rPr>
              <w:t>ión del padrón de beneficiarios.</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Cuantificar a la Población Potencial, objetivo, atendida</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Instrumento para medir la satisfacción del usuario y sus resultados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Manual de planeac</w:t>
            </w:r>
            <w:r>
              <w:rPr>
                <w:rFonts w:ascii="Adobe Caslon Pro" w:hAnsi="Adobe Caslon Pro" w:cs="Calibri"/>
                <w:i/>
                <w:color w:val="000000"/>
                <w:sz w:val="20"/>
                <w:szCs w:val="20"/>
                <w:lang w:eastAsia="es-MX"/>
              </w:rPr>
              <w:t>ión, programación y presupuesto.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Presupuesto aprobado, ejercido y no devengado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Avance físico-financiero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técnico que contenga los procesos de la entrega/recepción de componentes (actas de entrega- recepción)</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Cierre de ejercicio.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Instrumentos de recuperación de Deuda relacionados con el cumplimiento de objetivos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Calendario de transferencia de recursos para la operación del fondo (De la federación a la Entidad)</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Calendario de transferencia de recursos para la operación del fondo (De la Entidad a las ejecutoras)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Reportes de Cuenta Pública</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Informe sobre la situación económica, las finanzas públicas y la deuda pública. Formato único sobre aplicaciones de recursos federales</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 de seguimiento y monitoreo financiero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Formato de resultados del PASH.</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que describa los sistemas de información que se utilizan en la gestión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Costos de Operación del fondo.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de Procedimientos para medir costo-efectividad en la ejecución del fondo.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lastRenderedPageBreak/>
              <w:t>Documento de resultados de la medición costo-efectividad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Estructura organizacional de la dependencia, que incluya las áreas operativas relacionadas con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Manual organizacional de la dependencia, que incluya las responsabilidades y funciones asociadas con 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del Sistema de Evaluación del Desempeño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Reporte del avance de gestión y resultados (reporte de indicadores de la MIR)</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Reporte de Evaluación del fondo.</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metodológico ocupado para la evaluación del fondo (</w:t>
            </w:r>
            <w:proofErr w:type="spellStart"/>
            <w:r w:rsidRPr="00D2150C">
              <w:rPr>
                <w:rFonts w:ascii="Adobe Caslon Pro" w:hAnsi="Adobe Caslon Pro" w:cs="Calibri"/>
                <w:i/>
                <w:color w:val="000000"/>
                <w:sz w:val="20"/>
                <w:szCs w:val="20"/>
                <w:lang w:eastAsia="es-MX"/>
              </w:rPr>
              <w:t>TdR's</w:t>
            </w:r>
            <w:proofErr w:type="spellEnd"/>
            <w:r w:rsidRPr="00D2150C">
              <w:rPr>
                <w:rFonts w:ascii="Adobe Caslon Pro" w:hAnsi="Adobe Caslon Pro" w:cs="Calibri"/>
                <w:i/>
                <w:color w:val="000000"/>
                <w:sz w:val="20"/>
                <w:szCs w:val="20"/>
                <w:lang w:eastAsia="es-MX"/>
              </w:rPr>
              <w:t>)</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Planes de mejora asociados a la evaluación del fondo</w:t>
            </w:r>
            <w:r>
              <w:rPr>
                <w:rFonts w:ascii="Adobe Caslon Pro" w:hAnsi="Adobe Caslon Pro" w:cs="Calibri"/>
                <w:i/>
                <w:color w:val="000000"/>
                <w:sz w:val="20"/>
                <w:szCs w:val="20"/>
                <w:lang w:eastAsia="es-MX"/>
              </w:rPr>
              <w:t>.</w:t>
            </w:r>
          </w:p>
          <w:p w:rsidR="0074576E" w:rsidRPr="00D2150C"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Documento normativo del Sistema de Rendición de Cuentas y Transparencia para los funcionarios que administran el fondo</w:t>
            </w:r>
            <w:r>
              <w:rPr>
                <w:rFonts w:ascii="Adobe Caslon Pro" w:hAnsi="Adobe Caslon Pro" w:cs="Calibri"/>
                <w:i/>
                <w:color w:val="000000"/>
                <w:sz w:val="20"/>
                <w:szCs w:val="20"/>
                <w:lang w:eastAsia="es-MX"/>
              </w:rPr>
              <w:t>.</w:t>
            </w:r>
          </w:p>
          <w:p w:rsidR="0074576E" w:rsidRPr="000D1A21" w:rsidRDefault="0074576E" w:rsidP="00F075EB">
            <w:pPr>
              <w:numPr>
                <w:ilvl w:val="0"/>
                <w:numId w:val="114"/>
              </w:numPr>
              <w:rPr>
                <w:rFonts w:ascii="Adobe Caslon Pro" w:hAnsi="Adobe Caslon Pro" w:cs="Calibri"/>
                <w:i/>
                <w:color w:val="000000"/>
                <w:sz w:val="20"/>
                <w:szCs w:val="20"/>
                <w:lang w:eastAsia="es-MX"/>
              </w:rPr>
            </w:pPr>
            <w:r w:rsidRPr="00D2150C">
              <w:rPr>
                <w:rFonts w:ascii="Adobe Caslon Pro" w:hAnsi="Adobe Caslon Pro" w:cs="Calibri"/>
                <w:i/>
                <w:color w:val="000000"/>
                <w:sz w:val="20"/>
                <w:szCs w:val="20"/>
                <w:lang w:eastAsia="es-MX"/>
              </w:rPr>
              <w:t>Páginas Web de Transparencia y/o gaceta oficial en donde se transparente la operación del fondo</w:t>
            </w:r>
            <w:r>
              <w:rPr>
                <w:rFonts w:ascii="Adobe Caslon Pro" w:hAnsi="Adobe Caslon Pro" w:cs="Calibri"/>
                <w:i/>
                <w:color w:val="000000"/>
                <w:sz w:val="20"/>
                <w:szCs w:val="20"/>
                <w:lang w:eastAsia="es-MX"/>
              </w:rPr>
              <w:t xml:space="preserve"> </w:t>
            </w:r>
            <w:r w:rsidRPr="00D2150C">
              <w:rPr>
                <w:rFonts w:ascii="Adobe Caslon Pro" w:hAnsi="Adobe Caslon Pro" w:cs="Calibri"/>
                <w:i/>
                <w:color w:val="000000"/>
                <w:sz w:val="20"/>
                <w:szCs w:val="20"/>
                <w:lang w:eastAsia="es-MX"/>
              </w:rPr>
              <w:t>(financiera, operativa, percepción de la población, evaluación)</w:t>
            </w:r>
            <w:r>
              <w:rPr>
                <w:rFonts w:ascii="Adobe Caslon Pro" w:hAnsi="Adobe Caslon Pro" w:cs="Calibri"/>
                <w:i/>
                <w:color w:val="000000"/>
                <w:sz w:val="20"/>
                <w:szCs w:val="20"/>
                <w:lang w:eastAsia="es-MX"/>
              </w:rPr>
              <w:t>.</w:t>
            </w:r>
          </w:p>
        </w:tc>
      </w:tr>
      <w:tr w:rsidR="0074576E" w:rsidRPr="00BE4199" w:rsidTr="00A56E05">
        <w:trPr>
          <w:trHeight w:val="58"/>
          <w:jc w:val="center"/>
        </w:trPr>
        <w:tc>
          <w:tcPr>
            <w:tcW w:w="999" w:type="dxa"/>
            <w:gridSpan w:val="2"/>
            <w:tcBorders>
              <w:top w:val="single" w:sz="4" w:space="0" w:color="auto"/>
              <w:bottom w:val="single" w:sz="4" w:space="0" w:color="auto"/>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 </w:t>
            </w:r>
          </w:p>
        </w:tc>
        <w:tc>
          <w:tcPr>
            <w:tcW w:w="8437" w:type="dxa"/>
            <w:gridSpan w:val="12"/>
            <w:tcBorders>
              <w:top w:val="single" w:sz="4" w:space="0" w:color="auto"/>
              <w:bottom w:val="single" w:sz="4" w:space="0" w:color="auto"/>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8125" w:type="dxa"/>
            <w:gridSpan w:val="12"/>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2. Principales Hallazgos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61"/>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t>2.1 Describir los hallazgos más relevantes de la evaluación: </w:t>
            </w:r>
          </w:p>
          <w:p w:rsidR="0074576E" w:rsidRPr="006E485A" w:rsidRDefault="0074576E" w:rsidP="00A56E05">
            <w:pPr>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DISEÑO</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encontró una correlación directa entre la solución del problema y los niveles de objetivo: Fin y Propósito. Asimismo, existe una vinculación entre el objetivo estratégico de la Dependencia con los objetivos planteados en el Plan Nacional de Desarrollo 2013-2018 en materia de salud.</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Se observa que los indicadores incluidos en la MIR son claros, relevantes, económicos y </w:t>
            </w:r>
            <w:proofErr w:type="spellStart"/>
            <w:r w:rsidRPr="006E485A">
              <w:rPr>
                <w:rFonts w:ascii="Adobe Caslon Pro" w:hAnsi="Adobe Caslon Pro" w:cs="Calibri"/>
                <w:i/>
                <w:color w:val="000000"/>
                <w:sz w:val="20"/>
                <w:szCs w:val="20"/>
                <w:lang w:eastAsia="es-MX"/>
              </w:rPr>
              <w:t>monitoreables</w:t>
            </w:r>
            <w:proofErr w:type="spellEnd"/>
            <w:r w:rsidRPr="006E485A">
              <w:rPr>
                <w:rFonts w:ascii="Adobe Caslon Pro" w:hAnsi="Adobe Caslon Pro" w:cs="Calibri"/>
                <w:i/>
                <w:color w:val="000000"/>
                <w:sz w:val="20"/>
                <w:szCs w:val="20"/>
                <w:lang w:eastAsia="es-MX"/>
              </w:rPr>
              <w:t>, por lo que dichos indicadores permiten medir el desempeño a nivel de Fin, Propósito, Componentes y Actividades.</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Las actividades señaladas en la MIR de cada programa asociado al Programa Presupuestario FASSA se establecen por cada Componente, y responden al cumplimiento del objetivo de los programas.</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proporcionó información documental suficiente con la que se corrobora que existe una lógica vertical clara, puesto que existe una relación directa entre las Actividades, los Componentes, el Propósito y el Fin, existiendo entre ellos una relación causa-efecto directa.</w:t>
            </w:r>
          </w:p>
          <w:p w:rsidR="0074576E" w:rsidRPr="006E485A" w:rsidRDefault="0074576E" w:rsidP="00F075EB">
            <w:pPr>
              <w:numPr>
                <w:ilvl w:val="0"/>
                <w:numId w:val="12"/>
              </w:numPr>
              <w:jc w:val="both"/>
              <w:rPr>
                <w:rFonts w:ascii="Adobe Caslon Pro" w:hAnsi="Adobe Caslon Pro" w:cs="Calibri"/>
                <w:color w:val="000000"/>
                <w:sz w:val="20"/>
                <w:szCs w:val="20"/>
                <w:lang w:eastAsia="es-MX"/>
              </w:rPr>
            </w:pPr>
            <w:r w:rsidRPr="006E485A">
              <w:rPr>
                <w:rFonts w:ascii="Adobe Caslon Pro" w:hAnsi="Adobe Caslon Pro" w:cs="Calibri"/>
                <w:i/>
                <w:color w:val="000000"/>
                <w:sz w:val="20"/>
                <w:szCs w:val="20"/>
                <w:lang w:eastAsia="es-MX"/>
              </w:rPr>
              <w:t>La lógica horizontal está construida de forma adecuada, puesto que la información que se informa en las MIR, se integra por el conjunto objetivo-indicadores-medios de verificación, señalando los medios de verificación para el cálculo de indicadores. Asimismo, los indicadores son los adecuados para la medición de los objetivos del programa presupuestario FASSA.</w:t>
            </w:r>
          </w:p>
          <w:p w:rsidR="0074576E" w:rsidRPr="006E485A" w:rsidRDefault="0074576E" w:rsidP="00A56E05">
            <w:pPr>
              <w:ind w:left="720"/>
              <w:jc w:val="both"/>
              <w:rPr>
                <w:rFonts w:ascii="Adobe Caslon Pro" w:hAnsi="Adobe Caslon Pro" w:cs="Calibr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PLANEACIÓN ESTRATÉGICA</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Derivado del análisis de la información comprobatoria se identificó que se cuenta con los mecanismos para establecer y definir metas e indicadores, para lo cual en el Manual de Planeación, Programación y </w:t>
            </w:r>
            <w:proofErr w:type="spellStart"/>
            <w:r w:rsidRPr="006E485A">
              <w:rPr>
                <w:rFonts w:ascii="Adobe Caslon Pro" w:hAnsi="Adobe Caslon Pro" w:cs="Calibri"/>
                <w:i/>
                <w:color w:val="000000"/>
                <w:sz w:val="20"/>
                <w:szCs w:val="20"/>
                <w:lang w:eastAsia="es-MX"/>
              </w:rPr>
              <w:t>Presupuestación</w:t>
            </w:r>
            <w:proofErr w:type="spellEnd"/>
            <w:r w:rsidRPr="006E485A">
              <w:rPr>
                <w:rFonts w:ascii="Adobe Caslon Pro" w:hAnsi="Adobe Caslon Pro" w:cs="Calibri"/>
                <w:i/>
                <w:color w:val="000000"/>
                <w:sz w:val="20"/>
                <w:szCs w:val="20"/>
                <w:lang w:eastAsia="es-MX"/>
              </w:rPr>
              <w:t xml:space="preserve"> 2014 de la Secretaría de Finanzas del Estado de Oaxaca se clarifican los mecanismos para establecer las metas.</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 MIR de cada programa asociado al programa presupuestario FASSA, proporcionadas por la Dependencia ejecutora se identifican claramente los mecanismos y herramientas de planeación estratégica utilizados para establecer y definir metas e indicadores. Asimismo, a través de los medios de verificación que se informan en las propias MIR es posible monitorear el programa presupuestario.</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identificó en la documentación comprobatoria que los objetivos estratégicos descritos en los Planes Institucionales de Desarrollo son claros y precisos, además dichos objetivos están alineados con el Plan Nacional de Desarrollo y el Plan Estatal de Desarrollo.</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En las MIR de los cuatro programas evaluados se establecen los elementos necesarios para medir el desempeño del programa, resultando que la línea base o año de referencia es congruente con los indicadores señalados por cada nivel de objetivo, lo cual permite que las metas se cumplan como se </w:t>
            </w:r>
            <w:r w:rsidRPr="006E485A">
              <w:rPr>
                <w:rFonts w:ascii="Adobe Caslon Pro" w:hAnsi="Adobe Caslon Pro" w:cs="Calibri"/>
                <w:i/>
                <w:color w:val="000000"/>
                <w:sz w:val="20"/>
                <w:szCs w:val="20"/>
                <w:lang w:eastAsia="es-MX"/>
              </w:rPr>
              <w:lastRenderedPageBreak/>
              <w:t>informa en la Matriz de Indicadores para Resultados..</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 frecuencia de medición que se informa en las MIR, de los indicadores del Fin y Propósito es anual, respecto a los Componentes es semestral y para las Actividades es trimestral. Dado lo anterior, se infiere que se cuenta con información oportuna para realizar un monitoreo del desempeño del programa, para lo cual se informa en los medios de verificación las fuentes de información correspondientes.</w:t>
            </w:r>
          </w:p>
          <w:p w:rsidR="0074576E" w:rsidRPr="006E485A" w:rsidRDefault="0074576E" w:rsidP="00A56E05">
            <w:pPr>
              <w:ind w:left="360"/>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COBERTURA Y FOCALIZACIÓN</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Por medio de la cuantificación de la población potencial y objetivo se realiza un análisis de cobertura, mediante el cual se identifica una eficiencia en la cobertura mayor al 100 por ciento. Al respecto, se considera que los recursos del programa presupuestario están focalizados a la población objetivo.</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En la evidencia documental se identificó la definición de población potencial, </w:t>
            </w:r>
            <w:proofErr w:type="gramStart"/>
            <w:r w:rsidRPr="006E485A">
              <w:rPr>
                <w:rFonts w:ascii="Adobe Caslon Pro" w:hAnsi="Adobe Caslon Pro" w:cs="Calibri"/>
                <w:i/>
                <w:color w:val="000000"/>
                <w:sz w:val="20"/>
                <w:szCs w:val="20"/>
                <w:lang w:eastAsia="es-MX"/>
              </w:rPr>
              <w:t>objetivo</w:t>
            </w:r>
            <w:proofErr w:type="gramEnd"/>
            <w:r w:rsidRPr="006E485A">
              <w:rPr>
                <w:rFonts w:ascii="Adobe Caslon Pro" w:hAnsi="Adobe Caslon Pro" w:cs="Calibri"/>
                <w:i/>
                <w:color w:val="000000"/>
                <w:sz w:val="20"/>
                <w:szCs w:val="20"/>
                <w:lang w:eastAsia="es-MX"/>
              </w:rPr>
              <w:t xml:space="preserve"> y atendida, por la cual se infiere que los recursos del programa han llegado a la población que se deseaba atender, y que se cumple con los criterios de elegibilidad y requisitos establecidos en la normatividad aplicable.</w:t>
            </w:r>
          </w:p>
          <w:p w:rsidR="0074576E" w:rsidRPr="006E485A" w:rsidRDefault="0074576E" w:rsidP="00A56E05">
            <w:pPr>
              <w:ind w:left="360"/>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OPERACIÓN</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 documentación comprobatoria se identificó la normatividad en la que se establecen los criterios para la selección de beneficiarios del Sistema de Protección Social en Salud.</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 documentación comprobatoria se identificaron reportes e informes que dan cuenta del avance físico-financiero, cierre del ejercicio y recursos no devengados, que comprueban que se cumple con los procesos de ejecución establecidos en los Artículos 46 y 47 de la Ley General de Contabilidad Gubernamental, donde se norman los sistemas contables de las Entidades Federativas. Asimismo, se cumple con lo establecido en el Título Sexto y Séptimo de los Lineamientos sobre los Indicadores para Medir los Avances Físicos y Financieros.</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 evidencia documental se verificó que existe integración entre los sistemas de información que conforman la administración financiera, al existir coincidencia entre las actividades informadas en el Reporte General de Avance de Indicadores del Sistema de Información para la Administración del Fondo para el Fortalecimiento de Acciones de Salud Pública en las Entidades Federativas y las reportadas en los Resultados del Programa Anual de Trabajo 2014 de la Dependencia ejecutora. Además, los indicadores informados en las MIR son coincidentes con lo informado en el Reporte General de Avance de Indicadores por Programa y Entidad Federativa.</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Por medio de la revisión de la información documental proporcionada se identificó que en las MIR se están considerando indicadores de eficacia en la operación del programa presupuestario, lo que permite medir el nivel de cumplimiento de los objetivos. </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 rendición de cuentas y transparencia, se verificó que la documentación comprobatoria da cuenta de que se cumple con la normatividad citada.</w:t>
            </w:r>
          </w:p>
          <w:p w:rsidR="0074576E" w:rsidRPr="006E485A" w:rsidRDefault="0074576E" w:rsidP="00A56E05">
            <w:pPr>
              <w:ind w:left="360"/>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PERCEPCIÓN DE LA POBLACIÓN OBJETIVO</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 documentación comprobatoria se identificó que para la medición de la satisfacción de los beneficiarios se utilizan como instrumentos la encuesta, y se creó la figura del “aval ciudadano” para avalar las acciones en favor del trato digno que en ellas se llevan a cabo, y garantizar que los informes emitidos por las instituciones de salud se apeguen a la realidad, respecto de lo cual no se informan</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resultados.</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Las encuestas y la figura del aval ciudadano permiten obtener información directa y oportuna respecto al grado de satisfacción de los beneficiarios. Por ende para esta evaluación se considera que es el mecanismo adecuado mediante el cual se obtiene la información que se requiere saber de la población objetivo.</w:t>
            </w:r>
          </w:p>
          <w:p w:rsidR="0074576E" w:rsidRPr="006E485A" w:rsidRDefault="0074576E" w:rsidP="00A56E05">
            <w:pPr>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RESULTADOS</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Se considera que la información para el cálculo de indicadores se recolecta de forma veraz y oportuna </w:t>
            </w:r>
            <w:r w:rsidRPr="006E485A">
              <w:rPr>
                <w:rFonts w:ascii="Adobe Caslon Pro" w:hAnsi="Adobe Caslon Pro" w:cs="Calibri"/>
                <w:i/>
                <w:color w:val="000000"/>
                <w:sz w:val="20"/>
                <w:szCs w:val="20"/>
                <w:lang w:eastAsia="es-MX"/>
              </w:rPr>
              <w:lastRenderedPageBreak/>
              <w:t>sobre los indicadores de Propósito y Fin, los cuales en algunos casos son de temporalidad anual y en otros, bianual.</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verificó que la Dependencia ejecutora proporcionó información suficiente que permite realizar una evaluación de impacto rigurosa.</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el análisis de la documentación comprobatoria se identificaron los informes financieros y físicos, en los cuales se observa que tanto el avance físico como el financiero del programa presupuestario FASSA es del 100 por ciento, lo cual se considera suficiente para demostrar que fue alcanzado el Propósito y el Fin del programa.</w:t>
            </w:r>
          </w:p>
          <w:p w:rsidR="0074576E" w:rsidRPr="006E485A" w:rsidRDefault="0074576E" w:rsidP="00A56E05">
            <w:pPr>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EJERCICIO DE LOS RECURSOS</w:t>
            </w:r>
          </w:p>
          <w:p w:rsidR="0074576E" w:rsidRPr="006E485A" w:rsidRDefault="0074576E" w:rsidP="00F075EB">
            <w:pPr>
              <w:numPr>
                <w:ilvl w:val="0"/>
                <w:numId w:val="118"/>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 evidencia documental muestra que existe un alto grado de cumplimiento de los objetivos planteados en la estrategia de ejecución de acciones, actividades y bienes y servicios asociados al FASSA, dado que el grado de cumplimiento de los indicadores en su mayoría es el del 100 por ciento.</w:t>
            </w:r>
          </w:p>
          <w:p w:rsidR="0074576E" w:rsidRPr="006E485A" w:rsidRDefault="0074576E" w:rsidP="00F075EB">
            <w:pPr>
              <w:numPr>
                <w:ilvl w:val="0"/>
                <w:numId w:val="118"/>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Mediante la revisión del Informe de la Situación Económica, las Finanzas Públicas y la Deuda Pública de la Secretaría de Hacienda y Crédito Público del cuarto trimestre de 2014, se verificó que los montos presupuestarios de dicho ejercicio fiscal fueron ejercidos en tiempo, puesto que se informa en dicho documento, que el monto ejercido fue mayor al presupuestado.</w:t>
            </w:r>
          </w:p>
          <w:p w:rsidR="0074576E" w:rsidRPr="006E485A" w:rsidRDefault="0074576E" w:rsidP="00F075EB">
            <w:pPr>
              <w:numPr>
                <w:ilvl w:val="0"/>
                <w:numId w:val="118"/>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Conforme a la revisión de la información proporcionada, se verificó que se cumple con lo establecido en los Artículos 85 y 110 de la Ley Federal de Presupuesto y Responsabilidad Hacendaria, así como con lo que señalan los Artículos 58, 62, 70, 71 y 72 de la Ley General de Contabilidad Gubernamental, en materia de información de resultados y financiera en tiempo y forma.</w:t>
            </w:r>
          </w:p>
        </w:tc>
      </w:tr>
      <w:tr w:rsidR="0074576E" w:rsidRPr="00BE4199" w:rsidTr="00A56E05">
        <w:trPr>
          <w:trHeight w:val="420"/>
          <w:jc w:val="center"/>
        </w:trPr>
        <w:tc>
          <w:tcPr>
            <w:tcW w:w="9436" w:type="dxa"/>
            <w:gridSpan w:val="14"/>
            <w:vMerge w:val="restart"/>
            <w:tcBorders>
              <w:top w:val="single" w:sz="4" w:space="0" w:color="auto"/>
              <w:left w:val="single" w:sz="4" w:space="0" w:color="auto"/>
              <w:bottom w:val="nil"/>
              <w:right w:val="single" w:sz="4" w:space="0" w:color="000000"/>
            </w:tcBorders>
            <w:shd w:val="clear" w:color="auto" w:fill="auto"/>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lastRenderedPageBreak/>
              <w:t>2.2 Señalar cuáles son las principales Fortalezas, Oportunidades, Debilidades y Amenazas (FODA), de acuerdo con los temas del programa, estrategia o instituciones.</w:t>
            </w:r>
          </w:p>
        </w:tc>
      </w:tr>
      <w:tr w:rsidR="0074576E" w:rsidRPr="00BE4199" w:rsidTr="00A56E05">
        <w:trPr>
          <w:trHeight w:val="340"/>
          <w:jc w:val="center"/>
        </w:trPr>
        <w:tc>
          <w:tcPr>
            <w:tcW w:w="9436" w:type="dxa"/>
            <w:gridSpan w:val="14"/>
            <w:vMerge/>
            <w:tcBorders>
              <w:top w:val="single" w:sz="4" w:space="0" w:color="auto"/>
              <w:left w:val="single" w:sz="4" w:space="0" w:color="auto"/>
              <w:bottom w:val="nil"/>
              <w:right w:val="single" w:sz="4" w:space="0" w:color="000000"/>
            </w:tcBorders>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E71100" w:rsidRDefault="0074576E" w:rsidP="00A56E05">
            <w:pPr>
              <w:jc w:val="both"/>
              <w:rPr>
                <w:rFonts w:ascii="Adobe Caslon Pro" w:hAnsi="Adobe Caslon Pro" w:cs="Calibri"/>
                <w:i/>
                <w:color w:val="000000"/>
                <w:sz w:val="20"/>
                <w:szCs w:val="20"/>
                <w:lang w:eastAsia="es-MX"/>
              </w:rPr>
            </w:pPr>
            <w:r w:rsidRPr="00E71100">
              <w:rPr>
                <w:rFonts w:ascii="Adobe Caslon Pro" w:hAnsi="Adobe Caslon Pro" w:cs="Calibri"/>
                <w:i/>
                <w:color w:val="000000"/>
                <w:sz w:val="20"/>
                <w:szCs w:val="20"/>
                <w:lang w:eastAsia="es-MX"/>
              </w:rPr>
              <w:t>2.2.1 Fortalezas:</w:t>
            </w: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DISEÑO</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Existe una relación lógica entre el programa presupuestario FASSA y los objetivos en materia de salud planteados en el Plan Nacional de Desarrollo, Plan Estatal de Desarrollo y Plan Sectorial de Salud.</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La información que se incluye en las MIR permite verificar que se cuenta con los indicadores para medir el desempeño del programa por cada nivel de objetivo; se considera que dichos indicadores son claros, relevantes, económicos, adecuados y </w:t>
            </w:r>
            <w:proofErr w:type="spellStart"/>
            <w:r w:rsidRPr="006E485A">
              <w:rPr>
                <w:rFonts w:ascii="Adobe Caslon Pro" w:hAnsi="Adobe Caslon Pro" w:cs="Calibri"/>
                <w:i/>
                <w:color w:val="000000"/>
                <w:sz w:val="20"/>
                <w:szCs w:val="20"/>
                <w:lang w:eastAsia="es-MX"/>
              </w:rPr>
              <w:t>monitoreables</w:t>
            </w:r>
            <w:proofErr w:type="spellEnd"/>
            <w:r w:rsidRPr="006E485A">
              <w:rPr>
                <w:rFonts w:ascii="Adobe Caslon Pro" w:hAnsi="Adobe Caslon Pro" w:cs="Calibri"/>
                <w:i/>
                <w:color w:val="000000"/>
                <w:sz w:val="20"/>
                <w:szCs w:val="20"/>
                <w:lang w:eastAsia="es-MX"/>
              </w:rPr>
              <w:t>.</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 lógica interna del programa es lógica y clara, además de que la lógica horizontal está construida de forma adecuada, puesto que los niveles de objetivo planteados: Fin, Propósito, Componentes y Actividades se vinculan entre ellos y contribuyen al logro de los objetivos de los programas asociados al FASSA.</w:t>
            </w:r>
          </w:p>
          <w:p w:rsidR="0074576E" w:rsidRPr="006E485A" w:rsidRDefault="0074576E" w:rsidP="00F075EB">
            <w:pPr>
              <w:numPr>
                <w:ilvl w:val="0"/>
                <w:numId w:val="1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Las MIR describen la línea base de los indicadores por cada nivel de objetivo, y a su vez se describen los medios de verificación para replicar el cálculo de indicadores, lo cual permite medir el avance del programa presupuestario.</w:t>
            </w:r>
          </w:p>
          <w:p w:rsidR="0074576E" w:rsidRPr="006E485A" w:rsidRDefault="0074576E" w:rsidP="00A56E05">
            <w:pPr>
              <w:ind w:left="720"/>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PLANEACIÓN ESTRATÉGICA</w:t>
            </w:r>
          </w:p>
          <w:p w:rsidR="0074576E" w:rsidRPr="006E485A" w:rsidRDefault="0074576E" w:rsidP="00F075EB">
            <w:pPr>
              <w:numPr>
                <w:ilvl w:val="0"/>
                <w:numId w:val="77"/>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El objetivo estratégico de la Dependencia ejecutora planteado en el Programa Operativo Anual 2014 es congruente con el objetivo general planteado en el Programa Sectorial de Salud del Estado de Oaxaca 2011-2016, los cuales a su vez se encuentran vinculados a los objetivos en materia de salud planteados en el Plan Nacional de Desarrollo 2013-2018 y en el Plan Estatal de Desarrollo 2011-2016.</w:t>
            </w:r>
          </w:p>
          <w:p w:rsidR="0074576E" w:rsidRPr="006E485A" w:rsidRDefault="0074576E" w:rsidP="00F075EB">
            <w:pPr>
              <w:numPr>
                <w:ilvl w:val="0"/>
                <w:numId w:val="77"/>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observa que la información se recolecta de manera oportuna para monitorear el desempeño del programa, además la información que se recolecta es veraz en virtud de que se trata de información oficial.</w:t>
            </w:r>
          </w:p>
          <w:p w:rsidR="0074576E" w:rsidRPr="006E485A" w:rsidRDefault="0074576E" w:rsidP="00F075EB">
            <w:pPr>
              <w:numPr>
                <w:ilvl w:val="0"/>
                <w:numId w:val="77"/>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Los montos asignados a la entidad están ligados al cumplimiento de las metas de desempeño, dado que ambos se desprenden de lo que establece la Ley de Coordinación Fiscal.</w:t>
            </w:r>
          </w:p>
          <w:p w:rsidR="0074576E" w:rsidRPr="006E485A" w:rsidRDefault="0074576E" w:rsidP="00A56E05">
            <w:pPr>
              <w:ind w:left="720"/>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COBERTURA Y FOCALIZACIÓN</w:t>
            </w:r>
          </w:p>
          <w:p w:rsidR="0074576E" w:rsidRPr="006E485A" w:rsidRDefault="0074576E" w:rsidP="00F075EB">
            <w:pPr>
              <w:numPr>
                <w:ilvl w:val="0"/>
                <w:numId w:val="78"/>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La información respecto de la población potencial y objetivo </w:t>
            </w:r>
            <w:proofErr w:type="gramStart"/>
            <w:r w:rsidRPr="006E485A">
              <w:rPr>
                <w:rFonts w:ascii="Adobe Caslon Pro" w:hAnsi="Adobe Caslon Pro" w:cs="Calibri"/>
                <w:i/>
                <w:color w:val="000000"/>
                <w:sz w:val="20"/>
                <w:szCs w:val="20"/>
                <w:lang w:eastAsia="es-MX"/>
              </w:rPr>
              <w:t>proporcionada</w:t>
            </w:r>
            <w:proofErr w:type="gramEnd"/>
            <w:r w:rsidRPr="006E485A">
              <w:rPr>
                <w:rFonts w:ascii="Adobe Caslon Pro" w:hAnsi="Adobe Caslon Pro" w:cs="Calibri"/>
                <w:i/>
                <w:color w:val="000000"/>
                <w:sz w:val="20"/>
                <w:szCs w:val="20"/>
                <w:lang w:eastAsia="es-MX"/>
              </w:rPr>
              <w:t>, permitió cuantificar la eficiencia en la cobertura, la que resultó del 100 por ciento.</w:t>
            </w:r>
          </w:p>
          <w:p w:rsidR="0074576E" w:rsidRPr="006E485A" w:rsidRDefault="0074576E" w:rsidP="00F075EB">
            <w:pPr>
              <w:numPr>
                <w:ilvl w:val="0"/>
                <w:numId w:val="78"/>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La documentación comprobatoria permite verificar que los recursos del programa han llegado a la población que se deseaba atender. </w:t>
            </w:r>
          </w:p>
          <w:p w:rsidR="0074576E" w:rsidRPr="006E485A" w:rsidRDefault="0074576E" w:rsidP="00A56E05">
            <w:pPr>
              <w:ind w:left="720"/>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OPERACIÓN</w:t>
            </w:r>
          </w:p>
          <w:p w:rsidR="0074576E" w:rsidRPr="006E485A" w:rsidRDefault="0074576E" w:rsidP="00F075EB">
            <w:pPr>
              <w:numPr>
                <w:ilvl w:val="0"/>
                <w:numId w:val="7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identificaron los lineamientos en los cuales se establecen los procedimientos para la selección de beneficiarios, y se establece también cómo debe estar integrado del padrón de beneficiarios.</w:t>
            </w:r>
          </w:p>
          <w:p w:rsidR="0074576E" w:rsidRPr="006E485A" w:rsidRDefault="0074576E" w:rsidP="00F075EB">
            <w:pPr>
              <w:numPr>
                <w:ilvl w:val="0"/>
                <w:numId w:val="7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cumple con los procesos de ejecución del programa establecidos en los Artículos 46 y 47 de la Ley General de Contabilidad Gubernamental, Artículo 48 de la ley de Coordinación Fiscal y Título Sexto de los Lineamientos sobre los Indicadores para Medir los Avances Físicos y Financieros relacionados con los Recursos Públicos Federales.</w:t>
            </w:r>
          </w:p>
          <w:p w:rsidR="0074576E" w:rsidRPr="006E485A" w:rsidRDefault="0074576E" w:rsidP="00F075EB">
            <w:pPr>
              <w:numPr>
                <w:ilvl w:val="0"/>
                <w:numId w:val="7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observa que la Dependencia ejecutora cuenta con una amplia estructura organizacional y con direcciones relacionadas con la denominación de los programas que se evalúan en este documento.</w:t>
            </w:r>
          </w:p>
          <w:p w:rsidR="0074576E" w:rsidRPr="006E485A" w:rsidRDefault="0074576E" w:rsidP="00F075EB">
            <w:pPr>
              <w:numPr>
                <w:ilvl w:val="0"/>
                <w:numId w:val="7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 evidencia documental proporcionada confirma que existe integración entre los distintos sistemas de información de administración financiera.</w:t>
            </w:r>
          </w:p>
          <w:p w:rsidR="0074576E" w:rsidRPr="006E485A" w:rsidRDefault="0074576E" w:rsidP="00F075EB">
            <w:pPr>
              <w:numPr>
                <w:ilvl w:val="0"/>
                <w:numId w:val="7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cuenta con información documental que permite verificar que los mecanismos de transferencia de recursos del Fondo operan de manera eficaz y eficiente.</w:t>
            </w:r>
          </w:p>
          <w:p w:rsidR="0074576E" w:rsidRDefault="0074576E" w:rsidP="00A56E05">
            <w:pPr>
              <w:jc w:val="both"/>
              <w:rPr>
                <w:rFonts w:ascii="Adobe Caslon Pro" w:hAnsi="Adobe Caslon Pro" w:cs="Calibri"/>
                <w:i/>
                <w:color w:val="000000"/>
                <w:sz w:val="20"/>
                <w:szCs w:val="20"/>
                <w:highlight w:val="green"/>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PERCEPCIÓN DE LA POBLACIÓN OBJETIVO</w:t>
            </w:r>
          </w:p>
          <w:p w:rsidR="0074576E" w:rsidRPr="006E485A" w:rsidRDefault="0074576E" w:rsidP="00F075EB">
            <w:pPr>
              <w:numPr>
                <w:ilvl w:val="0"/>
                <w:numId w:val="11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considera que tanto la encuesta como la figura del “aval ciudadano” que se informan en el Programa Sectorial de Salud del Estado de Oaxaca 2011-2016 aplican para efectos de los servicios de salud, son instrumentos importantes que permiten medir el grado de satisfacción de los beneficiarios de los servicios de salud.</w:t>
            </w:r>
          </w:p>
          <w:p w:rsidR="0074576E" w:rsidRPr="006E485A" w:rsidRDefault="0074576E" w:rsidP="00A56E05">
            <w:pPr>
              <w:ind w:left="720"/>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RESULTADOS</w:t>
            </w:r>
          </w:p>
          <w:p w:rsidR="0074576E" w:rsidRPr="006E485A" w:rsidRDefault="0074576E" w:rsidP="00F075EB">
            <w:pPr>
              <w:numPr>
                <w:ilvl w:val="0"/>
                <w:numId w:val="7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Conforme a lo que se informa en la MIR de cada programa asociado al Programa Presupuestario FASSA, se recolecta información veraz y oportuna de los niveles de objetivo: Propósito y Fin.</w:t>
            </w:r>
          </w:p>
          <w:p w:rsidR="0074576E" w:rsidRPr="006E485A" w:rsidRDefault="0074576E" w:rsidP="00F075EB">
            <w:pPr>
              <w:numPr>
                <w:ilvl w:val="0"/>
                <w:numId w:val="7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documenta el cumplimiento al 100% de los recursos asignados al programa presupuestario.</w:t>
            </w:r>
          </w:p>
          <w:p w:rsidR="0074576E" w:rsidRPr="006E485A" w:rsidRDefault="0074576E" w:rsidP="00F075EB">
            <w:pPr>
              <w:numPr>
                <w:ilvl w:val="0"/>
                <w:numId w:val="79"/>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El diseño y operación del programa presupuestario contiene elementos que le permitirían realizar una evaluación de impacto rigurosa.</w:t>
            </w:r>
          </w:p>
          <w:p w:rsidR="0074576E" w:rsidRPr="006E485A" w:rsidRDefault="0074576E" w:rsidP="00A56E05">
            <w:pPr>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EJERCICIO DE LOS RECURSOS</w:t>
            </w:r>
          </w:p>
          <w:p w:rsidR="0074576E" w:rsidRPr="006E485A" w:rsidRDefault="0074576E" w:rsidP="00F075EB">
            <w:pPr>
              <w:numPr>
                <w:ilvl w:val="0"/>
                <w:numId w:val="120"/>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El grado de cumplimiento de los objetivos planteados para el programa presupuestario es del 100 por ciento, según el grado de cumplimiento de algunos indicadores informado por la Secretaría de Hacienda y Crédito Público en su Informe Definitivo 2014 sobre la Situación Económica, las Finanzas Públicas y la Deuda Pública.</w:t>
            </w:r>
          </w:p>
          <w:p w:rsidR="0074576E" w:rsidRPr="006E485A" w:rsidRDefault="0074576E" w:rsidP="00F075EB">
            <w:pPr>
              <w:numPr>
                <w:ilvl w:val="0"/>
                <w:numId w:val="120"/>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los informes financieros se observa que los recursos del ejercicio 2014 han sido ejercidos en su totalidad.</w:t>
            </w:r>
          </w:p>
          <w:p w:rsidR="0074576E" w:rsidRPr="006E485A" w:rsidRDefault="0074576E" w:rsidP="00F075EB">
            <w:pPr>
              <w:numPr>
                <w:ilvl w:val="0"/>
                <w:numId w:val="120"/>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cumple en tiempo y forma con la normatividad aplicable respecto de la integración y envío de la información financiera a la Secretaría de Hacienda y Crédito Público, así como respecto al informe de resultados obtenidos con el programa.</w:t>
            </w:r>
          </w:p>
          <w:p w:rsidR="0074576E" w:rsidRPr="00E92B97" w:rsidRDefault="0074576E" w:rsidP="00A56E05">
            <w:pPr>
              <w:jc w:val="both"/>
              <w:rPr>
                <w:rFonts w:ascii="Adobe Caslon Pro" w:hAnsi="Adobe Caslon Pro" w:cs="Calibri"/>
                <w: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lastRenderedPageBreak/>
              <w:t>2.2.2 Oportunidades:</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t>2.2.3 Debilidades:</w:t>
            </w: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DISEÑO</w:t>
            </w:r>
          </w:p>
          <w:p w:rsidR="0074576E" w:rsidRPr="006E485A" w:rsidRDefault="0074576E" w:rsidP="00F075EB">
            <w:pPr>
              <w:numPr>
                <w:ilvl w:val="0"/>
                <w:numId w:val="81"/>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lastRenderedPageBreak/>
              <w:t>En la evidencia documental no se informa respecto a los resultados obtenidos de las encuestas aplicadas, sin embargo, en el Programa Sectorial de Salud del Estado de Oaxaca 2011-2016 sí se hace referencia a encuestas aplicadas.</w:t>
            </w:r>
          </w:p>
          <w:p w:rsidR="0074576E" w:rsidRPr="006E485A" w:rsidRDefault="0074576E" w:rsidP="00F075EB">
            <w:pPr>
              <w:numPr>
                <w:ilvl w:val="0"/>
                <w:numId w:val="81"/>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 evidencia documental no se incluyó el padrón de beneficiarios.</w:t>
            </w:r>
          </w:p>
          <w:p w:rsidR="0074576E" w:rsidRPr="006E485A" w:rsidRDefault="0074576E" w:rsidP="00F075EB">
            <w:pPr>
              <w:numPr>
                <w:ilvl w:val="0"/>
                <w:numId w:val="81"/>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Si bien los supuestos descritos en las MIR aun cuando están directamente relacionados con los niveles de objetivo, no cumplen en su totalidad con la MML, puesto que estos planteamientos deben referirse a las condiciones que tienen que estar presentes para que los beneficios generados por el programa se mantengan en el tiempo.</w:t>
            </w:r>
          </w:p>
          <w:p w:rsidR="0074576E" w:rsidRPr="006E485A" w:rsidRDefault="0074576E" w:rsidP="00F075EB">
            <w:pPr>
              <w:numPr>
                <w:ilvl w:val="0"/>
                <w:numId w:val="81"/>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las MIR no se señalan las direcciones electrónicas, solamente se señala una referencia donde se puede encontrar la información para replicar el cálculo de indicadores.</w:t>
            </w:r>
          </w:p>
          <w:p w:rsidR="0074576E" w:rsidRPr="006E485A" w:rsidRDefault="0074576E" w:rsidP="00A56E05">
            <w:pPr>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PLANEACIÓN ESTRATÉGICA</w:t>
            </w:r>
          </w:p>
          <w:p w:rsidR="0074576E" w:rsidRPr="006E485A" w:rsidRDefault="0074576E" w:rsidP="00F075EB">
            <w:pPr>
              <w:numPr>
                <w:ilvl w:val="0"/>
                <w:numId w:val="121"/>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En la documentación comprobatoria no se identificaron los procedimientos sobre los cuales se seleccionaron las metas y línea base establecidos en la MIR.</w:t>
            </w:r>
          </w:p>
          <w:p w:rsidR="0074576E" w:rsidRPr="006E485A" w:rsidRDefault="0074576E" w:rsidP="00F075EB">
            <w:pPr>
              <w:numPr>
                <w:ilvl w:val="0"/>
                <w:numId w:val="121"/>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detecta que en los medios de verificación que se encuentran descritos en la MIR no se establecen las direcciones electrónicas de las fuentes de información.</w:t>
            </w:r>
          </w:p>
          <w:p w:rsidR="0074576E" w:rsidRDefault="0074576E" w:rsidP="00A56E05">
            <w:pPr>
              <w:jc w:val="both"/>
              <w:rPr>
                <w:rFonts w:ascii="Adobe Caslon Pro" w:hAnsi="Adobe Caslon Pro" w:cs="Calibri"/>
                <w:i/>
                <w:color w:val="000000"/>
                <w:sz w:val="20"/>
                <w:szCs w:val="20"/>
                <w:highlight w:val="yellow"/>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COBERTURA Y FOCALIZACIÓN</w:t>
            </w:r>
          </w:p>
          <w:p w:rsidR="0074576E" w:rsidRPr="006E485A" w:rsidRDefault="0074576E" w:rsidP="00F075EB">
            <w:pPr>
              <w:numPr>
                <w:ilvl w:val="0"/>
                <w:numId w:val="122"/>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En la evidencia documental no se identificó información de la población </w:t>
            </w:r>
            <w:proofErr w:type="gramStart"/>
            <w:r w:rsidRPr="006E485A">
              <w:rPr>
                <w:rFonts w:ascii="Adobe Caslon Pro" w:hAnsi="Adobe Caslon Pro" w:cs="Calibri"/>
                <w:i/>
                <w:color w:val="000000"/>
                <w:sz w:val="20"/>
                <w:szCs w:val="20"/>
                <w:lang w:eastAsia="es-MX"/>
              </w:rPr>
              <w:t>objetivo</w:t>
            </w:r>
            <w:proofErr w:type="gramEnd"/>
            <w:r w:rsidRPr="006E485A">
              <w:rPr>
                <w:rFonts w:ascii="Adobe Caslon Pro" w:hAnsi="Adobe Caslon Pro" w:cs="Calibri"/>
                <w:i/>
                <w:color w:val="000000"/>
                <w:sz w:val="20"/>
                <w:szCs w:val="20"/>
                <w:lang w:eastAsia="es-MX"/>
              </w:rPr>
              <w:t xml:space="preserve"> y atendida del año 2013, lo cual permitiría realizar un análisis más completo de la cobertura.</w:t>
            </w:r>
          </w:p>
          <w:p w:rsidR="0074576E" w:rsidRPr="006E485A" w:rsidRDefault="0074576E" w:rsidP="00A56E05">
            <w:pPr>
              <w:ind w:left="720"/>
              <w:jc w:val="both"/>
              <w:rPr>
                <w:rFonts w:ascii="Adobe Caslon Pro" w:hAnsi="Adobe Caslon Pro" w:cs="Calibri"/>
                <w:i/>
                <w:color w:val="000000"/>
                <w:sz w:val="20"/>
                <w:szCs w:val="20"/>
                <w:lang w:eastAsia="es-MX"/>
              </w:rPr>
            </w:pPr>
          </w:p>
          <w:p w:rsidR="0074576E" w:rsidRPr="006E485A" w:rsidRDefault="0074576E" w:rsidP="00A56E05">
            <w:p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OPERACIÓN</w:t>
            </w:r>
          </w:p>
          <w:p w:rsidR="0074576E" w:rsidRPr="006E485A" w:rsidRDefault="0074576E"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Las metas informadas en las MIR corresponden al ejercicio 2016, siendo que es el ejercicio 2014 el que se está evaluando, además no se informan las metas a nivel de componente y actividad, lo cual dificulta la medición de los indicadores de estos niveles de objetivo.</w:t>
            </w:r>
          </w:p>
          <w:p w:rsidR="0074576E" w:rsidRPr="006E485A" w:rsidRDefault="0074576E" w:rsidP="00F075EB">
            <w:pPr>
              <w:numPr>
                <w:ilvl w:val="0"/>
                <w:numId w:val="83"/>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No se informa el padrón de beneficiarios, ni se informa dónde puede ser consultado, por ende no es posible verificar que la selección de beneficiarios cumple con los criterios de elegibilidad y requisitos establecidos en la normatividad aplicable.</w:t>
            </w:r>
          </w:p>
          <w:p w:rsidR="0074576E" w:rsidRPr="006E485A" w:rsidRDefault="0074576E" w:rsidP="00A56E05">
            <w:pPr>
              <w:autoSpaceDE w:val="0"/>
              <w:autoSpaceDN w:val="0"/>
              <w:adjustRightInd w:val="0"/>
              <w:ind w:left="720"/>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PERCEPCIÓN DE LA POBLACIÓN OBJETIVO</w:t>
            </w:r>
          </w:p>
          <w:p w:rsidR="0074576E" w:rsidRPr="006E485A" w:rsidRDefault="0074576E" w:rsidP="00F075EB">
            <w:pPr>
              <w:numPr>
                <w:ilvl w:val="0"/>
                <w:numId w:val="84"/>
              </w:numPr>
              <w:jc w:val="both"/>
              <w:rPr>
                <w:rFonts w:ascii="Adobe Caslon Pro" w:hAnsi="Adobe Caslon Pro" w:cs="Calibri"/>
                <w:color w:val="000000"/>
                <w:sz w:val="20"/>
                <w:szCs w:val="20"/>
                <w:lang w:eastAsia="es-MX"/>
              </w:rPr>
            </w:pPr>
            <w:r w:rsidRPr="006E485A">
              <w:rPr>
                <w:rFonts w:ascii="Adobe Caslon Pro" w:hAnsi="Adobe Caslon Pro" w:cs="Calibri"/>
                <w:i/>
                <w:color w:val="000000"/>
                <w:sz w:val="20"/>
                <w:szCs w:val="20"/>
                <w:lang w:eastAsia="es-MX"/>
              </w:rPr>
              <w:t>No se muestran los resultados de los mecanismos de medición de la satisfacción de beneficiarios citados en el párrafo anterior.</w:t>
            </w:r>
          </w:p>
          <w:p w:rsidR="0074576E" w:rsidRPr="006E485A" w:rsidRDefault="0074576E" w:rsidP="00A56E05">
            <w:pPr>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RESULTADOS</w:t>
            </w:r>
          </w:p>
          <w:p w:rsidR="0074576E" w:rsidRPr="006E485A" w:rsidRDefault="0074576E" w:rsidP="00F075EB">
            <w:pPr>
              <w:numPr>
                <w:ilvl w:val="0"/>
                <w:numId w:val="84"/>
              </w:numPr>
              <w:jc w:val="both"/>
              <w:rPr>
                <w:rFonts w:ascii="Adobe Caslon Pro" w:hAnsi="Adobe Caslon Pro" w:cs="Calibri"/>
                <w:color w:val="000000"/>
                <w:sz w:val="20"/>
                <w:szCs w:val="20"/>
                <w:lang w:eastAsia="es-MX"/>
              </w:rPr>
            </w:pPr>
            <w:r w:rsidRPr="006E485A">
              <w:rPr>
                <w:rFonts w:ascii="Adobe Caslon Pro" w:hAnsi="Adobe Caslon Pro" w:cs="Calibri"/>
                <w:i/>
                <w:color w:val="000000"/>
                <w:sz w:val="20"/>
                <w:szCs w:val="20"/>
                <w:lang w:eastAsia="es-MX"/>
              </w:rPr>
              <w:t>Las metas informadas en las MIR corresponden al ejercicio 2016, lo cual limita el análisis del desempeño del programa presupuestario FASSA.</w:t>
            </w:r>
          </w:p>
          <w:p w:rsidR="0074576E" w:rsidRPr="006E485A" w:rsidRDefault="0074576E" w:rsidP="00A56E05">
            <w:pPr>
              <w:jc w:val="both"/>
              <w:rPr>
                <w:rFonts w:ascii="Adobe Caslon Pro" w:hAnsi="Adobe Caslon Pro" w:cs="Calibri"/>
                <w:i/>
                <w:color w:val="000000"/>
                <w:sz w:val="20"/>
                <w:szCs w:val="20"/>
                <w:lang w:eastAsia="es-MX"/>
              </w:rPr>
            </w:pPr>
          </w:p>
          <w:p w:rsidR="0074576E" w:rsidRPr="006E485A" w:rsidRDefault="0074576E" w:rsidP="00A56E05">
            <w:p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EJERCICIO DE LOS RECURSOS</w:t>
            </w:r>
          </w:p>
          <w:p w:rsidR="0074576E" w:rsidRPr="006E485A" w:rsidRDefault="0074576E" w:rsidP="00F075EB">
            <w:pPr>
              <w:numPr>
                <w:ilvl w:val="0"/>
                <w:numId w:val="84"/>
              </w:numPr>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Las metas planteadas en las MIR de cada uno de los programas asociados al programa presupuestario FASSA no son coincidentes con el Informe Definitivo 2014 sobre la Situación Económica, las Finanzas Públicas y la Deuda Pública de la Secretaría de Hacienda y Crédito Público.</w:t>
            </w:r>
          </w:p>
          <w:p w:rsidR="0074576E" w:rsidRPr="00293048" w:rsidRDefault="0074576E" w:rsidP="00A56E05">
            <w:pPr>
              <w:ind w:left="720"/>
              <w:jc w:val="both"/>
              <w:rPr>
                <w:rFonts w:ascii="Adobe Caslon Pro" w:hAnsi="Adobe Caslon Pro" w:cs="Calibri"/>
                <w: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2.2.4 Amenazas:</w:t>
            </w:r>
          </w:p>
        </w:tc>
      </w:tr>
      <w:tr w:rsidR="0074576E" w:rsidRPr="00BE4199" w:rsidTr="00A56E05">
        <w:trPr>
          <w:trHeight w:val="162"/>
          <w:jc w:val="center"/>
        </w:trPr>
        <w:tc>
          <w:tcPr>
            <w:tcW w:w="9436" w:type="dxa"/>
            <w:gridSpan w:val="14"/>
            <w:tcBorders>
              <w:top w:val="nil"/>
              <w:left w:val="nil"/>
              <w:bottom w:val="single" w:sz="4" w:space="0" w:color="auto"/>
              <w:right w:val="nil"/>
            </w:tcBorders>
            <w:shd w:val="clear" w:color="auto" w:fill="auto"/>
            <w:vAlign w:val="center"/>
            <w:hideMark/>
          </w:tcPr>
          <w:p w:rsidR="0074576E" w:rsidRPr="00BE4199" w:rsidRDefault="0074576E" w:rsidP="00A56E05">
            <w:pPr>
              <w:jc w:val="center"/>
              <w:rPr>
                <w:rFonts w:ascii="Adobe Caslon Pro" w:hAnsi="Adobe Caslon Pro" w:cs="Calibri"/>
                <w:color w:val="000000"/>
                <w:sz w:val="20"/>
                <w:szCs w:val="20"/>
                <w:lang w:eastAsia="es-MX"/>
              </w:rPr>
            </w:pP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3. Conclusiones y recomendaciones de la evaluación</w:t>
            </w:r>
          </w:p>
        </w:tc>
      </w:tr>
      <w:tr w:rsidR="0074576E" w:rsidRPr="00BE4199" w:rsidTr="00A56E05">
        <w:trPr>
          <w:trHeight w:val="1435"/>
          <w:jc w:val="center"/>
        </w:trPr>
        <w:tc>
          <w:tcPr>
            <w:tcW w:w="9436" w:type="dxa"/>
            <w:gridSpan w:val="14"/>
            <w:tcBorders>
              <w:top w:val="single" w:sz="4" w:space="0" w:color="auto"/>
              <w:left w:val="single" w:sz="4" w:space="0" w:color="auto"/>
              <w:right w:val="single" w:sz="4" w:space="0" w:color="000000"/>
            </w:tcBorders>
            <w:shd w:val="clear" w:color="auto" w:fill="auto"/>
            <w:noWrap/>
            <w:vAlign w:val="center"/>
            <w:hideMark/>
          </w:tcPr>
          <w:p w:rsidR="0074576E" w:rsidRDefault="0074576E" w:rsidP="00F075EB">
            <w:pPr>
              <w:numPr>
                <w:ilvl w:val="1"/>
                <w:numId w:val="76"/>
              </w:num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Describir brevemente las conclusiones de la evaluación: </w:t>
            </w:r>
          </w:p>
          <w:p w:rsidR="0074576E" w:rsidRDefault="0074576E" w:rsidP="00F075EB">
            <w:pPr>
              <w:numPr>
                <w:ilvl w:val="0"/>
                <w:numId w:val="125"/>
              </w:numPr>
              <w:jc w:val="both"/>
              <w:rPr>
                <w:rFonts w:ascii="Adobe Caslon Pro" w:hAnsi="Adobe Caslon Pro" w:cs="Calibri"/>
                <w:i/>
                <w:color w:val="000000"/>
                <w:sz w:val="20"/>
                <w:szCs w:val="20"/>
                <w:lang w:eastAsia="es-MX"/>
              </w:rPr>
            </w:pPr>
            <w:r w:rsidRPr="00A36C58">
              <w:rPr>
                <w:rFonts w:ascii="Adobe Caslon Pro" w:hAnsi="Adobe Caslon Pro" w:cs="Calibri"/>
                <w:i/>
                <w:color w:val="000000"/>
                <w:sz w:val="20"/>
                <w:szCs w:val="20"/>
                <w:lang w:eastAsia="es-MX"/>
              </w:rPr>
              <w:t>Existe una vinculación clara entre el objetivo de la Dependencia ejecutora y los objetivos señalados en el Plan Nacional de Desarrollo 2013-2018 y del Plan Estatal de Desarrollo 2011-2016.</w:t>
            </w:r>
          </w:p>
          <w:p w:rsidR="0074576E" w:rsidRPr="00A36C58" w:rsidRDefault="0074576E" w:rsidP="00A56E05">
            <w:pPr>
              <w:ind w:left="360"/>
              <w:jc w:val="both"/>
              <w:rPr>
                <w:rFonts w:ascii="Adobe Caslon Pro" w:hAnsi="Adobe Caslon Pro" w:cs="Calibri"/>
                <w:i/>
                <w:color w:val="000000"/>
                <w:sz w:val="20"/>
                <w:szCs w:val="20"/>
                <w:lang w:eastAsia="es-MX"/>
              </w:rPr>
            </w:pPr>
          </w:p>
          <w:p w:rsidR="0074576E" w:rsidRDefault="0074576E" w:rsidP="00F075EB">
            <w:pPr>
              <w:numPr>
                <w:ilvl w:val="0"/>
                <w:numId w:val="125"/>
              </w:numPr>
              <w:jc w:val="both"/>
              <w:rPr>
                <w:rFonts w:ascii="Adobe Caslon Pro" w:hAnsi="Adobe Caslon Pro" w:cs="Calibri"/>
                <w:i/>
                <w:color w:val="000000"/>
                <w:sz w:val="20"/>
                <w:szCs w:val="20"/>
                <w:lang w:eastAsia="es-MX"/>
              </w:rPr>
            </w:pPr>
            <w:r w:rsidRPr="00A36C58">
              <w:rPr>
                <w:rFonts w:ascii="Adobe Caslon Pro" w:hAnsi="Adobe Caslon Pro" w:cs="Calibri"/>
                <w:i/>
                <w:color w:val="000000"/>
                <w:sz w:val="20"/>
                <w:szCs w:val="20"/>
                <w:lang w:eastAsia="es-MX"/>
              </w:rPr>
              <w:t>El Fondo de Aportaciones para los Servicios de Salud (FASSA) cuenta con cuatro programas presupuestarios asociados al mismo, los cuales cuentan con una Matriz de Indicadores para Resultados. En cuanto al Diseño de los programas, éstos cuentan con un Fin y Propósito bien definidos. En lo que se refiere a los Componentes, éstos son los necesarios y suficientes para lograr el Propósito, mismo que contribuye con el Fin. La lógica interna es clara y la lógica horizontal de los programas presupuestarios del FASSA está construidos de forma adecuada ya que describen las fuentes de información para obtener los datos requeridos para el cálculo de indicadores.</w:t>
            </w:r>
          </w:p>
          <w:p w:rsidR="0074576E" w:rsidRPr="00A36C58" w:rsidRDefault="0074576E" w:rsidP="00A56E05">
            <w:pPr>
              <w:ind w:left="360"/>
              <w:jc w:val="both"/>
              <w:rPr>
                <w:rFonts w:ascii="Adobe Caslon Pro" w:hAnsi="Adobe Caslon Pro" w:cs="Calibri"/>
                <w:i/>
                <w:color w:val="000000"/>
                <w:sz w:val="20"/>
                <w:szCs w:val="20"/>
                <w:lang w:eastAsia="es-MX"/>
              </w:rPr>
            </w:pPr>
          </w:p>
          <w:p w:rsidR="0074576E" w:rsidRDefault="0074576E" w:rsidP="00F075EB">
            <w:pPr>
              <w:numPr>
                <w:ilvl w:val="0"/>
                <w:numId w:val="125"/>
              </w:numPr>
              <w:jc w:val="both"/>
              <w:rPr>
                <w:rFonts w:ascii="Adobe Caslon Pro" w:hAnsi="Adobe Caslon Pro" w:cs="Calibri"/>
                <w:i/>
                <w:color w:val="000000"/>
                <w:sz w:val="20"/>
                <w:szCs w:val="20"/>
                <w:lang w:eastAsia="es-MX"/>
              </w:rPr>
            </w:pPr>
            <w:r w:rsidRPr="00A36C58">
              <w:rPr>
                <w:rFonts w:ascii="Adobe Caslon Pro" w:hAnsi="Adobe Caslon Pro" w:cs="Calibri"/>
                <w:i/>
                <w:color w:val="000000"/>
                <w:sz w:val="20"/>
                <w:szCs w:val="20"/>
                <w:lang w:eastAsia="es-MX"/>
              </w:rPr>
              <w:t>Los indicadores definidos son los adecuados para medir el logro del programa. Sin embargo, existen algunos aspectos susceptibles de mejora, como son los supuestos, ya que estos pueden ser mejorados y ser planteados conforme a lo que establece la Metodología del Marco Lógico. Referente a las metas informadas en las MIR están planteadas para el año 2016, cuando se está evaluando el ejercicio 2014, lo cual limita la medición del grado de avance del programa presupuestario FASSA.</w:t>
            </w:r>
          </w:p>
          <w:p w:rsidR="0074576E" w:rsidRPr="00A36C58" w:rsidRDefault="0074576E" w:rsidP="00A56E05">
            <w:pPr>
              <w:ind w:left="360"/>
              <w:jc w:val="both"/>
              <w:rPr>
                <w:rFonts w:ascii="Adobe Caslon Pro" w:hAnsi="Adobe Caslon Pro" w:cs="Calibri"/>
                <w:i/>
                <w:color w:val="000000"/>
                <w:sz w:val="20"/>
                <w:szCs w:val="20"/>
                <w:lang w:eastAsia="es-MX"/>
              </w:rPr>
            </w:pPr>
          </w:p>
          <w:p w:rsidR="0074576E" w:rsidRPr="0053553A" w:rsidRDefault="0074576E" w:rsidP="00F075EB">
            <w:pPr>
              <w:numPr>
                <w:ilvl w:val="0"/>
                <w:numId w:val="125"/>
              </w:numPr>
              <w:jc w:val="both"/>
              <w:rPr>
                <w:rFonts w:ascii="Adobe Caslon Pro" w:hAnsi="Adobe Caslon Pro" w:cs="Calibri"/>
                <w:i/>
                <w:color w:val="000000"/>
                <w:sz w:val="20"/>
                <w:szCs w:val="20"/>
                <w:lang w:eastAsia="es-MX"/>
              </w:rPr>
            </w:pPr>
            <w:r w:rsidRPr="0053553A">
              <w:rPr>
                <w:rFonts w:ascii="Adobe Caslon Pro" w:hAnsi="Adobe Caslon Pro" w:cs="Calibri"/>
                <w:i/>
                <w:color w:val="000000"/>
                <w:sz w:val="20"/>
                <w:szCs w:val="20"/>
                <w:lang w:eastAsia="es-MX"/>
              </w:rPr>
              <w:t>En lo que corresponde a la Planeación Estratégica, el programa establece con claridad los resultados que busca obtener a través de su Programa Sectorial de Salud.</w:t>
            </w:r>
            <w:r>
              <w:rPr>
                <w:rFonts w:ascii="Adobe Caslon Pro" w:hAnsi="Adobe Caslon Pro" w:cs="Calibri"/>
                <w:i/>
                <w:color w:val="000000"/>
                <w:sz w:val="20"/>
                <w:szCs w:val="20"/>
                <w:lang w:eastAsia="es-MX"/>
              </w:rPr>
              <w:t xml:space="preserve"> </w:t>
            </w:r>
            <w:r w:rsidRPr="0053553A">
              <w:rPr>
                <w:rFonts w:ascii="Adobe Caslon Pro" w:hAnsi="Adobe Caslon Pro" w:cs="Calibri"/>
                <w:i/>
                <w:color w:val="000000"/>
                <w:sz w:val="20"/>
                <w:szCs w:val="20"/>
                <w:lang w:eastAsia="es-MX"/>
              </w:rPr>
              <w:t>Se recolecta con regularidad información necesaria, oportuna y veraz para el cálculo de indicadores que miden el desempeño del programa. Sin embargo, se recomienda precisar en la Matriz de Indicadores las direcciones electrónicas de los medios de verificación, ya que representan una fuente de información eficaz en el monitoreo del avance del Programa.</w:t>
            </w:r>
          </w:p>
          <w:p w:rsidR="0074576E" w:rsidRPr="00A36C58" w:rsidRDefault="0074576E" w:rsidP="00A56E05">
            <w:pPr>
              <w:ind w:left="360"/>
              <w:jc w:val="both"/>
              <w:rPr>
                <w:rFonts w:ascii="Adobe Caslon Pro" w:hAnsi="Adobe Caslon Pro" w:cs="Calibri"/>
                <w:i/>
                <w:color w:val="000000"/>
                <w:sz w:val="20"/>
                <w:szCs w:val="20"/>
                <w:lang w:eastAsia="es-MX"/>
              </w:rPr>
            </w:pPr>
          </w:p>
          <w:p w:rsidR="0074576E" w:rsidRDefault="0074576E" w:rsidP="00F075EB">
            <w:pPr>
              <w:numPr>
                <w:ilvl w:val="0"/>
                <w:numId w:val="125"/>
              </w:numPr>
              <w:jc w:val="both"/>
              <w:rPr>
                <w:rFonts w:ascii="Adobe Caslon Pro" w:hAnsi="Adobe Caslon Pro" w:cs="Calibri"/>
                <w:i/>
                <w:color w:val="000000"/>
                <w:sz w:val="20"/>
                <w:szCs w:val="20"/>
                <w:lang w:eastAsia="es-MX"/>
              </w:rPr>
            </w:pPr>
            <w:r w:rsidRPr="00A36C58">
              <w:rPr>
                <w:rFonts w:ascii="Adobe Caslon Pro" w:hAnsi="Adobe Caslon Pro" w:cs="Calibri"/>
                <w:i/>
                <w:color w:val="000000"/>
                <w:sz w:val="20"/>
                <w:szCs w:val="20"/>
                <w:lang w:eastAsia="es-MX"/>
              </w:rPr>
              <w:t>En cuanto a la Cobertura y Focalización, el Programa sí logra atender a la población objetivo, sin embargo se carece de la información correspondiente a 2013, lo cual impide que se realice un análisis comparativo.</w:t>
            </w:r>
            <w:r>
              <w:rPr>
                <w:rFonts w:ascii="Adobe Caslon Pro" w:hAnsi="Adobe Caslon Pro" w:cs="Calibri"/>
                <w:i/>
                <w:color w:val="000000"/>
                <w:sz w:val="20"/>
                <w:szCs w:val="20"/>
                <w:lang w:eastAsia="es-MX"/>
              </w:rPr>
              <w:t xml:space="preserve"> </w:t>
            </w:r>
            <w:r w:rsidRPr="00A36C58">
              <w:rPr>
                <w:rFonts w:ascii="Adobe Caslon Pro" w:hAnsi="Adobe Caslon Pro" w:cs="Calibri"/>
                <w:i/>
                <w:color w:val="000000"/>
                <w:sz w:val="20"/>
                <w:szCs w:val="20"/>
                <w:lang w:eastAsia="es-MX"/>
              </w:rPr>
              <w:t>Se cuenta con procedimientos estandarizados y adecuados para la selección de beneficiarios, también se</w:t>
            </w:r>
            <w:r w:rsidRPr="00A36C58">
              <w:t xml:space="preserve"> </w:t>
            </w:r>
            <w:r w:rsidRPr="00A36C58">
              <w:rPr>
                <w:rFonts w:ascii="Adobe Caslon Pro" w:hAnsi="Adobe Caslon Pro" w:cs="Calibri"/>
                <w:i/>
                <w:color w:val="000000"/>
                <w:sz w:val="20"/>
                <w:szCs w:val="20"/>
                <w:lang w:eastAsia="es-MX"/>
              </w:rPr>
              <w:t xml:space="preserve">cumplen con los procesos de ejecución establecidos en la normatividad aplicable. </w:t>
            </w:r>
            <w:r w:rsidRPr="00A36C58">
              <w:t xml:space="preserve"> </w:t>
            </w:r>
            <w:r w:rsidRPr="00A36C58">
              <w:rPr>
                <w:rFonts w:ascii="Adobe Caslon Pro" w:hAnsi="Adobe Caslon Pro" w:cs="Calibri"/>
                <w:i/>
                <w:color w:val="000000"/>
                <w:sz w:val="20"/>
                <w:szCs w:val="20"/>
                <w:lang w:eastAsia="es-MX"/>
              </w:rPr>
              <w:t>Además, cuenta con una estructura organizacional que le permite entregar y/o producir los Componentes que a su vez le posibilitan el logro del Propósito.</w:t>
            </w:r>
          </w:p>
          <w:p w:rsidR="0074576E" w:rsidRDefault="0074576E" w:rsidP="00A56E05">
            <w:pPr>
              <w:ind w:left="360"/>
              <w:jc w:val="both"/>
              <w:rPr>
                <w:rFonts w:ascii="Adobe Caslon Pro" w:hAnsi="Adobe Caslon Pro" w:cs="Calibri"/>
                <w:i/>
                <w:color w:val="000000"/>
                <w:sz w:val="20"/>
                <w:szCs w:val="20"/>
                <w:lang w:eastAsia="es-MX"/>
              </w:rPr>
            </w:pPr>
          </w:p>
          <w:p w:rsidR="0074576E" w:rsidRDefault="0074576E" w:rsidP="00F075EB">
            <w:pPr>
              <w:numPr>
                <w:ilvl w:val="0"/>
                <w:numId w:val="125"/>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w:t>
            </w:r>
            <w:r w:rsidRPr="00851B44">
              <w:rPr>
                <w:rFonts w:ascii="Adobe Caslon Pro" w:hAnsi="Adobe Caslon Pro" w:cs="Calibri"/>
                <w:i/>
                <w:color w:val="000000"/>
                <w:sz w:val="20"/>
                <w:szCs w:val="20"/>
                <w:lang w:eastAsia="es-MX"/>
              </w:rPr>
              <w:t>e recolecta regularmente información veraz y oportuna</w:t>
            </w:r>
            <w:r>
              <w:rPr>
                <w:rFonts w:ascii="Adobe Caslon Pro" w:hAnsi="Adobe Caslon Pro" w:cs="Calibri"/>
                <w:i/>
                <w:color w:val="000000"/>
                <w:sz w:val="20"/>
                <w:szCs w:val="20"/>
                <w:lang w:eastAsia="es-MX"/>
              </w:rPr>
              <w:t xml:space="preserve"> </w:t>
            </w:r>
            <w:r w:rsidRPr="00851B44">
              <w:rPr>
                <w:rFonts w:ascii="Adobe Caslon Pro" w:hAnsi="Adobe Caslon Pro" w:cs="Calibri"/>
                <w:i/>
                <w:color w:val="000000"/>
                <w:sz w:val="20"/>
                <w:szCs w:val="20"/>
                <w:lang w:eastAsia="es-MX"/>
              </w:rPr>
              <w:t>sobre sus indicadores de Propósito y Fin. Asimismo, con base en la información</w:t>
            </w:r>
            <w:r>
              <w:rPr>
                <w:rFonts w:ascii="Adobe Caslon Pro" w:hAnsi="Adobe Caslon Pro" w:cs="Calibri"/>
                <w:i/>
                <w:color w:val="000000"/>
                <w:sz w:val="20"/>
                <w:szCs w:val="20"/>
                <w:lang w:eastAsia="es-MX"/>
              </w:rPr>
              <w:t xml:space="preserve"> </w:t>
            </w:r>
            <w:r w:rsidRPr="00851B44">
              <w:rPr>
                <w:rFonts w:ascii="Adobe Caslon Pro" w:hAnsi="Adobe Caslon Pro" w:cs="Calibri"/>
                <w:i/>
                <w:color w:val="000000"/>
                <w:sz w:val="20"/>
                <w:szCs w:val="20"/>
                <w:lang w:eastAsia="es-MX"/>
              </w:rPr>
              <w:t>proporcionada se concluye que el diseño y operación del programa presupuestario evaluado</w:t>
            </w:r>
            <w:r>
              <w:rPr>
                <w:rFonts w:ascii="Adobe Caslon Pro" w:hAnsi="Adobe Caslon Pro" w:cs="Calibri"/>
                <w:i/>
                <w:color w:val="000000"/>
                <w:sz w:val="20"/>
                <w:szCs w:val="20"/>
                <w:lang w:eastAsia="es-MX"/>
              </w:rPr>
              <w:t xml:space="preserve"> </w:t>
            </w:r>
            <w:r w:rsidRPr="00851B44">
              <w:rPr>
                <w:rFonts w:ascii="Adobe Caslon Pro" w:hAnsi="Adobe Caslon Pro" w:cs="Calibri"/>
                <w:i/>
                <w:color w:val="000000"/>
                <w:sz w:val="20"/>
                <w:szCs w:val="20"/>
                <w:lang w:eastAsia="es-MX"/>
              </w:rPr>
              <w:t>cuenta con los elementos necesarios para que se realice una evaluación de impacto</w:t>
            </w:r>
            <w:r>
              <w:rPr>
                <w:rFonts w:ascii="Adobe Caslon Pro" w:hAnsi="Adobe Caslon Pro" w:cs="Calibri"/>
                <w:i/>
                <w:color w:val="000000"/>
                <w:sz w:val="20"/>
                <w:szCs w:val="20"/>
                <w:lang w:eastAsia="es-MX"/>
              </w:rPr>
              <w:t xml:space="preserve"> </w:t>
            </w:r>
            <w:r w:rsidRPr="00851B44">
              <w:rPr>
                <w:rFonts w:ascii="Adobe Caslon Pro" w:hAnsi="Adobe Caslon Pro" w:cs="Calibri"/>
                <w:i/>
                <w:color w:val="000000"/>
                <w:sz w:val="20"/>
                <w:szCs w:val="20"/>
                <w:lang w:eastAsia="es-MX"/>
              </w:rPr>
              <w:t>rigurosa.</w:t>
            </w:r>
            <w:r>
              <w:rPr>
                <w:rFonts w:ascii="Adobe Caslon Pro" w:hAnsi="Adobe Caslon Pro" w:cs="Calibri"/>
                <w:i/>
                <w:color w:val="000000"/>
                <w:sz w:val="20"/>
                <w:szCs w:val="20"/>
                <w:lang w:eastAsia="es-MX"/>
              </w:rPr>
              <w:t xml:space="preserve"> </w:t>
            </w:r>
          </w:p>
          <w:p w:rsidR="0074576E" w:rsidRPr="00EA728F" w:rsidRDefault="0074576E" w:rsidP="00A56E05">
            <w:pPr>
              <w:ind w:left="1080"/>
              <w:jc w:val="both"/>
              <w:rPr>
                <w:rFonts w:ascii="Adobe Caslon Pro" w:hAnsi="Adobe Caslon Pro" w:cs="Calibri"/>
                <w:i/>
                <w:color w:val="000000"/>
                <w:sz w:val="20"/>
                <w:szCs w:val="20"/>
                <w:lang w:eastAsia="es-MX"/>
              </w:rPr>
            </w:pPr>
          </w:p>
          <w:p w:rsidR="0074576E" w:rsidRPr="006A396E" w:rsidRDefault="0074576E" w:rsidP="00F075EB">
            <w:pPr>
              <w:numPr>
                <w:ilvl w:val="0"/>
                <w:numId w:val="125"/>
              </w:numPr>
              <w:jc w:val="both"/>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R</w:t>
            </w:r>
            <w:r w:rsidRPr="001806B4">
              <w:rPr>
                <w:rFonts w:ascii="Adobe Caslon Pro" w:hAnsi="Adobe Caslon Pro" w:cs="Calibri"/>
                <w:i/>
                <w:color w:val="000000"/>
                <w:sz w:val="20"/>
                <w:szCs w:val="20"/>
                <w:lang w:eastAsia="es-MX"/>
              </w:rPr>
              <w:t>especto al ejercici</w:t>
            </w:r>
            <w:r>
              <w:rPr>
                <w:rFonts w:ascii="Adobe Caslon Pro" w:hAnsi="Adobe Caslon Pro" w:cs="Calibri"/>
                <w:i/>
                <w:color w:val="000000"/>
                <w:sz w:val="20"/>
                <w:szCs w:val="20"/>
                <w:lang w:eastAsia="es-MX"/>
              </w:rPr>
              <w:t>o de los recursos del programa, estos se ejercieron en tiempo y forma cumpliendo con la normatividad aplicable en materia de información de resultados y financiera.</w:t>
            </w:r>
          </w:p>
        </w:tc>
      </w:tr>
      <w:tr w:rsidR="0074576E" w:rsidRPr="00BE4199" w:rsidTr="00A56E05">
        <w:trPr>
          <w:trHeight w:val="264"/>
          <w:jc w:val="center"/>
        </w:trPr>
        <w:tc>
          <w:tcPr>
            <w:tcW w:w="9436" w:type="dxa"/>
            <w:gridSpan w:val="14"/>
            <w:tcBorders>
              <w:top w:val="single" w:sz="4" w:space="0" w:color="auto"/>
              <w:left w:val="single" w:sz="4" w:space="0" w:color="auto"/>
              <w:bottom w:val="nil"/>
              <w:right w:val="single" w:sz="4" w:space="0" w:color="000000"/>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3.2 </w:t>
            </w:r>
            <w:r w:rsidRPr="0053553A">
              <w:rPr>
                <w:rFonts w:ascii="Adobe Caslon Pro" w:hAnsi="Adobe Caslon Pro" w:cs="Calibri"/>
                <w:color w:val="000000"/>
                <w:sz w:val="20"/>
                <w:szCs w:val="20"/>
                <w:lang w:eastAsia="es-MX"/>
              </w:rPr>
              <w:t>Describir las recomendaciones de acuerdo a su relevancia:</w:t>
            </w:r>
          </w:p>
        </w:tc>
      </w:tr>
      <w:tr w:rsidR="0074576E" w:rsidRPr="00BE4199" w:rsidTr="00A56E05">
        <w:trPr>
          <w:trHeight w:val="43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6E485A" w:rsidRDefault="0074576E" w:rsidP="00A56E05">
            <w:p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DISEÑO</w:t>
            </w:r>
          </w:p>
          <w:p w:rsidR="0074576E" w:rsidRPr="006E485A"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Establecer en las MIR las direcciones electrónicas donde se puede localizar la información que permita replicar el cálculo de indicadores.</w:t>
            </w:r>
          </w:p>
          <w:p w:rsidR="0074576E" w:rsidRPr="006E485A"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proporcione el padrón de beneficiarios, para verificar que el mismo cumple con lo establecido en la normatividad correspondiente.</w:t>
            </w:r>
          </w:p>
          <w:p w:rsidR="0074576E" w:rsidRPr="006E485A"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informe respecto de los resultados obtenidos en las encuestas aplicadas para medir el grado de satisfacción de los beneficiarios.</w:t>
            </w:r>
          </w:p>
          <w:p w:rsidR="0074576E" w:rsidRPr="006E485A"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Plantear los supuestos descritos en las MIR conforme a lo que establece la Metodología del Marco Lógico (MML).</w:t>
            </w: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6E485A" w:rsidRDefault="0074576E" w:rsidP="00A56E05">
            <w:p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lastRenderedPageBreak/>
              <w:t>PLANEACIÓN ESTRATÉGICA</w:t>
            </w:r>
          </w:p>
          <w:p w:rsidR="0074576E" w:rsidRPr="006E485A" w:rsidRDefault="0074576E" w:rsidP="00F075EB">
            <w:pPr>
              <w:numPr>
                <w:ilvl w:val="0"/>
                <w:numId w:val="123"/>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Informar las metas del ejercicio 2014 en las MIR de cada programa, puesto que se informan las correspondientes al ejercicio 2016.</w:t>
            </w:r>
          </w:p>
          <w:p w:rsidR="0074576E" w:rsidRPr="006E485A" w:rsidRDefault="0074576E" w:rsidP="00F075EB">
            <w:pPr>
              <w:numPr>
                <w:ilvl w:val="0"/>
                <w:numId w:val="123"/>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Describir los procedimientos sobre los cuales se seleccionaron las metas y línea base establecidos en la MIR.</w:t>
            </w:r>
          </w:p>
          <w:p w:rsidR="0074576E" w:rsidRPr="006E485A" w:rsidRDefault="0074576E" w:rsidP="00F075EB">
            <w:pPr>
              <w:numPr>
                <w:ilvl w:val="0"/>
                <w:numId w:val="123"/>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Incorporar a la MIR las direcciones electrónicas de los medios de verificación.</w:t>
            </w:r>
          </w:p>
          <w:p w:rsidR="0074576E" w:rsidRPr="006E485A"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6E485A" w:rsidRDefault="0074576E" w:rsidP="00A56E05">
            <w:p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COBERTURA Y FOCALIZACIÓN</w:t>
            </w:r>
          </w:p>
          <w:p w:rsidR="0074576E" w:rsidRPr="006E485A" w:rsidRDefault="0074576E" w:rsidP="00F075EB">
            <w:pPr>
              <w:numPr>
                <w:ilvl w:val="0"/>
                <w:numId w:val="124"/>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Proporcionar la información de la población potencial y objetivo del año 2013, para poder realizar un análisis comparativo de dichas variables.</w:t>
            </w:r>
          </w:p>
          <w:p w:rsidR="0074576E" w:rsidRPr="006E485A"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6E485A" w:rsidRDefault="0074576E" w:rsidP="00A56E05">
            <w:p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OPERACIÓN</w:t>
            </w:r>
          </w:p>
          <w:p w:rsidR="0074576E" w:rsidRPr="006E485A"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Informar las metas del ejercicio 2014 en la MIR de cada programa, puesto que se informan las correspondientes al ejercicio 2016.</w:t>
            </w:r>
          </w:p>
          <w:p w:rsidR="0074576E" w:rsidRPr="006E485A" w:rsidRDefault="0074576E" w:rsidP="00F075EB">
            <w:pPr>
              <w:numPr>
                <w:ilvl w:val="0"/>
                <w:numId w:val="71"/>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considera importante que se proporcione el padrón de beneficiarios o la dirección electrónica donde puede ser consultado, lo cual permitirá verificar que dicho padrón cumple con lo establecido en la normatividad correspondiente.</w:t>
            </w:r>
          </w:p>
          <w:p w:rsidR="0074576E" w:rsidRPr="006E485A"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6E485A" w:rsidRDefault="0074576E" w:rsidP="00A56E05">
            <w:p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PERCEPCIÓN DE LA POBLACIÓN OBJETIVO</w:t>
            </w:r>
          </w:p>
          <w:p w:rsidR="0074576E" w:rsidRPr="006E485A" w:rsidRDefault="0074576E"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recomienda documentar los resultados obtenidos de la aplicación de la encuesta y de la figura del “aval ciudadano”, con la finalidad de conocer el grado de satisfacción de la población objetivo por los servicios de salud proporcionados.</w:t>
            </w:r>
          </w:p>
          <w:p w:rsidR="0074576E" w:rsidRPr="006E485A"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6E485A" w:rsidRDefault="0074576E" w:rsidP="00A56E05">
            <w:p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RESULTADOS</w:t>
            </w:r>
          </w:p>
          <w:p w:rsidR="0074576E" w:rsidRPr="006E485A" w:rsidRDefault="0074576E"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recomienda actualizar en las MIR la información de metas alcanzadas por cada nivel de objetivo en el ejercicio 2014.</w:t>
            </w:r>
          </w:p>
          <w:p w:rsidR="0074576E" w:rsidRPr="006E485A"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435"/>
          <w:jc w:val="center"/>
        </w:trPr>
        <w:tc>
          <w:tcPr>
            <w:tcW w:w="9436" w:type="dxa"/>
            <w:gridSpan w:val="14"/>
            <w:tcBorders>
              <w:top w:val="nil"/>
              <w:left w:val="single" w:sz="4" w:space="0" w:color="auto"/>
              <w:bottom w:val="single" w:sz="4" w:space="0" w:color="auto"/>
              <w:right w:val="single" w:sz="4" w:space="0" w:color="000000"/>
            </w:tcBorders>
            <w:shd w:val="clear" w:color="auto" w:fill="auto"/>
            <w:noWrap/>
            <w:vAlign w:val="center"/>
          </w:tcPr>
          <w:p w:rsidR="0074576E" w:rsidRPr="006E485A" w:rsidRDefault="0074576E" w:rsidP="00A56E05">
            <w:p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EJERCICIO DE LOS RECURSOS</w:t>
            </w:r>
          </w:p>
          <w:p w:rsidR="0074576E" w:rsidRPr="006E485A" w:rsidRDefault="0074576E" w:rsidP="00F075EB">
            <w:pPr>
              <w:numPr>
                <w:ilvl w:val="0"/>
                <w:numId w:val="75"/>
              </w:numPr>
              <w:autoSpaceDE w:val="0"/>
              <w:autoSpaceDN w:val="0"/>
              <w:adjustRightInd w:val="0"/>
              <w:jc w:val="both"/>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Se recomienda proporcionar en las MIR la información real de las metas alcanzadas, las cuales sean coincidentes con lo que informa la Secretaría de Hacienda y Crédito Público, o en su caso explicar por qué difiere dicha información.</w:t>
            </w:r>
          </w:p>
          <w:p w:rsidR="0074576E" w:rsidRPr="006E485A" w:rsidRDefault="0074576E" w:rsidP="00A56E05">
            <w:pPr>
              <w:autoSpaceDE w:val="0"/>
              <w:autoSpaceDN w:val="0"/>
              <w:adjustRightInd w:val="0"/>
              <w:ind w:left="720"/>
              <w:jc w:val="both"/>
              <w:rPr>
                <w:rFonts w:ascii="Adobe Caslon Pro" w:hAnsi="Adobe Caslon Pro" w:cs="Calibri"/>
                <w:i/>
                <w:color w:val="000000"/>
                <w:sz w:val="20"/>
                <w:szCs w:val="20"/>
                <w:lang w:eastAsia="es-MX"/>
              </w:rPr>
            </w:pPr>
          </w:p>
        </w:tc>
      </w:tr>
      <w:tr w:rsidR="0074576E" w:rsidRPr="00BE4199" w:rsidTr="00A56E05">
        <w:trPr>
          <w:trHeight w:val="105"/>
          <w:jc w:val="center"/>
        </w:trPr>
        <w:tc>
          <w:tcPr>
            <w:tcW w:w="579"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375"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6965" w:type="dxa"/>
            <w:gridSpan w:val="11"/>
            <w:tcBorders>
              <w:top w:val="single" w:sz="4" w:space="0" w:color="auto"/>
              <w:left w:val="single" w:sz="4" w:space="0" w:color="auto"/>
              <w:bottom w:val="nil"/>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4. Datos de la Instancia evaluadora</w:t>
            </w:r>
          </w:p>
        </w:tc>
        <w:tc>
          <w:tcPr>
            <w:tcW w:w="1160" w:type="dxa"/>
            <w:tcBorders>
              <w:top w:val="single" w:sz="4" w:space="0" w:color="auto"/>
              <w:left w:val="nil"/>
              <w:bottom w:val="nil"/>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nil"/>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t>4.1 Nombre del coordinador de la evaluación:</w:t>
            </w:r>
          </w:p>
          <w:p w:rsidR="0074576E" w:rsidRPr="006E485A" w:rsidRDefault="0074576E" w:rsidP="00A56E05">
            <w:pPr>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 xml:space="preserve">Mtro. José de Jesús </w:t>
            </w:r>
            <w:proofErr w:type="spellStart"/>
            <w:r w:rsidRPr="006E485A">
              <w:rPr>
                <w:rFonts w:ascii="Adobe Caslon Pro" w:hAnsi="Adobe Caslon Pro" w:cs="Calibri"/>
                <w:i/>
                <w:color w:val="000000"/>
                <w:sz w:val="20"/>
                <w:szCs w:val="20"/>
                <w:lang w:eastAsia="es-MX"/>
              </w:rPr>
              <w:t>Guizar</w:t>
            </w:r>
            <w:proofErr w:type="spellEnd"/>
            <w:r w:rsidRPr="006E485A">
              <w:rPr>
                <w:rFonts w:ascii="Adobe Caslon Pro" w:hAnsi="Adobe Caslon Pro" w:cs="Calibri"/>
                <w:i/>
                <w:color w:val="000000"/>
                <w:sz w:val="20"/>
                <w:szCs w:val="20"/>
                <w:lang w:eastAsia="es-MX"/>
              </w:rPr>
              <w:t xml:space="preserve"> Jiménez</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t>4.2 Cargo:</w:t>
            </w:r>
          </w:p>
          <w:p w:rsidR="0074576E" w:rsidRPr="006E485A" w:rsidRDefault="0074576E" w:rsidP="00A56E05">
            <w:pPr>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Consultor Investigador</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t>4.3 Institución a la que pertenece:  </w:t>
            </w:r>
          </w:p>
          <w:p w:rsidR="0074576E" w:rsidRPr="006E485A" w:rsidRDefault="0074576E" w:rsidP="00A56E05">
            <w:pPr>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Instituto para el Desarrollo Técnico de las Haciendas Públicas (INDETEC)</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t>4.4 Principales colaboradores:</w:t>
            </w:r>
          </w:p>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i/>
                <w:color w:val="000000"/>
                <w:sz w:val="20"/>
                <w:szCs w:val="20"/>
                <w:lang w:eastAsia="es-MX"/>
              </w:rPr>
              <w:t xml:space="preserve">Mtra. Ana Isabel López </w:t>
            </w:r>
            <w:proofErr w:type="spellStart"/>
            <w:r w:rsidRPr="006E485A">
              <w:rPr>
                <w:rFonts w:ascii="Adobe Caslon Pro" w:hAnsi="Adobe Caslon Pro" w:cs="Calibri"/>
                <w:i/>
                <w:color w:val="000000"/>
                <w:sz w:val="20"/>
                <w:szCs w:val="20"/>
                <w:lang w:eastAsia="es-MX"/>
              </w:rPr>
              <w:t>Moguel</w:t>
            </w:r>
            <w:proofErr w:type="spellEnd"/>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t>4.5 Correo electrónico del coordinador de la evaluación:</w:t>
            </w:r>
          </w:p>
          <w:p w:rsidR="0074576E" w:rsidRPr="006E485A" w:rsidRDefault="009B1A50" w:rsidP="00A56E05">
            <w:pPr>
              <w:rPr>
                <w:rFonts w:ascii="Adobe Caslon Pro" w:hAnsi="Adobe Caslon Pro" w:cs="Calibri"/>
                <w:i/>
                <w:color w:val="000000"/>
                <w:sz w:val="20"/>
                <w:szCs w:val="20"/>
                <w:u w:val="single"/>
                <w:lang w:eastAsia="es-MX"/>
              </w:rPr>
            </w:pPr>
            <w:hyperlink r:id="rId196" w:history="1">
              <w:r w:rsidR="0074576E" w:rsidRPr="006E485A">
                <w:rPr>
                  <w:rStyle w:val="Hipervnculo"/>
                  <w:rFonts w:ascii="Adobe Caslon Pro" w:hAnsi="Adobe Caslon Pro" w:cs="Calibri"/>
                  <w:i/>
                  <w:sz w:val="20"/>
                  <w:szCs w:val="20"/>
                  <w:lang w:eastAsia="es-MX"/>
                </w:rPr>
                <w:t>jguizarj@indetec.gob.mx</w:t>
              </w:r>
            </w:hyperlink>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6E485A" w:rsidRDefault="0074576E" w:rsidP="00A56E05">
            <w:pPr>
              <w:rPr>
                <w:rFonts w:ascii="Adobe Caslon Pro" w:hAnsi="Adobe Caslon Pro" w:cs="Calibri"/>
                <w:color w:val="000000"/>
                <w:sz w:val="20"/>
                <w:szCs w:val="20"/>
                <w:lang w:eastAsia="es-MX"/>
              </w:rPr>
            </w:pPr>
            <w:r w:rsidRPr="006E485A">
              <w:rPr>
                <w:rFonts w:ascii="Adobe Caslon Pro" w:hAnsi="Adobe Caslon Pro" w:cs="Calibri"/>
                <w:color w:val="000000"/>
                <w:sz w:val="20"/>
                <w:szCs w:val="20"/>
                <w:lang w:eastAsia="es-MX"/>
              </w:rPr>
              <w:t>4.6 Teléfono (con clave lada):</w:t>
            </w:r>
          </w:p>
          <w:p w:rsidR="0074576E" w:rsidRPr="006E485A" w:rsidRDefault="0074576E" w:rsidP="00A56E05">
            <w:pPr>
              <w:rPr>
                <w:rFonts w:ascii="Adobe Caslon Pro" w:hAnsi="Adobe Caslon Pro" w:cs="Calibri"/>
                <w:i/>
                <w:color w:val="000000"/>
                <w:sz w:val="20"/>
                <w:szCs w:val="20"/>
                <w:lang w:eastAsia="es-MX"/>
              </w:rPr>
            </w:pPr>
            <w:r w:rsidRPr="006E485A">
              <w:rPr>
                <w:rFonts w:ascii="Adobe Caslon Pro" w:hAnsi="Adobe Caslon Pro" w:cs="Calibri"/>
                <w:i/>
                <w:color w:val="000000"/>
                <w:sz w:val="20"/>
                <w:szCs w:val="20"/>
                <w:lang w:eastAsia="es-MX"/>
              </w:rPr>
              <w:t>01 (33) 36695550</w:t>
            </w:r>
          </w:p>
        </w:tc>
      </w:tr>
      <w:tr w:rsidR="0074576E" w:rsidRPr="00BE4199" w:rsidTr="00A56E05">
        <w:trPr>
          <w:trHeight w:val="75"/>
          <w:jc w:val="center"/>
        </w:trPr>
        <w:tc>
          <w:tcPr>
            <w:tcW w:w="999"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6965" w:type="dxa"/>
            <w:gridSpan w:val="11"/>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5. Identificación del (los) programa(s)</w:t>
            </w:r>
          </w:p>
        </w:tc>
        <w:tc>
          <w:tcPr>
            <w:tcW w:w="1160" w:type="dxa"/>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lastRenderedPageBreak/>
              <w:t>5.1 Nombre del (los) programa(s) evaluado(s):</w:t>
            </w:r>
          </w:p>
          <w:p w:rsidR="0074576E" w:rsidRPr="00BE4199"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 xml:space="preserve">Fondo de Aportaciones </w:t>
            </w:r>
            <w:r>
              <w:rPr>
                <w:rFonts w:ascii="Adobe Caslon Pro" w:hAnsi="Adobe Caslon Pro" w:cs="Calibri"/>
                <w:i/>
                <w:color w:val="000000"/>
                <w:sz w:val="20"/>
                <w:szCs w:val="20"/>
                <w:lang w:eastAsia="es-MX"/>
              </w:rPr>
              <w:t xml:space="preserve">para los Servicios de Salud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5.2 Siglas:  </w:t>
            </w:r>
          </w:p>
          <w:p w:rsidR="0074576E" w:rsidRPr="00BE4199" w:rsidRDefault="0074576E" w:rsidP="00A56E05">
            <w:pPr>
              <w:rPr>
                <w:rFonts w:ascii="Adobe Caslon Pro" w:hAnsi="Adobe Caslon Pro" w:cs="Calibri"/>
                <w:color w:val="000000"/>
                <w:sz w:val="20"/>
                <w:szCs w:val="20"/>
                <w:lang w:eastAsia="es-MX"/>
              </w:rPr>
            </w:pPr>
            <w:r>
              <w:rPr>
                <w:rFonts w:ascii="Adobe Caslon Pro" w:hAnsi="Adobe Caslon Pro" w:cs="Calibri"/>
                <w:i/>
                <w:color w:val="000000"/>
                <w:sz w:val="20"/>
                <w:szCs w:val="20"/>
                <w:lang w:eastAsia="es-MX"/>
              </w:rPr>
              <w:t>FASSA</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5.3 Ente público coor</w:t>
            </w:r>
            <w:r>
              <w:rPr>
                <w:rFonts w:ascii="Adobe Caslon Pro" w:hAnsi="Adobe Caslon Pro" w:cs="Calibri"/>
                <w:color w:val="000000"/>
                <w:sz w:val="20"/>
                <w:szCs w:val="20"/>
                <w:lang w:eastAsia="es-MX"/>
              </w:rPr>
              <w:t>dinador del (los) programa(s): </w:t>
            </w:r>
          </w:p>
          <w:p w:rsidR="0074576E" w:rsidRPr="00F974F2"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Servicios de Salud de Oaxaca</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5.4 Poder público al que pertenece(n) el(los) programa(s):</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 xml:space="preserve">Poder </w:t>
            </w:r>
            <w:proofErr w:type="spellStart"/>
            <w:r w:rsidRPr="00BE4199">
              <w:rPr>
                <w:rFonts w:ascii="Adobe Caslon Pro" w:hAnsi="Adobe Caslon Pro" w:cs="Calibri"/>
                <w:color w:val="000000"/>
                <w:sz w:val="20"/>
                <w:szCs w:val="20"/>
                <w:lang w:eastAsia="es-MX"/>
              </w:rPr>
              <w:t>Ejecutivo_X</w:t>
            </w:r>
            <w:proofErr w:type="spellEnd"/>
            <w:r w:rsidRPr="00BE4199">
              <w:rPr>
                <w:rFonts w:ascii="Adobe Caslon Pro" w:hAnsi="Adobe Caslon Pro" w:cs="Calibri"/>
                <w:color w:val="000000"/>
                <w:sz w:val="20"/>
                <w:szCs w:val="20"/>
                <w:lang w:eastAsia="es-MX"/>
              </w:rPr>
              <w:t>__   Poder Legislativo___   Poder Judicial___  Ente Autónomo___</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5.5 Ámbito gubernamental al que pertenece(n) el(los) programa(s):</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roofErr w:type="spellStart"/>
            <w:r w:rsidRPr="000D3BE9">
              <w:rPr>
                <w:rFonts w:ascii="Adobe Caslon Pro" w:hAnsi="Adobe Caslon Pro" w:cs="Calibri"/>
                <w:color w:val="000000"/>
                <w:sz w:val="20"/>
                <w:szCs w:val="20"/>
                <w:lang w:eastAsia="es-MX"/>
              </w:rPr>
              <w:t>Federal_X</w:t>
            </w:r>
            <w:proofErr w:type="spellEnd"/>
            <w:r w:rsidRPr="000D3BE9">
              <w:rPr>
                <w:rFonts w:ascii="Adobe Caslon Pro" w:hAnsi="Adobe Caslon Pro" w:cs="Calibri"/>
                <w:color w:val="000000"/>
                <w:sz w:val="20"/>
                <w:szCs w:val="20"/>
                <w:lang w:eastAsia="es-MX"/>
              </w:rPr>
              <w:t>__</w:t>
            </w:r>
            <w:r w:rsidRPr="00BE4199">
              <w:rPr>
                <w:rFonts w:ascii="Adobe Caslon Pro" w:hAnsi="Adobe Caslon Pro" w:cs="Calibri"/>
                <w:color w:val="000000"/>
                <w:sz w:val="20"/>
                <w:szCs w:val="20"/>
                <w:lang w:eastAsia="es-MX"/>
              </w:rPr>
              <w:t xml:space="preserve">       Estatal___     Local___</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 Nombre de la(s) unidad(es) administrativa(s) y de (los) titular(es) a cargo del (los) programa(s):</w:t>
            </w:r>
          </w:p>
        </w:tc>
      </w:tr>
      <w:tr w:rsidR="0074576E" w:rsidRPr="00BE4199" w:rsidTr="00A56E05">
        <w:trPr>
          <w:trHeight w:val="408"/>
          <w:jc w:val="center"/>
        </w:trPr>
        <w:tc>
          <w:tcPr>
            <w:tcW w:w="9436" w:type="dxa"/>
            <w:gridSpan w:val="14"/>
            <w:tcBorders>
              <w:left w:val="single" w:sz="4" w:space="0" w:color="auto"/>
              <w:bottom w:val="single" w:sz="4" w:space="0" w:color="auto"/>
              <w:right w:val="single" w:sz="4" w:space="0" w:color="auto"/>
            </w:tcBorders>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5.6.1 Nombre(s) de la(s) unidad(es) administrativa(s) a cargo de (los) programa(s):</w:t>
            </w:r>
          </w:p>
        </w:tc>
      </w:tr>
      <w:tr w:rsidR="0074576E" w:rsidRPr="00BE4199" w:rsidTr="00A56E05">
        <w:trPr>
          <w:trHeight w:val="55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74576E" w:rsidRPr="00BE4199"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Servicios de Salud de Oaxaca (SSO)</w:t>
            </w:r>
          </w:p>
        </w:tc>
      </w:tr>
      <w:tr w:rsidR="0074576E" w:rsidRPr="00BE4199" w:rsidTr="00A56E05">
        <w:trPr>
          <w:trHeight w:val="55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5.6.2 Nombre(s) de (los) titular(es) de la(s) unidad(es) administrativa(s) a cargo de (los) programa(s) (nombre completo, correo electrónico y teléfono con clave lada):</w:t>
            </w:r>
          </w:p>
        </w:tc>
      </w:tr>
      <w:tr w:rsidR="0074576E" w:rsidRPr="00BE4199" w:rsidTr="00A56E05">
        <w:trPr>
          <w:trHeight w:val="555"/>
          <w:jc w:val="center"/>
        </w:trPr>
        <w:tc>
          <w:tcPr>
            <w:tcW w:w="483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Nombre:</w:t>
            </w:r>
          </w:p>
          <w:p w:rsidR="0074576E" w:rsidRDefault="0074576E" w:rsidP="00A56E05">
            <w:pPr>
              <w:rPr>
                <w:rFonts w:ascii="Adobe Caslon Pro" w:hAnsi="Adobe Caslon Pro" w:cs="Calibri"/>
                <w:i/>
                <w:color w:val="000000"/>
                <w:sz w:val="20"/>
                <w:szCs w:val="20"/>
                <w:lang w:eastAsia="es-MX"/>
              </w:rPr>
            </w:pPr>
            <w:r w:rsidRPr="00210387">
              <w:rPr>
                <w:rFonts w:ascii="Adobe Caslon Pro" w:hAnsi="Adobe Caslon Pro" w:cs="Calibri"/>
                <w:i/>
                <w:color w:val="000000"/>
                <w:sz w:val="20"/>
                <w:szCs w:val="20"/>
                <w:lang w:eastAsia="es-MX"/>
              </w:rPr>
              <w:t xml:space="preserve">Ing. Héctor González Hernández </w:t>
            </w:r>
          </w:p>
          <w:p w:rsidR="0074576E" w:rsidRDefault="0074576E" w:rsidP="00A56E05">
            <w:pPr>
              <w:rPr>
                <w:rFonts w:ascii="Adobe Caslon Pro" w:hAnsi="Adobe Caslon Pro" w:cs="Calibri"/>
                <w:i/>
                <w:color w:val="000000"/>
                <w:sz w:val="20"/>
                <w:szCs w:val="20"/>
                <w:lang w:eastAsia="es-MX"/>
              </w:rPr>
            </w:pPr>
            <w:r w:rsidRPr="00210387">
              <w:rPr>
                <w:rFonts w:ascii="Adobe Caslon Pro" w:hAnsi="Adobe Caslon Pro" w:cs="Calibri"/>
                <w:i/>
                <w:color w:val="000000"/>
                <w:sz w:val="20"/>
                <w:szCs w:val="20"/>
                <w:lang w:eastAsia="es-MX"/>
              </w:rPr>
              <w:t xml:space="preserve">(951) 516-34-64 </w:t>
            </w:r>
          </w:p>
          <w:p w:rsidR="0074576E" w:rsidRPr="0062525C" w:rsidRDefault="0074576E" w:rsidP="00A56E05">
            <w:pPr>
              <w:rPr>
                <w:rFonts w:ascii="Adobe Caslon Pro" w:hAnsi="Adobe Caslon Pro" w:cs="Calibri"/>
                <w:i/>
                <w:color w:val="000000"/>
                <w:sz w:val="20"/>
                <w:szCs w:val="20"/>
                <w:lang w:eastAsia="es-MX"/>
              </w:rPr>
            </w:pPr>
          </w:p>
        </w:tc>
        <w:tc>
          <w:tcPr>
            <w:tcW w:w="4604" w:type="dxa"/>
            <w:gridSpan w:val="7"/>
            <w:tcBorders>
              <w:top w:val="single" w:sz="4" w:space="0" w:color="auto"/>
              <w:left w:val="nil"/>
              <w:bottom w:val="single" w:sz="4" w:space="0" w:color="auto"/>
              <w:right w:val="single" w:sz="4" w:space="0" w:color="000000"/>
            </w:tcBorders>
            <w:shd w:val="clear" w:color="auto" w:fill="auto"/>
            <w:vAlign w:val="center"/>
            <w:hideMark/>
          </w:tcPr>
          <w:p w:rsidR="0074576E" w:rsidRDefault="0074576E" w:rsidP="00A56E05">
            <w:pPr>
              <w:rPr>
                <w:rFonts w:ascii="Adobe Caslon Pro" w:hAnsi="Adobe Caslon Pro" w:cs="Calibri"/>
                <w:color w:val="000000"/>
                <w:sz w:val="20"/>
                <w:szCs w:val="20"/>
                <w:lang w:eastAsia="es-MX"/>
              </w:rPr>
            </w:pPr>
            <w:r>
              <w:rPr>
                <w:rFonts w:ascii="Adobe Caslon Pro" w:hAnsi="Adobe Caslon Pro" w:cs="Calibri"/>
                <w:color w:val="000000"/>
                <w:sz w:val="20"/>
                <w:szCs w:val="20"/>
                <w:lang w:eastAsia="es-MX"/>
              </w:rPr>
              <w:t>Unidad administrativa</w:t>
            </w:r>
          </w:p>
          <w:p w:rsidR="0074576E" w:rsidRPr="00B9667E" w:rsidRDefault="0074576E" w:rsidP="00A56E05">
            <w:pPr>
              <w:rPr>
                <w:rFonts w:ascii="Adobe Caslon Pro" w:hAnsi="Adobe Caslon Pro" w:cs="Calibri"/>
                <w:i/>
                <w:color w:val="000000"/>
                <w:sz w:val="20"/>
                <w:szCs w:val="20"/>
                <w:lang w:eastAsia="es-MX"/>
              </w:rPr>
            </w:pPr>
            <w:r>
              <w:rPr>
                <w:rFonts w:ascii="Adobe Caslon Pro" w:hAnsi="Adobe Caslon Pro" w:cs="Calibri"/>
                <w:i/>
                <w:color w:val="000000"/>
                <w:sz w:val="20"/>
                <w:szCs w:val="20"/>
                <w:lang w:eastAsia="es-MX"/>
              </w:rPr>
              <w:t xml:space="preserve"> Encargado d</w:t>
            </w:r>
            <w:r w:rsidRPr="00210387">
              <w:rPr>
                <w:rFonts w:ascii="Adobe Caslon Pro" w:hAnsi="Adobe Caslon Pro" w:cs="Calibri"/>
                <w:i/>
                <w:color w:val="000000"/>
                <w:sz w:val="20"/>
                <w:szCs w:val="20"/>
                <w:lang w:eastAsia="es-MX"/>
              </w:rPr>
              <w:t xml:space="preserve">el Despacho </w:t>
            </w:r>
            <w:r>
              <w:rPr>
                <w:rFonts w:ascii="Adobe Caslon Pro" w:hAnsi="Adobe Caslon Pro" w:cs="Calibri"/>
                <w:i/>
                <w:color w:val="000000"/>
                <w:sz w:val="20"/>
                <w:szCs w:val="20"/>
                <w:lang w:eastAsia="es-MX"/>
              </w:rPr>
              <w:t>d</w:t>
            </w:r>
            <w:r w:rsidRPr="00210387">
              <w:rPr>
                <w:rFonts w:ascii="Adobe Caslon Pro" w:hAnsi="Adobe Caslon Pro" w:cs="Calibri"/>
                <w:i/>
                <w:color w:val="000000"/>
                <w:sz w:val="20"/>
                <w:szCs w:val="20"/>
                <w:lang w:eastAsia="es-MX"/>
              </w:rPr>
              <w:t xml:space="preserve">e </w:t>
            </w:r>
            <w:r>
              <w:rPr>
                <w:rFonts w:ascii="Adobe Caslon Pro" w:hAnsi="Adobe Caslon Pro" w:cs="Calibri"/>
                <w:i/>
                <w:color w:val="000000"/>
                <w:sz w:val="20"/>
                <w:szCs w:val="20"/>
                <w:lang w:eastAsia="es-MX"/>
              </w:rPr>
              <w:t>los</w:t>
            </w:r>
            <w:r w:rsidRPr="00210387">
              <w:rPr>
                <w:rFonts w:ascii="Adobe Caslon Pro" w:hAnsi="Adobe Caslon Pro" w:cs="Calibri"/>
                <w:i/>
                <w:color w:val="000000"/>
                <w:sz w:val="20"/>
                <w:szCs w:val="20"/>
                <w:lang w:eastAsia="es-MX"/>
              </w:rPr>
              <w:t xml:space="preserve"> Se</w:t>
            </w:r>
            <w:r>
              <w:rPr>
                <w:rFonts w:ascii="Adobe Caslon Pro" w:hAnsi="Adobe Caslon Pro" w:cs="Calibri"/>
                <w:i/>
                <w:color w:val="000000"/>
                <w:sz w:val="20"/>
                <w:szCs w:val="20"/>
                <w:lang w:eastAsia="es-MX"/>
              </w:rPr>
              <w:t>rvicios de</w:t>
            </w:r>
            <w:r w:rsidRPr="00210387">
              <w:rPr>
                <w:rFonts w:ascii="Adobe Caslon Pro" w:hAnsi="Adobe Caslon Pro" w:cs="Calibri"/>
                <w:i/>
                <w:color w:val="000000"/>
                <w:sz w:val="20"/>
                <w:szCs w:val="20"/>
                <w:lang w:eastAsia="es-MX"/>
              </w:rPr>
              <w:t xml:space="preserve"> Salud </w:t>
            </w:r>
            <w:r>
              <w:rPr>
                <w:rFonts w:ascii="Adobe Caslon Pro" w:hAnsi="Adobe Caslon Pro" w:cs="Calibri"/>
                <w:i/>
                <w:color w:val="000000"/>
                <w:sz w:val="20"/>
                <w:szCs w:val="20"/>
                <w:lang w:eastAsia="es-MX"/>
              </w:rPr>
              <w:t>del Estado d</w:t>
            </w:r>
            <w:r w:rsidRPr="00210387">
              <w:rPr>
                <w:rFonts w:ascii="Adobe Caslon Pro" w:hAnsi="Adobe Caslon Pro" w:cs="Calibri"/>
                <w:i/>
                <w:color w:val="000000"/>
                <w:sz w:val="20"/>
                <w:szCs w:val="20"/>
                <w:lang w:eastAsia="es-MX"/>
              </w:rPr>
              <w:t>e Oaxaca</w:t>
            </w:r>
            <w:r>
              <w:rPr>
                <w:rFonts w:ascii="Adobe Caslon Pro" w:hAnsi="Adobe Caslon Pro" w:cs="Calibri"/>
                <w:i/>
                <w:color w:val="000000"/>
                <w:sz w:val="20"/>
                <w:szCs w:val="20"/>
                <w:lang w:eastAsia="es-MX"/>
              </w:rPr>
              <w:t>.</w:t>
            </w:r>
          </w:p>
        </w:tc>
      </w:tr>
      <w:tr w:rsidR="0074576E" w:rsidRPr="00BE4199" w:rsidTr="00A56E05">
        <w:trPr>
          <w:trHeight w:val="75"/>
          <w:jc w:val="center"/>
        </w:trPr>
        <w:tc>
          <w:tcPr>
            <w:tcW w:w="999" w:type="dxa"/>
            <w:gridSpan w:val="2"/>
            <w:tcBorders>
              <w:top w:val="nil"/>
              <w:left w:val="nil"/>
              <w:bottom w:val="nil"/>
              <w:right w:val="nil"/>
            </w:tcBorders>
            <w:shd w:val="clear" w:color="auto" w:fill="auto"/>
            <w:vAlign w:val="center"/>
            <w:hideMark/>
          </w:tcPr>
          <w:p w:rsidR="0074576E" w:rsidRPr="00BE4199" w:rsidRDefault="0074576E" w:rsidP="00A56E05">
            <w:pPr>
              <w:jc w:val="right"/>
              <w:rPr>
                <w:rFonts w:ascii="Adobe Caslon Pro" w:hAnsi="Adobe Caslon Pro" w:cs="Calibri"/>
                <w:color w:val="000000"/>
                <w:sz w:val="20"/>
                <w:szCs w:val="20"/>
                <w:lang w:eastAsia="es-MX"/>
              </w:rPr>
            </w:pPr>
          </w:p>
        </w:tc>
        <w:tc>
          <w:tcPr>
            <w:tcW w:w="3266" w:type="dxa"/>
            <w:gridSpan w:val="2"/>
            <w:tcBorders>
              <w:top w:val="nil"/>
              <w:left w:val="nil"/>
              <w:bottom w:val="nil"/>
              <w:right w:val="nil"/>
            </w:tcBorders>
            <w:shd w:val="clear" w:color="auto" w:fill="auto"/>
            <w:vAlign w:val="center"/>
            <w:hideMark/>
          </w:tcPr>
          <w:p w:rsidR="0074576E" w:rsidRPr="00BE4199" w:rsidRDefault="0074576E" w:rsidP="00A56E05">
            <w:pPr>
              <w:jc w:val="right"/>
              <w:rPr>
                <w:rFonts w:ascii="Adobe Caslon Pro" w:hAnsi="Adobe Caslon Pro" w:cs="Calibri"/>
                <w:color w:val="000000"/>
                <w:sz w:val="20"/>
                <w:szCs w:val="20"/>
                <w:lang w:eastAsia="es-MX"/>
              </w:rPr>
            </w:pPr>
          </w:p>
        </w:tc>
        <w:tc>
          <w:tcPr>
            <w:tcW w:w="160" w:type="dxa"/>
            <w:tcBorders>
              <w:top w:val="nil"/>
              <w:left w:val="nil"/>
              <w:bottom w:val="nil"/>
              <w:right w:val="nil"/>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526" w:type="dxa"/>
            <w:gridSpan w:val="5"/>
            <w:tcBorders>
              <w:top w:val="nil"/>
              <w:left w:val="nil"/>
              <w:bottom w:val="nil"/>
              <w:right w:val="nil"/>
            </w:tcBorders>
            <w:shd w:val="clear" w:color="auto" w:fill="auto"/>
            <w:vAlign w:val="center"/>
            <w:hideMark/>
          </w:tcPr>
          <w:p w:rsidR="0074576E" w:rsidRPr="00BE4199" w:rsidRDefault="0074576E" w:rsidP="00A56E05">
            <w:pPr>
              <w:jc w:val="center"/>
              <w:rPr>
                <w:rFonts w:ascii="Adobe Caslon Pro" w:hAnsi="Adobe Caslon Pro" w:cs="Calibri"/>
                <w:color w:val="000000"/>
                <w:sz w:val="20"/>
                <w:szCs w:val="20"/>
                <w:lang w:eastAsia="es-MX"/>
              </w:rPr>
            </w:pPr>
          </w:p>
        </w:tc>
        <w:tc>
          <w:tcPr>
            <w:tcW w:w="1325" w:type="dxa"/>
            <w:gridSpan w:val="3"/>
            <w:tcBorders>
              <w:top w:val="nil"/>
              <w:left w:val="nil"/>
              <w:bottom w:val="nil"/>
              <w:right w:val="nil"/>
            </w:tcBorders>
            <w:shd w:val="clear" w:color="auto" w:fill="auto"/>
            <w:vAlign w:val="center"/>
            <w:hideMark/>
          </w:tcPr>
          <w:p w:rsidR="0074576E" w:rsidRPr="00BE4199" w:rsidRDefault="0074576E" w:rsidP="00A56E05">
            <w:pPr>
              <w:jc w:val="cente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vAlign w:val="center"/>
            <w:hideMark/>
          </w:tcPr>
          <w:p w:rsidR="0074576E" w:rsidRPr="00BE4199" w:rsidRDefault="0074576E" w:rsidP="00A56E05">
            <w:pPr>
              <w:jc w:val="center"/>
              <w:rPr>
                <w:rFonts w:ascii="Adobe Caslon Pro" w:hAnsi="Adobe Caslon Pro" w:cs="Calibri"/>
                <w:color w:val="000000"/>
                <w:sz w:val="20"/>
                <w:szCs w:val="20"/>
                <w:lang w:eastAsia="es-MX"/>
              </w:rPr>
            </w:pPr>
          </w:p>
        </w:tc>
      </w:tr>
      <w:tr w:rsidR="0074576E" w:rsidRPr="00BE4199" w:rsidTr="00A56E05">
        <w:trPr>
          <w:trHeight w:val="420"/>
          <w:jc w:val="center"/>
        </w:trPr>
        <w:tc>
          <w:tcPr>
            <w:tcW w:w="8125" w:type="dxa"/>
            <w:gridSpan w:val="12"/>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6. Datos de Contratación de la Evaluación</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 Tipo de contratación:</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jc w:val="both"/>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6.1.1 Adjudicación Directa__  6.1.2 Invitación a tres___ 6.1.3 Licitación Pública Nacional___</w:t>
            </w:r>
          </w:p>
          <w:p w:rsidR="0074576E" w:rsidRPr="00BE4199" w:rsidRDefault="0074576E" w:rsidP="00A56E05">
            <w:pPr>
              <w:jc w:val="both"/>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6.1.4 Licitación Pública Internacional</w:t>
            </w:r>
            <w:r>
              <w:rPr>
                <w:rFonts w:ascii="Adobe Caslon Pro" w:hAnsi="Adobe Caslon Pro" w:cs="Calibri"/>
                <w:color w:val="000000"/>
                <w:sz w:val="20"/>
                <w:szCs w:val="20"/>
                <w:lang w:eastAsia="es-MX"/>
              </w:rPr>
              <w:t>___ 6.1.5 Otro: C</w:t>
            </w:r>
            <w:r w:rsidRPr="000D3BE9">
              <w:rPr>
                <w:rFonts w:ascii="Adobe Caslon Pro" w:hAnsi="Adobe Caslon Pro" w:cs="Calibri"/>
                <w:color w:val="000000"/>
                <w:sz w:val="20"/>
                <w:szCs w:val="20"/>
                <w:lang w:eastAsia="es-MX"/>
              </w:rPr>
              <w:t>onveni</w:t>
            </w:r>
            <w:r>
              <w:rPr>
                <w:rFonts w:ascii="Adobe Caslon Pro" w:hAnsi="Adobe Caslon Pro" w:cs="Calibri"/>
                <w:color w:val="000000"/>
                <w:sz w:val="20"/>
                <w:szCs w:val="20"/>
                <w:lang w:eastAsia="es-MX"/>
              </w:rPr>
              <w:t>o de colaboración institucional</w:t>
            </w:r>
          </w:p>
        </w:tc>
      </w:tr>
      <w:tr w:rsidR="0074576E" w:rsidRPr="00BE4199" w:rsidTr="00A56E05">
        <w:trPr>
          <w:trHeight w:val="395"/>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6.2</w:t>
            </w:r>
            <w:r>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Unidad administrativa responsable de contratar la evaluación:</w:t>
            </w:r>
          </w:p>
          <w:p w:rsidR="0074576E" w:rsidRPr="00BE4199"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Jefatura de la Gubernatura</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6.3</w:t>
            </w:r>
            <w:r>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Costo total de la evaluación</w:t>
            </w:r>
            <w:r w:rsidRPr="002071AF">
              <w:rPr>
                <w:rFonts w:ascii="Adobe Caslon Pro" w:hAnsi="Adobe Caslon Pro" w:cs="Calibri"/>
                <w:color w:val="000000"/>
                <w:sz w:val="20"/>
                <w:szCs w:val="20"/>
                <w:lang w:eastAsia="es-MX"/>
              </w:rPr>
              <w:t xml:space="preserve">:    </w:t>
            </w:r>
            <w:r w:rsidRPr="002071AF">
              <w:rPr>
                <w:rFonts w:ascii="Adobe Caslon Pro" w:hAnsi="Adobe Caslon Pro" w:cs="Calibri"/>
                <w:i/>
                <w:color w:val="000000"/>
                <w:sz w:val="20"/>
                <w:szCs w:val="20"/>
                <w:lang w:eastAsia="es-MX"/>
              </w:rPr>
              <w:t>$ 2, 276,000.00 (Dos millones doscientos setenta y seis mil pesos 00/100 M.N.) El costo corresponde a la evaluación de siete Fondos de Aportaciones del Ramo General 33, Fondo Regional y siete programas presupuestarios Estatales.</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r w:rsidRPr="00BE4199">
              <w:rPr>
                <w:rFonts w:ascii="Adobe Caslon Pro" w:hAnsi="Adobe Caslon Pro" w:cs="Calibri"/>
                <w:color w:val="000000"/>
                <w:sz w:val="20"/>
                <w:szCs w:val="20"/>
                <w:lang w:eastAsia="es-MX"/>
              </w:rPr>
              <w:t>6.4</w:t>
            </w:r>
            <w:r w:rsidRPr="00BE4199">
              <w:rPr>
                <w:rFonts w:ascii="Times New Roman" w:hAnsi="Times New Roman"/>
                <w:color w:val="000000"/>
                <w:sz w:val="20"/>
                <w:szCs w:val="20"/>
                <w:lang w:eastAsia="es-MX"/>
              </w:rPr>
              <w:t xml:space="preserve">  </w:t>
            </w:r>
            <w:r w:rsidRPr="00BE4199">
              <w:rPr>
                <w:rFonts w:ascii="Adobe Caslon Pro" w:hAnsi="Adobe Caslon Pro" w:cs="Calibri"/>
                <w:color w:val="000000"/>
                <w:sz w:val="20"/>
                <w:szCs w:val="20"/>
                <w:lang w:eastAsia="es-MX"/>
              </w:rPr>
              <w:t>Fuente de Financiamiento : </w:t>
            </w:r>
          </w:p>
          <w:p w:rsidR="0074576E" w:rsidRPr="00BE4199" w:rsidRDefault="0074576E" w:rsidP="00A56E05">
            <w:pPr>
              <w:rPr>
                <w:rFonts w:ascii="Adobe Caslon Pro" w:hAnsi="Adobe Caslon Pro" w:cs="Calibri"/>
                <w:i/>
                <w:color w:val="000000"/>
                <w:sz w:val="20"/>
                <w:szCs w:val="20"/>
                <w:lang w:eastAsia="es-MX"/>
              </w:rPr>
            </w:pPr>
            <w:r w:rsidRPr="00BE4199">
              <w:rPr>
                <w:rFonts w:ascii="Adobe Caslon Pro" w:hAnsi="Adobe Caslon Pro" w:cs="Calibri"/>
                <w:i/>
                <w:color w:val="000000"/>
                <w:sz w:val="20"/>
                <w:szCs w:val="20"/>
                <w:lang w:eastAsia="es-MX"/>
              </w:rPr>
              <w:t>Recursos Fiscales</w:t>
            </w:r>
          </w:p>
        </w:tc>
      </w:tr>
      <w:tr w:rsidR="0074576E" w:rsidRPr="00BE4199" w:rsidTr="00A56E05">
        <w:trPr>
          <w:trHeight w:val="162"/>
          <w:jc w:val="center"/>
        </w:trPr>
        <w:tc>
          <w:tcPr>
            <w:tcW w:w="999"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955"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2019" w:type="dxa"/>
            <w:gridSpan w:val="5"/>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667"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25" w:type="dxa"/>
            <w:gridSpan w:val="2"/>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160" w:type="dxa"/>
            <w:tcBorders>
              <w:top w:val="nil"/>
              <w:left w:val="nil"/>
              <w:bottom w:val="nil"/>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c>
          <w:tcPr>
            <w:tcW w:w="1311" w:type="dxa"/>
            <w:gridSpan w:val="2"/>
            <w:tcBorders>
              <w:top w:val="nil"/>
              <w:left w:val="nil"/>
              <w:bottom w:val="single" w:sz="4" w:space="0" w:color="auto"/>
              <w:right w:val="nil"/>
            </w:tcBorders>
            <w:shd w:val="clear" w:color="auto" w:fill="auto"/>
            <w:noWrap/>
            <w:vAlign w:val="center"/>
            <w:hideMark/>
          </w:tcPr>
          <w:p w:rsidR="0074576E" w:rsidRPr="00BE4199" w:rsidRDefault="0074576E" w:rsidP="00A56E05">
            <w:pPr>
              <w:rPr>
                <w:rFonts w:ascii="Adobe Caslon Pro" w:hAnsi="Adobe Caslon Pro" w:cs="Calibri"/>
                <w:color w:val="000000"/>
                <w:sz w:val="20"/>
                <w:szCs w:val="20"/>
                <w:lang w:eastAsia="es-MX"/>
              </w:rPr>
            </w:pPr>
          </w:p>
        </w:tc>
      </w:tr>
      <w:tr w:rsidR="0074576E" w:rsidRPr="00BE4199" w:rsidTr="00A56E05">
        <w:trPr>
          <w:trHeight w:val="420"/>
          <w:jc w:val="center"/>
        </w:trPr>
        <w:tc>
          <w:tcPr>
            <w:tcW w:w="4973" w:type="dxa"/>
            <w:gridSpan w:val="8"/>
            <w:tcBorders>
              <w:top w:val="single" w:sz="4" w:space="0" w:color="auto"/>
              <w:left w:val="single" w:sz="4" w:space="0" w:color="auto"/>
              <w:bottom w:val="single" w:sz="4" w:space="0" w:color="auto"/>
              <w:right w:val="nil"/>
            </w:tcBorders>
            <w:shd w:val="clear" w:color="000000" w:fill="C2D69A"/>
            <w:noWrap/>
            <w:vAlign w:val="center"/>
            <w:hideMark/>
          </w:tcPr>
          <w:p w:rsidR="0074576E" w:rsidRPr="00BE4199" w:rsidRDefault="0074576E" w:rsidP="00A56E05">
            <w:pPr>
              <w:rPr>
                <w:rFonts w:ascii="Trajan Pro" w:hAnsi="Trajan Pro" w:cs="Calibri"/>
                <w:b/>
                <w:bCs/>
                <w:color w:val="000000"/>
                <w:sz w:val="20"/>
                <w:szCs w:val="20"/>
                <w:lang w:eastAsia="es-MX"/>
              </w:rPr>
            </w:pPr>
            <w:r w:rsidRPr="00BE4199">
              <w:rPr>
                <w:rFonts w:ascii="Trajan Pro" w:hAnsi="Trajan Pro" w:cs="Calibri"/>
                <w:b/>
                <w:bCs/>
                <w:color w:val="000000"/>
                <w:sz w:val="20"/>
                <w:szCs w:val="20"/>
                <w:lang w:eastAsia="es-MX"/>
              </w:rPr>
              <w:t>7. Difusión de la evaluación</w:t>
            </w:r>
          </w:p>
        </w:tc>
        <w:tc>
          <w:tcPr>
            <w:tcW w:w="667" w:type="dxa"/>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25" w:type="dxa"/>
            <w:gridSpan w:val="2"/>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160" w:type="dxa"/>
            <w:tcBorders>
              <w:top w:val="single" w:sz="4" w:space="0" w:color="auto"/>
              <w:left w:val="nil"/>
              <w:bottom w:val="single" w:sz="4" w:space="0" w:color="auto"/>
              <w:right w:val="nil"/>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c>
          <w:tcPr>
            <w:tcW w:w="1311" w:type="dxa"/>
            <w:gridSpan w:val="2"/>
            <w:tcBorders>
              <w:top w:val="single" w:sz="4" w:space="0" w:color="auto"/>
              <w:left w:val="nil"/>
              <w:bottom w:val="single" w:sz="4" w:space="0" w:color="auto"/>
              <w:right w:val="single" w:sz="4" w:space="0" w:color="auto"/>
            </w:tcBorders>
            <w:shd w:val="clear" w:color="000000" w:fill="C2D69A"/>
            <w:noWrap/>
            <w:vAlign w:val="center"/>
            <w:hideMark/>
          </w:tcPr>
          <w:p w:rsidR="0074576E" w:rsidRPr="00BE4199" w:rsidRDefault="0074576E" w:rsidP="00A56E05">
            <w:pPr>
              <w:rPr>
                <w:rFonts w:ascii="Adobe Caslon Pro" w:hAnsi="Adobe Caslon Pro" w:cs="Calibri"/>
                <w:b/>
                <w:bCs/>
                <w:color w:val="000000"/>
                <w:sz w:val="20"/>
                <w:szCs w:val="20"/>
                <w:lang w:eastAsia="es-MX"/>
              </w:rPr>
            </w:pPr>
            <w:r w:rsidRPr="00BE4199">
              <w:rPr>
                <w:rFonts w:ascii="Adobe Caslon Pro" w:hAnsi="Adobe Caslon Pro" w:cs="Calibri"/>
                <w:b/>
                <w:bCs/>
                <w:color w:val="000000"/>
                <w:sz w:val="20"/>
                <w:szCs w:val="20"/>
                <w:lang w:eastAsia="es-MX"/>
              </w:rPr>
              <w:t> </w:t>
            </w:r>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642484">
              <w:rPr>
                <w:rFonts w:ascii="Adobe Caslon Pro" w:hAnsi="Adobe Caslon Pro" w:cs="Calibri"/>
                <w:color w:val="000000"/>
                <w:sz w:val="20"/>
                <w:szCs w:val="20"/>
                <w:lang w:eastAsia="es-MX"/>
              </w:rPr>
              <w:t>7.1  Difusión en internet de la evaluación:</w:t>
            </w:r>
          </w:p>
          <w:p w:rsidR="0074576E" w:rsidRPr="004003A7" w:rsidRDefault="0074576E" w:rsidP="00A56E05">
            <w:pPr>
              <w:rPr>
                <w:rStyle w:val="Hipervnculo"/>
                <w:rFonts w:ascii="Adobe Caslon Pro" w:hAnsi="Adobe Caslon Pro" w:cs="Calibri"/>
                <w:i/>
                <w:sz w:val="20"/>
                <w:szCs w:val="20"/>
                <w:lang w:eastAsia="es-MX"/>
              </w:rPr>
            </w:pPr>
            <w:r w:rsidRPr="004003A7">
              <w:rPr>
                <w:rStyle w:val="Hipervnculo"/>
                <w:rFonts w:ascii="Adobe Caslon Pro" w:hAnsi="Adobe Caslon Pro" w:cs="Calibri"/>
                <w:i/>
                <w:sz w:val="20"/>
                <w:szCs w:val="20"/>
                <w:lang w:eastAsia="es-MX"/>
              </w:rPr>
              <w:t>http://www.jefaturadelagubernatura-evaluacion.oaxaca.gob.mx/index.php/pae-sidepanel/pae-2015</w:t>
            </w:r>
          </w:p>
          <w:p w:rsidR="0074576E" w:rsidRPr="00642484" w:rsidRDefault="009B1A50" w:rsidP="00A56E05">
            <w:pPr>
              <w:rPr>
                <w:rFonts w:ascii="Adobe Caslon Pro" w:hAnsi="Adobe Caslon Pro" w:cs="Calibri"/>
                <w:color w:val="000000"/>
                <w:sz w:val="20"/>
                <w:szCs w:val="20"/>
                <w:lang w:eastAsia="es-MX"/>
              </w:rPr>
            </w:pPr>
            <w:hyperlink r:id="rId197" w:history="1">
              <w:r w:rsidR="0074576E" w:rsidRPr="002071AF">
                <w:rPr>
                  <w:rStyle w:val="Hipervnculo"/>
                  <w:rFonts w:ascii="Adobe Caslon Pro" w:hAnsi="Adobe Caslon Pro" w:cs="Calibri"/>
                  <w:i/>
                  <w:sz w:val="20"/>
                  <w:szCs w:val="20"/>
                  <w:lang w:eastAsia="es-MX"/>
                </w:rPr>
                <w:t>http://www.transparenciapresupuestaria.oaxaca.gob.mx/05_ev1_eprogramas.php</w:t>
              </w:r>
            </w:hyperlink>
          </w:p>
        </w:tc>
      </w:tr>
      <w:tr w:rsidR="0074576E" w:rsidRPr="00BE4199" w:rsidTr="00A56E05">
        <w:trPr>
          <w:trHeight w:val="420"/>
          <w:jc w:val="center"/>
        </w:trPr>
        <w:tc>
          <w:tcPr>
            <w:tcW w:w="943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576E" w:rsidRDefault="0074576E" w:rsidP="00A56E05">
            <w:pPr>
              <w:rPr>
                <w:rFonts w:ascii="Adobe Caslon Pro" w:hAnsi="Adobe Caslon Pro" w:cs="Calibri"/>
                <w:color w:val="000000"/>
                <w:sz w:val="20"/>
                <w:szCs w:val="20"/>
                <w:lang w:eastAsia="es-MX"/>
              </w:rPr>
            </w:pPr>
            <w:r w:rsidRPr="000D3BE9">
              <w:rPr>
                <w:rFonts w:ascii="Adobe Caslon Pro" w:hAnsi="Adobe Caslon Pro" w:cs="Calibri"/>
                <w:color w:val="000000"/>
                <w:sz w:val="20"/>
                <w:szCs w:val="20"/>
                <w:lang w:eastAsia="es-MX"/>
              </w:rPr>
              <w:t>7.2  Difusión en internet del formato:</w:t>
            </w:r>
          </w:p>
          <w:p w:rsidR="0074576E" w:rsidRPr="004003A7" w:rsidRDefault="0074576E" w:rsidP="00A56E05">
            <w:pPr>
              <w:rPr>
                <w:rStyle w:val="Hipervnculo"/>
                <w:rFonts w:ascii="Adobe Caslon Pro" w:hAnsi="Adobe Caslon Pro" w:cs="Calibri"/>
                <w:i/>
                <w:sz w:val="20"/>
                <w:szCs w:val="20"/>
                <w:lang w:eastAsia="es-MX"/>
              </w:rPr>
            </w:pPr>
            <w:r w:rsidRPr="004003A7">
              <w:rPr>
                <w:rStyle w:val="Hipervnculo"/>
                <w:rFonts w:ascii="Adobe Caslon Pro" w:hAnsi="Adobe Caslon Pro" w:cs="Calibri"/>
                <w:i/>
                <w:sz w:val="20"/>
                <w:szCs w:val="20"/>
                <w:lang w:eastAsia="es-MX"/>
              </w:rPr>
              <w:t>http://www.jefaturadelagubernatura-evaluacion.oaxaca.gob.mx/index.php/pae-sidepanel/pae-2015</w:t>
            </w:r>
          </w:p>
          <w:p w:rsidR="0074576E" w:rsidRPr="00642484" w:rsidRDefault="0074576E" w:rsidP="00A56E05">
            <w:pPr>
              <w:rPr>
                <w:rFonts w:ascii="Adobe Caslon Pro" w:hAnsi="Adobe Caslon Pro" w:cs="Calibri"/>
                <w:color w:val="000000"/>
                <w:sz w:val="20"/>
                <w:szCs w:val="20"/>
                <w:lang w:eastAsia="es-MX"/>
              </w:rPr>
            </w:pPr>
          </w:p>
        </w:tc>
      </w:tr>
    </w:tbl>
    <w:p w:rsidR="0074576E" w:rsidRPr="00066E84" w:rsidRDefault="0074576E" w:rsidP="0074576E">
      <w:pPr>
        <w:rPr>
          <w:rFonts w:ascii="Adobe Caslon Pro" w:hAnsi="Adobe Caslon Pro"/>
          <w:b/>
          <w:sz w:val="20"/>
          <w:szCs w:val="20"/>
          <w:lang w:eastAsia="es-MX"/>
        </w:rPr>
      </w:pPr>
    </w:p>
    <w:p w:rsidR="0074576E" w:rsidRDefault="0074576E" w:rsidP="0074576E">
      <w:pPr>
        <w:autoSpaceDE w:val="0"/>
        <w:autoSpaceDN w:val="0"/>
        <w:adjustRightInd w:val="0"/>
        <w:jc w:val="both"/>
        <w:rPr>
          <w:rFonts w:cs="Calibri"/>
          <w:sz w:val="16"/>
          <w:szCs w:val="16"/>
        </w:rPr>
      </w:pPr>
    </w:p>
    <w:p w:rsidR="002C55FF" w:rsidRDefault="002C55FF" w:rsidP="000708E7">
      <w:pPr>
        <w:rPr>
          <w:rFonts w:ascii="Arial" w:hAnsi="Arial" w:cs="Arial"/>
          <w:b/>
        </w:rPr>
      </w:pPr>
      <w:r>
        <w:rPr>
          <w:rFonts w:ascii="Arial" w:hAnsi="Arial" w:cs="Arial"/>
          <w:b/>
        </w:rPr>
        <w:lastRenderedPageBreak/>
        <w:t>14.3.- TITULO V DE LA LEY GENERAL DE CONTABILIDAD GUBERNAMENTAL, REFERENTE A LA TRANSPARENCIA Y DIFUSION DE LA INFORMACION FINANCIERA</w:t>
      </w:r>
    </w:p>
    <w:p w:rsidR="002C55FF" w:rsidRDefault="002C55FF" w:rsidP="000708E7">
      <w:pPr>
        <w:rPr>
          <w:rFonts w:ascii="Arial" w:hAnsi="Arial" w:cs="Arial"/>
          <w:b/>
        </w:rPr>
      </w:pPr>
    </w:p>
    <w:p w:rsidR="00E474D1" w:rsidRDefault="00E474D1" w:rsidP="000708E7">
      <w:pPr>
        <w:rPr>
          <w:rFonts w:ascii="Arial" w:hAnsi="Arial" w:cs="Arial"/>
          <w:b/>
        </w:rPr>
      </w:pPr>
      <w:r w:rsidRPr="00E474D1">
        <w:rPr>
          <w:rFonts w:ascii="Arial" w:hAnsi="Arial" w:cs="Arial"/>
          <w:b/>
        </w:rPr>
        <w:t>14.3.1.- GASTO FEDERALIZADO</w:t>
      </w:r>
    </w:p>
    <w:p w:rsidR="00E474D1" w:rsidRDefault="00E474D1" w:rsidP="000708E7">
      <w:pPr>
        <w:rPr>
          <w:rFonts w:ascii="Arial" w:hAnsi="Arial" w:cs="Arial"/>
          <w:b/>
        </w:rPr>
      </w:pPr>
    </w:p>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E474D1">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E474D1" w:rsidRPr="00E474D1" w:rsidRDefault="00E474D1" w:rsidP="00E474D1">
            <w:pPr>
              <w:jc w:val="center"/>
              <w:rPr>
                <w:rFonts w:ascii="Arial" w:hAnsi="Arial" w:cs="Arial"/>
                <w:b/>
                <w:bCs/>
                <w:color w:val="000000"/>
                <w:sz w:val="16"/>
                <w:szCs w:val="16"/>
                <w:lang w:val="es-MX" w:eastAsia="es-MX"/>
              </w:rPr>
            </w:pPr>
            <w:bookmarkStart w:id="7" w:name="RANGE!A1:E317"/>
            <w:r w:rsidRPr="00E474D1">
              <w:rPr>
                <w:rFonts w:ascii="Arial" w:hAnsi="Arial" w:cs="Arial"/>
                <w:b/>
                <w:bCs/>
                <w:color w:val="000000"/>
                <w:sz w:val="16"/>
                <w:szCs w:val="16"/>
                <w:lang w:val="es-MX" w:eastAsia="es-MX"/>
              </w:rPr>
              <w:t>PROGRAMA O FONDO</w:t>
            </w:r>
            <w:bookmarkEnd w:id="7"/>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E474D1" w:rsidRPr="00E474D1" w:rsidRDefault="00E474D1" w:rsidP="00E474D1">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E474D1" w:rsidRPr="00E474D1" w:rsidRDefault="00E474D1" w:rsidP="00E474D1">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E474D1" w:rsidRPr="00E474D1" w:rsidRDefault="00E474D1" w:rsidP="00E474D1">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E474D1" w:rsidRPr="00E474D1" w:rsidRDefault="00E474D1" w:rsidP="00E474D1">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E474D1" w:rsidRPr="00E474D1" w:rsidRDefault="00E474D1" w:rsidP="00E474D1">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b/>
                <w:bCs/>
                <w:color w:val="000000"/>
                <w:sz w:val="16"/>
                <w:szCs w:val="16"/>
                <w:lang w:val="es-MX" w:eastAsia="es-MX"/>
              </w:rPr>
            </w:pPr>
          </w:p>
        </w:tc>
      </w:tr>
      <w:tr w:rsidR="00E474D1" w:rsidRPr="00E474D1" w:rsidTr="00A70342">
        <w:trPr>
          <w:trHeight w:val="225"/>
        </w:trPr>
        <w:tc>
          <w:tcPr>
            <w:tcW w:w="2427" w:type="dxa"/>
            <w:tcBorders>
              <w:top w:val="nil"/>
              <w:bottom w:val="single" w:sz="4" w:space="0" w:color="auto"/>
            </w:tcBorders>
            <w:shd w:val="clear" w:color="000000" w:fill="FFFFFF"/>
            <w:noWrap/>
            <w:vAlign w:val="center"/>
            <w:hideMark/>
          </w:tcPr>
          <w:p w:rsidR="00E474D1" w:rsidRPr="00E474D1" w:rsidRDefault="00E474D1"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 </w:t>
            </w:r>
          </w:p>
        </w:tc>
        <w:tc>
          <w:tcPr>
            <w:tcW w:w="2552" w:type="dxa"/>
            <w:tcBorders>
              <w:top w:val="nil"/>
              <w:bottom w:val="single" w:sz="4" w:space="0" w:color="auto"/>
            </w:tcBorders>
            <w:shd w:val="clear" w:color="000000" w:fill="FFFFFF"/>
            <w:noWrap/>
            <w:vAlign w:val="center"/>
            <w:hideMark/>
          </w:tcPr>
          <w:p w:rsidR="00E474D1" w:rsidRPr="00E474D1" w:rsidRDefault="00E474D1" w:rsidP="00A70342">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 </w:t>
            </w:r>
          </w:p>
        </w:tc>
        <w:tc>
          <w:tcPr>
            <w:tcW w:w="1701" w:type="dxa"/>
            <w:tcBorders>
              <w:top w:val="nil"/>
              <w:bottom w:val="single" w:sz="4" w:space="0" w:color="auto"/>
            </w:tcBorders>
            <w:shd w:val="clear" w:color="auto" w:fill="auto"/>
            <w:noWrap/>
            <w:vAlign w:val="center"/>
            <w:hideMark/>
          </w:tcPr>
          <w:p w:rsidR="00E474D1" w:rsidRPr="00E474D1" w:rsidRDefault="00E474D1" w:rsidP="00A70342">
            <w:pPr>
              <w:jc w:val="right"/>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 </w:t>
            </w:r>
          </w:p>
        </w:tc>
        <w:tc>
          <w:tcPr>
            <w:tcW w:w="1701" w:type="dxa"/>
            <w:tcBorders>
              <w:top w:val="nil"/>
              <w:bottom w:val="nil"/>
            </w:tcBorders>
            <w:shd w:val="clear" w:color="auto" w:fill="auto"/>
            <w:noWrap/>
            <w:vAlign w:val="center"/>
            <w:hideMark/>
          </w:tcPr>
          <w:p w:rsidR="00E474D1" w:rsidRPr="00E474D1" w:rsidRDefault="00E474D1"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 </w:t>
            </w:r>
          </w:p>
        </w:tc>
        <w:tc>
          <w:tcPr>
            <w:tcW w:w="1134" w:type="dxa"/>
            <w:tcBorders>
              <w:top w:val="nil"/>
              <w:bottom w:val="single" w:sz="4" w:space="0" w:color="auto"/>
              <w:right w:val="nil"/>
            </w:tcBorders>
            <w:shd w:val="clear" w:color="auto" w:fill="auto"/>
            <w:noWrap/>
            <w:vAlign w:val="center"/>
            <w:hideMark/>
          </w:tcPr>
          <w:p w:rsidR="00E474D1" w:rsidRPr="00E474D1" w:rsidRDefault="00E474D1"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 </w:t>
            </w:r>
          </w:p>
        </w:tc>
      </w:tr>
      <w:tr w:rsidR="00E474D1" w:rsidRPr="00E474D1" w:rsidTr="00E474D1">
        <w:trPr>
          <w:trHeight w:val="900"/>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20% IMPUESTO A LAS VENTAS FINALES DE GASOLINA Y DIESEL (MUNICIPIOS)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PARTIDAS NO ASIGNABLES A PROGRAMAS-MUNICIPIOS-PARTICIPACIONES Y APORTACIONES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86,296,486.80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86,296,486.80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A70342">
            <w:pPr>
              <w:rPr>
                <w:rFonts w:ascii="Arial" w:hAnsi="Arial" w:cs="Arial"/>
                <w:sz w:val="16"/>
                <w:szCs w:val="16"/>
                <w:lang w:val="es-MX" w:eastAsia="es-MX"/>
              </w:rPr>
            </w:pPr>
            <w:r w:rsidRPr="00E474D1">
              <w:rPr>
                <w:rFonts w:ascii="Arial" w:hAnsi="Arial" w:cs="Arial"/>
                <w:sz w:val="16"/>
                <w:szCs w:val="16"/>
                <w:lang w:val="es-MX" w:eastAsia="es-MX"/>
              </w:rPr>
              <w:t>5 AL MILLAR P/ INSPECCIÓN Y VIGILANCIA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FISCALIZACIÓN, CONTROL Y SEGUIMIENTO DE INVERSIÓN Y OBRA PÚBLICA.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21,593,831.36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21,593,831.36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A70342">
            <w:pPr>
              <w:rPr>
                <w:rFonts w:ascii="Arial" w:hAnsi="Arial" w:cs="Arial"/>
                <w:sz w:val="16"/>
                <w:szCs w:val="16"/>
                <w:lang w:val="es-MX" w:eastAsia="es-MX"/>
              </w:rPr>
            </w:pPr>
            <w:r w:rsidRPr="00E474D1">
              <w:rPr>
                <w:rFonts w:ascii="Arial" w:hAnsi="Arial" w:cs="Arial"/>
                <w:sz w:val="16"/>
                <w:szCs w:val="16"/>
                <w:lang w:val="es-MX" w:eastAsia="es-MX"/>
              </w:rPr>
              <w:t>2 AL MILLAR P/ INSPECCIÓN Y VIGILANCIA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IMPLEMENTACION DE LA CONTRALORIA SOCIAL EN EL ESTADO DE OAXACA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34,865.00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34,865.00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A70342">
            <w:pPr>
              <w:rPr>
                <w:rFonts w:ascii="Arial" w:hAnsi="Arial" w:cs="Arial"/>
                <w:sz w:val="16"/>
                <w:szCs w:val="16"/>
                <w:lang w:val="es-MX" w:eastAsia="es-MX"/>
              </w:rPr>
            </w:pPr>
            <w:r w:rsidRPr="00E474D1">
              <w:rPr>
                <w:rFonts w:ascii="Arial" w:hAnsi="Arial" w:cs="Arial"/>
                <w:sz w:val="16"/>
                <w:szCs w:val="16"/>
                <w:lang w:val="es-MX" w:eastAsia="es-MX"/>
              </w:rPr>
              <w:t>1 AL MILLAR P/ INSPECCIÓN Y VIGILANCIA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IMPLEMENTACION DE LA CONTRALORIA SOCIAL EN EL ESTADO DE OAXACA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50,689.97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50,689.97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MUNICIPAL DE PARTICIPACIONES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PARTIDAS NO ASIGNABLES A PROGRAMAS-MUNICIPIOS-PARTICIPACIONES Y APORTACIONES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4,217,373,175.56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4,217,373,175.56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OTRAS OPERACIONES ASIGNADAS A LA DEPENDENCIA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A70342">
            <w:pPr>
              <w:rPr>
                <w:rFonts w:ascii="Arial" w:hAnsi="Arial" w:cs="Arial"/>
                <w:sz w:val="16"/>
                <w:szCs w:val="16"/>
                <w:lang w:val="es-MX" w:eastAsia="es-MX"/>
              </w:rPr>
            </w:pPr>
            <w:r w:rsidRPr="00E474D1">
              <w:rPr>
                <w:rFonts w:ascii="Arial" w:hAnsi="Arial" w:cs="Arial"/>
                <w:sz w:val="16"/>
                <w:szCs w:val="16"/>
                <w:lang w:val="es-MX" w:eastAsia="es-MX"/>
              </w:rPr>
              <w:t>FONE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EDUCACIÓN PÚBLICA DE OAXACA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3,840,417,943.09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3,840,417,943.09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NORMAL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285,329,442.68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285,329,442.68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nil"/>
              <w:right w:val="single" w:sz="4" w:space="0" w:color="auto"/>
            </w:tcBorders>
            <w:shd w:val="clear" w:color="auto" w:fill="auto"/>
            <w:noWrap/>
            <w:vAlign w:val="center"/>
            <w:hideMark/>
          </w:tcPr>
          <w:p w:rsidR="00E474D1" w:rsidRPr="00E474D1" w:rsidRDefault="00E474D1"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FASSA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 xml:space="preserve">ACTIVIDADES CENTRALES </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3,261,084,782.82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3,261,084,782.82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A70342">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REGULACIÓN Y FOMENTO SANITARIO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17,570,255.87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17,570,255.87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A70342">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PREVISIONES PUENTE PARA LOS SECTORES DESCENTRALIZADOS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2C55FF">
        <w:trPr>
          <w:trHeight w:val="450"/>
        </w:trPr>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4D1" w:rsidRPr="00E474D1" w:rsidRDefault="00E474D1" w:rsidP="00A70342">
            <w:pPr>
              <w:rPr>
                <w:rFonts w:ascii="Arial" w:hAnsi="Arial" w:cs="Arial"/>
                <w:sz w:val="16"/>
                <w:szCs w:val="16"/>
                <w:lang w:val="es-MX" w:eastAsia="es-MX"/>
              </w:rPr>
            </w:pPr>
            <w:r w:rsidRPr="00E474D1">
              <w:rPr>
                <w:rFonts w:ascii="Arial" w:hAnsi="Arial" w:cs="Arial"/>
                <w:sz w:val="16"/>
                <w:szCs w:val="16"/>
                <w:lang w:val="es-MX" w:eastAsia="es-MX"/>
              </w:rPr>
              <w:t>FASSA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 xml:space="preserve">ACTIVIDADES CENTRALES </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732,053.71</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732,053.71</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2C55FF">
        <w:trPr>
          <w:trHeight w:val="225"/>
        </w:trPr>
        <w:tc>
          <w:tcPr>
            <w:tcW w:w="24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4D1" w:rsidRPr="00E474D1" w:rsidRDefault="00E474D1"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FISE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AGRICOLA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43,935,380.59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43,935,380.59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2C55FF">
        <w:trPr>
          <w:trHeight w:val="225"/>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A70342">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FOMENTO COMERCIAL INDUSTRIAL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266,971,119.86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266,971,119.86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2C55FF">
        <w:trPr>
          <w:trHeight w:val="450"/>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A70342">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PARA LA INFRAESTRUCTURA SOCIAL ESTATAL (FISE)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2C55FF">
        <w:trPr>
          <w:trHeight w:val="450"/>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A70342">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CONVENIO ESPECIFICO DE COORDINACION CFE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59,479,074.90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59,479,074.90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2C55FF">
        <w:trPr>
          <w:trHeight w:val="675"/>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A70342">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FIDEICOMISO FONDO MIXTO DE COOPERACION TECNICA Y CIENTIFICA MÉXICO-ESPAÑA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4,300,000.00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4,300,000.00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2C55FF" w:rsidRDefault="002C55FF"/>
    <w:p w:rsidR="00E474D1" w:rsidRDefault="00E474D1"/>
    <w:tbl>
      <w:tblPr>
        <w:tblW w:w="9515" w:type="dxa"/>
        <w:tblInd w:w="53" w:type="dxa"/>
        <w:tblCellMar>
          <w:left w:w="70" w:type="dxa"/>
          <w:right w:w="70" w:type="dxa"/>
        </w:tblCellMar>
        <w:tblLook w:val="04A0"/>
      </w:tblPr>
      <w:tblGrid>
        <w:gridCol w:w="2144"/>
        <w:gridCol w:w="2835"/>
        <w:gridCol w:w="1701"/>
        <w:gridCol w:w="1701"/>
        <w:gridCol w:w="1134"/>
      </w:tblGrid>
      <w:tr w:rsidR="00A70342" w:rsidRPr="00E474D1" w:rsidTr="00A70342">
        <w:trPr>
          <w:trHeight w:val="225"/>
        </w:trPr>
        <w:tc>
          <w:tcPr>
            <w:tcW w:w="214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835"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A70342">
        <w:trPr>
          <w:trHeight w:val="225"/>
        </w:trPr>
        <w:tc>
          <w:tcPr>
            <w:tcW w:w="214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r w:rsidR="00A70342" w:rsidRPr="00E474D1" w:rsidTr="00A70342">
        <w:trPr>
          <w:trHeight w:val="225"/>
        </w:trPr>
        <w:tc>
          <w:tcPr>
            <w:tcW w:w="2144" w:type="dxa"/>
            <w:tcBorders>
              <w:top w:val="nil"/>
              <w:bottom w:val="single" w:sz="4" w:space="0" w:color="auto"/>
            </w:tcBorders>
            <w:shd w:val="clear" w:color="000000" w:fill="FFFFFF"/>
            <w:noWrap/>
            <w:vAlign w:val="center"/>
            <w:hideMark/>
          </w:tcPr>
          <w:p w:rsidR="00A70342" w:rsidRPr="00E474D1" w:rsidRDefault="00A70342" w:rsidP="00B53F64">
            <w:pPr>
              <w:rPr>
                <w:rFonts w:ascii="Arial" w:hAnsi="Arial" w:cs="Arial"/>
                <w:color w:val="000000"/>
                <w:sz w:val="16"/>
                <w:szCs w:val="16"/>
                <w:lang w:val="es-MX" w:eastAsia="es-MX"/>
              </w:rPr>
            </w:pPr>
            <w:r w:rsidRPr="00E474D1">
              <w:rPr>
                <w:rFonts w:ascii="Arial" w:hAnsi="Arial" w:cs="Arial"/>
                <w:color w:val="000000"/>
                <w:sz w:val="16"/>
                <w:szCs w:val="16"/>
                <w:lang w:val="es-MX" w:eastAsia="es-MX"/>
              </w:rPr>
              <w:t> </w:t>
            </w:r>
          </w:p>
        </w:tc>
        <w:tc>
          <w:tcPr>
            <w:tcW w:w="2835" w:type="dxa"/>
            <w:tcBorders>
              <w:top w:val="nil"/>
              <w:bottom w:val="single" w:sz="4" w:space="0" w:color="auto"/>
            </w:tcBorders>
            <w:shd w:val="clear" w:color="000000" w:fill="FFFFFF"/>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 </w:t>
            </w:r>
          </w:p>
        </w:tc>
        <w:tc>
          <w:tcPr>
            <w:tcW w:w="1701" w:type="dxa"/>
            <w:tcBorders>
              <w:top w:val="nil"/>
              <w:bottom w:val="single" w:sz="4" w:space="0" w:color="auto"/>
            </w:tcBorders>
            <w:shd w:val="clear" w:color="auto" w:fill="auto"/>
            <w:noWrap/>
            <w:vAlign w:val="center"/>
            <w:hideMark/>
          </w:tcPr>
          <w:p w:rsidR="00A70342" w:rsidRPr="00E474D1" w:rsidRDefault="00A70342" w:rsidP="00B53F64">
            <w:pPr>
              <w:jc w:val="right"/>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 </w:t>
            </w:r>
          </w:p>
        </w:tc>
        <w:tc>
          <w:tcPr>
            <w:tcW w:w="1701" w:type="dxa"/>
            <w:tcBorders>
              <w:top w:val="nil"/>
              <w:bottom w:val="single" w:sz="4" w:space="0" w:color="auto"/>
            </w:tcBorders>
            <w:shd w:val="clear" w:color="auto" w:fill="auto"/>
            <w:noWrap/>
            <w:vAlign w:val="center"/>
            <w:hideMark/>
          </w:tcPr>
          <w:p w:rsidR="00A70342" w:rsidRPr="00E474D1" w:rsidRDefault="00A70342" w:rsidP="00B53F64">
            <w:pPr>
              <w:rPr>
                <w:rFonts w:ascii="Arial" w:hAnsi="Arial" w:cs="Arial"/>
                <w:color w:val="000000"/>
                <w:sz w:val="16"/>
                <w:szCs w:val="16"/>
                <w:lang w:val="es-MX" w:eastAsia="es-MX"/>
              </w:rPr>
            </w:pPr>
            <w:r w:rsidRPr="00E474D1">
              <w:rPr>
                <w:rFonts w:ascii="Arial" w:hAnsi="Arial" w:cs="Arial"/>
                <w:color w:val="000000"/>
                <w:sz w:val="16"/>
                <w:szCs w:val="16"/>
                <w:lang w:val="es-MX" w:eastAsia="es-MX"/>
              </w:rPr>
              <w:t> </w:t>
            </w:r>
          </w:p>
        </w:tc>
        <w:tc>
          <w:tcPr>
            <w:tcW w:w="1134" w:type="dxa"/>
            <w:tcBorders>
              <w:top w:val="nil"/>
              <w:bottom w:val="single" w:sz="4" w:space="0" w:color="auto"/>
              <w:right w:val="nil"/>
            </w:tcBorders>
            <w:shd w:val="clear" w:color="auto" w:fill="auto"/>
            <w:noWrap/>
            <w:vAlign w:val="center"/>
            <w:hideMark/>
          </w:tcPr>
          <w:p w:rsidR="00A70342" w:rsidRPr="00E474D1" w:rsidRDefault="00A70342" w:rsidP="00B53F64">
            <w:pPr>
              <w:rPr>
                <w:rFonts w:ascii="Arial" w:hAnsi="Arial" w:cs="Arial"/>
                <w:color w:val="000000"/>
                <w:sz w:val="16"/>
                <w:szCs w:val="16"/>
                <w:lang w:val="es-MX" w:eastAsia="es-MX"/>
              </w:rPr>
            </w:pPr>
            <w:r w:rsidRPr="00E474D1">
              <w:rPr>
                <w:rFonts w:ascii="Arial" w:hAnsi="Arial" w:cs="Arial"/>
                <w:color w:val="000000"/>
                <w:sz w:val="16"/>
                <w:szCs w:val="16"/>
                <w:lang w:val="es-MX" w:eastAsia="es-MX"/>
              </w:rPr>
              <w:t> </w:t>
            </w:r>
          </w:p>
        </w:tc>
      </w:tr>
      <w:tr w:rsidR="002C55FF" w:rsidRPr="00E474D1" w:rsidTr="002C55FF">
        <w:trPr>
          <w:trHeight w:val="450"/>
        </w:trPr>
        <w:tc>
          <w:tcPr>
            <w:tcW w:w="2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55FF" w:rsidRPr="00E474D1" w:rsidRDefault="002C55FF" w:rsidP="00B53F64">
            <w:pPr>
              <w:rPr>
                <w:rFonts w:ascii="Arial" w:hAnsi="Arial" w:cs="Arial"/>
                <w:sz w:val="16"/>
                <w:szCs w:val="16"/>
                <w:lang w:val="es-MX" w:eastAsia="es-MX"/>
              </w:rPr>
            </w:pPr>
            <w:r w:rsidRPr="00E474D1">
              <w:rPr>
                <w:rFonts w:ascii="Arial" w:hAnsi="Arial" w:cs="Arial"/>
                <w:sz w:val="16"/>
                <w:szCs w:val="16"/>
                <w:lang w:val="es-MX" w:eastAsia="es-MX"/>
              </w:rPr>
              <w:t>FISE PRODUCTOS FINANCIEROS</w:t>
            </w:r>
          </w:p>
        </w:tc>
        <w:tc>
          <w:tcPr>
            <w:tcW w:w="2835" w:type="dxa"/>
            <w:tcBorders>
              <w:top w:val="nil"/>
              <w:left w:val="nil"/>
              <w:bottom w:val="single" w:sz="4" w:space="0" w:color="auto"/>
              <w:right w:val="single" w:sz="4" w:space="0" w:color="auto"/>
            </w:tcBorders>
            <w:shd w:val="clear" w:color="auto" w:fill="auto"/>
            <w:vAlign w:val="center"/>
            <w:hideMark/>
          </w:tcPr>
          <w:p w:rsidR="002C55FF" w:rsidRPr="00E474D1" w:rsidRDefault="002C55FF" w:rsidP="00B53F64">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DE INFRAESTRUCTURA SOCIAL BÁSICA Y PRODUCTIVA</w:t>
            </w:r>
          </w:p>
        </w:tc>
        <w:tc>
          <w:tcPr>
            <w:tcW w:w="1701" w:type="dxa"/>
            <w:tcBorders>
              <w:top w:val="nil"/>
              <w:left w:val="nil"/>
              <w:bottom w:val="single" w:sz="4" w:space="0" w:color="auto"/>
              <w:right w:val="single" w:sz="4" w:space="0" w:color="auto"/>
            </w:tcBorders>
            <w:shd w:val="clear" w:color="auto" w:fill="auto"/>
            <w:noWrap/>
            <w:vAlign w:val="center"/>
            <w:hideMark/>
          </w:tcPr>
          <w:p w:rsidR="002C55FF" w:rsidRPr="00E474D1" w:rsidRDefault="002C55FF" w:rsidP="00B53F64">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6,063,157.06</w:t>
            </w:r>
          </w:p>
        </w:tc>
        <w:tc>
          <w:tcPr>
            <w:tcW w:w="1701" w:type="dxa"/>
            <w:tcBorders>
              <w:top w:val="nil"/>
              <w:left w:val="nil"/>
              <w:bottom w:val="single" w:sz="4" w:space="0" w:color="auto"/>
              <w:right w:val="single" w:sz="4" w:space="0" w:color="auto"/>
            </w:tcBorders>
            <w:shd w:val="clear" w:color="auto" w:fill="auto"/>
            <w:noWrap/>
            <w:vAlign w:val="center"/>
            <w:hideMark/>
          </w:tcPr>
          <w:p w:rsidR="002C55FF" w:rsidRPr="00E474D1" w:rsidRDefault="002C55FF" w:rsidP="00B53F64">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6,063,157.06</w:t>
            </w:r>
          </w:p>
        </w:tc>
        <w:tc>
          <w:tcPr>
            <w:tcW w:w="1134" w:type="dxa"/>
            <w:tcBorders>
              <w:top w:val="nil"/>
              <w:left w:val="nil"/>
              <w:bottom w:val="single" w:sz="4" w:space="0" w:color="auto"/>
              <w:right w:val="single" w:sz="4" w:space="0" w:color="auto"/>
            </w:tcBorders>
            <w:shd w:val="clear" w:color="auto" w:fill="auto"/>
            <w:noWrap/>
            <w:vAlign w:val="center"/>
            <w:hideMark/>
          </w:tcPr>
          <w:p w:rsidR="002C55FF" w:rsidRPr="00E474D1" w:rsidRDefault="002C55FF" w:rsidP="00B53F64">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144" w:type="dxa"/>
            <w:tcBorders>
              <w:top w:val="nil"/>
              <w:left w:val="single" w:sz="4" w:space="0" w:color="auto"/>
              <w:bottom w:val="single" w:sz="4" w:space="0" w:color="auto"/>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FISM CAPITAL</w:t>
            </w: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PARTIDAS NO ASIGNABLES A PROGRAMAS-MUNICIPIOS-PARTICIPACIONES Y APORTACIONES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6,957,216,619.00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6,957,216,619.00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144"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FAM ASISTENCIA SOCIAL CAPITAL</w:t>
            </w: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APORTACIONES MULTIPLES DE ASISTENCIA SOCIAL (FAAS)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144"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PARTICIPACION COMUNITARIA PARA EL DESARROLLO HUMANO CON ASISTENCIA ALIMENTARIA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537,834,878.00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537,834,878.00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144"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FAM ASISTENCIA SOCIAL PRODUCTOS FINANCIEROS</w:t>
            </w: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PROGRAMAM DE PARTICIPACION COMUNITARIA PARA EL DESARROLLO HUMANO CON ASISTENCIA ALIMENTARIA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2,945,995.81</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2,945,995.81</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14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sz w:val="16"/>
                <w:szCs w:val="16"/>
                <w:lang w:val="es-MX" w:eastAsia="es-MX"/>
              </w:rPr>
            </w:pPr>
            <w:r w:rsidRPr="00E474D1">
              <w:rPr>
                <w:rFonts w:ascii="Arial" w:hAnsi="Arial" w:cs="Arial"/>
                <w:sz w:val="16"/>
                <w:szCs w:val="16"/>
                <w:lang w:val="es-MX" w:eastAsia="es-MX"/>
              </w:rPr>
              <w:t>FAM  EDUCATIVA BASICA CAPITAL</w:t>
            </w: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BÁSICA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10,620,154,310.65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10,620,154,310.65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144"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FAM PARA INFRAESTRUCTURA EDUCATIVA BASICA (FAIEB)</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144"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144"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sz w:val="16"/>
                <w:szCs w:val="16"/>
                <w:lang w:val="es-MX" w:eastAsia="es-MX"/>
              </w:rPr>
            </w:pPr>
            <w:r w:rsidRPr="00E474D1">
              <w:rPr>
                <w:rFonts w:ascii="Arial" w:hAnsi="Arial" w:cs="Arial"/>
                <w:sz w:val="16"/>
                <w:szCs w:val="16"/>
                <w:lang w:val="es-MX" w:eastAsia="es-MX"/>
              </w:rPr>
              <w:t>FAM EDUCATIVA BASICA PRODUCTOS FINANCIEROS</w:t>
            </w: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MUNICIPIOS INVERSION CONCERTADA-PLANEACIÓN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2,002,067.52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2,002,067.52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14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FAM EDUCATIVA SUPERIOR CAPITAL</w:t>
            </w: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FORMACION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3,191,337.04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3,191,337.04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144"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FORMACION PROFESIONAL Y POSTGRADO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13,274,741.00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13,274,741.00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144"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DE NIVEL SUPERIOR CON PROGRAMAS EDUCATIVOS DE CALIDAD</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12,310,220.52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12,310,220.52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144"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APORTACIONES DE INFRAESTRUCTURA PARA LA EDUCACIÓN SUPERIOR, (FAIES)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144"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FAM EDUCATIVA SUPERIOR (MEDIA SUPERIOR)</w:t>
            </w: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EDUCACION DEL NIVEL MEDIO SUPERIOR CON PROGRAMAS EDUCATIVOS DE CALIDAD</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2,342,264.53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2,342,264.53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144"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APORTACIONES MULTIPLES-INFRAESTRUCTURA EDUCATIVA MEDIA SUPERIOR (FAIEMS)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144"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144"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FAM EDUCATIVA SUPERIOR PRODUCTOS FINANCIEROS</w:t>
            </w: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CONSTRUCCIÓN, REPARACIÓN Y/O EQUIPAMIENTO DE ESPACIOS EDUCATIVOS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1,547,714.84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1,547,714.84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144"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835"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A70342" w:rsidRPr="00E474D1" w:rsidTr="00A70342">
        <w:trPr>
          <w:trHeight w:val="450"/>
        </w:trPr>
        <w:tc>
          <w:tcPr>
            <w:tcW w:w="2144" w:type="dxa"/>
            <w:tcBorders>
              <w:top w:val="nil"/>
              <w:left w:val="single" w:sz="4" w:space="0" w:color="auto"/>
              <w:bottom w:val="single" w:sz="4" w:space="0" w:color="000000"/>
              <w:right w:val="single" w:sz="4" w:space="0" w:color="auto"/>
            </w:tcBorders>
            <w:shd w:val="clear" w:color="auto" w:fill="auto"/>
            <w:vAlign w:val="center"/>
            <w:hideMark/>
          </w:tcPr>
          <w:p w:rsidR="00A70342" w:rsidRPr="00E474D1" w:rsidRDefault="00A70342" w:rsidP="00B53F64">
            <w:pPr>
              <w:rPr>
                <w:rFonts w:ascii="Arial" w:hAnsi="Arial" w:cs="Arial"/>
                <w:color w:val="000000"/>
                <w:sz w:val="16"/>
                <w:szCs w:val="16"/>
                <w:lang w:val="es-MX" w:eastAsia="es-MX"/>
              </w:rPr>
            </w:pPr>
            <w:r w:rsidRPr="00E474D1">
              <w:rPr>
                <w:rFonts w:ascii="Arial" w:hAnsi="Arial" w:cs="Arial"/>
                <w:color w:val="000000"/>
                <w:sz w:val="16"/>
                <w:szCs w:val="16"/>
                <w:lang w:val="es-MX" w:eastAsia="es-MX"/>
              </w:rPr>
              <w:t>FAETA CAPITAL</w:t>
            </w:r>
          </w:p>
        </w:tc>
        <w:tc>
          <w:tcPr>
            <w:tcW w:w="2835" w:type="dxa"/>
            <w:tcBorders>
              <w:top w:val="nil"/>
              <w:left w:val="nil"/>
              <w:bottom w:val="single" w:sz="4" w:space="0" w:color="auto"/>
              <w:right w:val="single" w:sz="4" w:space="0" w:color="auto"/>
            </w:tcBorders>
            <w:shd w:val="clear" w:color="auto" w:fill="auto"/>
            <w:vAlign w:val="center"/>
            <w:hideMark/>
          </w:tcPr>
          <w:p w:rsidR="00A70342" w:rsidRPr="00E474D1" w:rsidRDefault="00A70342" w:rsidP="00B53F64">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PARA JOVENES Y ADULTOS</w:t>
            </w:r>
          </w:p>
        </w:tc>
        <w:tc>
          <w:tcPr>
            <w:tcW w:w="1701" w:type="dxa"/>
            <w:tcBorders>
              <w:top w:val="nil"/>
              <w:left w:val="nil"/>
              <w:bottom w:val="single" w:sz="4" w:space="0" w:color="auto"/>
              <w:right w:val="single" w:sz="4" w:space="0" w:color="auto"/>
            </w:tcBorders>
            <w:shd w:val="clear" w:color="auto" w:fill="auto"/>
            <w:noWrap/>
            <w:vAlign w:val="center"/>
            <w:hideMark/>
          </w:tcPr>
          <w:p w:rsidR="00A70342" w:rsidRPr="00E474D1" w:rsidRDefault="00A70342"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125,415,763.55</w:t>
            </w:r>
          </w:p>
        </w:tc>
        <w:tc>
          <w:tcPr>
            <w:tcW w:w="1701" w:type="dxa"/>
            <w:tcBorders>
              <w:top w:val="nil"/>
              <w:left w:val="nil"/>
              <w:bottom w:val="single" w:sz="4" w:space="0" w:color="auto"/>
              <w:right w:val="single" w:sz="4" w:space="0" w:color="auto"/>
            </w:tcBorders>
            <w:shd w:val="clear" w:color="auto" w:fill="auto"/>
            <w:noWrap/>
            <w:vAlign w:val="center"/>
            <w:hideMark/>
          </w:tcPr>
          <w:p w:rsidR="00A70342" w:rsidRPr="00E474D1" w:rsidRDefault="00A70342" w:rsidP="00B53F64">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125,415,763.55</w:t>
            </w:r>
          </w:p>
        </w:tc>
        <w:tc>
          <w:tcPr>
            <w:tcW w:w="1134" w:type="dxa"/>
            <w:tcBorders>
              <w:top w:val="nil"/>
              <w:left w:val="nil"/>
              <w:bottom w:val="single" w:sz="4" w:space="0" w:color="auto"/>
              <w:right w:val="single" w:sz="4" w:space="0" w:color="auto"/>
            </w:tcBorders>
            <w:shd w:val="clear" w:color="auto" w:fill="auto"/>
            <w:noWrap/>
            <w:vAlign w:val="center"/>
            <w:hideMark/>
          </w:tcPr>
          <w:p w:rsidR="00A70342" w:rsidRPr="00E474D1" w:rsidRDefault="00A70342" w:rsidP="00B53F64">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rsidP="00A70342">
      <w:pPr>
        <w:jc w:val="center"/>
      </w:pPr>
    </w:p>
    <w:p w:rsidR="00A70342" w:rsidRDefault="00A70342" w:rsidP="00A70342">
      <w:pPr>
        <w:jc w:val="center"/>
      </w:pPr>
    </w:p>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450"/>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FAETA PRODUCTOS FINANCIEROS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PARA JOVENES Y ADULTOS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19,524.77</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19,524.77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A70342">
            <w:pPr>
              <w:rPr>
                <w:rFonts w:ascii="Arial" w:hAnsi="Arial" w:cs="Arial"/>
                <w:sz w:val="16"/>
                <w:szCs w:val="16"/>
                <w:lang w:val="es-MX" w:eastAsia="es-MX"/>
              </w:rPr>
            </w:pPr>
            <w:r w:rsidRPr="00E474D1">
              <w:rPr>
                <w:rFonts w:ascii="Arial" w:hAnsi="Arial" w:cs="Arial"/>
                <w:sz w:val="16"/>
                <w:szCs w:val="16"/>
                <w:lang w:val="es-MX" w:eastAsia="es-MX"/>
              </w:rPr>
              <w:t>FASP CAPITAL</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RESOLUCIÓN DE RECURSOS EN SEGUNDA INSTANCIA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34,536,222.57</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34,536,222.57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REHABILITACIÓN Y REINSERCIÓN SOCIAL (S.P.R.S)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7,890,375.86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7,890,375.86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GESTIÓN DE INFORMACIÓN INTERINSTITUCIONAL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4,103,554.20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4,103,554.20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SERVICIOS DE PROFESIONALIZACIÓN POLICIAL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1,024,834.86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1,024,834.86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PREVISIÓN DEL DELITO POR VIDEO VIGILANCIA C-4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19,019,082.08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19,019,082.08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APORTACIONES PARA LA SEGURIDAD PUBLICA (FASP)</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nil"/>
              <w:right w:val="single" w:sz="4" w:space="0" w:color="auto"/>
            </w:tcBorders>
            <w:shd w:val="clear" w:color="auto" w:fill="auto"/>
            <w:vAlign w:val="center"/>
            <w:hideMark/>
          </w:tcPr>
          <w:p w:rsidR="00E474D1" w:rsidRPr="00E474D1" w:rsidRDefault="00E474D1" w:rsidP="00A70342">
            <w:pPr>
              <w:rPr>
                <w:rFonts w:ascii="Arial" w:hAnsi="Arial" w:cs="Arial"/>
                <w:sz w:val="16"/>
                <w:szCs w:val="16"/>
                <w:lang w:val="es-MX" w:eastAsia="es-MX"/>
              </w:rPr>
            </w:pPr>
            <w:r w:rsidRPr="00E474D1">
              <w:rPr>
                <w:rFonts w:ascii="Arial" w:hAnsi="Arial" w:cs="Arial"/>
                <w:sz w:val="16"/>
                <w:szCs w:val="16"/>
                <w:lang w:val="es-MX" w:eastAsia="es-MX"/>
              </w:rPr>
              <w:t>FASP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PROCURACIÓN DE JUSTICIA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5,263,889.28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5,263,889.28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REHABILITACIÓN Y REINSERCIÓN SOCIAL (S.P.R.S)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1,082,336.25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1,082,336.25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GESTIÓN DE INFORMACIÓN INTERINSTITUCIONAL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3,611,819.12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3,611,819.12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A70342">
            <w:pPr>
              <w:rPr>
                <w:rFonts w:ascii="Arial" w:hAnsi="Arial" w:cs="Arial"/>
                <w:sz w:val="16"/>
                <w:szCs w:val="16"/>
                <w:lang w:val="es-MX" w:eastAsia="es-MX"/>
              </w:rPr>
            </w:pPr>
            <w:r w:rsidRPr="00E474D1">
              <w:rPr>
                <w:rFonts w:ascii="Arial" w:hAnsi="Arial" w:cs="Arial"/>
                <w:sz w:val="16"/>
                <w:szCs w:val="16"/>
                <w:lang w:val="es-MX" w:eastAsia="es-MX"/>
              </w:rPr>
              <w:t>FAIS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PREVISIÓN DEL DELITO POR VIDEO VIGILANCIA C-4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62,810.09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62,810.09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A70342">
            <w:pPr>
              <w:rPr>
                <w:rFonts w:ascii="Arial" w:hAnsi="Arial" w:cs="Arial"/>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A70342">
            <w:pPr>
              <w:rPr>
                <w:rFonts w:ascii="Arial" w:hAnsi="Arial" w:cs="Arial"/>
                <w:color w:val="000000"/>
                <w:sz w:val="16"/>
                <w:szCs w:val="16"/>
                <w:lang w:val="es-MX" w:eastAsia="es-MX"/>
              </w:rPr>
            </w:pPr>
            <w:r w:rsidRPr="00E474D1">
              <w:rPr>
                <w:rFonts w:ascii="Arial" w:hAnsi="Arial" w:cs="Arial"/>
                <w:color w:val="000000"/>
                <w:sz w:val="16"/>
                <w:szCs w:val="16"/>
                <w:lang w:val="es-MX" w:eastAsia="es-MX"/>
              </w:rPr>
              <w:t>FAFEF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GOBERNABILIDAD Y EL ESTADO DE DERECHO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60,288,524.90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60,288,524.90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GOBIERNO Y DESARROLLO POLITICO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934,681,928.47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934,681,928.47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IMPLEMENTACION DEL SISTEMA DE JUSTICIA PENAL ACUSATORIO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24,605,699.08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24,605,699.08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FORTALECIMIENTO Y CAPACITACION MUNICIPAL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13,187,404.45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13,187,404.45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PRESENTACIÓN JURIDICA Y RELIGIOSA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3,085,717.46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3,085,717.46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CONCILIACIÓN DE CONFLICTOS AGRARIOS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947,502.70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947,502.70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VERIFICACIÓN DE LIMITES DEL ESTADO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1,914,510.97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1,914,510.97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REGISTRO CIVIL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16,610,593.90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16,610,593.90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CERTEZA JURIDICA A LOS ACTOS DE LA PROPIEDAD Y DEL COMERCIO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3,187,943.30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3,187,943.30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675"/>
        </w:trPr>
        <w:tc>
          <w:tcPr>
            <w:tcW w:w="2427" w:type="dxa"/>
            <w:vMerge w:val="restart"/>
            <w:tcBorders>
              <w:top w:val="single" w:sz="4" w:space="0" w:color="auto"/>
              <w:left w:val="single" w:sz="4" w:space="0" w:color="auto"/>
              <w:bottom w:val="single" w:sz="4" w:space="0" w:color="auto"/>
              <w:right w:val="single" w:sz="4" w:space="0" w:color="auto"/>
            </w:tcBorders>
            <w:vAlign w:val="center"/>
            <w:hideMark/>
          </w:tcPr>
          <w:p w:rsidR="00E474D1" w:rsidRPr="00E474D1" w:rsidRDefault="00A70342"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FAFEF CAPITAL</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APORTACIONES PARA EL FORTALECIMIENTO DE LAS ENTIDADES FEDERATIVAS (FAFEF)</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PREVESIONES PUENTES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DEUDA PUBLICA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638,737,703.46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638,737,703.46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FAFEF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CONSTRUCCION, REPARACIÓN Y/O EQUIPAMIENTO DE ESPACIOS EDUCATIVOS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9,585,048.96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9,585,048.96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CARRETERAS ALIMENTADORAS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CONSTRUCCION DE VIVIENDA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REGISTRO CIVIL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REGISTRO CIVIL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PADRON UNICO DE BENEFICIARIOS DEL ESTADO DE OAXACA (RED OAXACA DE TODOS)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924,885.24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924,885.24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REGISTRO CIVIL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730,366.90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730,366.90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JUSTICIA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IMPLEMENTACION DEL SISTEMA DE JUSTICIA PENAL ACUSATORIO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34,750,526.95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34,750,526.95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IMP. DE LA REF. DEL SIST. DE JUSTICIA PENAL EN FAVOR DE LAS ENTIDADES FEDERATIVAS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PREVENCIÓN AL DELITO</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SECRETARIO EJECUTIVO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4,584,065.42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4,584,065.42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PREVENCION DEL DELITO POR SISTEMA DE VIGILANCIA C-4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NACIONAL DE PREVENCION DEL DELITO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INSTITUTO NACIONAL DE MUJERES (INMUJERES)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DERECHOS DE LOS PUEBLOS INDÍGENAS Y AFROMEXICANO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9,749,996.26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9,749,996.26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FORTALECIMIENTO DE LA TRANSVERSALIDAD DE LA PERSPECTIVA DE GENERO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INFRAESTRUCTURA BÁSICA PARA LA ATENCIÓN DE LOS PUEBLOS INDIGENAS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MUNICIPIOS INVERSION CONCERTADA-PLANEACIÓN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511,824,684.40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511,824,684.40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INFRAESTRUCTURA INDÍGENA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p w:rsidR="00A70342" w:rsidRDefault="00A70342"/>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675"/>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PROMOCION Y FOMENTO DE LAS POLITICAS PÚBLICAS IGUALITARIAS PARA MUJERES Y HOMBRES.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7,116,895.00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7,116,895.00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SEGURO AGRICOLA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AGROPECUARIO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CONVENIO DE COORDINACION PARA EL DESARROLLO RURAL SUSTENTABLE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119,069,485.28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119,069,485.28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INVESTIGACION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CONVENIO DE COORDINACION PARA EL DESARROLLO RURAL SUSTENTABLE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14,606,176.35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14,606,176.35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CAMINOS Y PUENTES FEDERALES (CAPUFE)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CARRETERAS ALIMENTADORAS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2,607,319.70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2,607,319.70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OBLIGACIONES DE PAGO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7,521,277.64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7,521,277.64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900"/>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COMPETITIVIDAD EN LOGISTICA Y CENTRALES DE ABASTO (PROLOGYCA)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MUNICIPIOS INVERSION CONCERTADA-PLANEACIÓN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LA PEQUEÑA Y MEDIANA EMPRESA FPYME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EMPRESARIAL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3,757,336.21</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3,757,336.21</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MICRO, PEQUEÑA Y MEDIANA EMPRESA (MIPYMES)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FORMACION SUPERIOR TECNOLOGICA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823,491.44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823,491.44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EMPRESARIAL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64,569,337.79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64,569,337.79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APOYO A LA EDUCACIÓN</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EDUCACION PUBLICA DE OAXACA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203,000,000.00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203,000,000.00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CONSTRUCCIÓN, REPARACIÓN Y/O EQUIPAMIENTO DE ESPACIOS EDUCATIVOS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35,449,545.19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35,449,545.19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INSTITUTO ESTATAL DE EDUCACIÓN PARA ADULTOS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PARA JOVENES Y ADULTOS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129,572,892.30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129,572,892.30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INFRAESTRUCTURA EDUCATIVA</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 xml:space="preserve">EVALUACION Y SUPERVISION DE LA INFRAESTRUCTURA FISICA EDUCATIVA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1,344,000.00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1,344,000.00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p w:rsidR="00A70342" w:rsidRDefault="00A70342"/>
    <w:p w:rsidR="00A70342" w:rsidRDefault="00A70342"/>
    <w:p w:rsidR="00A70342" w:rsidRDefault="00A70342"/>
    <w:p w:rsidR="00A70342" w:rsidRDefault="00A70342"/>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lastRenderedPageBreak/>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67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INFRAESTRUCTURA EDUCATIVA</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CONSTRUCCIÓN, REPARACIÓN Y/O EQUIPAMIENTO DE ESPACIOS EDUCATIVOS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34,077,014.30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34,077,014.30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CONVENIO PESO A PESO PARA LA EDUCACION MEDIA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FORTALECIMIENTO A LA EDUCACION</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BÁSICA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1,000,000.00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1,000,000.00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FORTALECIMIENTO DE LA CALIDAD EN EDUCACIÓN BÁSICA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16,195,318.00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16,195,318.00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OFERTA EDUCATIVA Y APOYO</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CONSTRUCCIÓN, REPARACIÓN Y/O EQUIPAMIENTO DE ESPACIOS EDUCATIVOS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2,767,186.95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2,767,186.95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PARA AMPLIAR Y DIVERSIFICAR LA OFERTA EDUCATIVA EN EDUCACION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SUPERIOR</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10,561,438.95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10,561,438.95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CONSTRUCCIÓN, REPARACIÓN Y/O EQUIPAMIENTO DE ESPACIOS EDUCATIVOS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EDUCACIÓN MEDIA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13,776,652.06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13,776,652.06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 xml:space="preserve">EVALUACION Y SUPERVISION DE LA INFRAESTRUCTURA FISICA EDUCATIVA </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1,383,500.26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1,383,500.26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EVALUACION Y SUPERVISION DE LA INFRAESTRUCTURA FISICA EDUCATIVA ESCUELAS DE EXCELENCIA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662,445.36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662,445.36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DIRECCION DE EDUCACIÓN MEDIA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25,720,565.98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25,720,565.98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ESCUELAS DE TIEMPO COMPLETO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254,476,936.67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254,476,936.67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PARA LA INCLUSIÓN Y EQUIDAD EDUCATIVA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29,286,018.07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29,286,018.07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NACIONAL DE BECAS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4,645,496.96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4,645,496.96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PARA EL DESARROLLO PROFESIONAL DOCENTE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8,126,151.00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8,126,151.00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lastRenderedPageBreak/>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450"/>
        </w:trPr>
        <w:tc>
          <w:tcPr>
            <w:tcW w:w="2427" w:type="dxa"/>
            <w:vMerge w:val="restart"/>
            <w:tcBorders>
              <w:top w:val="single" w:sz="4" w:space="0" w:color="auto"/>
              <w:left w:val="single" w:sz="4" w:space="0" w:color="auto"/>
              <w:bottom w:val="single" w:sz="4" w:space="0" w:color="auto"/>
              <w:right w:val="single" w:sz="4" w:space="0" w:color="auto"/>
            </w:tcBorders>
            <w:vAlign w:val="center"/>
            <w:hideMark/>
          </w:tcPr>
          <w:p w:rsidR="00E474D1" w:rsidRPr="00E474D1" w:rsidRDefault="00A70342"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LA REFORMA EDUCATIVA 2015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13,782,475.00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13,782,475.00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FORMACIÓN PROFESIONAL Y POSGRADO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91,957.76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91,957.76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single" w:sz="4" w:space="0" w:color="auto"/>
              <w:left w:val="single" w:sz="4" w:space="0" w:color="auto"/>
              <w:bottom w:val="nil"/>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COMISION NACIONAL DE CULTURA FISICA Y DEPORTE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DE INFRAESTRUCTURA SOCIAL BÁSICA Y PRODUCTIVA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24,098,238.66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24,098,238.66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COMISION NACIONAL DE CULTURA FISICA Y DEPORTE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PODER JOVEN</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PROMOSIÓN Y FOMENTO A LA JUVENTUD</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1,842,200.00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1,842,200.00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CENTRO DE LAS ARTES DE SAN AGUSTIN</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FORTALECIMIENTO DE LA EDUCACIÓN ARTISTICA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4,004,275.27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4,004,275.27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DIFUSIÓN Y FOMENTO DE LA CULTURA Y LAS ARTES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1,995,746.90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1,995,746.90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DE PROYECTOS ARTISTICOS Y MULTIMEDIA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145,237.80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145,237.80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CULTURAL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PROMOCIÓN Y DIFUSIÓN DE LA DIVERSIDAD CULTURAL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FESTIVIDADES, EVENTOS Y PROYECTOS CULTURALES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TURISTICO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16,146,988.36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16,146,988.36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PROMOCIÓN Y DIFUSIÓN DE LA DIVERSIDAD CULTURAL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4,691,327.97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4,691,327.97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FORTALECIMIENTO A LA FORMACION Y CAPACITACION ARTISTICA Y CULTURAL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6,590,858.62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6,590,858.62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FOMENTO DEL DESARROLLO CULTURAL SUSTENTABLE DEL ESTADO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17,180,418.21</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17,180,418.21</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CULTURA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PREVISIONES PUENTES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REINTEGRO A LA TESOFE DE RECURSOS FEDERALES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FDO. DE APOYO A COMUNIDADES PARA LA RESTAURACIÓN DE MONUMENTOS Y BIENES ATRIS DE PROPIEDAD FEDERAL (FORE)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RESTAURACIÓN Y CONSERVACIÓN DEL PATRIMONIO CULTURAL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3,219,735.92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3,219,735.92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vMerge/>
            <w:tcBorders>
              <w:top w:val="nil"/>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APOYO A LAS CULTURAS MUNICIPALES Y COMUNITARIAS (PACMYC)</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PROMOCIÓN Y DIFUSIÓN DE LA DIVERSIDAD CULTURAL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3,536,848.00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3,536,848.00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1125"/>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PARA EL DESARROLLO INTEGRAL DE LAS CULTURAS DE LOS PUEBLOS Y COMUNIDADES INDIGENAS (PRODICI)</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SALVAGUARDA Y FORTALECIMIENTO DEL PATRIMONIO CULTURAL MATERIAL E INMATERIAL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431,917.97</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431,917.97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 (CONACULTA)</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TURISTICO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19,553,001.14</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19,553,001.14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PROMOSION Y DIFUSIÓN DE LA DIVERSIDAD CULTURAL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10,909,617.97</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10,909,617.97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FORTALECIMIENTO A LA FORMACION Y CAPACITACION ARTISTICA Y CULTURAL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FOMENTO DEL DESARROLLO CULTURAL SUSTENTABLE DEL ESTADO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2,637,292.11</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2,637,292.11</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CULTURA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CARAVANAS DE SALUD</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ATENCIÓN MÉDICA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19,605,619.77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19,605,619.77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900"/>
        </w:trPr>
        <w:tc>
          <w:tcPr>
            <w:tcW w:w="2427" w:type="dxa"/>
            <w:tcBorders>
              <w:top w:val="single" w:sz="4" w:space="0" w:color="auto"/>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COMISION FEDERAL PARA LA PROTECCION CONTRA RIESGOS SANITARIOS (COFEPRIS)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REGULACIÓN Y FOMENTO SANITARIO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single" w:sz="4" w:space="0" w:color="auto"/>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COMUNIDADES SALUDABLES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SALUD PUBLICA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PROTECCION CONTRA GASTOS CATASTROFICOS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SEGURO POPULAR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26,784,414.67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26,784,414.67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ATENCIÓN MEDICA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9,116,824.00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9,116,824.00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PROTECCIÓN CONTRA GASTOS CATASTROFICOS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SEGURO POPULAR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ATENCIÓN MEDICA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PROSPERA / OPORTUNIDADES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PROSPERA PROGRAMA DE INCLUSION SOCIAL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99,868,638.43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99,868,638.43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OPORTUNIDADES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PROSPERA PROGRAMA DE INCLUSION SOCIAL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38,009.07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38,009.07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tcBorders>
              <w:top w:val="single" w:sz="4" w:space="0" w:color="auto"/>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FORTALECIMIENTO DE LA OFERTA DE LOS SERVICIOS DE SALUD (FOROSS)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SALUD PUBLICA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single" w:sz="4" w:space="0" w:color="auto"/>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SEGURO MEDICO PARA UNA NUEVA GENERACIÓN</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SEGURO POPULAR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18,887,662.15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18,887,662.15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SEGURO MEDICO PARA UNA NUEVA GENERACIÓN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SEGURO POPULAR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ATENCIÓN MÉDICA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p w:rsidR="00A70342" w:rsidRDefault="00A70342"/>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450"/>
        </w:trPr>
        <w:tc>
          <w:tcPr>
            <w:tcW w:w="24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SEGURO POPULAR</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ATENCIÓN EN SALUD</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458,656.32</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458,656.32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SEGURO POPULAR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2,000,598,076.35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2,000,598,076.35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SEGURO POPULAR PRODUCTOS FINANCIEROS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SEGURO POPULAR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280,772.08</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280,772.08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 xml:space="preserve">INFRAESTRUCTURA </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SALUD PUBLICA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10,499,201.05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10,499,201.05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ATENCIÓN MÉDICA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526,877.08</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526,877.08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nil"/>
              <w:left w:val="single" w:sz="4" w:space="0" w:color="auto"/>
              <w:bottom w:val="nil"/>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SALUD</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SALUD PUBLICA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single" w:sz="4" w:space="0" w:color="auto"/>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 (SALUD)</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SEGURO POPULAR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6,307,595.35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6,307,595.35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ATENCIÓN INTEGRAL DE PERSONAS CON DISCAPACIDAD</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830,143.43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830,143.43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ATENCIÓN MÉDICA INTEGRAL A LAS PERSONAS QUE VIVEN CON VIH/DIDA E ITS.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3,084,334.28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3,084,334.28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APOYO PARA FORTALECER LOS SERVICIOS DE SALUD</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PARTICIPACION COMUNITARIA PARA EL DESARROLLO HUMANO CON ASISTENCIA ALIMENTARIA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14,256,250.00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14,256,250.00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SALUD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SEGURO POPULAR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900"/>
        </w:trPr>
        <w:tc>
          <w:tcPr>
            <w:tcW w:w="2427" w:type="dxa"/>
            <w:tcBorders>
              <w:top w:val="single" w:sz="4" w:space="0" w:color="auto"/>
              <w:left w:val="single" w:sz="4" w:space="0" w:color="auto"/>
              <w:bottom w:val="nil"/>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PROYECTOS PEF</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PREVENCION Y CONTROL DE LA CONTAMINACION DEL SUELO Y AIRE PROVOCADO POR LAS ACTIVIDADES ECONOMICAS Y SOC.</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445,753.20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445,753.20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single" w:sz="4" w:space="0" w:color="auto"/>
              <w:left w:val="single" w:sz="4" w:space="0" w:color="auto"/>
              <w:bottom w:val="nil"/>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ZONA MARITIMA TERRESTRE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OBLIGACIONES DE PAGO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928,066.43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928,066.43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 xml:space="preserve">OTROS NO INCLUIDOS EN LAS CLASIFICACIONES ANTERIORES </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DE INFRAESTRUCTURA SOCIAL BÁSICA Y PRODUCTIVA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50,224,639.02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50,224,639.02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90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PREVENCIÓN Y CONTROL DE LA CONTAMINACIÓN DEL SUELO Y AIRE PROVOCADO POR LAS ACT. ECONÓMICAS Y SOC.</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3,056,464.18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3,056,464.18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lastRenderedPageBreak/>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225"/>
        </w:trPr>
        <w:tc>
          <w:tcPr>
            <w:tcW w:w="24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RESTAURACIÓN FORESTAL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3,364,366.16</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3,364,366.16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PROTECCIÓN Y VIGILACIA FORESTAL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3,707,341.00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3,707,341.00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COMISIÓN NACIONAL DEL AGUA POTABLE</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450"/>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SECRETARIA DEL MEDIO AMBIENTE Y RECURSOS NATURALES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tcBorders>
              <w:top w:val="single" w:sz="4" w:space="0" w:color="auto"/>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AGUA LIMPIA</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ADMINISTRACIÓN DEL SERVICIO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3,198,086.36</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3,198,086.36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AGUA POTABLE Y ALCANTARILLADO Y SANEAMIENTO EN ZONAS URBANAS (APASZU)</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AGUA POTABLE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7,917,588.18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7,917,588.18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ALCANTARILLADO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8,403,559.87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8,403,559.87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TRATAMIENTO DE AGUAS RESIDUALES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ADMINISTRACIÓN DEL SERVICIO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3,436,805.40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3,436,805.40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AGUA POTABLE, ALCANTARILLADO Y SANEAMIENTO EN ZONAS RURALES (APASZR)</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AGUA POTABLE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34,445,425.74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34,445,425.74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ALCANTARILLADO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29,782,062.54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29,782,062.54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TRATAMIENTO DE AGUAS RESIDUALES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1,743,684.62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1,743,684.62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ADMINISTRACIÓN DEL SERVICIO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7,230,747.62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7,230,747.62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RESCATE Y REGENERACION DE RIOS Y ARROYOS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707,813.06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707,813.06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CUENCAS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ADMINISTRACIÓN DEL SERVICIO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600,000.00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600,000.00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CULTURA DEL AGUA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SISTEMAS DE AGUA POTABLE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TRATAMIENTO DE AGUAS RESIDUALES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TRATAMIENTO DE AGUAS RESIDUALES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20,733,983.23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20,733,983.23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ADMINISTRACIÓN DEL SERVICIO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133,551.16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133,551.16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RESCATE Y REGENERACION DE RIOS Y ARROYOS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76,276.40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76,276.40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ORDENAMIENTO DE LAS AGUAS RESIDUALES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COMITES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ADMINISTRACIÓN DEL SERVICIO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2,220,000.00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2,220,000.00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450"/>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SUSTENTABILIDAD HIDRAHULICA</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AGUA POTABLE</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 (CNA)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AGUA POTABLE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5,786,578.67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5,786,578.67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nil"/>
              <w:left w:val="single" w:sz="4" w:space="0" w:color="auto"/>
              <w:bottom w:val="single" w:sz="4" w:space="0" w:color="auto"/>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ESTA ES TU CASA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CONSTRUCCIÓN DE VIVIENDA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900"/>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APOYO A LAS INSTANCIAS DE MUJERES EN LAS ENTIDADES FEDERATIVAS (PAIMEF)</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APOYO A INSTANCIAS DE MUJERES Y HOMBRES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13,700,518.24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13,700,518.24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900"/>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APOYO A LAS INSTANCIAS DE MUJERES EN LAS ENTIDADES FEDERATIVAS (PAIMEF)</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APOYO A INSTANCIAS DE MUJERES.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 xml:space="preserve">OTROS NO INCLUIDOS EN LAS CLASIFICACIONES ANTERIORES </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SALUD PUBLICA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CONSTRUCCIÓN DE VIVIENDA DERIVADO DE DESASTRES NATURALES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CRUZADA NACIONAL CONTRA LE HAMBRE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8,004,291.84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8,004,291.84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TURISMO</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TURISTICO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29,469,945.07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29,469,945.07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OTRAS NO INCLUIDAS EN LAS CLASIFICACIONES ANTERIORES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TURISTICO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8,269,320.00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8,269,320.00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APOYO A MIGRANTES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PROMOCION Y GESTION DE LA INVERSION PUBLICA A FAVOR DE LAS Y LOS MIGRANTES Y SUS FAMILIAS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10,912,978.00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10,912,978.00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APOYO AL MIGRANTE</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METROPOLITANO</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FIDEICOMISO 2151F FONDO METROPILITANO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77,655,296.00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77,655,296.00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METROPOLITANO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FONREGION</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DE INFRAESTRUCTURA SOCIAL BÁSICA Y PRODUCTIVA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409,444,615.72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409,444,615.72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CARRETERAS ALIMENTADORAS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266,650,343.46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266,650,343.46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CONSTRUCCION DE VIVIENDA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32,416,922.95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32,416,922.95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ADMINISTRACIÓN DEL SERVICIO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3,993,529.09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3,993,529.09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RESCATE Y REGENERACION DE RIOS Y ARROYOS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REGIONAL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CONSTRUCCION DE VIVIENDA DERIVADO DE DESASTRES NATURALES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CONVENIO ESPECIFICO DE COORDINACION CFE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58,642,600.49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58,642,600.49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225"/>
        </w:trPr>
        <w:tc>
          <w:tcPr>
            <w:tcW w:w="24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FONREGION PRODUCTOS FINANCIEROS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CAMINOS RURALES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3,900,000.00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3,900,000.00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CARRETERAS ALIMENTADORAS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8,910,346.96</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8,910,346.96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REGIONAL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DE INFRAESTRUCTURA SOCIAL BÁSICA Y PRODUCTIVA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186,995,468.73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186,995,468.73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CARRETERAS ALIMENTADORAS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PAVIMENTACIÓN</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MUNICIPIOS INVERSION CONCERTADA-PLANEACIÓN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267,125,045.00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267,125,045.00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PAVIMENTACION</w:t>
            </w:r>
            <w:proofErr w:type="gramStart"/>
            <w:r w:rsidRPr="00E474D1">
              <w:rPr>
                <w:rFonts w:ascii="Arial" w:hAnsi="Arial" w:cs="Arial"/>
                <w:color w:val="000000"/>
                <w:sz w:val="16"/>
                <w:szCs w:val="16"/>
                <w:lang w:val="es-MX" w:eastAsia="es-MX"/>
              </w:rPr>
              <w:t>,ESPACIOS</w:t>
            </w:r>
            <w:proofErr w:type="gramEnd"/>
            <w:r w:rsidRPr="00E474D1">
              <w:rPr>
                <w:rFonts w:ascii="Arial" w:hAnsi="Arial" w:cs="Arial"/>
                <w:color w:val="000000"/>
                <w:sz w:val="16"/>
                <w:szCs w:val="16"/>
                <w:lang w:val="es-MX" w:eastAsia="es-MX"/>
              </w:rPr>
              <w:t xml:space="preserve"> DEP., ALUMBRADO PUB., Y REHABILITACIÓN DE INFRAEST. EDUC.</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PARA LA FISCALIZACIÓN  DEL GASTO FEDERALIZADO</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REVISIÓN Y FISCALIZACION DE LOS RECURSOS PUBLICOS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7,371,631.70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7,371,631.70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EN EL TRANSPORTE PUBLICO</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SALUD PUBLICA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ATENCIÓN INTEGRAL DE PERSONAS CON DISCAPACIDAD</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15,644,820.99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15,644,820.99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PARA LA ACCESIBILIDAD PARA PERSONAS CON DISCAPACIDAD</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4,999,999.93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4,999,999.93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REVISION Y FISCALIZACIÓN DE LOS RECURSOS PUBLICOS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2,503,413,635.38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2,503,413,635.38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FOMENTO COMERSIAL INDUSTRIAL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253,607,379.54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253,607,379.54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FORESTAL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900,000.00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900,000.00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PESQUERO Y ACUICOLA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11,354,979.52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11,354,979.52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RESCATE Y REGENERACION DE RIOS Y ARROYOS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CULTURA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DE INFRAESTRUCTURA DEPORTIVA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APOYOS EXTRAORDINARIOS NO REGULARIZABLES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100,000,000.00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100,000,000.00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FONDO PRODUCTORES DE HIDROCARBUROS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501,738.15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501,738.15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lastRenderedPageBreak/>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675"/>
        </w:trPr>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SUBSEMUN</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PARTIDAS NO ASIGNABLES A PROGRAMAS-MUNICIPIOS-PARTICIPACIONES Y APORTACIONES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36,978,278.50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36,978,278.50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single" w:sz="4" w:space="0" w:color="auto"/>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SEGURIDAD PUBLICA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SEGURIDAD Y PROTECCIÓN DE LAS PERSONAS Y SU PATRIMONIO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597,174.88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597,174.88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SEGURIDAD PUBLICA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SEGURIDAD Y PROTECCIÓN DE LAS PERSONAS Y SU PATRIMONIO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23,485.42</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23,485.42</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SOCORRO DE LEY</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REHABILITACIÓN Y REINSERCIÓN SOCIAL (S.P.R.S)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9,026,550.00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9,026,550.00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CONACYT</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FORMACIÓN PROFESIONAL Y POSTGRADO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INVESTIGACIÓN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39,620,897.27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39,620,897.27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DESARROLLO EMPRESARIAL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250,000.00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tcBorders>
              <w:top w:val="nil"/>
              <w:left w:val="single" w:sz="4" w:space="0" w:color="auto"/>
              <w:bottom w:val="nil"/>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INNOVAVIÓN TECNOLOGICA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VINCULACIÓN CIENTIFICA Y TECNOLOGICA CON EL SECTOR EDUCATIVO Y PRODUCTIVO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320,901.93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320,901.93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tcBorders>
              <w:top w:val="single" w:sz="4" w:space="0" w:color="auto"/>
              <w:left w:val="single" w:sz="4" w:space="0" w:color="auto"/>
              <w:bottom w:val="nil"/>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PROMOCIÓN DIFUSIÓN Y DIVULGACIÓN DE LA CIENCIA, TECNOLOGIA E INNOVACIÓN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3,010,083.75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3,010,083.75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OTROS NO INCLUIDOS EN LAS CLASIFICACIONES ANTERIORES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FORMACIÓN DE CAPITAL HUMANO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9,667,914.89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9,667,914.89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VINCULACIÓN CIENTIFICA Y TECNOLOGICA CON EL SECTOR EDUCATIVO Y PRODUCTIVO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300,000.00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300,000.00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CONVENIOS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SEGURIDAD Y PROTECCIÓN DE LAS PERSONAS Y SU PATRIMONIO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5,590,091.43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5,590,091.43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SISTEMA DE ALCANTARILLADO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2,993,264.00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2,993,264.00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A NIVEL BACHILLERATO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EDUCACION MEDIA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24,821,035.47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24,821,035.47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FORMACIÓN EN EDUCACIÓN DEL NIVEL MEDIO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872,100,901.73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872,100,901.73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A NIVEL BACHILLERATO PRODUCTOS FINANCIEROS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EDUCIÓN MEDIA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8,051,137.45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8,051,137.45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EDUCACIÓN MEDIA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199,331.98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199,331.98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A UNIVERSIDADES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FORMACIÓN MEDIA SUPERIOR Y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498,395,169.17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498,395,169.17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FORMACION DE ALUMNOS EN EL NIVEL MEDIO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326,064,786.27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326,064,786.27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FORMACIÓN DE ALUMNOS EN EL NIVEL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328,721,239.44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328,721,239.44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PROMOSIÓN DEL DESARROLLO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9,458,243.79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9,458,243.79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450"/>
        </w:trPr>
        <w:tc>
          <w:tcPr>
            <w:tcW w:w="2427" w:type="dxa"/>
            <w:tcBorders>
              <w:top w:val="single" w:sz="4" w:space="0" w:color="auto"/>
              <w:left w:val="single" w:sz="4" w:space="0" w:color="auto"/>
              <w:bottom w:val="single" w:sz="4" w:space="0" w:color="auto"/>
              <w:right w:val="single" w:sz="4" w:space="0" w:color="auto"/>
            </w:tcBorders>
            <w:vAlign w:val="center"/>
            <w:hideMark/>
          </w:tcPr>
          <w:p w:rsidR="00E474D1" w:rsidRPr="00E474D1" w:rsidRDefault="00A70342"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A UNIVERSIDADES CAPITAL</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PROMOSIÓN Y FOMENTO DE LA CULTURA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6,298,713.34</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6,298,713.34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4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A UNIVERSIDADES PRODUCTOS FINANCIEROS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FORMACIÓN MEDIA SUPERIOR Y SUPERIOR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1,246,344.15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1,246,344.15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FORMACIÓN PROFESIONAL Y POSTGRADO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687,127.50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687,127.50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A INSTITUTOS TECNOLOGICOS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 PARA LA FORMACIÓN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15,152,698.09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15,152,698.09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ACADEMICAS DE EDUCACIÓN SUPERIOR</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223,283.34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223,283.34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FORMACION TECNOLOGICA SUPERIOR EN COMPETENCIAS PROFESIONALES EN LA ING. EN DESARROLLO COMUNITARIO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27,741.60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27,741.60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90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FORMACION TECNOLOGICA SUPERIOR BASADA EN COMPETENCIAS PROFESIONALES EN LA ING. EN ADMINISTRACION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64,983.35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64,983.35</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FORMACIÓN TECNOLOGICA SUPERIOR BASADA EN COMPETENCIAS PROFESIONALES EN GASTRONOMIA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42,717.98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42,717.98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PREVISIONES PUENTES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CAPACITACIÓN PARA EL TRABAJO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 xml:space="preserve">ACTIVIDADES CENTRALES </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39,779,442.24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39,779,442.24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PROMOCIÓN Y FOMENTO A LA CAPACITACIÓN PARA Y EN EL TRABAJO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11,070,612.00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11,070,612.00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CERTIFICACION DE COMPETENCIAS LABORALES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418,929.30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418,929.30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OFERTA EDUCATIVA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EDUCACION (UABJO)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67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jc w:val="center"/>
              <w:rPr>
                <w:rFonts w:ascii="Arial" w:hAnsi="Arial" w:cs="Arial"/>
                <w:color w:val="000000"/>
                <w:sz w:val="16"/>
                <w:szCs w:val="16"/>
                <w:lang w:val="es-MX" w:eastAsia="es-MX"/>
              </w:rPr>
            </w:pPr>
            <w:r w:rsidRPr="00E474D1">
              <w:rPr>
                <w:rFonts w:ascii="Arial" w:hAnsi="Arial" w:cs="Arial"/>
                <w:color w:val="000000"/>
                <w:sz w:val="16"/>
                <w:szCs w:val="16"/>
                <w:lang w:val="es-MX" w:eastAsia="es-MX"/>
              </w:rPr>
              <w:t>OFERTA EDUCATIVA</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CONSTRUCCIÓN, REPARACIÓN Y/O EQUIPAMIENTO DE ESPACIOS EDUCATIVOS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19,031,018.64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19,031,018.64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INVESTIGACION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9,697,941.78</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9,697,941.78</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tcBorders>
              <w:top w:val="nil"/>
              <w:left w:val="single" w:sz="4" w:space="0" w:color="auto"/>
              <w:bottom w:val="single" w:sz="4" w:space="0" w:color="auto"/>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2015</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675"/>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INTEGRAL DE FORTALECIMIENTO INSTITUCIONAL (PIFI)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FORMACION PROFESIONAL Y POSTGRADO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291,558.19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291,558.19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A70342" w:rsidRDefault="00A70342"/>
    <w:p w:rsidR="00A70342" w:rsidRDefault="00A70342"/>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A70342" w:rsidRPr="00E474D1" w:rsidTr="00B53F64">
        <w:trPr>
          <w:trHeight w:val="225"/>
        </w:trPr>
        <w:tc>
          <w:tcPr>
            <w:tcW w:w="2427"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PROGRAMA O FONDO</w:t>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DESTINO DE LOS RECURSOS</w:t>
            </w:r>
          </w:p>
        </w:tc>
        <w:tc>
          <w:tcPr>
            <w:tcW w:w="3402" w:type="dxa"/>
            <w:gridSpan w:val="2"/>
            <w:tcBorders>
              <w:top w:val="single" w:sz="4" w:space="0" w:color="auto"/>
              <w:left w:val="nil"/>
              <w:bottom w:val="single" w:sz="4" w:space="0" w:color="auto"/>
              <w:right w:val="single" w:sz="4" w:space="0" w:color="000000"/>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EJERCICIO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A5A5A5"/>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REINTEGRO</w:t>
            </w:r>
          </w:p>
        </w:tc>
      </w:tr>
      <w:tr w:rsidR="00A70342" w:rsidRPr="00E474D1" w:rsidTr="00B53F64">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DEVENGADO</w:t>
            </w:r>
          </w:p>
        </w:tc>
        <w:tc>
          <w:tcPr>
            <w:tcW w:w="1701" w:type="dxa"/>
            <w:tcBorders>
              <w:top w:val="nil"/>
              <w:left w:val="nil"/>
              <w:bottom w:val="single" w:sz="4" w:space="0" w:color="auto"/>
              <w:right w:val="single" w:sz="4" w:space="0" w:color="auto"/>
            </w:tcBorders>
            <w:shd w:val="clear" w:color="000000" w:fill="A5A5A5"/>
            <w:noWrap/>
            <w:vAlign w:val="center"/>
            <w:hideMark/>
          </w:tcPr>
          <w:p w:rsidR="00A70342" w:rsidRPr="00E474D1" w:rsidRDefault="00A70342" w:rsidP="00B53F64">
            <w:pPr>
              <w:jc w:val="center"/>
              <w:rPr>
                <w:rFonts w:ascii="Arial" w:hAnsi="Arial" w:cs="Arial"/>
                <w:b/>
                <w:bCs/>
                <w:color w:val="000000"/>
                <w:sz w:val="16"/>
                <w:szCs w:val="16"/>
                <w:lang w:val="es-MX" w:eastAsia="es-MX"/>
              </w:rPr>
            </w:pPr>
            <w:r w:rsidRPr="00E474D1">
              <w:rPr>
                <w:rFonts w:ascii="Arial" w:hAnsi="Arial" w:cs="Arial"/>
                <w:b/>
                <w:bCs/>
                <w:color w:val="000000"/>
                <w:sz w:val="16"/>
                <w:szCs w:val="16"/>
                <w:lang w:val="es-MX" w:eastAsia="es-MX"/>
              </w:rPr>
              <w:t>PAGADO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70342" w:rsidRPr="00E474D1" w:rsidRDefault="00A70342" w:rsidP="00B53F64">
            <w:pPr>
              <w:rPr>
                <w:rFonts w:ascii="Arial" w:hAnsi="Arial" w:cs="Arial"/>
                <w:b/>
                <w:bCs/>
                <w:color w:val="000000"/>
                <w:sz w:val="16"/>
                <w:szCs w:val="16"/>
                <w:lang w:val="es-MX" w:eastAsia="es-MX"/>
              </w:rPr>
            </w:pPr>
          </w:p>
        </w:tc>
      </w:tr>
    </w:tbl>
    <w:p w:rsidR="00A70342" w:rsidRDefault="00A70342"/>
    <w:tbl>
      <w:tblPr>
        <w:tblW w:w="9515" w:type="dxa"/>
        <w:tblInd w:w="53" w:type="dxa"/>
        <w:tblCellMar>
          <w:left w:w="70" w:type="dxa"/>
          <w:right w:w="70" w:type="dxa"/>
        </w:tblCellMar>
        <w:tblLook w:val="04A0"/>
      </w:tblPr>
      <w:tblGrid>
        <w:gridCol w:w="2427"/>
        <w:gridCol w:w="2552"/>
        <w:gridCol w:w="1701"/>
        <w:gridCol w:w="1701"/>
        <w:gridCol w:w="1134"/>
      </w:tblGrid>
      <w:tr w:rsidR="00E474D1" w:rsidRPr="00E474D1" w:rsidTr="00A70342">
        <w:trPr>
          <w:trHeight w:val="450"/>
        </w:trPr>
        <w:tc>
          <w:tcPr>
            <w:tcW w:w="24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PROMEP</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FORMACION PROFESIONAL Y POSTGRADO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5,488,243.31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5,488,243.31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A70342">
        <w:trPr>
          <w:trHeight w:val="225"/>
        </w:trPr>
        <w:tc>
          <w:tcPr>
            <w:tcW w:w="2427" w:type="dxa"/>
            <w:vMerge/>
            <w:tcBorders>
              <w:top w:val="single" w:sz="4" w:space="0" w:color="auto"/>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INVESTIGACIÓN</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1,160,454.43</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1,160,454.43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PARA EL DESARROLLO PROFESIONAL DOCENTE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4,295,551.29</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4,295,551.29</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FORMACIÓN PROFESIONAL Y POSTGRADO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4,466,352.90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4,466,352.90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INVESTIGACIÓN</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2,887,766.03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2,887,766.03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nil"/>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SANEAMIENTO FINANCIERO</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73,886,693.80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73,886,693.80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nil"/>
              <w:left w:val="single" w:sz="4" w:space="0" w:color="auto"/>
              <w:bottom w:val="single" w:sz="4" w:space="0" w:color="000000"/>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PROGRAMA DE FORTALECIMIENTO DE LA CALIDAD EN INSTITUCIONES EDUCATIVAS (PROFOCIE)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8,958,931.00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8,958,931.00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nil"/>
              <w:left w:val="single" w:sz="4" w:space="0" w:color="auto"/>
              <w:bottom w:val="single" w:sz="4" w:space="0" w:color="000000"/>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FORMACION PROFESIONAL Y POSTGRADO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4,920,617.23</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4,920,617.23</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nil"/>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CARRERA DOCENTE</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ACTIVIDADES CENTRALES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1,514,482.74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1,514,482.74</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vMerge w:val="restart"/>
            <w:tcBorders>
              <w:top w:val="single" w:sz="4" w:space="0" w:color="auto"/>
              <w:left w:val="single" w:sz="4" w:space="0" w:color="auto"/>
              <w:bottom w:val="nil"/>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A LA POLICIA CAPITAL</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SECRETARIADO EJECUTIVO</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17,229,648.16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17,229,648.16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GESTION DE INFORMACIÓN INTERINTITUCIONAL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SERVICIOS DE PROFESIONALIZACIÓN POLICIAL</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11,666,845.17</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11,666,845.17</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PREVENCION DEL DELITO POR SISTEMA DE VIGILANCIA C-4</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6,470,041.86</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6,470,041.86</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RECURSOS FEDERALES DE AÑOS ANTERIORES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450"/>
        </w:trPr>
        <w:tc>
          <w:tcPr>
            <w:tcW w:w="2427" w:type="dxa"/>
            <w:vMerge/>
            <w:tcBorders>
              <w:top w:val="single" w:sz="4" w:space="0" w:color="auto"/>
              <w:left w:val="single" w:sz="4" w:space="0" w:color="auto"/>
              <w:bottom w:val="nil"/>
              <w:right w:val="single" w:sz="4" w:space="0" w:color="auto"/>
            </w:tcBorders>
            <w:vAlign w:val="center"/>
            <w:hideMark/>
          </w:tcPr>
          <w:p w:rsidR="00E474D1" w:rsidRPr="00E474D1" w:rsidRDefault="00E474D1" w:rsidP="00E474D1">
            <w:pPr>
              <w:rPr>
                <w:rFonts w:ascii="Arial" w:hAnsi="Arial" w:cs="Arial"/>
                <w:color w:val="000000"/>
                <w:sz w:val="16"/>
                <w:szCs w:val="16"/>
                <w:lang w:val="es-MX" w:eastAsia="es-MX"/>
              </w:rPr>
            </w:pP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SUBSIDIO A LA POLICIA ACREDITABLE (SPA)</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r w:rsidR="00E474D1" w:rsidRPr="00E474D1" w:rsidTr="00E474D1">
        <w:trPr>
          <w:trHeight w:val="225"/>
        </w:trPr>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INGRESOS</w:t>
            </w:r>
          </w:p>
        </w:tc>
        <w:tc>
          <w:tcPr>
            <w:tcW w:w="2552" w:type="dxa"/>
            <w:tcBorders>
              <w:top w:val="nil"/>
              <w:left w:val="nil"/>
              <w:bottom w:val="single" w:sz="4" w:space="0" w:color="auto"/>
              <w:right w:val="single" w:sz="4" w:space="0" w:color="auto"/>
            </w:tcBorders>
            <w:shd w:val="clear" w:color="auto" w:fill="auto"/>
            <w:vAlign w:val="center"/>
            <w:hideMark/>
          </w:tcPr>
          <w:p w:rsidR="00E474D1" w:rsidRPr="00E474D1" w:rsidRDefault="00E474D1" w:rsidP="00E474D1">
            <w:pPr>
              <w:rPr>
                <w:rFonts w:ascii="Arial" w:hAnsi="Arial" w:cs="Arial"/>
                <w:color w:val="000000"/>
                <w:sz w:val="16"/>
                <w:szCs w:val="16"/>
                <w:lang w:val="es-MX" w:eastAsia="es-MX"/>
              </w:rPr>
            </w:pPr>
            <w:r w:rsidRPr="00E474D1">
              <w:rPr>
                <w:rFonts w:ascii="Arial" w:hAnsi="Arial" w:cs="Arial"/>
                <w:color w:val="000000"/>
                <w:sz w:val="16"/>
                <w:szCs w:val="16"/>
                <w:lang w:val="es-MX" w:eastAsia="es-MX"/>
              </w:rPr>
              <w:t>OTROS INGRESOS</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701"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c>
          <w:tcPr>
            <w:tcW w:w="1134" w:type="dxa"/>
            <w:tcBorders>
              <w:top w:val="nil"/>
              <w:left w:val="nil"/>
              <w:bottom w:val="single" w:sz="4" w:space="0" w:color="auto"/>
              <w:right w:val="single" w:sz="4" w:space="0" w:color="auto"/>
            </w:tcBorders>
            <w:shd w:val="clear" w:color="auto" w:fill="auto"/>
            <w:noWrap/>
            <w:vAlign w:val="center"/>
            <w:hideMark/>
          </w:tcPr>
          <w:p w:rsidR="00E474D1" w:rsidRPr="00E474D1" w:rsidRDefault="00E474D1" w:rsidP="00E474D1">
            <w:pPr>
              <w:jc w:val="right"/>
              <w:rPr>
                <w:rFonts w:ascii="Arial" w:hAnsi="Arial" w:cs="Arial"/>
                <w:color w:val="000000"/>
                <w:sz w:val="16"/>
                <w:szCs w:val="16"/>
                <w:lang w:val="es-MX" w:eastAsia="es-MX"/>
              </w:rPr>
            </w:pPr>
            <w:r w:rsidRPr="00E474D1">
              <w:rPr>
                <w:rFonts w:ascii="Arial" w:hAnsi="Arial" w:cs="Arial"/>
                <w:color w:val="000000"/>
                <w:sz w:val="16"/>
                <w:szCs w:val="16"/>
                <w:lang w:val="es-MX" w:eastAsia="es-MX"/>
              </w:rPr>
              <w:t>0.00</w:t>
            </w:r>
          </w:p>
        </w:tc>
      </w:tr>
    </w:tbl>
    <w:p w:rsidR="00E474D1" w:rsidRDefault="00E474D1" w:rsidP="000708E7">
      <w:pPr>
        <w:rPr>
          <w:rFonts w:ascii="Arial" w:hAnsi="Arial" w:cs="Arial"/>
          <w:b/>
        </w:rPr>
      </w:pPr>
    </w:p>
    <w:p w:rsidR="009E615F" w:rsidRDefault="009E615F">
      <w:pPr>
        <w:rPr>
          <w:rFonts w:ascii="Arial" w:hAnsi="Arial" w:cs="Arial"/>
          <w:b/>
        </w:rPr>
      </w:pPr>
      <w:r>
        <w:rPr>
          <w:rFonts w:ascii="Arial" w:hAnsi="Arial" w:cs="Arial"/>
          <w:b/>
        </w:rPr>
        <w:br w:type="page"/>
      </w:r>
    </w:p>
    <w:p w:rsidR="009E615F" w:rsidRDefault="009E615F" w:rsidP="009E615F">
      <w:pPr>
        <w:rPr>
          <w:rFonts w:ascii="Arial" w:hAnsi="Arial" w:cs="Arial"/>
          <w:b/>
        </w:rPr>
      </w:pPr>
      <w:r w:rsidRPr="00E474D1">
        <w:rPr>
          <w:rFonts w:ascii="Arial" w:hAnsi="Arial" w:cs="Arial"/>
          <w:b/>
        </w:rPr>
        <w:lastRenderedPageBreak/>
        <w:t>14.3.</w:t>
      </w:r>
      <w:r>
        <w:rPr>
          <w:rFonts w:ascii="Arial" w:hAnsi="Arial" w:cs="Arial"/>
          <w:b/>
        </w:rPr>
        <w:t>2</w:t>
      </w:r>
      <w:r w:rsidRPr="00E474D1">
        <w:rPr>
          <w:rFonts w:ascii="Arial" w:hAnsi="Arial" w:cs="Arial"/>
          <w:b/>
        </w:rPr>
        <w:t xml:space="preserve">.- </w:t>
      </w:r>
      <w:r>
        <w:rPr>
          <w:rFonts w:ascii="Arial" w:hAnsi="Arial" w:cs="Arial"/>
          <w:b/>
        </w:rPr>
        <w:t>RELACION DE CUENTAS BANCARIAS PRODUCTIVAS ESPECIFICAS DONDE SE DEPOSITARON LOS RECURSOS FEDERALES TRANSFERIDOS</w:t>
      </w:r>
    </w:p>
    <w:p w:rsidR="009E615F" w:rsidRDefault="009E615F" w:rsidP="000708E7">
      <w:pPr>
        <w:rPr>
          <w:rFonts w:ascii="Arial" w:hAnsi="Arial" w:cs="Arial"/>
          <w:b/>
        </w:rPr>
      </w:pPr>
    </w:p>
    <w:p w:rsidR="00133065" w:rsidRDefault="00133065" w:rsidP="00133065">
      <w:pPr>
        <w:spacing w:line="22" w:lineRule="atLeast"/>
        <w:jc w:val="both"/>
        <w:rPr>
          <w:rFonts w:ascii="Arial" w:hAnsi="Arial" w:cs="Arial"/>
          <w:b/>
          <w:spacing w:val="20"/>
        </w:rPr>
      </w:pPr>
    </w:p>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PRODUCCIÓN Y ENTREGA DE PLANTA 2014-2015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4057558876</w:t>
            </w:r>
          </w:p>
        </w:tc>
      </w:tr>
      <w:tr w:rsidR="00133065" w:rsidRPr="00FF08CA" w:rsidTr="00B53F64">
        <w:trPr>
          <w:trHeight w:val="42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FISE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4057558918</w:t>
            </w:r>
          </w:p>
        </w:tc>
      </w:tr>
      <w:tr w:rsidR="00133065" w:rsidRPr="00FF08CA" w:rsidTr="00B53F64">
        <w:trPr>
          <w:trHeight w:val="42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FAFEF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4057558926</w:t>
            </w:r>
          </w:p>
        </w:tc>
      </w:tr>
      <w:tr w:rsidR="00133065" w:rsidRPr="00FF08CA" w:rsidTr="00B53F64">
        <w:trPr>
          <w:trHeight w:val="42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FAM AS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4057558934</w:t>
            </w:r>
          </w:p>
        </w:tc>
      </w:tr>
      <w:tr w:rsidR="00133065" w:rsidRPr="00FF08CA" w:rsidTr="00B53F64">
        <w:trPr>
          <w:trHeight w:val="42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CECYTEO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4057559015</w:t>
            </w:r>
          </w:p>
        </w:tc>
      </w:tr>
      <w:tr w:rsidR="00133065" w:rsidRPr="00FF08CA" w:rsidTr="00B53F64">
        <w:trPr>
          <w:trHeight w:val="42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ICAPET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4057559023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FEDERAL ORDINARIO UABJO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4057559130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SANEAMIENTO FINANCIERO UABJO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4057559148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PROEXOEES UABJO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4057559155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PROFOCIE UABJO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4057559163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PROSPERA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4057803231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SEGURO MEDICO SIGLO XXI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4057559189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SEGURO POPULAR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4057559171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PROGRAMAS DE DESARROLLO REGIONAL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4057803868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COPLADE BANCO MUNDIAL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4057804023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PREVENCIÓN DE LA VIOLENCIA CONTRA LAS MUJERES CDI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4057804031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TELEBACHILLERATO COMUNITARIO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4057804171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DE AUTONOMIA DE GESTION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4057804189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FINANCIERO EXTRAORDINARIO NO REGULARIZABLE 30 MDP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4058096660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CRÉDITO BANOBRAS POTENCIACIÓN (SISTEMA DE JUSTICIA PENAL)</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4058096728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PROSSAPYS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4058096736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PROTAR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4058096744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PARA PROYECTOS CULTURALES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4058096785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FPP 2014 CENTRO DE SALUD URBANO SAN JUAN BAUTISTA TUXTEPEC (LOMA ALTA)</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4058096884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 xml:space="preserve">GOB EDO OAX SEFIN  FPP 2014 CENTRO DE SALUD COLONIA ESTRELLA  </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4058096892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 xml:space="preserve">GOB EDO OAX SEFIN FPP 2014 CENTRO DE SALUD DE SANTIAGO PINOTEPA NACIONAL </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4058096900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FPP 2014 CENTRO ESTATAL DE ONCOLOGIA Y RADIOTERAPIA DE OAXACA DE JUAREZ</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4058096918</w:t>
            </w:r>
          </w:p>
        </w:tc>
      </w:tr>
    </w:tbl>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lastRenderedPageBreak/>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CLUB ESCOLAR DE CIENCIAS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4058097072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ESTANCIAS DE INVESTIGACIÓN CIENTIFICA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4058097080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TERCER ENCUENTRO DE JÓVENES INVESTIGADORES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4058097098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ALDEA CIENTIFICA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4058097106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POR OAXACA MAS INVESTIGADORES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4058097114</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ADQUISICION DE VEHICULOS RECOLECTORES PARA MUNICIPIOS DEL ESTADO DE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4058097122</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ADQUISICION DE CAMIONES RECOLECTORES EN EL MUNICIPIO DE TEOTITLAN DE FLORES MAGON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4058097130</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ASESORIA ESTRATEGICA PARA EL MANEJO INTEGRAL DE RESIDUOS ZONA CONURBADA DE OAXACA DE JUAREZ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4058097148</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ESTUDIOS DE FACTIBILIDAD AMBIENTAL PARA CINCO MUNICIPIOS DEL ISTMO DE TEHUANTEPEC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4058097155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COMITÉ DE CUENCA DE LOS RIOS COPALITA Y TONAMECA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4057191033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COMITÉ DE PLAYAS LIMPIAS DEL MUNICIPIO DE SANTA MARIA HUATULCO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4057191041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COMITÉ DE PLAYAS LIMPIAS DEL MUNICIPIO DE SANTA MARIA COLOTEPEC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4057191058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COMITÉ DE PLAYAS LIMPIAS DEL MUNICIPIO DE SAN PEDRO MIXTEPEC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4057191066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COMITÉ DE CUENCA DEL RIO TEHUANTEPEC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4057191074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PARA INVERSION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4057191082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COMITÉ TECNICO DE AGUA SUBTERRANEAS DE LOS VALLES CENTRALES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4058097171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CONSEJO DE LA CUENCA DE LA COSTA DE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4058097189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COMISION DE CUENCA DE LOS RIOS ATOYAC Y SALADO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4058097197</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FORTALECIMIENTO DE LAS POLITICAS PUBLICAS PARA LA IGUALDAD EN LOS AMBITOS ESTATAL Y MUNICIPAL EN EL ESTADO DE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4058097239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ADQUISICION DE UN TOMOGRAFO PARA EL DIAGNOSTICO ARBOREO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4058097437</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REFORESTACION DE AREAS VERDES CON ESPECIES NATIVAS Y FORESTALES DE SAN BLAS ATEMPA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4058333519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49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SANEAMIENTO Y CLAUSURA DE TIRADERO A CIELO ABIERTO  DE RIO GRANDE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4058333527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SANEAMIENTO DEL TIRADERO A CIELO ABIERTO DE ASUNCION NOCHIXTLAN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4058333535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ESTUDIOS DE FACTIBILIDAD  AMBIENTAL  DE SANTA MARIA HUATULCO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4058333530</w:t>
            </w:r>
          </w:p>
        </w:tc>
      </w:tr>
    </w:tbl>
    <w:p w:rsidR="00133065" w:rsidRDefault="00133065" w:rsidP="00133065"/>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ELABORACION DE CUATRO PROGRAMAS MUNICIPALES DE PREVENCION Y GESTION INTEGRAL DE RESIDUOS SOLIDOS URBANOS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4058333543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w:t>
            </w:r>
            <w:r w:rsidRPr="00FF08CA">
              <w:rPr>
                <w:rFonts w:ascii="Calibri" w:hAnsi="Calibri"/>
                <w:b/>
                <w:bCs/>
                <w:sz w:val="16"/>
                <w:szCs w:val="16"/>
                <w:lang w:val="es-MX" w:eastAsia="es-MX"/>
              </w:rPr>
              <w:t>PROGRAMA ATENCION A PERSONAS CON DISCAPACIDAD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4058333766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DE PROTECCION CONTRA GASTOS CATASTROFICOS HNO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4058333774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w:t>
            </w:r>
            <w:r w:rsidRPr="00FF08CA">
              <w:rPr>
                <w:rFonts w:ascii="Calibri" w:hAnsi="Calibri"/>
                <w:b/>
                <w:bCs/>
                <w:sz w:val="16"/>
                <w:szCs w:val="16"/>
                <w:lang w:val="es-MX" w:eastAsia="es-MX"/>
              </w:rPr>
              <w:t>CONADE CULTURA FISICA  2015</w:t>
            </w:r>
            <w:r w:rsidRPr="00FF08CA">
              <w:rPr>
                <w:rFonts w:ascii="Calibri" w:hAnsi="Calibri"/>
                <w:sz w:val="16"/>
                <w:szCs w:val="16"/>
                <w:lang w:val="es-MX" w:eastAsia="es-MX"/>
              </w:rPr>
              <w:t xml:space="preserve"> </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4058333808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2015 CUENTA DOS</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4058334103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PARA INVERSION 2015 CUENTA CUATRO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4058333956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PROYECTOS DE DESARROLLO REGIONAL CUENTA TRES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4058334392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59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PROGRAMAS REGIONALES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4058334400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PARA INVERSION CUENTA CINCO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4058334418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DESARROLLO CULTURAL MUNICIPAL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4058677923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FAM AS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4058678111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FISE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4058678129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FAFEF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4058678137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ICAPET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4058678160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PROEXOEES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4058678285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PROFOCIE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4058678293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ORDINARIO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4058678301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69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SANEAMIENTO FINANCIERO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4058678319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CECYTEO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HSBC</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4058678277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AFASPE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70090683967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FONE GASTOS DE OPERACIÓN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70091207514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FASSA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70090735495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FAETA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70091323204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ARMONIZACION CONTABLE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70092561613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MODERNIZACION INTEGRAL DEL REGISTRO CIVIL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70092893853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CAPUFE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70093061665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PAIMEF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70093400877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79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MAS OAXACA ASISTENCIA TECNICA</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70093468560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AMSDE CONACYT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70093468579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PROFIS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70093535365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CONADE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70094174447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CENTROS PODER JOVEN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70096817493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PROYECTOS LOCALES JUVENILES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70096817493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RED NACIONAL DE PROGRAMAS DE RADIO Y TELEVISION PODER JOVEN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70098542467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DE APOYO A MIGRANTES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70098542475</w:t>
            </w:r>
          </w:p>
        </w:tc>
      </w:tr>
    </w:tbl>
    <w:p w:rsidR="00133065" w:rsidRDefault="00133065" w:rsidP="00133065"/>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w:t>
            </w:r>
            <w:r w:rsidRPr="00FF08CA">
              <w:rPr>
                <w:rFonts w:ascii="Calibri" w:hAnsi="Calibri"/>
                <w:b/>
                <w:bCs/>
                <w:sz w:val="16"/>
                <w:szCs w:val="16"/>
                <w:lang w:val="es-MX" w:eastAsia="es-MX"/>
              </w:rPr>
              <w:t>PACMYC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70100221037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PEMEX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70100221045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89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FONE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70103534885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FASSA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70103534893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FAETA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70103771623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AFASPE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BANAMEX</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70103771631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FASP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0300152692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PAPALOAPAN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300154660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SIERRA SUR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300154679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TECNOLOGICA DE LA MIXTECA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300154687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CAÑADA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300154830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SIERRA JUAREZ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300154849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99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MAR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300154857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COBAO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300155411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TECNOLOGICA DE LOS VALLES CENTRALES DE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300155659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2DO AÑO DE ESTANCIAS POSDOCTORALES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300155632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IMPLEMENTACION DE LA REFORMA DEL SISTEMA DE JUSTICIA PENAL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300155780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TECNOLOGICA DE LA SIERRA SUR DE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300156116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DE PAVIMENTACIÓN Y DESARROLLO MUNICIPAL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3001156531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PROD/TF-T Y RC-2015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300156850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300156868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ESCUELAS DE EXCELENCIA PARA ABATIR EL REZAGO EDUCATIVO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300157333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109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INSTITUTO TECNOLOGICO SUPERIOR DE SAN MIGUEL EL GRANDE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300157465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PROII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300157597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AGUA LIMPIA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300159859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SEGURO AGRICOLA CATASTROFICO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300160385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SEGURO PARAMETRICO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300160393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2015 CUENTA DOS</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300160423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FASP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300169951</w:t>
            </w:r>
          </w:p>
        </w:tc>
      </w:tr>
      <w:tr w:rsidR="00133065" w:rsidRPr="00FF08CA" w:rsidTr="00B53F64">
        <w:trPr>
          <w:trHeight w:val="31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SUBSIDIO COBAO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INTERACCIONES</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300170836</w:t>
            </w:r>
          </w:p>
        </w:tc>
      </w:tr>
      <w:tr w:rsidR="00133065" w:rsidRPr="00FF08CA" w:rsidTr="00B53F64">
        <w:trPr>
          <w:trHeight w:val="42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FISM DF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BANORTE</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0260468752</w:t>
            </w:r>
          </w:p>
        </w:tc>
      </w:tr>
      <w:tr w:rsidR="00133065" w:rsidRPr="00FF08CA" w:rsidTr="00B53F64">
        <w:trPr>
          <w:trHeight w:val="28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FORTAMUN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BANORTE</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0260468761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119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BANORTE</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269394201</w:t>
            </w:r>
          </w:p>
        </w:tc>
      </w:tr>
    </w:tbl>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DE INFRAESTRUCTURA DEPORTIVA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BANORTE</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273234135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DEL EDO DE OAX SEFIN SUBSEMUN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BANORTE</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276961722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DEL EDO DE OAX SEFIN FORTAMUN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BANORTE</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0414378159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DEL EDO DE OAX SEFIN FISM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BANORTE</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0414378131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FAM IES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197867913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FAM IEB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197868324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SOCORRO DE LEY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198315752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NACIONAL DE PREVENCION DEL DELITO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198492875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MODERNIZACION CATASTRAL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198493057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129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MODERNIZACION CATASTRAL 2015 APORTACION ESTATAL</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198493359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ESCUELA SEGURA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198588473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10º FESTIVAL DE JAZZ MAZUNTE 2015 FEDERAL</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198588600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PARA LA INCLUSION Y EQUIDAD EDUCATIVA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198751250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DE FORTALECIMIENTO DE LA CALIDAD DE EDUCACION BASICA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198752729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NACIONAL DE BECAS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198755299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ESCUELAS DE TIEMPO COMPLETO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198755353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PARA LA PROTECCION Y EL DESARROLLO INTEGRAL DE LA INFANCIA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198985235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INNOVACION TECNOLOGICA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198985324</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CONVENIO DE COORDINACIÓN PARA EL OTORGAMIENTO DE UN SUBSIDIO PUEBLOS MAGICOS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199007318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139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PRODDER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199010416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CENTROS PARA EL DESARROLLO DE LAS MUJERES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199045724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BRIGADA RURAL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199045775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APASZU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199220364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COMUNIDAD DIFERENTE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199248323</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DISEÑO DE LA PLATAFORMA DIGITAL “CARTOGRAFIA DEL SECTOR ARTESANAL” (2A  FASE) DEL CENTRO DE DISEÑO DE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199250166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CRUZADA NACIONAL CONTRA EL HAMBRE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199444742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EXTRAORDINARIO 1 - 2015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199463453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EXTRAORDINARIO 48 MDP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199471189</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DE INCORPORACION DE MUJERES INDIGENAS EN POSGRADO PARA EL FORTALECIMIENTO REGIONAL DEL ESTADO DE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199701745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149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AL FORTALECIMIENTO CONACYT-UMAR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199701966</w:t>
            </w:r>
          </w:p>
        </w:tc>
      </w:tr>
    </w:tbl>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CENTROS DE JUSTICIA PARA LAS MUJERES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199677909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PRODEP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199677828</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FORTALECIMIENTO A LAS PROCURADURIAS DE LA DEFENSA DEL MENOR Y LA FAMILIA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199677941</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 xml:space="preserve">GOB EDO OAX SEFIN  DIFUSION Y DIVULGACION DE LA CIENCIA, LA TECNOLOGIA Y LA INNOVACION EN LAS ENTIDADES FEDERATIVAS: OAXACA 2015  </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100518026</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CONCURSABLE DE INVERSION EN INFRAESTRUCTURA PARA EDUCACION MEDIA SUPERIOR DE PLANTELES FEDERALES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102019841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CULTURA DEL AGUA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102415836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FAM REMANENTES DE LA ESTRUCTURA FINANCIERA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102698730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GOBE DO OAX SEFIN ACTUALIZACION DE LA INFRAESTRUCTURA UTM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103015270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MEX CULTURA PARA LA ARMONIA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103129217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159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CONVOCATORIA DEL 2DO AÑO DE ESTANCIAS CONACYT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103242749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PAIMEF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103267326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FAM IEB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103309800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FAM IES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103310868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PAF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103470202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FPP CENTRO DE SALUD COLONIA ESTRELLA  EQUIPAMIENTO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BBVA BANCOMER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103482294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ISTMO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9202690799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CECAM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9202697017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COLEGIO SUPERIOR INTERCULTURAL BIC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9202697009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ATENCION A LA DEMANDA EDUCATIVA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9202697092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169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SEGURO MEDICO SIGLO XXI  2015  HNO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9202697130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SINTESIS DE NUEVOS 4-AZA Y 6-AZAESTEROIDES CONACYT UNISTMO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9202697157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DE CULTURA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9202697181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FIESTAS DE NOVIEMBRE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9202701227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FASP APORTACION ESTATAL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9202701359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PROME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9202704447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CENTRO DE LAS ARTES SAN AGUSTIN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9202758156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 xml:space="preserve">GOB EDO OAX SEFIN ESCUELAS DIGNAS 2015 </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9202758199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PROFOCIE UTSSO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9202758245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ESTUDIO DE LA DINAMICA MICROBIANA CONACYT UTM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9202806517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179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DESARROLLO DE UN SOFTWARE CONACYT UTM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9202806525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PROYECTOS DE DESARROLLO REGIONAL 2015 CUENTA CUATRO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9202806576</w:t>
            </w:r>
          </w:p>
        </w:tc>
      </w:tr>
    </w:tbl>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INCLUSION Y LA EQUIDAD EDUCATIVA  UTSSO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9202806592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DONATIVO PEMEX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9202818744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CAÑADA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9202818752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ISTMO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9202818787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SIERRA JUAREZ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9202818795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PRODEP UTVCO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SCOTIABANK</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9202818809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SICALIDAD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65504860259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UNIDADES MEDICAS MOVILES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65504860305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189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COFEPRIS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65504860367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CONVENIO DE COORDINACION DE DESARROLLO TURISTICO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65504912500</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APORTACIONES A LAS BOLSAS DE PREMIACION DE LOS CONCURSOS DE ARTE POPULAR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65504913003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GUELAGUETZA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65504865836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INSTITUTO TECNOLOGICO SUPERIOR DE TEPOSCOLULA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65504944593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CALIDAD EN LA ATENCION MEDICA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65504944684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CRUZADA NACIONAL CONTRA EL HAMBRE  2015 UTVC</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65504955425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DOTACIÓN DE INSTRUMENTOS A LA BANDAS TRADICIONALES DE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65504955490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TEQUIO A LA RED DE BIBLIOTECAS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65504955550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PECDA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65504955595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199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DE PROTECCION CONTRA GASTOS CATASTROFICOS 2015 SSO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65504964321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SEGURO MEDICO SIGLO XXI INTERVENCIONES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65504964292</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FORTALECIMIENTO DE LA POLITICA DE IGUALDAD DE GENERO EN EL SECTOR EDUCATIVO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65504984446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FORTALECIMIENTO DE TALENTOS MATEMATICOS 2015 CONACYT-UNPA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65505019088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COINBIO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65505025952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RELLENO SANITARIO EN SAN CRISTOBAL AMATLAN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65505026026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PRUEBAS DE FUNCIONAMIENTO DE UN HORNO LADRILLERO ECOLOGICO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65505026060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PLANTA PILOTO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65505026117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PIFIT 2010 ITVO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65505026151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EXTRAORDINARIO NO REGULARIZABLE ESCUELA NORMAL RURAL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65505055692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209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PEFEN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65505055735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FORTALECIMIENTO DE LA INFRAESTRUCTURA CONACYT-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65505055812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ADQUISICION DE EQUIPO CONACYT-UNPA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65505056164</w:t>
            </w:r>
          </w:p>
        </w:tc>
      </w:tr>
    </w:tbl>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ADQUISICION DE ESPECTROMETRO CONACYT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65505056272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EQUIPAMIENTO PARA FORTALECER LA INVESTIGACION CONACYT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65505056332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INTEGRACION DE UN EQUIPO DE NUTRICION ANIMAL CONACYT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65505056363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ADQUISICION DE EQUIPO CIENTIFICO CONACYT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65505056377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METROPOLITANO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65505061422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PARA INVERSION 2015 CUENTA TRES</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65505064571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COMUNIDADES SALUDABLES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65505068710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219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PRODUCTORES DE HIDROCARBUROS</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65505070761</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CONCURSABLE DE INVERSION EN INFRAESTRUCTURA PARA  EDUCACION MEDIA SUPERIOR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65505086774</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CONCURSABLE DE INVERSION EN INFRAESTRUCTURA PARA CENTROS, UNIDADES DE FORMACION O CAPACITACION PARA EL TRABAJO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65505086803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FORTALECIMIENTO DE LA INFRAESTRUCTURA CONACYT UTM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65505086712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EXPO PYME OAXACA</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65505116794</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DESARROLLO DE LA COMPETITIVIDAD DE LAS MIPYMES EN EL ESTADO DE OAXACA EN EL SECTOR TURISMO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65505116837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FORTALECIMIENTO INTEGRAL PARA EL DESARROLLO DE LA INDUSTRIA DEL MEZCAL</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65505116868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BUENAS PRACTICAS PARA LA CALIDAD HIGIENICA PUNTO LIMPIO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65505116885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18º FERIA INTERNACIONAL DEL MEZCAL</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65505116914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ENCUENTRO ARTESANAL GUELAGUETZA</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65505116931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229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ADQUISICION DE COMPACTADORA HORIZONTAL DE HUAJUAPAM DE LEON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65505116317</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ACCIONES DE ADAPTACION Y MITIGACION AL CAMBIO CLIMATICO EN EL CORREDOR BIOLOGICO OAXACA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65505116320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PREVENCION Y TRATAMIENTO DE ADICCIONES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65505116334</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DE INCENTIVOS PARA LA OPERACIÓN DE PLANTAS DE TRATAMIENTO DE AGUAS RESIDUALES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65505116408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 xml:space="preserve">GOB EDO OAX SEFIN PROGRAMA VIH-SIDA E ITS ( RAMO 12) </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65505109794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EXPO PYME HUAJUAPAN</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65505131650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AMPLIACION Y MEJORA DE LA RED OAXAQUEÑA MOVER A MEXICO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65505131707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CONVOCATORIA 1ER AÑO DE ESTANCIAS POSDOCTORALES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65505131741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A MADRES MEXICANAS CONACYT UMAR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65505159734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PRODEP UABJO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65505159765</w:t>
            </w:r>
          </w:p>
        </w:tc>
      </w:tr>
    </w:tbl>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239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CARRERA DOCENTE UABJO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65505159873</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INSTAURACION DEL PROYECTO ESTRATEGICO DEL PARQUE ECOLOGICO EL CRESTON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65505168766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w:t>
            </w:r>
            <w:r w:rsidRPr="00FF08CA">
              <w:rPr>
                <w:rFonts w:ascii="Calibri" w:hAnsi="Calibri"/>
                <w:b/>
                <w:bCs/>
                <w:sz w:val="16"/>
                <w:szCs w:val="16"/>
                <w:lang w:val="es-MX" w:eastAsia="es-MX"/>
              </w:rPr>
              <w:t>CONSTRUCCION DEL MERCADO MUNICIPAL DE SAN JOSE EL PROGRESO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65505172833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MERCADO MUNICIPAL 12 DE DICIEMBRE</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65505173001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CONTRUCCION DE MERCADO PUBLICO DE PLUMA HIDALGO</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65505173077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REHABILITACION DEL MERCADO PUBLICO ELISEO JIMENEZ RUIZ NOCHIXTLAN, OAX.</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65505173245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CONSTRUCCION DEL MERCADO PUBLICO DE SAN PEDRO Y SAN PABLO AYUTLA, OAXACA</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65505184125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w:t>
            </w:r>
            <w:r w:rsidRPr="00FF08CA">
              <w:rPr>
                <w:rFonts w:ascii="Calibri" w:hAnsi="Calibri"/>
                <w:b/>
                <w:bCs/>
                <w:sz w:val="16"/>
                <w:szCs w:val="16"/>
                <w:lang w:val="es-MX" w:eastAsia="es-MX"/>
              </w:rPr>
              <w:t>LABORATORIO NACIONAL DE INVESTIGACIONES UNPA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65505193524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EXPANSIÓN A LA OFERTA EDUCATIVA UTVCO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65505207648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RECONOCIMIENTO DE PLANTILLAS UABJO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65505207665</w:t>
            </w:r>
          </w:p>
        </w:tc>
      </w:tr>
      <w:tr w:rsidR="00133065" w:rsidRPr="00FF08CA" w:rsidTr="00B53F64">
        <w:trPr>
          <w:trHeight w:val="60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249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PROEXOEES 2015 TLAXIACO-TUXTEPEC</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65505214603</w:t>
            </w:r>
          </w:p>
        </w:tc>
      </w:tr>
      <w:tr w:rsidR="00133065" w:rsidRPr="00FF08CA" w:rsidTr="00B53F64">
        <w:trPr>
          <w:trHeight w:val="60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 xml:space="preserve">GOBIERNO DEL ESTADO DE OAXACA FONDO DE  CONTINGENCIAS </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65505215765</w:t>
            </w:r>
          </w:p>
        </w:tc>
      </w:tr>
      <w:tr w:rsidR="00133065" w:rsidRPr="00FF08CA" w:rsidTr="00B53F64">
        <w:trPr>
          <w:trHeight w:val="60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FONREGION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65505217692</w:t>
            </w:r>
          </w:p>
        </w:tc>
      </w:tr>
      <w:tr w:rsidR="00133065" w:rsidRPr="00FF08CA" w:rsidTr="00B53F64">
        <w:trPr>
          <w:trHeight w:val="60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PROEXOE 2015 POCHUTLA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65505222688</w:t>
            </w:r>
          </w:p>
        </w:tc>
      </w:tr>
      <w:tr w:rsidR="00133065" w:rsidRPr="00FF08CA" w:rsidTr="00B53F64">
        <w:trPr>
          <w:trHeight w:val="60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INCORPORACIÓN DE TIC´S Y FORMACION DE CAPACIDADES PARA INCREMENTAR LA COMPETITIVIDAD DE LAS MICROEMPRESAS DEL SECTOR TURISTICO CERTIFICADAS  CON EL DISTINTIVO MODERNIZA EN EL ESTADO DE OAXACA</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65505225346</w:t>
            </w:r>
          </w:p>
        </w:tc>
      </w:tr>
      <w:tr w:rsidR="00133065" w:rsidRPr="00FF08CA" w:rsidTr="00B53F64">
        <w:trPr>
          <w:trHeight w:val="67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INCORPORACION DE TIC´S Y FORMACION DE CAPACIDADES DE LAS MICROEMPRESAS DEL SECTOR TURISTICO CERTIFICADAS CON EL DISTINTIVO MODERNIZA EN EL ESTADO DE OAXACA PARA INCREMENTAR LA COMPETITIVIDAD</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65505225255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PARA ELEVAR LA CALIDAD DE LA EDUCACION SUPERIOR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65505229729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2015 CUENTA TRES</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65505335612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PARA ELEVAR LA CALIDAD DE LA EDUCACION SUPERIOR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65505229729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DE LA REFORMA EDUCATIVA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65505254549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259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EQUIPAMIENTO MOBILIARIO Y MATERIAL PARA EL CENDI 2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65505254504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SUR SURESTE FONSUR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65505254458</w:t>
            </w:r>
          </w:p>
        </w:tc>
      </w:tr>
    </w:tbl>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PROYECTOS DE DESARROLLO REGIONAL CUENTA DOS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65505263567</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PARA LA REALIZACION DE ACCIONES QUE COADYUVEN Y PROMUEVAN EL DESARROLLO INTEGRAL DE LA POBLACION JOVEN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65505267737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BANCO MUNDIAL FORTALECIMIENTO DE LAS CAPACIDADES DE GESTION PUBLICA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65505269906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DE CATEDRAS CONACYT UMAR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65505290360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FORMACION DE NUEVOS EMPRESARIOS UTSSO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65505290312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01-CNF/GEO/OAX/TF/2015-16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65505296605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FOPAOE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65505312996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FAPAC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65505313042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269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OFERTA EDUCATIVA SAN MIGUEL EL GRANDE 2011</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65505313073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SIMULACIÓN DINAMICA CONACYT UNPA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65505313238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ESTUDIO RESPUESTA MOLECULAR AL ESTRÉS CONACYT UNPA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65505313269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METAGENOMA DE SUELOS CONACYT UNPA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65505313301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BIODIVERSIDAD NOMENCLATURAL CONACYT-UMAR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65505313394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INST TEC SUP SAN MIGUEL EL GRANDE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65505313792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CAÑADA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65505313468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PAPALOAPAN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65505313499</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TECNOLOGICA DE LA MIXTECA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65505313514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ISTMO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65505313531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279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MAR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65505313605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SIERRA JUAREZ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65505313636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UABJO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65505313670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INST TEC SUP DE TEPOSCOLULA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65505313761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INST TEC SUP SAN MIGUEL EL GRANDE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65505313440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UNIVERSIDAD TECNOLOGICA DE VALLES CENTRALES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65505313912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SEGURO MEDICO PARA UNA NUEVA GENERACIÓN HNO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65505313943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BECALOS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65505313974</w:t>
            </w:r>
          </w:p>
        </w:tc>
      </w:tr>
      <w:tr w:rsidR="00133065" w:rsidRPr="00FF08CA" w:rsidTr="00B53F64">
        <w:trPr>
          <w:trHeight w:val="450"/>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ESQUEMAS DE FINANCIAMIENTO Y SUBSIDIO FEDERAL PARA VIVIENDA ESTA ES TU CASA 2011</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65505313991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PROGRAMA DE ESQ DE FINAC Y SUB FED PARA LA VIVIENDA ESTA ES TU CASA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65505314017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289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RECONSTRUCCION EN SITIO DE 1,306 VIVIENDAS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65505314048</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GUELAGUETZA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65505314065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PIBAI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65505314125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PIBAI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65505314187</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CENTRO DE LAS  ARTES SAN AGUSTIN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65505314034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CONAFOR PRODUCION DE PLANTA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65505314051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ADQUISICIÓN  DE PLANTAS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65505314082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INCENDIOS FORESTALES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65505314139</w:t>
            </w:r>
          </w:p>
        </w:tc>
      </w:tr>
    </w:tbl>
    <w:p w:rsidR="00133065" w:rsidRDefault="00133065" w:rsidP="00133065"/>
    <w:tbl>
      <w:tblPr>
        <w:tblW w:w="9450" w:type="dxa"/>
        <w:tblInd w:w="65" w:type="dxa"/>
        <w:tblCellMar>
          <w:left w:w="70" w:type="dxa"/>
          <w:right w:w="70" w:type="dxa"/>
        </w:tblCellMar>
        <w:tblLook w:val="04A0"/>
      </w:tblPr>
      <w:tblGrid>
        <w:gridCol w:w="680"/>
        <w:gridCol w:w="4570"/>
        <w:gridCol w:w="1320"/>
        <w:gridCol w:w="1600"/>
        <w:gridCol w:w="1280"/>
      </w:tblGrid>
      <w:tr w:rsidR="00133065" w:rsidRPr="00FF08CA" w:rsidTr="00B53F64">
        <w:trPr>
          <w:trHeight w:val="360"/>
        </w:trPr>
        <w:tc>
          <w:tcPr>
            <w:tcW w:w="68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Nº</w:t>
            </w:r>
          </w:p>
        </w:tc>
        <w:tc>
          <w:tcPr>
            <w:tcW w:w="4570"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F O N D O / P  R  O  G  R  A  M  A / C O N V E N I O</w:t>
            </w:r>
          </w:p>
        </w:tc>
        <w:tc>
          <w:tcPr>
            <w:tcW w:w="4200"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DATOS DE LA CUENTA BANCARIA</w:t>
            </w:r>
          </w:p>
        </w:tc>
      </w:tr>
      <w:tr w:rsidR="00133065" w:rsidRPr="00FF08CA" w:rsidTr="00B53F64">
        <w:trPr>
          <w:trHeight w:val="600"/>
        </w:trPr>
        <w:tc>
          <w:tcPr>
            <w:tcW w:w="68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4570" w:type="dxa"/>
            <w:vMerge/>
            <w:tcBorders>
              <w:top w:val="single" w:sz="4" w:space="0" w:color="auto"/>
              <w:left w:val="single" w:sz="4" w:space="0" w:color="auto"/>
              <w:bottom w:val="single" w:sz="4" w:space="0" w:color="auto"/>
              <w:right w:val="single" w:sz="4" w:space="0" w:color="auto"/>
            </w:tcBorders>
            <w:vAlign w:val="center"/>
            <w:hideMark/>
          </w:tcPr>
          <w:p w:rsidR="00133065" w:rsidRPr="00FF08CA" w:rsidRDefault="00133065" w:rsidP="00B53F64">
            <w:pPr>
              <w:rPr>
                <w:rFonts w:ascii="Calibri" w:hAnsi="Calibri"/>
                <w:b/>
                <w:bCs/>
                <w:sz w:val="16"/>
                <w:szCs w:val="16"/>
                <w:lang w:val="es-MX" w:eastAsia="es-MX"/>
              </w:rPr>
            </w:pPr>
          </w:p>
        </w:tc>
        <w:tc>
          <w:tcPr>
            <w:tcW w:w="132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AÑO DE APERTURA</w:t>
            </w:r>
          </w:p>
        </w:tc>
        <w:tc>
          <w:tcPr>
            <w:tcW w:w="160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xml:space="preserve"> INSTUTUCION BANCARIA </w:t>
            </w:r>
          </w:p>
        </w:tc>
        <w:tc>
          <w:tcPr>
            <w:tcW w:w="1280" w:type="dxa"/>
            <w:tcBorders>
              <w:top w:val="nil"/>
              <w:left w:val="nil"/>
              <w:bottom w:val="single" w:sz="4" w:space="0" w:color="auto"/>
              <w:right w:val="single" w:sz="4" w:space="0" w:color="auto"/>
            </w:tcBorders>
            <w:shd w:val="clear" w:color="000000" w:fill="D8D8D8"/>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CUENTA BANCARIA</w:t>
            </w:r>
          </w:p>
        </w:tc>
      </w:tr>
      <w:tr w:rsidR="00133065" w:rsidRPr="00FF08CA" w:rsidTr="00B53F64">
        <w:trPr>
          <w:trHeight w:val="300"/>
        </w:trPr>
        <w:tc>
          <w:tcPr>
            <w:tcW w:w="6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457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color w:val="000000"/>
                <w:sz w:val="22"/>
                <w:szCs w:val="22"/>
                <w:lang w:val="es-MX" w:eastAsia="es-MX"/>
              </w:rPr>
            </w:pPr>
            <w:r w:rsidRPr="00FF08CA">
              <w:rPr>
                <w:rFonts w:ascii="Calibri" w:hAnsi="Calibri"/>
                <w:color w:val="000000"/>
                <w:sz w:val="22"/>
                <w:szCs w:val="22"/>
                <w:lang w:val="es-MX" w:eastAsia="es-MX"/>
              </w:rPr>
              <w:t> </w:t>
            </w:r>
          </w:p>
        </w:tc>
        <w:tc>
          <w:tcPr>
            <w:tcW w:w="132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60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c>
          <w:tcPr>
            <w:tcW w:w="1280" w:type="dxa"/>
            <w:tcBorders>
              <w:top w:val="nil"/>
              <w:left w:val="nil"/>
              <w:bottom w:val="single" w:sz="4" w:space="0" w:color="auto"/>
              <w:right w:val="nil"/>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 </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FONDO DE PROTECCIÓN CONTRA GASTOS CATASTRÓFICOS HNO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65505314202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FONDO DE PROTECCIÓN CONTRA GASTOS CATASTRÓFICOS HNO 2013</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65505314281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299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PROYECTOS CULTURALES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65505314341</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DESARROLLO ZONAS PRIORITARIAS, OPCIONES PRODUCTIVAS Y 3X1 MIGRANTES 2012</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65505314372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 xml:space="preserve">GOB EDO OAX SEFIN FAM-FAIEB 2012 </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65505315350</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CONTINGENCIAS ECONOMICAS PARA INVERSION 2015 CUENTA SEIS</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65505325772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ADQUIRIR EL EQUIPO NECESARIO CONACYT UTM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65505302176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304</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APOYO DE CATEDRAS COMPUTO DE ALTO RENDIMIENTO CONACYT UTM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65505302114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305</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FONDO PARA LA ACCESIBILIDAD PARA LAS PERSONAS CON DISCAPACIDAD 2015</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65505312414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306</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SIERRA SUR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65505349624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307</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PAPALOAPAN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65505349686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308</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 LA SIERRA SUR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65505349624</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309</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UNIVERSIDAD DEL PAPALOAPAN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65505349686</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310</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RECONOCIMIENTO DE PLANTILLAS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65505353372</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311</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FECES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65505353415</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312</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CARRERA DOCENTE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65505353463</w:t>
            </w:r>
          </w:p>
        </w:tc>
      </w:tr>
      <w:tr w:rsidR="00133065" w:rsidRPr="00FF08CA" w:rsidTr="00B53F64">
        <w:trPr>
          <w:trHeight w:val="225"/>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313</w:t>
            </w:r>
          </w:p>
        </w:tc>
        <w:tc>
          <w:tcPr>
            <w:tcW w:w="457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rPr>
                <w:rFonts w:ascii="Calibri" w:hAnsi="Calibri"/>
                <w:sz w:val="16"/>
                <w:szCs w:val="16"/>
                <w:lang w:val="es-MX" w:eastAsia="es-MX"/>
              </w:rPr>
            </w:pPr>
            <w:r w:rsidRPr="00FF08CA">
              <w:rPr>
                <w:rFonts w:ascii="Calibri" w:hAnsi="Calibri"/>
                <w:sz w:val="16"/>
                <w:szCs w:val="16"/>
                <w:lang w:val="es-MX" w:eastAsia="es-MX"/>
              </w:rPr>
              <w:t>GOB EDO OAX SEFIN PRODEP UABJO 2016</w:t>
            </w:r>
          </w:p>
        </w:tc>
        <w:tc>
          <w:tcPr>
            <w:tcW w:w="132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2015</w:t>
            </w:r>
          </w:p>
        </w:tc>
        <w:tc>
          <w:tcPr>
            <w:tcW w:w="160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b/>
                <w:bCs/>
                <w:sz w:val="16"/>
                <w:szCs w:val="16"/>
                <w:lang w:val="es-MX" w:eastAsia="es-MX"/>
              </w:rPr>
            </w:pPr>
            <w:r w:rsidRPr="00FF08CA">
              <w:rPr>
                <w:rFonts w:ascii="Calibri" w:hAnsi="Calibri"/>
                <w:b/>
                <w:bCs/>
                <w:sz w:val="16"/>
                <w:szCs w:val="16"/>
                <w:lang w:val="es-MX" w:eastAsia="es-MX"/>
              </w:rPr>
              <w:t>SANTANDER</w:t>
            </w:r>
          </w:p>
        </w:tc>
        <w:tc>
          <w:tcPr>
            <w:tcW w:w="1280" w:type="dxa"/>
            <w:tcBorders>
              <w:top w:val="nil"/>
              <w:left w:val="nil"/>
              <w:bottom w:val="single" w:sz="4" w:space="0" w:color="auto"/>
              <w:right w:val="single" w:sz="4" w:space="0" w:color="auto"/>
            </w:tcBorders>
            <w:shd w:val="clear" w:color="auto" w:fill="auto"/>
            <w:vAlign w:val="center"/>
            <w:hideMark/>
          </w:tcPr>
          <w:p w:rsidR="00133065" w:rsidRPr="00FF08CA" w:rsidRDefault="00133065" w:rsidP="00B53F64">
            <w:pPr>
              <w:jc w:val="center"/>
              <w:rPr>
                <w:rFonts w:ascii="Calibri" w:hAnsi="Calibri"/>
                <w:sz w:val="16"/>
                <w:szCs w:val="16"/>
                <w:lang w:val="es-MX" w:eastAsia="es-MX"/>
              </w:rPr>
            </w:pPr>
            <w:r w:rsidRPr="00FF08CA">
              <w:rPr>
                <w:rFonts w:ascii="Calibri" w:hAnsi="Calibri"/>
                <w:sz w:val="16"/>
                <w:szCs w:val="16"/>
                <w:lang w:val="es-MX" w:eastAsia="es-MX"/>
              </w:rPr>
              <w:t>65505353494</w:t>
            </w:r>
          </w:p>
        </w:tc>
      </w:tr>
    </w:tbl>
    <w:p w:rsidR="00133065" w:rsidRDefault="00133065" w:rsidP="00133065">
      <w:pPr>
        <w:spacing w:line="22" w:lineRule="atLeast"/>
        <w:jc w:val="both"/>
        <w:rPr>
          <w:rFonts w:ascii="Arial" w:hAnsi="Arial" w:cs="Arial"/>
          <w:b/>
          <w:spacing w:val="20"/>
        </w:rPr>
      </w:pPr>
    </w:p>
    <w:p w:rsidR="009E615F" w:rsidRDefault="009E615F" w:rsidP="000708E7">
      <w:pPr>
        <w:rPr>
          <w:rFonts w:ascii="Arial" w:hAnsi="Arial" w:cs="Arial"/>
          <w:b/>
        </w:rPr>
      </w:pPr>
    </w:p>
    <w:p w:rsidR="00133065" w:rsidRDefault="00133065" w:rsidP="000708E7">
      <w:pPr>
        <w:rPr>
          <w:rFonts w:ascii="Arial" w:hAnsi="Arial" w:cs="Arial"/>
          <w:b/>
        </w:rPr>
      </w:pPr>
    </w:p>
    <w:p w:rsidR="00133065" w:rsidRDefault="00133065">
      <w:pPr>
        <w:rPr>
          <w:rFonts w:ascii="Arial" w:hAnsi="Arial" w:cs="Arial"/>
          <w:b/>
        </w:rPr>
      </w:pPr>
      <w:r>
        <w:rPr>
          <w:rFonts w:ascii="Arial" w:hAnsi="Arial" w:cs="Arial"/>
          <w:b/>
        </w:rPr>
        <w:br w:type="page"/>
      </w:r>
    </w:p>
    <w:p w:rsidR="00133065" w:rsidRDefault="00133065" w:rsidP="00133065">
      <w:pPr>
        <w:rPr>
          <w:rFonts w:ascii="Arial" w:hAnsi="Arial" w:cs="Arial"/>
          <w:b/>
        </w:rPr>
      </w:pPr>
      <w:r w:rsidRPr="00E474D1">
        <w:rPr>
          <w:rFonts w:ascii="Arial" w:hAnsi="Arial" w:cs="Arial"/>
          <w:b/>
        </w:rPr>
        <w:lastRenderedPageBreak/>
        <w:t>14.3.</w:t>
      </w:r>
      <w:r>
        <w:rPr>
          <w:rFonts w:ascii="Arial" w:hAnsi="Arial" w:cs="Arial"/>
          <w:b/>
        </w:rPr>
        <w:t>3.- ANALITICO DE PLAZAS</w:t>
      </w:r>
    </w:p>
    <w:p w:rsidR="00133065" w:rsidRDefault="00133065" w:rsidP="000708E7">
      <w:pPr>
        <w:rPr>
          <w:rFonts w:ascii="Arial" w:hAnsi="Arial" w:cs="Arial"/>
          <w:b/>
        </w:rPr>
      </w:pPr>
    </w:p>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133065">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133065">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133065">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r w:rsidR="00133065" w:rsidRPr="00133065" w:rsidTr="00133065">
        <w:trPr>
          <w:trHeight w:val="225"/>
          <w:jc w:val="center"/>
        </w:trPr>
        <w:tc>
          <w:tcPr>
            <w:tcW w:w="4480" w:type="dxa"/>
            <w:tcBorders>
              <w:top w:val="nil"/>
              <w:left w:val="nil"/>
              <w:bottom w:val="nil"/>
              <w:right w:val="nil"/>
            </w:tcBorders>
            <w:shd w:val="clear" w:color="auto" w:fill="auto"/>
            <w:vAlign w:val="center"/>
            <w:hideMark/>
          </w:tcPr>
          <w:p w:rsidR="00133065" w:rsidRPr="00133065" w:rsidRDefault="00133065" w:rsidP="00133065">
            <w:pPr>
              <w:jc w:val="center"/>
              <w:rPr>
                <w:rFonts w:ascii="Arial" w:hAnsi="Arial" w:cs="Arial"/>
                <w:color w:val="000000"/>
                <w:sz w:val="16"/>
                <w:szCs w:val="16"/>
                <w:lang w:val="es-MX" w:eastAsia="es-MX"/>
              </w:rPr>
            </w:pPr>
          </w:p>
        </w:tc>
        <w:tc>
          <w:tcPr>
            <w:tcW w:w="1220" w:type="dxa"/>
            <w:tcBorders>
              <w:top w:val="nil"/>
              <w:left w:val="nil"/>
              <w:bottom w:val="nil"/>
              <w:right w:val="nil"/>
            </w:tcBorders>
            <w:shd w:val="clear" w:color="auto" w:fill="auto"/>
            <w:vAlign w:val="center"/>
            <w:hideMark/>
          </w:tcPr>
          <w:p w:rsidR="00133065" w:rsidRPr="00133065" w:rsidRDefault="00133065" w:rsidP="00133065">
            <w:pPr>
              <w:jc w:val="center"/>
              <w:rPr>
                <w:rFonts w:ascii="Arial" w:hAnsi="Arial" w:cs="Arial"/>
                <w:color w:val="000000"/>
                <w:sz w:val="16"/>
                <w:szCs w:val="16"/>
                <w:lang w:val="es-MX" w:eastAsia="es-MX"/>
              </w:rPr>
            </w:pPr>
          </w:p>
        </w:tc>
        <w:tc>
          <w:tcPr>
            <w:tcW w:w="1340" w:type="dxa"/>
            <w:tcBorders>
              <w:top w:val="nil"/>
              <w:left w:val="nil"/>
              <w:bottom w:val="nil"/>
              <w:right w:val="nil"/>
            </w:tcBorders>
            <w:shd w:val="clear" w:color="auto" w:fill="auto"/>
            <w:vAlign w:val="center"/>
            <w:hideMark/>
          </w:tcPr>
          <w:p w:rsidR="00133065" w:rsidRPr="00133065" w:rsidRDefault="00133065" w:rsidP="00133065">
            <w:pPr>
              <w:jc w:val="center"/>
              <w:rPr>
                <w:rFonts w:ascii="Arial" w:hAnsi="Arial" w:cs="Arial"/>
                <w:color w:val="000000"/>
                <w:sz w:val="16"/>
                <w:szCs w:val="16"/>
                <w:lang w:val="es-MX" w:eastAsia="es-MX"/>
              </w:rPr>
            </w:pPr>
          </w:p>
        </w:tc>
        <w:tc>
          <w:tcPr>
            <w:tcW w:w="1340" w:type="dxa"/>
            <w:tcBorders>
              <w:top w:val="nil"/>
              <w:left w:val="nil"/>
              <w:bottom w:val="nil"/>
              <w:right w:val="nil"/>
            </w:tcBorders>
            <w:shd w:val="clear" w:color="auto" w:fill="auto"/>
            <w:vAlign w:val="center"/>
            <w:hideMark/>
          </w:tcPr>
          <w:p w:rsidR="00133065" w:rsidRPr="00133065" w:rsidRDefault="00133065" w:rsidP="00133065">
            <w:pPr>
              <w:jc w:val="center"/>
              <w:rPr>
                <w:rFonts w:ascii="Arial" w:hAnsi="Arial" w:cs="Arial"/>
                <w:color w:val="000000"/>
                <w:sz w:val="16"/>
                <w:szCs w:val="16"/>
                <w:lang w:val="es-MX" w:eastAsia="es-MX"/>
              </w:rPr>
            </w:pP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auto"/>
            </w:tcBorders>
            <w:shd w:val="clear" w:color="000000" w:fill="FFC000"/>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DEPENDENCIAS Y ENTIDADES DE LA ASMINISTRACION PUBLICA CENTRAL</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16A</w:t>
            </w:r>
          </w:p>
        </w:tc>
        <w:tc>
          <w:tcPr>
            <w:tcW w:w="122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10,096.00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10,096.00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16B</w:t>
            </w:r>
          </w:p>
        </w:tc>
        <w:tc>
          <w:tcPr>
            <w:tcW w:w="122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10,479.00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10,479.00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17A</w:t>
            </w:r>
          </w:p>
        </w:tc>
        <w:tc>
          <w:tcPr>
            <w:tcW w:w="122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11,876.00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11,876.00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17B</w:t>
            </w:r>
          </w:p>
        </w:tc>
        <w:tc>
          <w:tcPr>
            <w:tcW w:w="122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12,845.00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12,845.00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18A</w:t>
            </w:r>
          </w:p>
        </w:tc>
        <w:tc>
          <w:tcPr>
            <w:tcW w:w="122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13,893.00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13,893.00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19A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14,680.00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14,680.00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20A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15,761.00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15,761.00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21A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18,009.00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18,009.00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22A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36,353.00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36,353.00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22B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36,353.00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36,353.00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23A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45,331.00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45,331.00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24A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49,820.00</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49,820.00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25A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000000" w:fill="FFFFFF"/>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97,828.00</w:t>
            </w:r>
          </w:p>
        </w:tc>
        <w:tc>
          <w:tcPr>
            <w:tcW w:w="1340" w:type="dxa"/>
            <w:tcBorders>
              <w:top w:val="nil"/>
              <w:left w:val="nil"/>
              <w:bottom w:val="single" w:sz="4" w:space="0" w:color="auto"/>
              <w:right w:val="single" w:sz="4" w:space="0" w:color="auto"/>
            </w:tcBorders>
            <w:shd w:val="clear" w:color="000000" w:fill="FFFFFF"/>
            <w:noWrap/>
            <w:vAlign w:val="center"/>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97,828.00</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9900"/>
            <w:noWrap/>
            <w:vAlign w:val="center"/>
            <w:hideMark/>
          </w:tcPr>
          <w:p w:rsidR="00133065" w:rsidRPr="00133065" w:rsidRDefault="00133065" w:rsidP="00133065">
            <w:pPr>
              <w:jc w:val="center"/>
              <w:rPr>
                <w:rFonts w:ascii="Arial" w:hAnsi="Arial" w:cs="Arial"/>
                <w:b/>
                <w:bCs/>
                <w:sz w:val="16"/>
                <w:szCs w:val="16"/>
                <w:lang w:val="es-MX" w:eastAsia="es-MX"/>
              </w:rPr>
            </w:pPr>
            <w:r w:rsidRPr="00133065">
              <w:rPr>
                <w:rFonts w:ascii="Arial" w:hAnsi="Arial" w:cs="Arial"/>
                <w:b/>
                <w:bCs/>
                <w:sz w:val="16"/>
                <w:szCs w:val="16"/>
                <w:lang w:val="es-MX" w:eastAsia="es-MX"/>
              </w:rPr>
              <w:t>COLEGIO DE BACHILLERES DEL ESTADO DE OAXACA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3</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5,149.59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5,149.59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4</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5,320.79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5,320.79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5</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5,511.30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5,511.30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6</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5,694.17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5,694.17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7</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5,929.28</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5,929.28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8</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6,165.61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6,165.61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9</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6,364.71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6,364.71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10</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6,621.16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6,621.16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11</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6,893.61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6,893.61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12</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6,924.43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6,924.43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13</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7,223.30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7,223.30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14</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7,646.10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7,646.10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15</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8,090.39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8,090.39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16</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8,543.98</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8,543.98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16A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9,102.74</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9,102.74</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16B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9,684.67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9,684.67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16C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10,314.36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10,314.36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NIVEL 16D</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10,648.17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10,648.17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ASOC. B 1/2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6,600.12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6,600.12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ASOC. C 1/2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6,977.67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6,977.67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ASOC. C 3/4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6,674.67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6,674.67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ASOC. C T.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12,260.32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12,260.32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A 1/2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7,844.67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7,844.67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B 1/2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8,994.58</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8,994.58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A 3/4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10,885.06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10,885.06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B 3/4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12,532.32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12,532.32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A T.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13,873.91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13,873.91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B T.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16,215.20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16,215.20</w:t>
            </w:r>
          </w:p>
        </w:tc>
      </w:tr>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lastRenderedPageBreak/>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C T. C.</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18,956.09</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18,956.09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TEC. DOC. ASOC. C 1/2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6,164.95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6,164.95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TEC. DOC. ASOC. C 3/4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8,242.75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8,242.75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C 1/2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10,213.34</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10,213.34</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PROFR. TITULAR C 3/4 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14,360.36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14,360.36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62,183.51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62,183.51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COORDINADOR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19,969.07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19,969.07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AREA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34,257.99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34,257.99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AREA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21,074.97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21,074.97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17,482.17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17,482.17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MATERIA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12,048.16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12,048.16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PLANTEL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28,176.60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28,176.60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PLANTEL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24,764.36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24,764.36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PLANTEL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21,559.78</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21,559.78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 DE PLANTEL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20,964.38</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20,964.38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 DE PLANTEL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18,255.61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18,255.61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RESPONSABLE DE C. E.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12,183.10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12,183.10</w:t>
            </w:r>
          </w:p>
        </w:tc>
      </w:tr>
      <w:tr w:rsidR="00133065" w:rsidRPr="00133065" w:rsidTr="00133065">
        <w:trPr>
          <w:trHeight w:val="450"/>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bottom"/>
            <w:hideMark/>
          </w:tcPr>
          <w:p w:rsidR="00133065" w:rsidRPr="00133065" w:rsidRDefault="00133065" w:rsidP="00133065">
            <w:pPr>
              <w:jc w:val="center"/>
              <w:rPr>
                <w:rFonts w:ascii="Arial" w:hAnsi="Arial" w:cs="Arial"/>
                <w:b/>
                <w:bCs/>
                <w:sz w:val="16"/>
                <w:szCs w:val="16"/>
                <w:lang w:val="es-MX" w:eastAsia="es-MX"/>
              </w:rPr>
            </w:pPr>
            <w:r w:rsidRPr="00133065">
              <w:rPr>
                <w:rFonts w:ascii="Arial" w:hAnsi="Arial" w:cs="Arial"/>
                <w:b/>
                <w:bCs/>
                <w:sz w:val="16"/>
                <w:szCs w:val="16"/>
                <w:lang w:val="es-MX" w:eastAsia="es-MX"/>
              </w:rPr>
              <w:t>COLEGIO DE ESTUDIOS CIENTIFICOS Y TECNOLOGICOS DEL ESTADO DE OAXACA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119,780.30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119,780.30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AREA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60,247.15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60,247.15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AREA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46,243.65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46,243.65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ASESOR DE 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37,218.25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37,218.25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SECRETARIO TECNICO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37,218.25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37,218.25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SECRETARIO PARTICULAR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37,218.25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37,218.25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37,218.25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37,218.25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DE 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7,227.65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7,227.65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SUPERVISOR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8,907.15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8,907.15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INGENIERO EN SISTEMAS</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8,907.15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8,907.15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DE DIRECTOR DE AREA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6,069.85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6,069.85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PLANTEL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32,833.35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32,833.35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PLANTEL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24,134.55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24,134.55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COORDINADOR DE PLANTEL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23,363.05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23,363.05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EMSAD MOD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15,325.34</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15,325.34</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EMSAD MOD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17,624.15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17,624.15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EMSAD MOD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20,267.73</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20,267.73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EMSAD MOD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11,417.33</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11,417.33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EMSAD MOD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13,129.82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13,129.82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EMSAD MOD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15,099.32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15,099.32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ENCARGADO DE LA SALA DE COMPUTO MOD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6,853.81</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6,853.81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ENCARGADO DE LA SALA DE COMPUTO MOD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7,881.85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7,881.85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OFICIAL DE SERVICIOS</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4,592.79</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4,592.79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AUXILIAR DE SERVICIOS Y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4,443.29</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4,443.29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VIGILANTE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TAQUIMECANOGRAFA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r>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lastRenderedPageBreak/>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ALMACENISTA</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BIBLIOTECARIO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5,124.05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5,124.05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OFICIAL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4,645.88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SECRETARIO DE DIRECTOR DE PLANTEL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5,681.92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5,681.92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OPERADOR DE EQUIPO TIPOGRAFICO ESPECIALIZADO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5,124.05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5,124.05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ENFERMERA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5,966.36</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5,966.36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CAPTURISTA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5,681.92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5,681.92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LABORATORISTA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5,681.92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5,681.92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ENCARGADO DE ORDEN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5,681.92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5,681.92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TRABAJADOR SOCIAL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6,269.71</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6,269.71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PROGRAMADOR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7,311.20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7,311.20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ANALISTA ESPECIALIZADO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7,311.20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7,311.20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OFICINA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7,846.49</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7,846.49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TECNICO ESPECIALIZADO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7,846.49</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7,846.49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DOCENTE HORAS CLASE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11,715.75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11,715.75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ASOCIADO "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12,821.32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12,821.32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ASOCIADO "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14,423.90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14,423.90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16,646.41</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16,646.41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19,676.21</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19,676.21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ASOCIADO "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19,231.87</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19,231.87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ASOCIADO "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21,635.80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21,635.80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24,969.62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24,969.62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29,514.36</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29,514.36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ASOCIADO "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25,642.53</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25,642.53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ASOCIADO "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28,847.70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28,847.70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33,292.82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33,292.82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39,352.42</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39,352.42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AUXILIAR DE SERVICIOS Y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4,392.50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4,392.50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VIGILANTE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TAQUIMECANOGRAFA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ALMACENISTA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BIBLIOTECARIO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5,065.50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5,065.50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OFICIAL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4,592.80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SECRETARIO DE DIRECTOR DE PLANTEL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5,617.00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5,617.00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OPERADOR DE EQUIPO TIPOGRAFICO ESPECIALIZADO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5,065.50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5,065.50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ENFERMERA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5,898.20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5,898.20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CAPTURISTA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5,617.00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5,617.00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LABORATORISTA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5,617.00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5,617.00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ENCARGADO DE ORDEN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5,617.00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5,617.00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TRABAJADOR SOCIAL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6,198.05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6,198.05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PROGRAMADOR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7,227.65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7,227.65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ANALISTA ESPECIALIZADO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7,227.65</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7,227.65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OFICINA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7,756.80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7,756.80</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TECNICO ESPECIALIZADO</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7,756.80</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7,756.80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DOCENTE HORAS CLASE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5,881.00</w:t>
            </w:r>
          </w:p>
        </w:tc>
        <w:tc>
          <w:tcPr>
            <w:tcW w:w="1340" w:type="dxa"/>
            <w:tcBorders>
              <w:top w:val="nil"/>
              <w:left w:val="nil"/>
              <w:bottom w:val="single" w:sz="4" w:space="0" w:color="auto"/>
              <w:right w:val="single" w:sz="4" w:space="0" w:color="auto"/>
            </w:tcBorders>
            <w:shd w:val="clear" w:color="auto" w:fill="auto"/>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5,881.00</w:t>
            </w:r>
          </w:p>
        </w:tc>
      </w:tr>
      <w:tr w:rsidR="00133065" w:rsidRPr="00133065" w:rsidTr="00133065">
        <w:trPr>
          <w:trHeight w:val="390"/>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COLEGIO SUPERIOR PARA LA EDUCACION INTEGRAL INTERCULTURAL DE OAXACA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ASESOR (A) INVESTIGADOR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4,606.62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4,606.62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ASESOR (A) INVESTIGADOR  3A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4,676.24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4,676.24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ASESOR (A) INVESTIGADOR  3B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4,711.05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4,711.05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ASESOR (A) INVESTIGADOR  5NT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4,780.70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4,780.70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ASESOR (A) INVESTIGADOR  5A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4,954.75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4,954.75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ASESOR (A) INVESTIGADOR  5B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5,024.39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5,024.39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ASESOR (A) INVESTIGADOR  5C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5,128.82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5,128.82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ASESOR (A) INVESTIGADOR  5C1</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5,198.45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5,198.45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TECNICO ESPECIALIZADO 15  5NT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3,586.43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3,586.43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SECRETARIA(O)  DE PLANTEL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2,472.89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2,472.89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SECRETARIA(O)  DE PLANTEL 5NT</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2,557.90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2,557.90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INTENDENTE DE PLANTEL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1,753.22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1,753.22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INTENDENTE DE PLANTEL       5NT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1,806.32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xml:space="preserve">             1,806.32 </w:t>
            </w:r>
          </w:p>
        </w:tc>
      </w:tr>
      <w:tr w:rsidR="00133065" w:rsidRPr="00133065" w:rsidTr="00133065">
        <w:trPr>
          <w:trHeight w:val="660"/>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bottom"/>
            <w:hideMark/>
          </w:tcPr>
          <w:p w:rsidR="00133065" w:rsidRPr="00133065" w:rsidRDefault="00133065" w:rsidP="00133065">
            <w:pPr>
              <w:jc w:val="center"/>
              <w:rPr>
                <w:rFonts w:ascii="Arial" w:hAnsi="Arial" w:cs="Arial"/>
                <w:b/>
                <w:bCs/>
                <w:sz w:val="16"/>
                <w:szCs w:val="16"/>
                <w:lang w:val="es-MX" w:eastAsia="es-MX"/>
              </w:rPr>
            </w:pPr>
            <w:r w:rsidRPr="00133065">
              <w:rPr>
                <w:rFonts w:ascii="Arial" w:hAnsi="Arial" w:cs="Arial"/>
                <w:b/>
                <w:bCs/>
                <w:sz w:val="16"/>
                <w:szCs w:val="16"/>
                <w:lang w:val="es-MX" w:eastAsia="es-MX"/>
              </w:rPr>
              <w:t>COMISION ESTATAL PARA LA PLANEACION DE LA EDUCACION SUPERIOR EN EL ESTADO DE OAXACA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12</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6,997.03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6,997.03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6</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5,664.10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5,664.10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6</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5,366.30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5,366.30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3</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5,167.89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5,167.89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22A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20,409.71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20,409.71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17B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sz w:val="16"/>
                <w:szCs w:val="16"/>
                <w:lang w:val="es-MX" w:eastAsia="es-MX"/>
              </w:rPr>
            </w:pPr>
            <w:r w:rsidRPr="00133065">
              <w:rPr>
                <w:rFonts w:ascii="Arial" w:hAnsi="Arial" w:cs="Arial"/>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11,191.97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11,191.97</w:t>
            </w:r>
          </w:p>
        </w:tc>
      </w:tr>
      <w:tr w:rsidR="00133065" w:rsidRPr="00133065" w:rsidTr="00133065">
        <w:trPr>
          <w:trHeight w:val="70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bottom"/>
            <w:hideMark/>
          </w:tcPr>
          <w:p w:rsidR="00133065" w:rsidRPr="00133065" w:rsidRDefault="00133065" w:rsidP="00133065">
            <w:pPr>
              <w:jc w:val="center"/>
              <w:rPr>
                <w:rFonts w:ascii="Arial" w:hAnsi="Arial" w:cs="Arial"/>
                <w:b/>
                <w:bCs/>
                <w:sz w:val="16"/>
                <w:szCs w:val="16"/>
                <w:lang w:val="es-MX" w:eastAsia="es-MX"/>
              </w:rPr>
            </w:pPr>
            <w:r w:rsidRPr="00133065">
              <w:rPr>
                <w:rFonts w:ascii="Arial" w:hAnsi="Arial" w:cs="Arial"/>
                <w:b/>
                <w:bCs/>
                <w:sz w:val="16"/>
                <w:szCs w:val="16"/>
                <w:lang w:val="es-MX" w:eastAsia="es-MX"/>
              </w:rPr>
              <w:t>COMISION ESTATAL PARA LA PLANEACION Y PROGRAMACION EN LA EDUCACION MEDIA SUPERIOR EN EL ESTADO DE OAXACA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12</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center"/>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6,449.26</w:t>
            </w:r>
          </w:p>
        </w:tc>
        <w:tc>
          <w:tcPr>
            <w:tcW w:w="1340" w:type="dxa"/>
            <w:tcBorders>
              <w:top w:val="nil"/>
              <w:left w:val="nil"/>
              <w:bottom w:val="single" w:sz="4" w:space="0" w:color="auto"/>
              <w:right w:val="single" w:sz="4" w:space="0" w:color="auto"/>
            </w:tcBorders>
            <w:shd w:val="clear" w:color="auto" w:fill="auto"/>
            <w:vAlign w:val="center"/>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6,449.26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16A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center"/>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7,782.00</w:t>
            </w:r>
          </w:p>
        </w:tc>
        <w:tc>
          <w:tcPr>
            <w:tcW w:w="1340" w:type="dxa"/>
            <w:tcBorders>
              <w:top w:val="nil"/>
              <w:left w:val="nil"/>
              <w:bottom w:val="single" w:sz="4" w:space="0" w:color="auto"/>
              <w:right w:val="single" w:sz="4" w:space="0" w:color="auto"/>
            </w:tcBorders>
            <w:shd w:val="clear" w:color="auto" w:fill="auto"/>
            <w:vAlign w:val="center"/>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7,782.00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16A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center"/>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9,927.60</w:t>
            </w:r>
          </w:p>
        </w:tc>
        <w:tc>
          <w:tcPr>
            <w:tcW w:w="1340" w:type="dxa"/>
            <w:tcBorders>
              <w:top w:val="nil"/>
              <w:left w:val="nil"/>
              <w:bottom w:val="single" w:sz="4" w:space="0" w:color="auto"/>
              <w:right w:val="single" w:sz="4" w:space="0" w:color="auto"/>
            </w:tcBorders>
            <w:shd w:val="clear" w:color="auto" w:fill="auto"/>
            <w:vAlign w:val="center"/>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9,927.60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21A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vAlign w:val="center"/>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18,383.35</w:t>
            </w:r>
          </w:p>
        </w:tc>
        <w:tc>
          <w:tcPr>
            <w:tcW w:w="1340" w:type="dxa"/>
            <w:tcBorders>
              <w:top w:val="nil"/>
              <w:left w:val="nil"/>
              <w:bottom w:val="single" w:sz="4" w:space="0" w:color="auto"/>
              <w:right w:val="single" w:sz="4" w:space="0" w:color="auto"/>
            </w:tcBorders>
            <w:shd w:val="clear" w:color="auto" w:fill="auto"/>
            <w:vAlign w:val="center"/>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18,383.35</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000000"/>
              <w:right w:val="single" w:sz="4" w:space="0" w:color="000000"/>
            </w:tcBorders>
            <w:shd w:val="clear" w:color="000000" w:fill="FFC000"/>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CONSEJO OAXAQUEÑO DE CIENCIA Y TECNOLOGIA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36,273.00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36,273.00 </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lastRenderedPageBreak/>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DISEÑO Y ENLACE</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26,517.00 </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26,517.00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INSTRUMENTACIÓN DE FONDOS</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18,383.00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18,383.00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PLANEACIÓN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18,383.00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18,383.00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VINCULACIÓN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18,383.00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18,383.00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16A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10,107.56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10,107.56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17A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11,805.46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11,805.46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13</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8,188.90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8,188.90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7</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6,524.64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6,524.64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6</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6,393.50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6,393.50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4</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5,094.60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5,094.60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3A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5,016.70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5,016.70 </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INSTITUTO DE ESTUDIOS DE BACHILLERATO DEL ESTADO DE OAXACA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24,295.53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24,295.53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DIRECTOR DE AREA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11,212.94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11,212.94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8,446.69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8,446.69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13</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10,695.86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10,695.86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13A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10,896.95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10,896.95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13B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11,486.88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11,486.88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13C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11,887.46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11,887.46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13D</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12,272.63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12,272.63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13E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12,989.59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12,989.59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10A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9,095.79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9,095.79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4A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7,674.16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7,674.16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3A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7,365.74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7,365.74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noWrap/>
            <w:vAlign w:val="bottom"/>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INSTITUTO TECNOLOGICO DE SAN MIGUEL EL GRANDE</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31,499.45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31,499.45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DE AREA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27,213.05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27,213.05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AREA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24,355.10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24,355.10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DIVISION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21,049.90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21,049.90</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lastRenderedPageBreak/>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DPTO.</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14,923.60</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14,923.60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ALMACENISTA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3,949.75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3,949.75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ANALISTA ESPECIALIZADO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6,426.20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6,426.20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ANALISTA TECNICO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5,547.35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5,547.35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BIBLIOTECARIO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4,132.35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4,132.35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CAPTURISTA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4,780.00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4,780.00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DE DIRECTOR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4,780.00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4,780.00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ING. EN SISTEMAS</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7,458.70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7,458.70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INTENDENTE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3,949.75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3,949.75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OFICINA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6,116.00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6,116.00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LABORATORISTA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4,550.35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4,550.35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MEDICO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6,426.20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6,426.20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PROGRAMADOR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6,116.00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6,116.00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PSICOLOGO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6,426.20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6,426.20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JEFE DPTO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4,335.80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4,335.80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SRIA. DE SUBDIRECTOR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5,024.90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5,024.90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SRIA. 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6,116.00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6,116.00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TEC EN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4,132.35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4,132.35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TECNICO ESPECIALIZADO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6,753.85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6,753.85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VIGILANTE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3,664.85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3,664.85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ASOCIADO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11,194.10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11,194.10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ASIGNATURA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284.05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284.05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PROFESOR ASIGNATURA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323.85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color w:val="000000"/>
                <w:sz w:val="16"/>
                <w:szCs w:val="16"/>
                <w:lang w:val="es-MX" w:eastAsia="es-MX"/>
              </w:rPr>
            </w:pPr>
            <w:r w:rsidRPr="00133065">
              <w:rPr>
                <w:rFonts w:ascii="Arial" w:hAnsi="Arial" w:cs="Arial"/>
                <w:color w:val="000000"/>
                <w:sz w:val="16"/>
                <w:szCs w:val="16"/>
                <w:lang w:val="es-MX" w:eastAsia="es-MX"/>
              </w:rPr>
              <w:t>323.85</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bottom"/>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INSTITUTO TECNOLOGICO SUPERIOR DE TEPOSCOLULA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Director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24,436.49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24,436.49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de Planeación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19,393.35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19,393.35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Subdirector académico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19,393.35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19,393.35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División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17,049.60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17,049.60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División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17,049.60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17,049.60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División</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17,049.60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17,049.60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12,597.58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12,597.58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12,597.58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12,597.58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12,597.58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12,597.58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12,597.58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12,597.58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12,992.50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12,992.50 </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NOVA-UNIVERSITAS</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55,338.96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55,338.96 </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lastRenderedPageBreak/>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VICE-RECTOR</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24,804.50 </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24,804.50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ABOGADO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16,945.27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16,945.27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AUDITOR INTERNO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13,377.96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13,377.96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15,690.72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15,690.72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13,377.97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13,377.97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12,203.92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12,203.92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SRIO. PARTICUAL 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13,377.97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13,377.97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10,352.06 </w:t>
            </w:r>
          </w:p>
        </w:tc>
        <w:tc>
          <w:tcPr>
            <w:tcW w:w="1340" w:type="dxa"/>
            <w:tcBorders>
              <w:top w:val="nil"/>
              <w:left w:val="nil"/>
              <w:bottom w:val="single" w:sz="4" w:space="0" w:color="auto"/>
              <w:right w:val="single" w:sz="4" w:space="0" w:color="auto"/>
            </w:tcBorders>
            <w:shd w:val="clear" w:color="auto" w:fill="auto"/>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10,352.06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9,984.41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9,984.41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7,349.44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7,349.44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25,704.00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25,704.00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22,446.35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22,446.35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17,982.59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17,982.59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15,302.92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15,302.92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12,541.11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12,541.11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9,782.20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9,782.20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TECNICO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7,943.27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7,943.27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11,333.61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11,333.61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8,032.35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8,032.35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6,445.72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6,445.72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6,524.91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6,524.91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5,893.42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5,893.42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5,275.15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5,275.15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OFICIAL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5,683.36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5,683.36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AUXILIAR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4,732.10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4,732.10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ENFERMERA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5,275.15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5,275.15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AUXILIAR ADMINISTRATIVO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5,275.15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5,275.15 </w:t>
            </w:r>
          </w:p>
        </w:tc>
      </w:tr>
    </w:tbl>
    <w:p w:rsidR="00133065" w:rsidRDefault="00133065"/>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INTENDENTE </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4,347.06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4,347.06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JARDINERO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4,347.06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4,347.06 </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UNIVERSIDAD DE LA CAÑADA</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54,485.29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54,485.29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VICE-RECTOR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24,543.46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24,543.46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ABOGADO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16,803.82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16,803.82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AUDITOR INTERNO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13,285.65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13,285.65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SRIO. PARTICUAL 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13,285.65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13,285.65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15,568.92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15,568.92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13,285.65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13,285.65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12,127.47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12,127.47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10,301.18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10,301.18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9,580.61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9,580.61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7,328.62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7,328.62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25,425.11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25,425.11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22,221.02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22,221.02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17,825.08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17,825.08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15,184.80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15,184.80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12,460.77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12,460.77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9,739.72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9,739.72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TECNICO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7,920.23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7,920.23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11,269.66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11,269.66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8,009.55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8,009.55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6,426.73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6,426.73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6,506.40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6,506.40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5,876.32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5,876.32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5,260.36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5,260.36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AUXILIAR ADMINISTRATIVO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5,260.36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5,260.36 </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ENFERMERA</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5,260.36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5,260.36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OFICIAL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5,667.13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5,667.13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VELADOR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5,667.13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5,667.13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AUXILIAR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4,719.05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4,719.05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INTENDENTE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4,335.06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4,335.06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JARDINERO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4,335.06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4,335.06 </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UNIVERSIDAD DE LA SIERRA JUAREZ</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55,694.50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55,694.50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VICE-RECTOR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25,723.91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25,723.91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ABOGADO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17,338.12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17,338.12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AUDITOR INTERNO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13,712.33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13,712.33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16,059.54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16,059.54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13,712.33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13,712.33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DEPARTAMENTO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12,513.59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12,513.59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SRIO. PARTICUAL 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13,712.33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13,712.33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10,623.78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10,623.78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9,877.91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9,877.91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JEFE DE AREA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7,559.52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7,559.52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26,186.25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26,186.25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22,945.00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22,945.00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18,395.07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18,395.07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15,668.51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15,668.51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12,858.71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12,858.71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ASOCIADO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10,042.09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10,042.09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TECNICO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9,719.49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9,719.49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11,623.06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11,623.06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8,264.44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8,264.44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CHOFER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6,409.77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6,409.77 </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"C"</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6,714.19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6,714.19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6,066.11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6,066.11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SECRETARIA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5,427.07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5,427.07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OFICIAL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5,849.64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5,849.64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AUXILIAR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4,866.38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4,866.38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ENFERMERA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5,427.07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5,427.07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AUXILIAR ADMINISTRATIVO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5,427.07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5,427.07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INTENDENTE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4,467.96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4,467.96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000000" w:fill="FFFFFF"/>
            <w:noWrap/>
            <w:vAlign w:val="center"/>
            <w:hideMark/>
          </w:tcPr>
          <w:p w:rsidR="00133065" w:rsidRPr="00133065" w:rsidRDefault="00133065" w:rsidP="00133065">
            <w:pPr>
              <w:jc w:val="center"/>
              <w:rPr>
                <w:rFonts w:ascii="Arial" w:hAnsi="Arial" w:cs="Arial"/>
                <w:color w:val="000000"/>
                <w:sz w:val="16"/>
                <w:szCs w:val="16"/>
                <w:lang w:val="es-MX" w:eastAsia="es-MX"/>
              </w:rPr>
            </w:pPr>
            <w:r w:rsidRPr="00133065">
              <w:rPr>
                <w:rFonts w:ascii="Arial" w:hAnsi="Arial" w:cs="Arial"/>
                <w:color w:val="000000"/>
                <w:sz w:val="16"/>
                <w:szCs w:val="16"/>
                <w:lang w:val="es-MX" w:eastAsia="es-MX"/>
              </w:rPr>
              <w:t>JARDINERO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4,467.96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xml:space="preserve">             4,467.96 </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noWrap/>
            <w:vAlign w:val="center"/>
            <w:hideMark/>
          </w:tcPr>
          <w:p w:rsidR="00133065" w:rsidRPr="00133065" w:rsidRDefault="00133065" w:rsidP="00133065">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UNIVERSIDAD DE LA SIERRA SUR</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55,486.36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55,486.36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VICERRECTOR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25,273.95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25,273.95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ABOGADO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17,338.03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17,338.03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AUDITOR INTERNO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13,712.37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13,712.37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SRIO. PART. 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13,712.37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13,712.37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16,059.56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16,059.56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13,712.36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13,712.36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12,513.56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12,513.56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AREA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10,623.86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10,623.86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AREA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9,877.90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9,877.90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AREA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7,559.48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7,559.48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26,186.33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26,186.33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22,944.94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22,944.94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18,395.11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18,395.11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15,668.56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15,668.56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12,858.71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12,858.71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10,042.12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10,042.12 </w:t>
            </w:r>
          </w:p>
        </w:tc>
      </w:tr>
    </w:tbl>
    <w:p w:rsidR="00133065" w:rsidRDefault="00133065"/>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TECNICO</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8,171.63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8,171.63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11,626.10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11,626.10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8,264.40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8,264.40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6,409.79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6,409.79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6,714.13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6,714.13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6,066.13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6,066.13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5,427.02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5,427.02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AUXILIAR ADMINISTRATIVO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5,427.02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5,427.02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5,427.02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5,427.02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OFICIAL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5,849.67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5,849.67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VELADOR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5,849.67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5,849.67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AUXILIAR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4,866.25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4,866.25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INTENDENTE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4,467.86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4,467.86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JARDINERO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4,467.86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4,467.86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GINECOLOGO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18,395.09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18,395.09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PEDIATRA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18,395.09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18,395.09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ANESTESIOLOGO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18,395.09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18,395.09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MEDICO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12,858.71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12,858.71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10,042.12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10,042.12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8,171.63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8,171.63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6,066.37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6,066.37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PARAMEDICO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8,171.63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8,171.63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COCINERA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4,866.25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4,866.25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MEDICO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7,633.88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7,633.88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5,824.73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5,824.73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4,628.57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4,628.57 </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3,226.68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 xml:space="preserve">             3,226.68 </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bottom"/>
            <w:hideMark/>
          </w:tcPr>
          <w:p w:rsidR="00133065" w:rsidRPr="00133065" w:rsidRDefault="00133065" w:rsidP="00133065">
            <w:pPr>
              <w:jc w:val="center"/>
              <w:rPr>
                <w:rFonts w:ascii="Arial" w:hAnsi="Arial" w:cs="Arial"/>
                <w:b/>
                <w:bCs/>
                <w:sz w:val="16"/>
                <w:szCs w:val="16"/>
                <w:lang w:val="es-MX" w:eastAsia="es-MX"/>
              </w:rPr>
            </w:pPr>
            <w:r w:rsidRPr="00133065">
              <w:rPr>
                <w:rFonts w:ascii="Arial" w:hAnsi="Arial" w:cs="Arial"/>
                <w:b/>
                <w:bCs/>
                <w:sz w:val="16"/>
                <w:szCs w:val="16"/>
                <w:lang w:val="es-MX" w:eastAsia="es-MX"/>
              </w:rPr>
              <w:t>UNIVERSIDAD DEL ITSMO</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Rector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37,040.01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37,040.01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Vicerrector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25,271.11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25,271.11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Abogado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17,337.21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17,337.21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Auditor Interno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13,711.45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13,711.45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Secretario Particular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13,711.45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13,711.45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16,058.54</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16,058.54</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13,711.45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13,711.45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12,512.69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12,512.69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área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10,622.87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10,622.87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área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9,877.08</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9,877.08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área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7,551.03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7,551.03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Técnico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8,170.74</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8,170.74</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Técnico asistente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6,273.29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6,273.29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26,185.26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26,185.26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22,943.92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22,943.92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18,394.02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18,394.02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15,667.61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15,667.61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12,810.62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12,810.62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10,041.21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10,041.21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11,625.29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11,625.29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8,263.35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8,263.35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6,408.99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6,408.99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6,713.12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6,713.12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6,065.12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6,065.12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5,425.91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5,425.91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Auxiliar Administrativo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5,425.91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5,425.91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5,425.91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5,425.91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Velador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5,848.72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5,848.72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Oficial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5,848.79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5,848.79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Auxiliar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4,866.33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4,866.33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Jardinero/ </w:t>
            </w:r>
            <w:proofErr w:type="spellStart"/>
            <w:r w:rsidRPr="00133065">
              <w:rPr>
                <w:rFonts w:ascii="Arial" w:hAnsi="Arial" w:cs="Arial"/>
                <w:sz w:val="16"/>
                <w:szCs w:val="16"/>
                <w:lang w:val="es-MX" w:eastAsia="es-MX"/>
              </w:rPr>
              <w:t>Aux</w:t>
            </w:r>
            <w:proofErr w:type="spellEnd"/>
            <w:r w:rsidRPr="00133065">
              <w:rPr>
                <w:rFonts w:ascii="Arial" w:hAnsi="Arial" w:cs="Arial"/>
                <w:sz w:val="16"/>
                <w:szCs w:val="16"/>
                <w:lang w:val="es-MX" w:eastAsia="es-MX"/>
              </w:rPr>
              <w:t xml:space="preserve"> de </w:t>
            </w:r>
            <w:proofErr w:type="spellStart"/>
            <w:r w:rsidRPr="00133065">
              <w:rPr>
                <w:rFonts w:ascii="Arial" w:hAnsi="Arial" w:cs="Arial"/>
                <w:sz w:val="16"/>
                <w:szCs w:val="16"/>
                <w:lang w:val="es-MX" w:eastAsia="es-MX"/>
              </w:rPr>
              <w:t>Mantto</w:t>
            </w:r>
            <w:proofErr w:type="spellEnd"/>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4,467.93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4,467.93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Intendente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4,467.93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4,467.93</w:t>
            </w:r>
          </w:p>
        </w:tc>
      </w:tr>
      <w:tr w:rsidR="00133065" w:rsidRPr="00133065" w:rsidTr="00133065">
        <w:trPr>
          <w:trHeight w:val="225"/>
          <w:jc w:val="center"/>
        </w:trPr>
        <w:tc>
          <w:tcPr>
            <w:tcW w:w="8380" w:type="dxa"/>
            <w:gridSpan w:val="4"/>
            <w:tcBorders>
              <w:top w:val="single" w:sz="4" w:space="0" w:color="auto"/>
              <w:left w:val="single" w:sz="4" w:space="0" w:color="auto"/>
              <w:bottom w:val="single" w:sz="4" w:space="0" w:color="auto"/>
              <w:right w:val="single" w:sz="4" w:space="0" w:color="000000"/>
            </w:tcBorders>
            <w:shd w:val="clear" w:color="000000" w:fill="FFC000"/>
            <w:vAlign w:val="bottom"/>
            <w:hideMark/>
          </w:tcPr>
          <w:p w:rsidR="00133065" w:rsidRPr="00133065" w:rsidRDefault="00133065" w:rsidP="00133065">
            <w:pPr>
              <w:jc w:val="center"/>
              <w:rPr>
                <w:rFonts w:ascii="Arial" w:hAnsi="Arial" w:cs="Arial"/>
                <w:b/>
                <w:bCs/>
                <w:sz w:val="16"/>
                <w:szCs w:val="16"/>
                <w:lang w:val="es-MX" w:eastAsia="es-MX"/>
              </w:rPr>
            </w:pPr>
            <w:r w:rsidRPr="00133065">
              <w:rPr>
                <w:rFonts w:ascii="Arial" w:hAnsi="Arial" w:cs="Arial"/>
                <w:b/>
                <w:bCs/>
                <w:sz w:val="16"/>
                <w:szCs w:val="16"/>
                <w:lang w:val="es-MX" w:eastAsia="es-MX"/>
              </w:rPr>
              <w:t>UNIVERSIDAD DEL MAR</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24,608.40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24,608.40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21,445.81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21,445.81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TITULAR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17,216.37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17,216.37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14,655.83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14,655.83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12,035.30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12,035.30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ASOCIADO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9,414.23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9,414.23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TECNICO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7,650.84</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7,650.84</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TECNICO ASISTENTE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5,866.01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5,866.01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34,710.34</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34,710.34</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VICE-RECTOR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23,759.74</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23,759.74</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B53F64">
        <w:trPr>
          <w:trHeight w:val="240"/>
          <w:jc w:val="center"/>
        </w:trPr>
        <w:tc>
          <w:tcPr>
            <w:tcW w:w="448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Plaza/puesto</w:t>
            </w:r>
          </w:p>
        </w:tc>
        <w:tc>
          <w:tcPr>
            <w:tcW w:w="122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Número de plazas</w:t>
            </w:r>
          </w:p>
        </w:tc>
        <w:tc>
          <w:tcPr>
            <w:tcW w:w="2680" w:type="dxa"/>
            <w:gridSpan w:val="2"/>
            <w:tcBorders>
              <w:top w:val="single" w:sz="8" w:space="0" w:color="auto"/>
              <w:left w:val="nil"/>
              <w:bottom w:val="single" w:sz="8" w:space="0" w:color="auto"/>
              <w:right w:val="single" w:sz="8" w:space="0" w:color="000000"/>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Remuneraciones</w:t>
            </w:r>
          </w:p>
        </w:tc>
      </w:tr>
      <w:tr w:rsidR="00133065" w:rsidRPr="00133065" w:rsidTr="00B53F64">
        <w:trPr>
          <w:trHeight w:val="240"/>
          <w:jc w:val="center"/>
        </w:trPr>
        <w:tc>
          <w:tcPr>
            <w:tcW w:w="448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220" w:type="dxa"/>
            <w:vMerge/>
            <w:tcBorders>
              <w:top w:val="single" w:sz="8" w:space="0" w:color="auto"/>
              <w:left w:val="single" w:sz="8" w:space="0" w:color="auto"/>
              <w:bottom w:val="single" w:sz="8" w:space="0" w:color="000000"/>
              <w:right w:val="single" w:sz="8" w:space="0" w:color="auto"/>
            </w:tcBorders>
            <w:vAlign w:val="center"/>
            <w:hideMark/>
          </w:tcPr>
          <w:p w:rsidR="00133065" w:rsidRPr="00133065" w:rsidRDefault="00133065" w:rsidP="00B53F64">
            <w:pPr>
              <w:rPr>
                <w:rFonts w:ascii="Arial" w:hAnsi="Arial" w:cs="Arial"/>
                <w:b/>
                <w:bCs/>
                <w:color w:val="000000"/>
                <w:sz w:val="16"/>
                <w:szCs w:val="16"/>
                <w:lang w:val="es-MX" w:eastAsia="es-MX"/>
              </w:rPr>
            </w:pP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 xml:space="preserve">De </w:t>
            </w:r>
          </w:p>
        </w:tc>
        <w:tc>
          <w:tcPr>
            <w:tcW w:w="1340" w:type="dxa"/>
            <w:tcBorders>
              <w:top w:val="nil"/>
              <w:left w:val="nil"/>
              <w:bottom w:val="single" w:sz="8" w:space="0" w:color="auto"/>
              <w:right w:val="single" w:sz="8" w:space="0" w:color="auto"/>
            </w:tcBorders>
            <w:shd w:val="clear" w:color="000000" w:fill="BFBFBF"/>
            <w:vAlign w:val="center"/>
            <w:hideMark/>
          </w:tcPr>
          <w:p w:rsidR="00133065" w:rsidRPr="00133065" w:rsidRDefault="00133065" w:rsidP="00B53F64">
            <w:pPr>
              <w:jc w:val="center"/>
              <w:rPr>
                <w:rFonts w:ascii="Arial" w:hAnsi="Arial" w:cs="Arial"/>
                <w:b/>
                <w:bCs/>
                <w:color w:val="000000"/>
                <w:sz w:val="16"/>
                <w:szCs w:val="16"/>
                <w:lang w:val="es-MX" w:eastAsia="es-MX"/>
              </w:rPr>
            </w:pPr>
            <w:r w:rsidRPr="00133065">
              <w:rPr>
                <w:rFonts w:ascii="Arial" w:hAnsi="Arial" w:cs="Arial"/>
                <w:b/>
                <w:bCs/>
                <w:color w:val="000000"/>
                <w:sz w:val="16"/>
                <w:szCs w:val="16"/>
                <w:lang w:val="es-MX" w:eastAsia="es-MX"/>
              </w:rPr>
              <w:t>hasta</w:t>
            </w:r>
          </w:p>
        </w:tc>
      </w:tr>
    </w:tbl>
    <w:p w:rsidR="00133065" w:rsidRDefault="00133065"/>
    <w:tbl>
      <w:tblPr>
        <w:tblW w:w="8380" w:type="dxa"/>
        <w:jc w:val="center"/>
        <w:tblInd w:w="53" w:type="dxa"/>
        <w:tblCellMar>
          <w:left w:w="70" w:type="dxa"/>
          <w:right w:w="70" w:type="dxa"/>
        </w:tblCellMar>
        <w:tblLook w:val="04A0"/>
      </w:tblPr>
      <w:tblGrid>
        <w:gridCol w:w="4480"/>
        <w:gridCol w:w="1220"/>
        <w:gridCol w:w="1340"/>
        <w:gridCol w:w="1340"/>
      </w:tblGrid>
      <w:tr w:rsidR="00133065" w:rsidRPr="00133065" w:rsidTr="00133065">
        <w:trPr>
          <w:trHeight w:val="225"/>
          <w:jc w:val="center"/>
        </w:trPr>
        <w:tc>
          <w:tcPr>
            <w:tcW w:w="4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ABOGADO GENERAL</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16,231.19</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16,231.19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15,031.42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15,031.42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12,828.96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12,828.96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SECRETARIO  PARTICULAR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12,828.96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12,828.96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AUDITOR  INTERNO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12,828.96</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12,828.96</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DEPARTAMENTO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11,713.39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11,713.39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AREA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9,955.81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9,955.81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PATRON DE BARCO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9,955.81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9,955.81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AREA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9,262.70</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9,262.70</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JEFE DE AREA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7,080.39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7,080.39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10,888.19</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10,888.19</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MOTORISTA  DE BARCO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8,006.08</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8,006.08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7,737.03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7,737.03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"C"</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6,283.87</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6,283.87</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CHOFER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6,237.04</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6,237.04</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"B"</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5,672.71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5,672.71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MOTORISTA DE  LANCHA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5,596.95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5,596.95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 xml:space="preserve">VELADOR </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5,512.45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5,512.45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CARPINTERO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5,512.45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5,512.45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OFICIAL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5,512.45</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5,512.45</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ENFERMERA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5,081.21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5,081.21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SECRETARIA "A"</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5,081.21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5,081.21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AUXILIAR ADMINISTRATIVO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5,081.21</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5,081.21</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COCINERO BARCO UMAR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4,942.93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4,942.93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WINCHERO BARCO UMAR</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4,942.93</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4,942.93</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AUXILIAR GENERAL</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4,562.88</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4,562.88</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AUXILIAR DE MANTENIMIENTO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4,222.42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4,222.42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INTENDENTE</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4,222.42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4,222.42</w:t>
            </w:r>
          </w:p>
        </w:tc>
      </w:tr>
      <w:tr w:rsidR="00133065" w:rsidRPr="00133065" w:rsidTr="00133065">
        <w:trPr>
          <w:trHeight w:val="225"/>
          <w:jc w:val="center"/>
        </w:trPr>
        <w:tc>
          <w:tcPr>
            <w:tcW w:w="4480" w:type="dxa"/>
            <w:tcBorders>
              <w:top w:val="nil"/>
              <w:left w:val="single" w:sz="4" w:space="0" w:color="auto"/>
              <w:bottom w:val="single" w:sz="4" w:space="0" w:color="auto"/>
              <w:right w:val="single" w:sz="4" w:space="0" w:color="auto"/>
            </w:tcBorders>
            <w:shd w:val="clear" w:color="auto" w:fill="auto"/>
            <w:noWrap/>
            <w:vAlign w:val="bottom"/>
            <w:hideMark/>
          </w:tcPr>
          <w:p w:rsidR="00133065" w:rsidRPr="00133065" w:rsidRDefault="00133065" w:rsidP="00133065">
            <w:pPr>
              <w:jc w:val="center"/>
              <w:rPr>
                <w:rFonts w:ascii="Arial" w:hAnsi="Arial" w:cs="Arial"/>
                <w:sz w:val="16"/>
                <w:szCs w:val="16"/>
                <w:lang w:val="es-MX" w:eastAsia="es-MX"/>
              </w:rPr>
            </w:pPr>
            <w:r w:rsidRPr="00133065">
              <w:rPr>
                <w:rFonts w:ascii="Arial" w:hAnsi="Arial" w:cs="Arial"/>
                <w:sz w:val="16"/>
                <w:szCs w:val="16"/>
                <w:lang w:val="es-MX" w:eastAsia="es-MX"/>
              </w:rPr>
              <w:t>JARDINERO</w:t>
            </w:r>
          </w:p>
        </w:tc>
        <w:tc>
          <w:tcPr>
            <w:tcW w:w="122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rPr>
                <w:rFonts w:ascii="Arial" w:hAnsi="Arial" w:cs="Arial"/>
                <w:color w:val="000000"/>
                <w:sz w:val="16"/>
                <w:szCs w:val="16"/>
                <w:lang w:val="es-MX" w:eastAsia="es-MX"/>
              </w:rPr>
            </w:pPr>
            <w:r w:rsidRPr="00133065">
              <w:rPr>
                <w:rFonts w:ascii="Arial" w:hAnsi="Arial" w:cs="Arial"/>
                <w:color w:val="000000"/>
                <w:sz w:val="16"/>
                <w:szCs w:val="16"/>
                <w:lang w:val="es-MX" w:eastAsia="es-MX"/>
              </w:rPr>
              <w:t> </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4,222.42</w:t>
            </w:r>
          </w:p>
        </w:tc>
        <w:tc>
          <w:tcPr>
            <w:tcW w:w="1340" w:type="dxa"/>
            <w:tcBorders>
              <w:top w:val="nil"/>
              <w:left w:val="nil"/>
              <w:bottom w:val="single" w:sz="4" w:space="0" w:color="auto"/>
              <w:right w:val="single" w:sz="4" w:space="0" w:color="auto"/>
            </w:tcBorders>
            <w:shd w:val="clear" w:color="auto" w:fill="auto"/>
            <w:noWrap/>
            <w:vAlign w:val="bottom"/>
            <w:hideMark/>
          </w:tcPr>
          <w:p w:rsidR="00133065" w:rsidRPr="00133065" w:rsidRDefault="00133065" w:rsidP="00133065">
            <w:pPr>
              <w:jc w:val="right"/>
              <w:rPr>
                <w:rFonts w:ascii="Arial" w:hAnsi="Arial" w:cs="Arial"/>
                <w:sz w:val="16"/>
                <w:szCs w:val="16"/>
                <w:lang w:val="es-MX" w:eastAsia="es-MX"/>
              </w:rPr>
            </w:pPr>
            <w:r w:rsidRPr="00133065">
              <w:rPr>
                <w:rFonts w:ascii="Arial" w:hAnsi="Arial" w:cs="Arial"/>
                <w:sz w:val="16"/>
                <w:szCs w:val="16"/>
                <w:lang w:val="es-MX" w:eastAsia="es-MX"/>
              </w:rPr>
              <w:t>4,222.42</w:t>
            </w:r>
          </w:p>
        </w:tc>
      </w:tr>
    </w:tbl>
    <w:p w:rsidR="00133065" w:rsidRDefault="00133065" w:rsidP="000708E7">
      <w:pPr>
        <w:rPr>
          <w:rFonts w:ascii="Arial" w:hAnsi="Arial" w:cs="Arial"/>
          <w:b/>
        </w:rPr>
      </w:pPr>
    </w:p>
    <w:p w:rsidR="006137A9" w:rsidRDefault="006137A9" w:rsidP="000708E7">
      <w:pPr>
        <w:rPr>
          <w:rFonts w:ascii="Arial" w:hAnsi="Arial" w:cs="Arial"/>
          <w:b/>
        </w:rPr>
      </w:pPr>
    </w:p>
    <w:p w:rsidR="006137A9" w:rsidRDefault="006137A9" w:rsidP="000708E7">
      <w:pPr>
        <w:rPr>
          <w:rFonts w:ascii="Arial" w:hAnsi="Arial" w:cs="Arial"/>
          <w:b/>
        </w:rPr>
      </w:pPr>
    </w:p>
    <w:p w:rsidR="006137A9" w:rsidRDefault="006137A9" w:rsidP="000708E7">
      <w:pPr>
        <w:rPr>
          <w:rFonts w:ascii="Arial" w:hAnsi="Arial" w:cs="Arial"/>
          <w:b/>
        </w:rPr>
      </w:pPr>
    </w:p>
    <w:p w:rsidR="006137A9" w:rsidRDefault="006137A9">
      <w:pPr>
        <w:rPr>
          <w:rFonts w:ascii="Arial" w:hAnsi="Arial" w:cs="Arial"/>
          <w:b/>
        </w:rPr>
      </w:pPr>
      <w:r>
        <w:rPr>
          <w:rFonts w:ascii="Arial" w:hAnsi="Arial" w:cs="Arial"/>
          <w:b/>
        </w:rPr>
        <w:br w:type="page"/>
      </w:r>
    </w:p>
    <w:p w:rsidR="006137A9" w:rsidRDefault="006137A9" w:rsidP="000708E7">
      <w:pPr>
        <w:rPr>
          <w:rFonts w:ascii="Arial" w:hAnsi="Arial" w:cs="Arial"/>
          <w:b/>
        </w:rPr>
      </w:pPr>
    </w:p>
    <w:p w:rsidR="006137A9" w:rsidRDefault="006137A9" w:rsidP="000708E7">
      <w:pPr>
        <w:rPr>
          <w:rFonts w:ascii="Arial" w:hAnsi="Arial" w:cs="Arial"/>
          <w:b/>
        </w:rPr>
      </w:pPr>
    </w:p>
    <w:p w:rsidR="006137A9" w:rsidRDefault="006137A9" w:rsidP="006137A9">
      <w:pPr>
        <w:rPr>
          <w:rFonts w:ascii="Arial" w:hAnsi="Arial" w:cs="Arial"/>
          <w:b/>
        </w:rPr>
      </w:pPr>
      <w:r w:rsidRPr="00E474D1">
        <w:rPr>
          <w:rFonts w:ascii="Arial" w:hAnsi="Arial" w:cs="Arial"/>
          <w:b/>
        </w:rPr>
        <w:t>14.3.</w:t>
      </w:r>
      <w:r>
        <w:rPr>
          <w:rFonts w:ascii="Arial" w:hAnsi="Arial" w:cs="Arial"/>
          <w:b/>
        </w:rPr>
        <w:t>4</w:t>
      </w:r>
      <w:r w:rsidRPr="00E474D1">
        <w:rPr>
          <w:rFonts w:ascii="Arial" w:hAnsi="Arial" w:cs="Arial"/>
          <w:b/>
        </w:rPr>
        <w:t xml:space="preserve">.- </w:t>
      </w:r>
      <w:r>
        <w:rPr>
          <w:rFonts w:ascii="Arial" w:hAnsi="Arial" w:cs="Arial"/>
          <w:b/>
        </w:rPr>
        <w:t>PRIORIDADES DEL GASTO</w:t>
      </w:r>
    </w:p>
    <w:p w:rsidR="006137A9" w:rsidRDefault="006137A9" w:rsidP="000708E7">
      <w:pPr>
        <w:rPr>
          <w:rFonts w:ascii="Arial" w:hAnsi="Arial" w:cs="Arial"/>
          <w:b/>
        </w:rPr>
      </w:pPr>
    </w:p>
    <w:p w:rsidR="006137A9" w:rsidRDefault="006137A9" w:rsidP="000708E7">
      <w:pPr>
        <w:rPr>
          <w:rFonts w:ascii="Arial" w:hAnsi="Arial" w:cs="Arial"/>
          <w:b/>
        </w:rPr>
      </w:pPr>
    </w:p>
    <w:p w:rsidR="006137A9" w:rsidRDefault="006137A9" w:rsidP="000708E7">
      <w:pPr>
        <w:rPr>
          <w:rFonts w:ascii="Arial" w:hAnsi="Arial" w:cs="Arial"/>
          <w:b/>
        </w:rPr>
      </w:pPr>
    </w:p>
    <w:p w:rsidR="006137A9" w:rsidRDefault="006137A9" w:rsidP="000708E7">
      <w:pPr>
        <w:rPr>
          <w:rFonts w:ascii="Arial" w:hAnsi="Arial" w:cs="Arial"/>
          <w:b/>
        </w:rPr>
      </w:pPr>
    </w:p>
    <w:p w:rsidR="006137A9" w:rsidRDefault="006137A9" w:rsidP="000708E7">
      <w:pPr>
        <w:rPr>
          <w:rFonts w:ascii="Arial" w:hAnsi="Arial" w:cs="Arial"/>
          <w:b/>
        </w:rPr>
      </w:pPr>
    </w:p>
    <w:p w:rsidR="006137A9" w:rsidRDefault="006137A9" w:rsidP="000708E7">
      <w:pPr>
        <w:rPr>
          <w:rFonts w:ascii="Arial" w:hAnsi="Arial" w:cs="Arial"/>
          <w:b/>
        </w:rPr>
      </w:pPr>
    </w:p>
    <w:tbl>
      <w:tblPr>
        <w:tblW w:w="7380" w:type="dxa"/>
        <w:jc w:val="center"/>
        <w:tblInd w:w="70" w:type="dxa"/>
        <w:tblCellMar>
          <w:left w:w="70" w:type="dxa"/>
          <w:right w:w="70" w:type="dxa"/>
        </w:tblCellMar>
        <w:tblLook w:val="04A0"/>
      </w:tblPr>
      <w:tblGrid>
        <w:gridCol w:w="1680"/>
        <w:gridCol w:w="3840"/>
        <w:gridCol w:w="1680"/>
        <w:gridCol w:w="180"/>
      </w:tblGrid>
      <w:tr w:rsidR="006137A9" w:rsidRPr="006137A9" w:rsidTr="006137A9">
        <w:trPr>
          <w:gridAfter w:val="1"/>
          <w:wAfter w:w="180" w:type="dxa"/>
          <w:trHeight w:val="255"/>
          <w:jc w:val="center"/>
        </w:trPr>
        <w:tc>
          <w:tcPr>
            <w:tcW w:w="1680" w:type="dxa"/>
            <w:tcBorders>
              <w:top w:val="nil"/>
              <w:left w:val="nil"/>
              <w:bottom w:val="nil"/>
              <w:right w:val="nil"/>
            </w:tcBorders>
            <w:shd w:val="clear" w:color="auto" w:fill="auto"/>
            <w:noWrap/>
            <w:vAlign w:val="bottom"/>
            <w:hideMark/>
          </w:tcPr>
          <w:p w:rsidR="006137A9" w:rsidRPr="006137A9" w:rsidRDefault="006137A9" w:rsidP="006137A9">
            <w:pPr>
              <w:rPr>
                <w:rFonts w:ascii="MS Sans Serif" w:hAnsi="MS Sans Serif"/>
                <w:color w:val="000000"/>
                <w:sz w:val="20"/>
                <w:szCs w:val="20"/>
                <w:lang w:val="es-MX" w:eastAsia="es-MX"/>
              </w:rPr>
            </w:pPr>
          </w:p>
        </w:tc>
        <w:tc>
          <w:tcPr>
            <w:tcW w:w="5520" w:type="dxa"/>
            <w:gridSpan w:val="2"/>
            <w:tcBorders>
              <w:top w:val="nil"/>
              <w:left w:val="nil"/>
              <w:bottom w:val="nil"/>
              <w:right w:val="nil"/>
            </w:tcBorders>
            <w:shd w:val="clear" w:color="auto" w:fill="auto"/>
            <w:noWrap/>
            <w:vAlign w:val="bottom"/>
            <w:hideMark/>
          </w:tcPr>
          <w:p w:rsidR="006137A9" w:rsidRPr="006137A9" w:rsidRDefault="006137A9" w:rsidP="006137A9">
            <w:pPr>
              <w:rPr>
                <w:rFonts w:ascii="MS Sans Serif" w:hAnsi="MS Sans Serif"/>
                <w:color w:val="000000"/>
                <w:sz w:val="20"/>
                <w:szCs w:val="20"/>
                <w:lang w:val="es-MX" w:eastAsia="es-MX"/>
              </w:rPr>
            </w:pPr>
          </w:p>
        </w:tc>
      </w:tr>
      <w:tr w:rsidR="006137A9" w:rsidRPr="006137A9" w:rsidTr="006137A9">
        <w:trPr>
          <w:trHeight w:val="600"/>
          <w:jc w:val="center"/>
        </w:trPr>
        <w:tc>
          <w:tcPr>
            <w:tcW w:w="5520" w:type="dxa"/>
            <w:gridSpan w:val="2"/>
            <w:tcBorders>
              <w:top w:val="single" w:sz="4" w:space="0" w:color="auto"/>
              <w:left w:val="single" w:sz="4" w:space="0" w:color="auto"/>
              <w:bottom w:val="single" w:sz="4" w:space="0" w:color="auto"/>
              <w:right w:val="single" w:sz="4" w:space="0" w:color="auto"/>
            </w:tcBorders>
            <w:shd w:val="clear" w:color="000000" w:fill="5A5A5A"/>
            <w:noWrap/>
            <w:vAlign w:val="bottom"/>
            <w:hideMark/>
          </w:tcPr>
          <w:p w:rsidR="006137A9" w:rsidRPr="006137A9" w:rsidRDefault="006137A9" w:rsidP="006137A9">
            <w:pPr>
              <w:jc w:val="center"/>
              <w:rPr>
                <w:rFonts w:ascii="MS Sans Serif" w:hAnsi="MS Sans Serif"/>
                <w:color w:val="FFFFFF"/>
                <w:lang w:val="es-MX" w:eastAsia="es-MX"/>
              </w:rPr>
            </w:pPr>
            <w:r w:rsidRPr="006137A9">
              <w:rPr>
                <w:rFonts w:ascii="MS Sans Serif" w:hAnsi="MS Sans Serif"/>
                <w:color w:val="FFFFFF"/>
                <w:lang w:val="es-MX" w:eastAsia="es-MX"/>
              </w:rPr>
              <w:t> </w:t>
            </w:r>
          </w:p>
        </w:tc>
        <w:tc>
          <w:tcPr>
            <w:tcW w:w="1860" w:type="dxa"/>
            <w:gridSpan w:val="2"/>
            <w:tcBorders>
              <w:top w:val="single" w:sz="4" w:space="0" w:color="auto"/>
              <w:left w:val="nil"/>
              <w:bottom w:val="single" w:sz="4" w:space="0" w:color="auto"/>
              <w:right w:val="single" w:sz="4" w:space="0" w:color="auto"/>
            </w:tcBorders>
            <w:shd w:val="clear" w:color="000000" w:fill="5A5A5A"/>
            <w:noWrap/>
            <w:vAlign w:val="center"/>
            <w:hideMark/>
          </w:tcPr>
          <w:p w:rsidR="006137A9" w:rsidRPr="006137A9" w:rsidRDefault="006137A9" w:rsidP="006137A9">
            <w:pPr>
              <w:jc w:val="center"/>
              <w:rPr>
                <w:rFonts w:ascii="Arial Narrow" w:hAnsi="Arial Narrow"/>
                <w:b/>
                <w:bCs/>
                <w:color w:val="FFFFFF"/>
                <w:lang w:val="es-MX" w:eastAsia="es-MX"/>
              </w:rPr>
            </w:pPr>
            <w:r w:rsidRPr="006137A9">
              <w:rPr>
                <w:rFonts w:ascii="Arial Narrow" w:hAnsi="Arial Narrow"/>
                <w:b/>
                <w:bCs/>
                <w:color w:val="FFFFFF"/>
                <w:lang w:val="es-MX" w:eastAsia="es-MX"/>
              </w:rPr>
              <w:t>Autorizado</w:t>
            </w:r>
          </w:p>
        </w:tc>
      </w:tr>
      <w:tr w:rsidR="006137A9" w:rsidRPr="006137A9" w:rsidTr="006137A9">
        <w:trPr>
          <w:trHeight w:val="600"/>
          <w:jc w:val="center"/>
        </w:trPr>
        <w:tc>
          <w:tcPr>
            <w:tcW w:w="5520" w:type="dxa"/>
            <w:gridSpan w:val="2"/>
            <w:tcBorders>
              <w:top w:val="nil"/>
              <w:left w:val="single" w:sz="4" w:space="0" w:color="auto"/>
              <w:bottom w:val="single" w:sz="4" w:space="0" w:color="auto"/>
              <w:right w:val="single" w:sz="4" w:space="0" w:color="auto"/>
            </w:tcBorders>
            <w:shd w:val="clear" w:color="000000" w:fill="D8D8D8"/>
            <w:noWrap/>
            <w:vAlign w:val="center"/>
            <w:hideMark/>
          </w:tcPr>
          <w:p w:rsidR="006137A9" w:rsidRPr="006137A9" w:rsidRDefault="006137A9" w:rsidP="006137A9">
            <w:pPr>
              <w:jc w:val="right"/>
              <w:rPr>
                <w:rFonts w:ascii="Arial Narrow" w:hAnsi="Arial Narrow"/>
                <w:b/>
                <w:bCs/>
                <w:color w:val="000000"/>
                <w:sz w:val="22"/>
                <w:szCs w:val="22"/>
                <w:lang w:val="es-MX" w:eastAsia="es-MX"/>
              </w:rPr>
            </w:pPr>
            <w:r w:rsidRPr="006137A9">
              <w:rPr>
                <w:rFonts w:ascii="Arial Narrow" w:hAnsi="Arial Narrow"/>
                <w:b/>
                <w:bCs/>
                <w:color w:val="000000"/>
                <w:sz w:val="22"/>
                <w:szCs w:val="22"/>
                <w:lang w:val="es-MX" w:eastAsia="es-MX"/>
              </w:rPr>
              <w:t>TOTAL GENERAL:</w:t>
            </w:r>
          </w:p>
        </w:tc>
        <w:tc>
          <w:tcPr>
            <w:tcW w:w="1860" w:type="dxa"/>
            <w:gridSpan w:val="2"/>
            <w:tcBorders>
              <w:top w:val="nil"/>
              <w:left w:val="nil"/>
              <w:bottom w:val="single" w:sz="4" w:space="0" w:color="auto"/>
              <w:right w:val="single" w:sz="4" w:space="0" w:color="auto"/>
            </w:tcBorders>
            <w:shd w:val="clear" w:color="000000" w:fill="D8D8D8"/>
            <w:noWrap/>
            <w:vAlign w:val="center"/>
            <w:hideMark/>
          </w:tcPr>
          <w:p w:rsidR="006137A9" w:rsidRPr="006137A9" w:rsidRDefault="006137A9" w:rsidP="006137A9">
            <w:pPr>
              <w:jc w:val="right"/>
              <w:rPr>
                <w:rFonts w:ascii="Arial Narrow" w:hAnsi="Arial Narrow"/>
                <w:b/>
                <w:bCs/>
                <w:color w:val="000000"/>
                <w:sz w:val="22"/>
                <w:szCs w:val="22"/>
                <w:lang w:val="es-MX" w:eastAsia="es-MX"/>
              </w:rPr>
            </w:pPr>
            <w:r w:rsidRPr="006137A9">
              <w:rPr>
                <w:rFonts w:ascii="Arial Narrow" w:hAnsi="Arial Narrow"/>
                <w:b/>
                <w:bCs/>
                <w:color w:val="000000"/>
                <w:sz w:val="22"/>
                <w:szCs w:val="22"/>
                <w:lang w:val="es-MX" w:eastAsia="es-MX"/>
              </w:rPr>
              <w:t xml:space="preserve">57,182,209,034.00 </w:t>
            </w:r>
          </w:p>
        </w:tc>
      </w:tr>
      <w:tr w:rsidR="006137A9" w:rsidRPr="006137A9" w:rsidTr="006137A9">
        <w:trPr>
          <w:trHeight w:val="600"/>
          <w:jc w:val="center"/>
        </w:trPr>
        <w:tc>
          <w:tcPr>
            <w:tcW w:w="5520" w:type="dxa"/>
            <w:gridSpan w:val="2"/>
            <w:tcBorders>
              <w:top w:val="nil"/>
              <w:left w:val="single" w:sz="4" w:space="0" w:color="auto"/>
              <w:bottom w:val="single" w:sz="4" w:space="0" w:color="auto"/>
              <w:right w:val="single" w:sz="4" w:space="0" w:color="auto"/>
            </w:tcBorders>
            <w:shd w:val="clear" w:color="auto" w:fill="auto"/>
            <w:noWrap/>
            <w:vAlign w:val="center"/>
            <w:hideMark/>
          </w:tcPr>
          <w:p w:rsidR="006137A9" w:rsidRPr="006137A9" w:rsidRDefault="006137A9" w:rsidP="006137A9">
            <w:pP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ESTADO DE DERECHO, GOBERNABILIDAD Y SEGURIDAD</w:t>
            </w:r>
          </w:p>
        </w:tc>
        <w:tc>
          <w:tcPr>
            <w:tcW w:w="1860" w:type="dxa"/>
            <w:gridSpan w:val="2"/>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15,868,647,774.71 </w:t>
            </w:r>
          </w:p>
        </w:tc>
      </w:tr>
      <w:tr w:rsidR="006137A9" w:rsidRPr="006137A9" w:rsidTr="006137A9">
        <w:trPr>
          <w:trHeight w:val="600"/>
          <w:jc w:val="center"/>
        </w:trPr>
        <w:tc>
          <w:tcPr>
            <w:tcW w:w="5520" w:type="dxa"/>
            <w:gridSpan w:val="2"/>
            <w:tcBorders>
              <w:top w:val="nil"/>
              <w:left w:val="single" w:sz="4" w:space="0" w:color="auto"/>
              <w:bottom w:val="single" w:sz="4" w:space="0" w:color="auto"/>
              <w:right w:val="single" w:sz="4" w:space="0" w:color="auto"/>
            </w:tcBorders>
            <w:shd w:val="clear" w:color="auto" w:fill="auto"/>
            <w:noWrap/>
            <w:vAlign w:val="center"/>
            <w:hideMark/>
          </w:tcPr>
          <w:p w:rsidR="006137A9" w:rsidRPr="006137A9" w:rsidRDefault="006137A9" w:rsidP="006137A9">
            <w:pP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CRECIMIENTO ECONÓMICO, COMPETITIVIDAD Y EMPLEO</w:t>
            </w:r>
          </w:p>
        </w:tc>
        <w:tc>
          <w:tcPr>
            <w:tcW w:w="1860" w:type="dxa"/>
            <w:gridSpan w:val="2"/>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4,148,642,578.44 </w:t>
            </w:r>
          </w:p>
        </w:tc>
      </w:tr>
      <w:tr w:rsidR="006137A9" w:rsidRPr="006137A9" w:rsidTr="006137A9">
        <w:trPr>
          <w:trHeight w:val="600"/>
          <w:jc w:val="center"/>
        </w:trPr>
        <w:tc>
          <w:tcPr>
            <w:tcW w:w="5520" w:type="dxa"/>
            <w:gridSpan w:val="2"/>
            <w:tcBorders>
              <w:top w:val="nil"/>
              <w:left w:val="single" w:sz="4" w:space="0" w:color="auto"/>
              <w:bottom w:val="single" w:sz="4" w:space="0" w:color="auto"/>
              <w:right w:val="single" w:sz="4" w:space="0" w:color="auto"/>
            </w:tcBorders>
            <w:shd w:val="clear" w:color="auto" w:fill="auto"/>
            <w:noWrap/>
            <w:vAlign w:val="center"/>
            <w:hideMark/>
          </w:tcPr>
          <w:p w:rsidR="006137A9" w:rsidRPr="006137A9" w:rsidRDefault="006137A9" w:rsidP="006137A9">
            <w:pP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DESARROLLO SOCIAL Y HUMANO</w:t>
            </w:r>
          </w:p>
        </w:tc>
        <w:tc>
          <w:tcPr>
            <w:tcW w:w="1860" w:type="dxa"/>
            <w:gridSpan w:val="2"/>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32,839,854,546.37 </w:t>
            </w:r>
          </w:p>
        </w:tc>
      </w:tr>
      <w:tr w:rsidR="006137A9" w:rsidRPr="006137A9" w:rsidTr="006137A9">
        <w:trPr>
          <w:trHeight w:val="600"/>
          <w:jc w:val="center"/>
        </w:trPr>
        <w:tc>
          <w:tcPr>
            <w:tcW w:w="5520" w:type="dxa"/>
            <w:gridSpan w:val="2"/>
            <w:tcBorders>
              <w:top w:val="nil"/>
              <w:left w:val="single" w:sz="4" w:space="0" w:color="auto"/>
              <w:bottom w:val="single" w:sz="4" w:space="0" w:color="auto"/>
              <w:right w:val="single" w:sz="4" w:space="0" w:color="auto"/>
            </w:tcBorders>
            <w:shd w:val="clear" w:color="auto" w:fill="auto"/>
            <w:noWrap/>
            <w:vAlign w:val="center"/>
            <w:hideMark/>
          </w:tcPr>
          <w:p w:rsidR="006137A9" w:rsidRPr="006137A9" w:rsidRDefault="006137A9" w:rsidP="006137A9">
            <w:pP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GOBIERNO HONESTO Y DE RESULTADOS</w:t>
            </w:r>
          </w:p>
        </w:tc>
        <w:tc>
          <w:tcPr>
            <w:tcW w:w="1860" w:type="dxa"/>
            <w:gridSpan w:val="2"/>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4,325,064,134.48 </w:t>
            </w:r>
          </w:p>
        </w:tc>
      </w:tr>
    </w:tbl>
    <w:p w:rsidR="006137A9" w:rsidRDefault="006137A9" w:rsidP="000708E7">
      <w:pPr>
        <w:rPr>
          <w:rFonts w:ascii="Arial" w:hAnsi="Arial" w:cs="Arial"/>
          <w:b/>
        </w:rPr>
      </w:pPr>
    </w:p>
    <w:p w:rsidR="006137A9" w:rsidRDefault="006137A9">
      <w:pPr>
        <w:rPr>
          <w:rFonts w:ascii="Arial" w:hAnsi="Arial" w:cs="Arial"/>
          <w:b/>
        </w:rPr>
      </w:pPr>
      <w:r>
        <w:rPr>
          <w:rFonts w:ascii="Arial" w:hAnsi="Arial" w:cs="Arial"/>
          <w:b/>
        </w:rPr>
        <w:br w:type="page"/>
      </w:r>
    </w:p>
    <w:p w:rsidR="006137A9" w:rsidRDefault="006137A9" w:rsidP="006137A9">
      <w:pPr>
        <w:rPr>
          <w:rFonts w:ascii="Arial" w:hAnsi="Arial" w:cs="Arial"/>
          <w:b/>
        </w:rPr>
      </w:pPr>
    </w:p>
    <w:p w:rsidR="006137A9" w:rsidRDefault="006137A9" w:rsidP="006137A9">
      <w:pPr>
        <w:rPr>
          <w:rFonts w:ascii="Arial" w:hAnsi="Arial" w:cs="Arial"/>
          <w:b/>
        </w:rPr>
      </w:pPr>
      <w:r w:rsidRPr="00E474D1">
        <w:rPr>
          <w:rFonts w:ascii="Arial" w:hAnsi="Arial" w:cs="Arial"/>
          <w:b/>
        </w:rPr>
        <w:t>14.3.</w:t>
      </w:r>
      <w:r>
        <w:rPr>
          <w:rFonts w:ascii="Arial" w:hAnsi="Arial" w:cs="Arial"/>
          <w:b/>
        </w:rPr>
        <w:t>5</w:t>
      </w:r>
      <w:r w:rsidRPr="00E474D1">
        <w:rPr>
          <w:rFonts w:ascii="Arial" w:hAnsi="Arial" w:cs="Arial"/>
          <w:b/>
        </w:rPr>
        <w:t xml:space="preserve">.- </w:t>
      </w:r>
      <w:r>
        <w:rPr>
          <w:rFonts w:ascii="Arial" w:hAnsi="Arial" w:cs="Arial"/>
          <w:b/>
        </w:rPr>
        <w:t>PROGRAMAS Y PROYECTOS</w:t>
      </w:r>
    </w:p>
    <w:p w:rsidR="006137A9" w:rsidRDefault="006137A9" w:rsidP="006137A9">
      <w:pPr>
        <w:rPr>
          <w:rFonts w:ascii="Arial" w:hAnsi="Arial" w:cs="Arial"/>
          <w:b/>
        </w:rPr>
      </w:pPr>
    </w:p>
    <w:p w:rsidR="006137A9" w:rsidRDefault="006137A9" w:rsidP="006137A9">
      <w:pPr>
        <w:rPr>
          <w:rFonts w:ascii="Arial" w:hAnsi="Arial" w:cs="Arial"/>
          <w:b/>
        </w:rPr>
      </w:pPr>
    </w:p>
    <w:p w:rsidR="006137A9" w:rsidRDefault="006137A9" w:rsidP="006137A9">
      <w:pPr>
        <w:rPr>
          <w:rFonts w:ascii="Arial" w:hAnsi="Arial" w:cs="Arial"/>
          <w:b/>
        </w:rPr>
      </w:pPr>
    </w:p>
    <w:p w:rsidR="006137A9" w:rsidRDefault="006137A9" w:rsidP="006137A9">
      <w:pPr>
        <w:rPr>
          <w:rFonts w:ascii="Arial" w:hAnsi="Arial" w:cs="Arial"/>
          <w:b/>
        </w:rPr>
      </w:pPr>
    </w:p>
    <w:p w:rsidR="006137A9" w:rsidRDefault="006137A9" w:rsidP="006137A9">
      <w:pPr>
        <w:rPr>
          <w:rFonts w:ascii="Arial" w:hAnsi="Arial" w:cs="Arial"/>
          <w:b/>
        </w:rPr>
      </w:pPr>
    </w:p>
    <w:p w:rsidR="006137A9" w:rsidRDefault="006137A9" w:rsidP="006137A9">
      <w:pPr>
        <w:rPr>
          <w:rFonts w:ascii="Arial" w:hAnsi="Arial" w:cs="Arial"/>
          <w:b/>
        </w:rPr>
      </w:pPr>
    </w:p>
    <w:tbl>
      <w:tblPr>
        <w:tblW w:w="8252" w:type="dxa"/>
        <w:jc w:val="center"/>
        <w:tblInd w:w="70" w:type="dxa"/>
        <w:tblCellMar>
          <w:left w:w="70" w:type="dxa"/>
          <w:right w:w="70" w:type="dxa"/>
        </w:tblCellMar>
        <w:tblLook w:val="04A0"/>
      </w:tblPr>
      <w:tblGrid>
        <w:gridCol w:w="195"/>
        <w:gridCol w:w="6414"/>
        <w:gridCol w:w="1736"/>
      </w:tblGrid>
      <w:tr w:rsidR="006137A9" w:rsidRPr="006137A9" w:rsidTr="006137A9">
        <w:trPr>
          <w:trHeight w:val="600"/>
          <w:jc w:val="center"/>
        </w:trPr>
        <w:tc>
          <w:tcPr>
            <w:tcW w:w="6516" w:type="dxa"/>
            <w:gridSpan w:val="2"/>
            <w:tcBorders>
              <w:top w:val="nil"/>
              <w:left w:val="nil"/>
              <w:bottom w:val="nil"/>
              <w:right w:val="nil"/>
            </w:tcBorders>
            <w:shd w:val="clear" w:color="000000" w:fill="5A5A5A"/>
            <w:noWrap/>
            <w:vAlign w:val="center"/>
            <w:hideMark/>
          </w:tcPr>
          <w:p w:rsidR="006137A9" w:rsidRPr="006137A9" w:rsidRDefault="006137A9" w:rsidP="006137A9">
            <w:pPr>
              <w:rPr>
                <w:rFonts w:ascii="Arial Narrow" w:hAnsi="Arial Narrow"/>
                <w:b/>
                <w:bCs/>
                <w:color w:val="FFFFFF"/>
                <w:lang w:val="es-MX" w:eastAsia="es-MX"/>
              </w:rPr>
            </w:pPr>
            <w:r w:rsidRPr="006137A9">
              <w:rPr>
                <w:rFonts w:ascii="Arial Narrow" w:hAnsi="Arial Narrow"/>
                <w:b/>
                <w:bCs/>
                <w:color w:val="FFFFFF"/>
                <w:lang w:val="es-MX" w:eastAsia="es-MX"/>
              </w:rPr>
              <w:t>PROGRAMA / PROYECTO</w:t>
            </w:r>
          </w:p>
        </w:tc>
        <w:tc>
          <w:tcPr>
            <w:tcW w:w="1736" w:type="dxa"/>
            <w:tcBorders>
              <w:top w:val="nil"/>
              <w:left w:val="nil"/>
              <w:bottom w:val="nil"/>
              <w:right w:val="nil"/>
            </w:tcBorders>
            <w:shd w:val="clear" w:color="000000" w:fill="5A5A5A"/>
            <w:noWrap/>
            <w:vAlign w:val="center"/>
            <w:hideMark/>
          </w:tcPr>
          <w:p w:rsidR="006137A9" w:rsidRPr="006137A9" w:rsidRDefault="006137A9" w:rsidP="006137A9">
            <w:pPr>
              <w:jc w:val="center"/>
              <w:rPr>
                <w:rFonts w:ascii="Arial Narrow" w:hAnsi="Arial Narrow"/>
                <w:b/>
                <w:bCs/>
                <w:color w:val="FFFFFF"/>
                <w:lang w:val="es-MX" w:eastAsia="es-MX"/>
              </w:rPr>
            </w:pPr>
            <w:r w:rsidRPr="006137A9">
              <w:rPr>
                <w:rFonts w:ascii="Arial Narrow" w:hAnsi="Arial Narrow"/>
                <w:b/>
                <w:bCs/>
                <w:color w:val="FFFFFF"/>
                <w:lang w:val="es-MX" w:eastAsia="es-MX"/>
              </w:rPr>
              <w:t>Autorizado</w:t>
            </w:r>
          </w:p>
        </w:tc>
      </w:tr>
      <w:tr w:rsidR="006137A9" w:rsidRPr="006137A9" w:rsidTr="006137A9">
        <w:trPr>
          <w:trHeight w:val="600"/>
          <w:jc w:val="center"/>
        </w:trPr>
        <w:tc>
          <w:tcPr>
            <w:tcW w:w="102" w:type="dxa"/>
            <w:tcBorders>
              <w:top w:val="single" w:sz="4" w:space="0" w:color="auto"/>
              <w:left w:val="single" w:sz="4" w:space="0" w:color="auto"/>
              <w:bottom w:val="single" w:sz="4" w:space="0" w:color="auto"/>
              <w:right w:val="nil"/>
            </w:tcBorders>
            <w:shd w:val="clear" w:color="000000" w:fill="D8D8D8"/>
            <w:noWrap/>
            <w:vAlign w:val="bottom"/>
            <w:hideMark/>
          </w:tcPr>
          <w:p w:rsidR="006137A9" w:rsidRPr="006137A9" w:rsidRDefault="006137A9" w:rsidP="006137A9">
            <w:pPr>
              <w:rPr>
                <w:rFonts w:ascii="MS Sans Serif" w:hAnsi="MS Sans Serif"/>
                <w:color w:val="000000"/>
                <w:sz w:val="22"/>
                <w:szCs w:val="22"/>
                <w:lang w:val="es-MX" w:eastAsia="es-MX"/>
              </w:rPr>
            </w:pPr>
            <w:r w:rsidRPr="006137A9">
              <w:rPr>
                <w:rFonts w:ascii="MS Sans Serif" w:hAnsi="MS Sans Serif"/>
                <w:color w:val="000000"/>
                <w:sz w:val="22"/>
                <w:szCs w:val="22"/>
                <w:lang w:val="es-MX" w:eastAsia="es-MX"/>
              </w:rPr>
              <w:t> </w:t>
            </w:r>
          </w:p>
        </w:tc>
        <w:tc>
          <w:tcPr>
            <w:tcW w:w="6414" w:type="dxa"/>
            <w:tcBorders>
              <w:top w:val="single" w:sz="4" w:space="0" w:color="auto"/>
              <w:left w:val="nil"/>
              <w:bottom w:val="single" w:sz="4" w:space="0" w:color="auto"/>
              <w:right w:val="nil"/>
            </w:tcBorders>
            <w:shd w:val="clear" w:color="000000" w:fill="D8D8D8"/>
            <w:noWrap/>
            <w:vAlign w:val="center"/>
            <w:hideMark/>
          </w:tcPr>
          <w:p w:rsidR="006137A9" w:rsidRPr="006137A9" w:rsidRDefault="006137A9" w:rsidP="006137A9">
            <w:pPr>
              <w:jc w:val="right"/>
              <w:rPr>
                <w:rFonts w:ascii="Arial Narrow" w:hAnsi="Arial Narrow"/>
                <w:b/>
                <w:bCs/>
                <w:color w:val="000000"/>
                <w:sz w:val="22"/>
                <w:szCs w:val="22"/>
                <w:lang w:val="es-MX" w:eastAsia="es-MX"/>
              </w:rPr>
            </w:pPr>
            <w:r w:rsidRPr="006137A9">
              <w:rPr>
                <w:rFonts w:ascii="Arial Narrow" w:hAnsi="Arial Narrow"/>
                <w:b/>
                <w:bCs/>
                <w:color w:val="000000"/>
                <w:sz w:val="22"/>
                <w:szCs w:val="22"/>
                <w:lang w:val="es-MX" w:eastAsia="es-MX"/>
              </w:rPr>
              <w:t>TOTAL GENERAL:</w:t>
            </w:r>
          </w:p>
        </w:tc>
        <w:tc>
          <w:tcPr>
            <w:tcW w:w="1736" w:type="dxa"/>
            <w:tcBorders>
              <w:top w:val="single" w:sz="4" w:space="0" w:color="auto"/>
              <w:left w:val="nil"/>
              <w:bottom w:val="single" w:sz="4" w:space="0" w:color="auto"/>
              <w:right w:val="nil"/>
            </w:tcBorders>
            <w:shd w:val="clear" w:color="000000" w:fill="D8D8D8"/>
            <w:noWrap/>
            <w:vAlign w:val="center"/>
            <w:hideMark/>
          </w:tcPr>
          <w:p w:rsidR="006137A9" w:rsidRPr="006137A9" w:rsidRDefault="006137A9" w:rsidP="006137A9">
            <w:pPr>
              <w:jc w:val="right"/>
              <w:rPr>
                <w:rFonts w:ascii="Arial Narrow" w:hAnsi="Arial Narrow"/>
                <w:b/>
                <w:bCs/>
                <w:color w:val="000000"/>
                <w:sz w:val="22"/>
                <w:szCs w:val="22"/>
                <w:lang w:val="es-MX" w:eastAsia="es-MX"/>
              </w:rPr>
            </w:pPr>
            <w:r w:rsidRPr="006137A9">
              <w:rPr>
                <w:rFonts w:ascii="Arial Narrow" w:hAnsi="Arial Narrow"/>
                <w:b/>
                <w:bCs/>
                <w:color w:val="000000"/>
                <w:sz w:val="22"/>
                <w:szCs w:val="22"/>
                <w:lang w:val="es-MX" w:eastAsia="es-MX"/>
              </w:rPr>
              <w:t xml:space="preserve">57,182,209,034.00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SUJETOS A REGLAS DE OPERACIÓN</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9,494,984.00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OTROS SUBSIDIOS</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614,356,353.08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PROVISION DE BIENES PUBLICOS</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320,763,845.32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PRESTACION DE SERVICIOS PUBLICOS</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6,627,870,108.75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PROMOCION Y FOMENTO</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686,121,194.44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REGULACION Y SUPERVICION</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28,035,970.45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PROYECTOS DE INVERSION</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2,511,063,216.34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PLANEACION, SEGUIMIENTO Y EVALUACION DE POLITICIAS PÚBLICAS</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581,428,393.89 </w:t>
            </w:r>
          </w:p>
        </w:tc>
      </w:tr>
      <w:tr w:rsidR="006137A9" w:rsidRPr="006137A9" w:rsidTr="006137A9">
        <w:trPr>
          <w:trHeight w:val="51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APOYO AL PROCESO PRESUPUESTARIO Y PARA MEJORAR LA EFICIENCIA INSTITUCIONAL</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5,839,061,726.50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APOYO A LA FUNCION PÚBLICA Y AL MEJORAMIENTO DE LA GESTION</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110,835,246.91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DESASTRES NATURALES</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3,229,503.00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PENSIONES Y JUBILACIONES</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53,860,849.00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GASTO FEDERALIZADO</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26,272,720,147.66 </w:t>
            </w:r>
          </w:p>
        </w:tc>
      </w:tr>
      <w:tr w:rsidR="006137A9" w:rsidRPr="006137A9" w:rsidTr="006137A9">
        <w:trPr>
          <w:trHeight w:val="33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PARTICIPACIONES A ENTIDADES FEDERATIVAS Y MUNICIPIOS</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11,781,271,040.66 </w:t>
            </w:r>
          </w:p>
        </w:tc>
      </w:tr>
      <w:tr w:rsidR="006137A9" w:rsidRPr="006137A9" w:rsidTr="006137A9">
        <w:trPr>
          <w:trHeight w:val="510"/>
          <w:jc w:val="center"/>
        </w:trPr>
        <w:tc>
          <w:tcPr>
            <w:tcW w:w="102" w:type="dxa"/>
            <w:tcBorders>
              <w:top w:val="nil"/>
              <w:left w:val="single" w:sz="4" w:space="0" w:color="auto"/>
              <w:bottom w:val="single" w:sz="4" w:space="0" w:color="auto"/>
              <w:right w:val="nil"/>
            </w:tcBorders>
            <w:shd w:val="clear" w:color="auto" w:fill="auto"/>
            <w:noWrap/>
            <w:vAlign w:val="center"/>
            <w:hideMark/>
          </w:tcPr>
          <w:p w:rsidR="006137A9" w:rsidRPr="006137A9" w:rsidRDefault="006137A9" w:rsidP="006137A9">
            <w:pPr>
              <w:jc w:val="center"/>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w:t>
            </w:r>
          </w:p>
        </w:tc>
        <w:tc>
          <w:tcPr>
            <w:tcW w:w="6414" w:type="dxa"/>
            <w:tcBorders>
              <w:top w:val="nil"/>
              <w:left w:val="nil"/>
              <w:bottom w:val="single" w:sz="4" w:space="0" w:color="auto"/>
              <w:right w:val="single" w:sz="4" w:space="0" w:color="auto"/>
            </w:tcBorders>
            <w:shd w:val="clear" w:color="auto" w:fill="auto"/>
            <w:vAlign w:val="center"/>
            <w:hideMark/>
          </w:tcPr>
          <w:p w:rsidR="006137A9" w:rsidRPr="006137A9" w:rsidRDefault="006137A9" w:rsidP="006137A9">
            <w:pPr>
              <w:rPr>
                <w:rFonts w:ascii="Arial Narrow" w:hAnsi="Arial Narrow"/>
                <w:color w:val="000000"/>
                <w:sz w:val="20"/>
                <w:szCs w:val="20"/>
                <w:lang w:val="es-MX" w:eastAsia="es-MX"/>
              </w:rPr>
            </w:pPr>
            <w:r w:rsidRPr="006137A9">
              <w:rPr>
                <w:rFonts w:ascii="Arial Narrow" w:hAnsi="Arial Narrow"/>
                <w:color w:val="000000"/>
                <w:sz w:val="20"/>
                <w:szCs w:val="20"/>
                <w:lang w:val="es-MX" w:eastAsia="es-MX"/>
              </w:rPr>
              <w:t>COSTO FINANCIERO, DEUDA O APOYOS A DEUDORES Y AHOORDORES DE LA BANCA</w:t>
            </w:r>
          </w:p>
        </w:tc>
        <w:tc>
          <w:tcPr>
            <w:tcW w:w="1736" w:type="dxa"/>
            <w:tcBorders>
              <w:top w:val="nil"/>
              <w:left w:val="nil"/>
              <w:bottom w:val="single" w:sz="4" w:space="0" w:color="auto"/>
              <w:right w:val="single" w:sz="4" w:space="0" w:color="auto"/>
            </w:tcBorders>
            <w:shd w:val="clear" w:color="auto" w:fill="auto"/>
            <w:noWrap/>
            <w:vAlign w:val="center"/>
            <w:hideMark/>
          </w:tcPr>
          <w:p w:rsidR="006137A9" w:rsidRPr="006137A9" w:rsidRDefault="006137A9" w:rsidP="006137A9">
            <w:pPr>
              <w:jc w:val="right"/>
              <w:rPr>
                <w:rFonts w:ascii="Arial Narrow" w:hAnsi="Arial Narrow"/>
                <w:color w:val="000000"/>
                <w:sz w:val="22"/>
                <w:szCs w:val="22"/>
                <w:lang w:val="es-MX" w:eastAsia="es-MX"/>
              </w:rPr>
            </w:pPr>
            <w:r w:rsidRPr="006137A9">
              <w:rPr>
                <w:rFonts w:ascii="Arial Narrow" w:hAnsi="Arial Narrow"/>
                <w:color w:val="000000"/>
                <w:sz w:val="22"/>
                <w:szCs w:val="22"/>
                <w:lang w:val="es-MX" w:eastAsia="es-MX"/>
              </w:rPr>
              <w:t xml:space="preserve">1,742,096,454.00 </w:t>
            </w:r>
          </w:p>
        </w:tc>
      </w:tr>
    </w:tbl>
    <w:p w:rsidR="006137A9" w:rsidRDefault="006137A9" w:rsidP="006137A9">
      <w:pPr>
        <w:rPr>
          <w:rFonts w:ascii="Arial" w:hAnsi="Arial" w:cs="Arial"/>
          <w:b/>
        </w:rPr>
      </w:pPr>
    </w:p>
    <w:sectPr w:rsidR="006137A9" w:rsidSect="00B3054E">
      <w:headerReference w:type="even" r:id="rId198"/>
      <w:headerReference w:type="default" r:id="rId199"/>
      <w:footerReference w:type="even" r:id="rId200"/>
      <w:footerReference w:type="default" r:id="rId201"/>
      <w:pgSz w:w="12240" w:h="15840" w:code="1"/>
      <w:pgMar w:top="2835" w:right="1276" w:bottom="567" w:left="1701" w:header="1985" w:footer="72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00B8" w:rsidRDefault="00A300B8" w:rsidP="00BF7222">
      <w:r>
        <w:separator/>
      </w:r>
    </w:p>
  </w:endnote>
  <w:endnote w:type="continuationSeparator" w:id="0">
    <w:p w:rsidR="00A300B8" w:rsidRDefault="00A300B8" w:rsidP="00BF722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dobe Caslon Pro">
    <w:altName w:val="Times New Roman"/>
    <w:panose1 w:val="00000000000000000000"/>
    <w:charset w:val="00"/>
    <w:family w:val="roman"/>
    <w:notTrueType/>
    <w:pitch w:val="variable"/>
    <w:sig w:usb0="00000001" w:usb1="00000001" w:usb2="00000000" w:usb3="00000000" w:csb0="00000093"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Helvetica">
    <w:panose1 w:val="020B0604020202020204"/>
    <w:charset w:val="00"/>
    <w:family w:val="swiss"/>
    <w:pitch w:val="variable"/>
    <w:sig w:usb0="00000003" w:usb1="00000000" w:usb2="00000000" w:usb3="00000000" w:csb0="00000001" w:csb1="00000000"/>
  </w:font>
  <w:font w:name="Albertus Extra Bold">
    <w:altName w:val="Candara"/>
    <w:charset w:val="00"/>
    <w:family w:val="swiss"/>
    <w:pitch w:val="variable"/>
    <w:sig w:usb0="00000001" w:usb1="00000000" w:usb2="00000000" w:usb3="00000000" w:csb0="00000093" w:csb1="00000000"/>
  </w:font>
  <w:font w:name="Lucida Grande">
    <w:altName w:val="Times New Roman"/>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FranklinGothic-Medium">
    <w:altName w:val="Franklin Gothic Medium"/>
    <w:panose1 w:val="00000000000000000000"/>
    <w:charset w:val="4D"/>
    <w:family w:val="auto"/>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FranklinGothic-Demi">
    <w:altName w:val="Franklin Gothic Demi"/>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rajan Pro">
    <w:altName w:val="Times New Roman"/>
    <w:panose1 w:val="00000000000000000000"/>
    <w:charset w:val="00"/>
    <w:family w:val="roman"/>
    <w:notTrueType/>
    <w:pitch w:val="variable"/>
    <w:sig w:usb0="00000001" w:usb1="00000000" w:usb2="00000000" w:usb3="00000000" w:csb0="00000093" w:csb1="00000000"/>
  </w:font>
  <w:font w:name="Myriad Pro">
    <w:panose1 w:val="00000000000000000000"/>
    <w:charset w:val="00"/>
    <w:family w:val="swiss"/>
    <w:notTrueType/>
    <w:pitch w:val="variable"/>
    <w:sig w:usb0="A00002AF" w:usb1="5000204B"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yriadPro-Regular">
    <w:altName w:val="MS Gothic"/>
    <w:panose1 w:val="00000000000000000000"/>
    <w:charset w:val="80"/>
    <w:family w:val="swiss"/>
    <w:notTrueType/>
    <w:pitch w:val="default"/>
    <w:sig w:usb0="00000001" w:usb1="08070000" w:usb2="00000010" w:usb3="00000000" w:csb0="00020000" w:csb1="00000000"/>
  </w:font>
  <w:font w:name="MS Sans Serif">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6037" w:rsidRDefault="00AD6037" w:rsidP="00A446BA">
    <w:pPr>
      <w:pStyle w:val="Piedepgina"/>
      <w:jc w:val="right"/>
      <w:rPr>
        <w:noProof/>
        <w:sz w:val="16"/>
        <w:szCs w:val="16"/>
      </w:rPr>
    </w:pPr>
    <w:r>
      <w:rPr>
        <w:noProof/>
        <w:sz w:val="16"/>
        <w:szCs w:val="16"/>
        <w:lang w:val="es-MX" w:eastAsia="es-MX"/>
      </w:rPr>
      <w:drawing>
        <wp:inline distT="0" distB="0" distL="0" distR="0">
          <wp:extent cx="6115050" cy="161925"/>
          <wp:effectExtent l="1905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
                  <a:srcRect/>
                  <a:stretch>
                    <a:fillRect/>
                  </a:stretch>
                </pic:blipFill>
                <pic:spPr bwMode="auto">
                  <a:xfrm>
                    <a:off x="0" y="0"/>
                    <a:ext cx="6115050" cy="161925"/>
                  </a:xfrm>
                  <a:prstGeom prst="rect">
                    <a:avLst/>
                  </a:prstGeom>
                  <a:noFill/>
                  <a:ln w="9525">
                    <a:noFill/>
                    <a:miter lim="800000"/>
                    <a:headEnd/>
                    <a:tailEnd/>
                  </a:ln>
                </pic:spPr>
              </pic:pic>
            </a:graphicData>
          </a:graphic>
        </wp:inline>
      </w:drawing>
    </w:r>
  </w:p>
  <w:p w:rsidR="00AD6037" w:rsidRDefault="009B1A50" w:rsidP="007B3D21">
    <w:pPr>
      <w:pStyle w:val="Piedepgina"/>
      <w:framePr w:wrap="around" w:vAnchor="text" w:hAnchor="page" w:x="5963" w:y="12"/>
      <w:rPr>
        <w:rStyle w:val="Nmerodepgina"/>
      </w:rPr>
    </w:pPr>
    <w:r>
      <w:rPr>
        <w:rStyle w:val="Nmerodepgina"/>
      </w:rPr>
      <w:fldChar w:fldCharType="begin"/>
    </w:r>
    <w:r w:rsidR="00AD6037">
      <w:rPr>
        <w:rStyle w:val="Nmerodepgina"/>
      </w:rPr>
      <w:instrText xml:space="preserve">PAGE  </w:instrText>
    </w:r>
    <w:r>
      <w:rPr>
        <w:rStyle w:val="Nmerodepgina"/>
      </w:rPr>
      <w:fldChar w:fldCharType="separate"/>
    </w:r>
    <w:r w:rsidR="00AD6037">
      <w:rPr>
        <w:rStyle w:val="Nmerodepgina"/>
        <w:noProof/>
      </w:rPr>
      <w:t>2</w:t>
    </w:r>
    <w:r>
      <w:rPr>
        <w:rStyle w:val="Nmerodepgina"/>
      </w:rPr>
      <w:fldChar w:fldCharType="end"/>
    </w:r>
  </w:p>
  <w:p w:rsidR="00AD6037" w:rsidRDefault="00AD6037" w:rsidP="00A446BA">
    <w:pPr>
      <w:pStyle w:val="Piedepgina"/>
      <w:jc w:val="right"/>
      <w:rPr>
        <w:noProof/>
        <w:sz w:val="16"/>
        <w:szCs w:val="16"/>
      </w:rPr>
    </w:pPr>
    <w:r w:rsidRPr="00F62BA2">
      <w:rPr>
        <w:noProof/>
        <w:sz w:val="16"/>
        <w:szCs w:val="16"/>
      </w:rPr>
      <w:t>Cuenta Pública del Estado</w:t>
    </w:r>
  </w:p>
  <w:p w:rsidR="00AD6037" w:rsidRDefault="00AD6037" w:rsidP="00A446BA">
    <w:pPr>
      <w:pStyle w:val="Piedepgina"/>
      <w:jc w:val="right"/>
    </w:pPr>
    <w:r w:rsidRPr="00F62BA2">
      <w:rPr>
        <w:noProof/>
        <w:sz w:val="16"/>
        <w:szCs w:val="16"/>
      </w:rPr>
      <w:t>Periodo noviembre-diciembre del ejercicio 2010</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6037" w:rsidRDefault="00AD6037" w:rsidP="007357EE">
    <w:pPr>
      <w:pStyle w:val="Piedepgina"/>
      <w:jc w:val="right"/>
      <w:rPr>
        <w:noProof/>
        <w:sz w:val="16"/>
        <w:szCs w:val="16"/>
      </w:rPr>
    </w:pPr>
    <w:r w:rsidRPr="00DD6D05">
      <w:rPr>
        <w:noProof/>
        <w:sz w:val="16"/>
        <w:szCs w:val="16"/>
        <w:lang w:val="es-MX" w:eastAsia="es-MX"/>
      </w:rPr>
      <w:drawing>
        <wp:anchor distT="0" distB="0" distL="114300" distR="114300" simplePos="0" relativeHeight="251661824" behindDoc="0" locked="0" layoutInCell="1" allowOverlap="1">
          <wp:simplePos x="0" y="0"/>
          <wp:positionH relativeFrom="column">
            <wp:posOffset>-300907</wp:posOffset>
          </wp:positionH>
          <wp:positionV relativeFrom="paragraph">
            <wp:posOffset>42987</wp:posOffset>
          </wp:positionV>
          <wp:extent cx="1057523" cy="500932"/>
          <wp:effectExtent l="0" t="0" r="0" b="0"/>
          <wp:wrapThrough wrapText="bothSides">
            <wp:wrapPolygon edited="0">
              <wp:start x="15133" y="0"/>
              <wp:lineTo x="7760" y="0"/>
              <wp:lineTo x="5432" y="3281"/>
              <wp:lineTo x="5432" y="19686"/>
              <wp:lineTo x="16297" y="19686"/>
              <wp:lineTo x="16685" y="19686"/>
              <wp:lineTo x="16685" y="13124"/>
              <wp:lineTo x="17073" y="2461"/>
              <wp:lineTo x="16685" y="0"/>
              <wp:lineTo x="15133" y="0"/>
            </wp:wrapPolygon>
          </wp:wrapThrough>
          <wp:docPr id="247" name="Imagen 1"/>
          <wp:cNvGraphicFramePr/>
          <a:graphic xmlns:a="http://schemas.openxmlformats.org/drawingml/2006/main">
            <a:graphicData uri="http://schemas.openxmlformats.org/drawingml/2006/picture">
              <pic:pic xmlns:pic="http://schemas.openxmlformats.org/drawingml/2006/picture">
                <pic:nvPicPr>
                  <pic:cNvPr id="7" name="6 Imagen"/>
                  <pic:cNvPicPr/>
                </pic:nvPicPr>
                <pic:blipFill rotWithShape="1">
                  <a:blip r:embed="rId1">
                    <a:extLst>
                      <a:ext uri="{28A0092B-C50C-407E-A947-70E740481C1C}">
                        <a14:useLocalDpi xmlns:o="urn:schemas-microsoft-com:office:office" xmlns:v="urn:schemas-microsoft-com:vml" xmlns:w10="urn:schemas-microsoft-com:office:word" xmlns:w="http://schemas.openxmlformats.org/wordprocessingml/2006/main" xmlns="" xmlns:xdr="http://schemas.openxmlformats.org/drawingml/2006/spreadsheetDrawing" xmlns:a14="http://schemas.microsoft.com/office/drawing/2010/main" xmlns:lc="http://schemas.openxmlformats.org/drawingml/2006/lockedCanvas" val="0"/>
                      </a:ext>
                    </a:extLst>
                  </a:blip>
                  <a:srcRect l="78632" b="12048"/>
                  <a:stretch/>
                </pic:blipFill>
                <pic:spPr bwMode="auto">
                  <a:xfrm>
                    <a:off x="0" y="0"/>
                    <a:ext cx="1060450" cy="501650"/>
                  </a:xfrm>
                  <a:prstGeom prst="rect">
                    <a:avLst/>
                  </a:prstGeom>
                  <a:noFill/>
                  <a:ln>
                    <a:noFill/>
                  </a:ln>
                  <a:extLst>
                    <a:ext uri="{53640926-AAD7-44D8-BBD7-CCE9431645EC}">
                      <a14:shadowObscured xmlns:o="urn:schemas-microsoft-com:office:office" xmlns:v="urn:schemas-microsoft-com:vml" xmlns:w10="urn:schemas-microsoft-com:office:word" xmlns:w="http://schemas.openxmlformats.org/wordprocessingml/2006/main" xmlns="" xmlns:xdr="http://schemas.openxmlformats.org/drawingml/2006/spreadsheetDrawing" xmlns:a14="http://schemas.microsoft.com/office/drawing/2010/main" xmlns:lc="http://schemas.openxmlformats.org/drawingml/2006/lockedCanvas"/>
                    </a:ext>
                  </a:extLst>
                </pic:spPr>
              </pic:pic>
            </a:graphicData>
          </a:graphic>
        </wp:anchor>
      </w:drawing>
    </w:r>
    <w:r>
      <w:rPr>
        <w:noProof/>
        <w:sz w:val="16"/>
        <w:szCs w:val="16"/>
        <w:lang w:val="es-MX" w:eastAsia="es-MX"/>
      </w:rPr>
      <w:drawing>
        <wp:inline distT="0" distB="0" distL="0" distR="0">
          <wp:extent cx="5200650" cy="180975"/>
          <wp:effectExtent l="19050" t="0" r="0" b="0"/>
          <wp:docPr id="79" name="Imagen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rrowheads="1"/>
                  </pic:cNvPicPr>
                </pic:nvPicPr>
                <pic:blipFill>
                  <a:blip r:embed="rId2"/>
                  <a:srcRect t="-97197" b="-68510"/>
                  <a:stretch>
                    <a:fillRect/>
                  </a:stretch>
                </pic:blipFill>
                <pic:spPr bwMode="auto">
                  <a:xfrm>
                    <a:off x="0" y="0"/>
                    <a:ext cx="5200650" cy="180975"/>
                  </a:xfrm>
                  <a:prstGeom prst="rect">
                    <a:avLst/>
                  </a:prstGeom>
                  <a:noFill/>
                  <a:ln w="9525">
                    <a:noFill/>
                    <a:miter lim="800000"/>
                    <a:headEnd/>
                    <a:tailEnd/>
                  </a:ln>
                </pic:spPr>
              </pic:pic>
            </a:graphicData>
          </a:graphic>
        </wp:inline>
      </w:drawing>
    </w:r>
  </w:p>
  <w:p w:rsidR="00AD6037" w:rsidRDefault="00AD6037" w:rsidP="00E44C8B">
    <w:pPr>
      <w:pStyle w:val="Piedepgina"/>
      <w:jc w:val="right"/>
      <w:rPr>
        <w:noProof/>
        <w:sz w:val="16"/>
        <w:szCs w:val="16"/>
      </w:rPr>
    </w:pPr>
    <w:r w:rsidRPr="00F62BA2">
      <w:rPr>
        <w:noProof/>
        <w:sz w:val="16"/>
        <w:szCs w:val="16"/>
      </w:rPr>
      <w:t>Cuenta Pública del Estado</w:t>
    </w:r>
  </w:p>
  <w:p w:rsidR="00AD6037" w:rsidRPr="00A722C6" w:rsidRDefault="00AD6037" w:rsidP="00A722C6">
    <w:pPr>
      <w:pStyle w:val="Piedepgina"/>
      <w:ind w:left="851"/>
      <w:jc w:val="right"/>
      <w:rPr>
        <w:noProof/>
        <w:sz w:val="16"/>
        <w:szCs w:val="16"/>
      </w:rPr>
    </w:pPr>
    <w:r w:rsidRPr="00F62BA2">
      <w:rPr>
        <w:noProof/>
        <w:sz w:val="16"/>
        <w:szCs w:val="16"/>
      </w:rPr>
      <w:t xml:space="preserve">Periodo </w:t>
    </w:r>
    <w:r>
      <w:rPr>
        <w:noProof/>
        <w:sz w:val="16"/>
        <w:szCs w:val="16"/>
      </w:rPr>
      <w:t>enero</w:t>
    </w:r>
    <w:r w:rsidRPr="00F62BA2">
      <w:rPr>
        <w:noProof/>
        <w:sz w:val="16"/>
        <w:szCs w:val="16"/>
      </w:rPr>
      <w:t>-diciembre del ejercicio 201</w:t>
    </w:r>
    <w:r>
      <w:rPr>
        <w:noProof/>
        <w:sz w:val="16"/>
        <w:szCs w:val="16"/>
      </w:rPr>
      <w:t>5</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00B8" w:rsidRDefault="00A300B8" w:rsidP="00BF7222">
      <w:r>
        <w:separator/>
      </w:r>
    </w:p>
  </w:footnote>
  <w:footnote w:type="continuationSeparator" w:id="0">
    <w:p w:rsidR="00A300B8" w:rsidRDefault="00A300B8" w:rsidP="00BF7222">
      <w:r>
        <w:continuationSeparator/>
      </w:r>
    </w:p>
  </w:footnote>
  <w:footnote w:id="1">
    <w:p w:rsidR="00AD6037" w:rsidRPr="00FA74BC" w:rsidRDefault="00AD6037" w:rsidP="00144F95">
      <w:pPr>
        <w:pStyle w:val="Textonotapie"/>
        <w:rPr>
          <w:rFonts w:ascii="Arial" w:hAnsi="Arial" w:cs="Arial"/>
          <w:sz w:val="16"/>
        </w:rPr>
      </w:pPr>
      <w:r>
        <w:rPr>
          <w:rStyle w:val="Refdenotaalpie"/>
        </w:rPr>
        <w:footnoteRef/>
      </w:r>
      <w:r>
        <w:t xml:space="preserve"> </w:t>
      </w:r>
      <w:r w:rsidRPr="00FA74BC">
        <w:rPr>
          <w:rFonts w:ascii="Arial" w:hAnsi="Arial" w:cs="Arial"/>
          <w:sz w:val="16"/>
        </w:rPr>
        <w:t>INEGI, http://www3.inegi.org.mx/sistemas/saladeprensa/noticia.aspx?id=2471 consultada el 24 de febrero de 2016</w:t>
      </w:r>
    </w:p>
  </w:footnote>
  <w:footnote w:id="2">
    <w:p w:rsidR="00AD6037" w:rsidRPr="00474103" w:rsidRDefault="00AD6037" w:rsidP="00144F95">
      <w:pPr>
        <w:pStyle w:val="Textonotapie"/>
        <w:jc w:val="both"/>
        <w:rPr>
          <w:rFonts w:ascii="Arial" w:hAnsi="Arial" w:cs="Arial"/>
          <w:sz w:val="16"/>
        </w:rPr>
      </w:pPr>
      <w:r>
        <w:rPr>
          <w:rStyle w:val="Refdenotaalpie"/>
        </w:rPr>
        <w:footnoteRef/>
      </w:r>
      <w:r>
        <w:t xml:space="preserve"> </w:t>
      </w:r>
      <w:r w:rsidRPr="00474103">
        <w:rPr>
          <w:rFonts w:ascii="Arial" w:hAnsi="Arial" w:cs="Arial"/>
          <w:sz w:val="16"/>
        </w:rPr>
        <w:t xml:space="preserve">De acuerdo con INEGI, la PEA se define como el número de personas en edad de trabajar (más de 15 años) y que </w:t>
      </w:r>
      <w:r>
        <w:rPr>
          <w:rFonts w:ascii="Arial" w:hAnsi="Arial" w:cs="Arial"/>
          <w:sz w:val="16"/>
        </w:rPr>
        <w:t>tienen</w:t>
      </w:r>
      <w:r w:rsidRPr="00474103">
        <w:rPr>
          <w:rFonts w:ascii="Arial" w:hAnsi="Arial" w:cs="Arial"/>
          <w:sz w:val="16"/>
        </w:rPr>
        <w:t xml:space="preserve"> o tuvieron una actividad económica o buscaron activamente realizar una en algún momento del mes anterior al día de la entrevista</w:t>
      </w:r>
      <w:r>
        <w:rPr>
          <w:rFonts w:ascii="Arial" w:hAnsi="Arial" w:cs="Arial"/>
          <w:sz w:val="16"/>
        </w:rPr>
        <w:t>.</w:t>
      </w:r>
    </w:p>
  </w:footnote>
  <w:footnote w:id="3">
    <w:p w:rsidR="00AD6037" w:rsidRPr="00EB203C" w:rsidRDefault="00AD6037" w:rsidP="00144F95">
      <w:pPr>
        <w:spacing w:after="240"/>
        <w:jc w:val="both"/>
        <w:rPr>
          <w:rFonts w:ascii="Arial" w:hAnsi="Arial" w:cs="Arial"/>
          <w:sz w:val="22"/>
        </w:rPr>
      </w:pPr>
      <w:r w:rsidRPr="000A4E8A">
        <w:rPr>
          <w:rStyle w:val="Refdenotaalpie"/>
          <w:sz w:val="22"/>
        </w:rPr>
        <w:footnoteRef/>
      </w:r>
      <w:r>
        <w:rPr>
          <w:sz w:val="22"/>
        </w:rPr>
        <w:t xml:space="preserve"> </w:t>
      </w:r>
      <w:r w:rsidRPr="00EB203C">
        <w:rPr>
          <w:rFonts w:ascii="Arial" w:hAnsi="Arial" w:cs="Arial"/>
          <w:sz w:val="16"/>
          <w:szCs w:val="16"/>
        </w:rPr>
        <w:t>De acuerdo con el INEGI, el término población desocupada se refiere a las personas que no estando ocupadas en la semana de referencia, buscaron activamente incorporarse a alguna actividad económica en algún momento del último mes transcurrido.</w:t>
      </w:r>
      <w:r w:rsidRPr="00EB203C">
        <w:rPr>
          <w:rFonts w:ascii="Arial" w:hAnsi="Arial" w:cs="Arial"/>
          <w:sz w:val="18"/>
          <w:szCs w:val="22"/>
        </w:rPr>
        <w:t xml:space="preserve"> </w:t>
      </w:r>
    </w:p>
  </w:footnote>
  <w:footnote w:id="4">
    <w:p w:rsidR="00AD6037" w:rsidRPr="00D20FE4" w:rsidRDefault="00AD6037" w:rsidP="00144F95">
      <w:pPr>
        <w:pStyle w:val="Textonotapie"/>
        <w:rPr>
          <w:rFonts w:ascii="Arial" w:hAnsi="Arial" w:cs="Arial"/>
        </w:rPr>
      </w:pPr>
      <w:r>
        <w:rPr>
          <w:rStyle w:val="Refdenotaalpie"/>
        </w:rPr>
        <w:footnoteRef/>
      </w:r>
      <w:r>
        <w:t xml:space="preserve"> </w:t>
      </w:r>
      <w:r w:rsidRPr="00D20FE4">
        <w:rPr>
          <w:rFonts w:ascii="Arial" w:hAnsi="Arial" w:cs="Arial"/>
          <w:sz w:val="16"/>
        </w:rPr>
        <w:t>Perspectivas Económicas: Las Américas. Fondo Monetario Internacional. Octubre 2015.</w:t>
      </w:r>
    </w:p>
  </w:footnote>
  <w:footnote w:id="5">
    <w:p w:rsidR="00AD6037" w:rsidRDefault="00AD6037" w:rsidP="00EE5CF1">
      <w:pPr>
        <w:pStyle w:val="Textonotapie"/>
      </w:pPr>
      <w:r>
        <w:rPr>
          <w:rStyle w:val="Refdenotaalpie"/>
        </w:rPr>
        <w:footnoteRef/>
      </w:r>
      <w:r>
        <w:t xml:space="preserve"> México: panorama general según el Banco Mundial. </w:t>
      </w:r>
      <w:r w:rsidRPr="005A4A4F">
        <w:t>http://www.bancomundial.org/es/country/mexico/overview</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6037" w:rsidRDefault="00AD6037" w:rsidP="00A446BA">
    <w:pPr>
      <w:pStyle w:val="Encabezado"/>
      <w:tabs>
        <w:tab w:val="clear" w:pos="4252"/>
        <w:tab w:val="clear" w:pos="8504"/>
        <w:tab w:val="center" w:pos="4561"/>
        <w:tab w:val="right" w:pos="9122"/>
      </w:tabs>
    </w:pPr>
    <w:r>
      <w:rPr>
        <w:noProof/>
        <w:lang w:val="es-MX" w:eastAsia="es-MX"/>
      </w:rPr>
      <w:drawing>
        <wp:anchor distT="0" distB="0" distL="114300" distR="114300" simplePos="0" relativeHeight="251655680" behindDoc="1" locked="0" layoutInCell="1" allowOverlap="1">
          <wp:simplePos x="0" y="0"/>
          <wp:positionH relativeFrom="column">
            <wp:posOffset>1262380</wp:posOffset>
          </wp:positionH>
          <wp:positionV relativeFrom="paragraph">
            <wp:posOffset>633095</wp:posOffset>
          </wp:positionV>
          <wp:extent cx="4246880" cy="6116320"/>
          <wp:effectExtent l="19050" t="0" r="127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
                  <a:srcRect/>
                  <a:stretch>
                    <a:fillRect/>
                  </a:stretch>
                </pic:blipFill>
                <pic:spPr bwMode="auto">
                  <a:xfrm>
                    <a:off x="0" y="0"/>
                    <a:ext cx="4246880" cy="6116320"/>
                  </a:xfrm>
                  <a:prstGeom prst="rect">
                    <a:avLst/>
                  </a:prstGeom>
                  <a:noFill/>
                </pic:spPr>
              </pic:pic>
            </a:graphicData>
          </a:graphic>
        </wp:anchor>
      </w:drawing>
    </w:r>
    <w:r>
      <w:rPr>
        <w:noProof/>
        <w:lang w:val="es-MX" w:eastAsia="es-MX"/>
      </w:rPr>
      <w:drawing>
        <wp:anchor distT="0" distB="0" distL="114300" distR="114300" simplePos="0" relativeHeight="251656704" behindDoc="1" locked="0" layoutInCell="1" allowOverlap="1">
          <wp:simplePos x="0" y="0"/>
          <wp:positionH relativeFrom="column">
            <wp:posOffset>0</wp:posOffset>
          </wp:positionH>
          <wp:positionV relativeFrom="paragraph">
            <wp:posOffset>-900430</wp:posOffset>
          </wp:positionV>
          <wp:extent cx="2832100" cy="901700"/>
          <wp:effectExtent l="19050" t="0" r="6350" b="0"/>
          <wp:wrapThrough wrapText="bothSides">
            <wp:wrapPolygon edited="0">
              <wp:start x="9153" y="0"/>
              <wp:lineTo x="6393" y="0"/>
              <wp:lineTo x="4649" y="2738"/>
              <wp:lineTo x="5085" y="14603"/>
              <wp:lineTo x="145" y="16885"/>
              <wp:lineTo x="-145" y="16885"/>
              <wp:lineTo x="-145" y="20535"/>
              <wp:lineTo x="21648" y="20535"/>
              <wp:lineTo x="21648" y="16885"/>
              <wp:lineTo x="20922" y="16885"/>
              <wp:lineTo x="9880" y="14603"/>
              <wp:lineTo x="18888" y="13234"/>
              <wp:lineTo x="19469" y="11865"/>
              <wp:lineTo x="17871" y="7301"/>
              <wp:lineTo x="18161" y="5476"/>
              <wp:lineTo x="16709" y="4107"/>
              <wp:lineTo x="9880" y="0"/>
              <wp:lineTo x="9153"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
                  <a:srcRect/>
                  <a:stretch>
                    <a:fillRect/>
                  </a:stretch>
                </pic:blipFill>
                <pic:spPr bwMode="auto">
                  <a:xfrm>
                    <a:off x="0" y="0"/>
                    <a:ext cx="2832100" cy="901700"/>
                  </a:xfrm>
                  <a:prstGeom prst="rect">
                    <a:avLst/>
                  </a:prstGeom>
                  <a:noFill/>
                </pic:spPr>
              </pic:pic>
            </a:graphicData>
          </a:graphic>
        </wp:anchor>
      </w:drawing>
    </w:r>
    <w:r>
      <w:rPr>
        <w:noProof/>
        <w:lang w:val="es-MX" w:eastAsia="es-MX"/>
      </w:rPr>
      <w:drawing>
        <wp:anchor distT="0" distB="0" distL="114300" distR="114300" simplePos="0" relativeHeight="251658752" behindDoc="1" locked="0" layoutInCell="1" allowOverlap="1">
          <wp:simplePos x="0" y="0"/>
          <wp:positionH relativeFrom="column">
            <wp:posOffset>5014595</wp:posOffset>
          </wp:positionH>
          <wp:positionV relativeFrom="paragraph">
            <wp:posOffset>-900430</wp:posOffset>
          </wp:positionV>
          <wp:extent cx="1116965" cy="899795"/>
          <wp:effectExtent l="19050" t="0" r="6985" b="0"/>
          <wp:wrapThrough wrapText="bothSides">
            <wp:wrapPolygon edited="0">
              <wp:start x="-368" y="0"/>
              <wp:lineTo x="-368" y="21036"/>
              <wp:lineTo x="21735" y="21036"/>
              <wp:lineTo x="21735" y="0"/>
              <wp:lineTo x="-368"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
                  <a:srcRect/>
                  <a:stretch>
                    <a:fillRect/>
                  </a:stretch>
                </pic:blipFill>
                <pic:spPr bwMode="auto">
                  <a:xfrm>
                    <a:off x="0" y="0"/>
                    <a:ext cx="1116965" cy="899795"/>
                  </a:xfrm>
                  <a:prstGeom prst="rect">
                    <a:avLst/>
                  </a:prstGeom>
                  <a:noFill/>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6037" w:rsidRDefault="00AD6037" w:rsidP="00AD36CE">
    <w:r>
      <w:rPr>
        <w:noProof/>
        <w:lang w:val="es-MX" w:eastAsia="es-MX"/>
      </w:rPr>
      <w:drawing>
        <wp:anchor distT="0" distB="0" distL="114300" distR="114300" simplePos="0" relativeHeight="251659776" behindDoc="1" locked="0" layoutInCell="1" allowOverlap="1">
          <wp:simplePos x="0" y="0"/>
          <wp:positionH relativeFrom="column">
            <wp:posOffset>-348615</wp:posOffset>
          </wp:positionH>
          <wp:positionV relativeFrom="paragraph">
            <wp:posOffset>-999490</wp:posOffset>
          </wp:positionV>
          <wp:extent cx="1452880" cy="1448435"/>
          <wp:effectExtent l="19050" t="0" r="0" b="0"/>
          <wp:wrapTight wrapText="bothSides">
            <wp:wrapPolygon edited="0">
              <wp:start x="8780" y="284"/>
              <wp:lineTo x="6797" y="852"/>
              <wp:lineTo x="3115" y="3977"/>
              <wp:lineTo x="2832" y="9375"/>
              <wp:lineTo x="5381" y="13920"/>
              <wp:lineTo x="-283" y="18466"/>
              <wp:lineTo x="-283" y="18750"/>
              <wp:lineTo x="3965" y="21022"/>
              <wp:lineTo x="4815" y="21022"/>
              <wp:lineTo x="16710" y="21022"/>
              <wp:lineTo x="17559" y="21022"/>
              <wp:lineTo x="21524" y="19034"/>
              <wp:lineTo x="21524" y="18466"/>
              <wp:lineTo x="15860" y="13920"/>
              <wp:lineTo x="17843" y="10227"/>
              <wp:lineTo x="18126" y="9375"/>
              <wp:lineTo x="18126" y="3977"/>
              <wp:lineTo x="14727" y="1136"/>
              <wp:lineTo x="12462" y="284"/>
              <wp:lineTo x="8780" y="284"/>
            </wp:wrapPolygon>
          </wp:wrapTight>
          <wp:docPr id="238" name="Imagen 3" descr="C:\Users\admin\AppData\Local\Temp\EscudoNa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EscudoNacional.png"/>
                  <pic:cNvPicPr>
                    <a:picLocks noChangeAspect="1" noChangeArrowheads="1"/>
                  </pic:cNvPicPr>
                </pic:nvPicPr>
                <pic:blipFill>
                  <a:blip r:embed="rId1"/>
                  <a:srcRect/>
                  <a:stretch>
                    <a:fillRect/>
                  </a:stretch>
                </pic:blipFill>
                <pic:spPr bwMode="auto">
                  <a:xfrm>
                    <a:off x="0" y="0"/>
                    <a:ext cx="1452880" cy="1448435"/>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9954CBBC"/>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DE12199C"/>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FFFFFF89"/>
    <w:multiLevelType w:val="singleLevel"/>
    <w:tmpl w:val="8E2E09AE"/>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0EF0C08"/>
    <w:multiLevelType w:val="hybridMultilevel"/>
    <w:tmpl w:val="6B24C2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15F551D"/>
    <w:multiLevelType w:val="hybridMultilevel"/>
    <w:tmpl w:val="8BE68F1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4B4120E"/>
    <w:multiLevelType w:val="hybridMultilevel"/>
    <w:tmpl w:val="886047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07184B81"/>
    <w:multiLevelType w:val="hybridMultilevel"/>
    <w:tmpl w:val="6E2C13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07FB5682"/>
    <w:multiLevelType w:val="hybridMultilevel"/>
    <w:tmpl w:val="F620B0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08A24DA3"/>
    <w:multiLevelType w:val="hybridMultilevel"/>
    <w:tmpl w:val="77D6AC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08E14B70"/>
    <w:multiLevelType w:val="hybridMultilevel"/>
    <w:tmpl w:val="B1546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0AA812BB"/>
    <w:multiLevelType w:val="hybridMultilevel"/>
    <w:tmpl w:val="8AAEA2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0E532BBB"/>
    <w:multiLevelType w:val="hybridMultilevel"/>
    <w:tmpl w:val="B1F6E1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0F3B6E4A"/>
    <w:multiLevelType w:val="hybridMultilevel"/>
    <w:tmpl w:val="B79419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0F6C4209"/>
    <w:multiLevelType w:val="hybridMultilevel"/>
    <w:tmpl w:val="4FCE2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103327CD"/>
    <w:multiLevelType w:val="hybridMultilevel"/>
    <w:tmpl w:val="331885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14C50CD6"/>
    <w:multiLevelType w:val="hybridMultilevel"/>
    <w:tmpl w:val="9F4A8C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14D276EE"/>
    <w:multiLevelType w:val="hybridMultilevel"/>
    <w:tmpl w:val="A1E42F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150A4F7F"/>
    <w:multiLevelType w:val="hybridMultilevel"/>
    <w:tmpl w:val="E1E0D3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53F4D3F"/>
    <w:multiLevelType w:val="hybridMultilevel"/>
    <w:tmpl w:val="39C6D68C"/>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9">
    <w:nsid w:val="15DC4478"/>
    <w:multiLevelType w:val="hybridMultilevel"/>
    <w:tmpl w:val="FE2437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16B9678E"/>
    <w:multiLevelType w:val="hybridMultilevel"/>
    <w:tmpl w:val="FF10D6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16E15D47"/>
    <w:multiLevelType w:val="hybridMultilevel"/>
    <w:tmpl w:val="86DE6F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179B3E8C"/>
    <w:multiLevelType w:val="hybridMultilevel"/>
    <w:tmpl w:val="93AA75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190B780D"/>
    <w:multiLevelType w:val="hybridMultilevel"/>
    <w:tmpl w:val="9ED860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1A5E4E13"/>
    <w:multiLevelType w:val="hybridMultilevel"/>
    <w:tmpl w:val="DB2259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1B0C44FC"/>
    <w:multiLevelType w:val="hybridMultilevel"/>
    <w:tmpl w:val="5B9E44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1B605943"/>
    <w:multiLevelType w:val="hybridMultilevel"/>
    <w:tmpl w:val="7758DA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1B7D3753"/>
    <w:multiLevelType w:val="multilevel"/>
    <w:tmpl w:val="53C071F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nsid w:val="1BC47739"/>
    <w:multiLevelType w:val="hybridMultilevel"/>
    <w:tmpl w:val="561E44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1CCF7995"/>
    <w:multiLevelType w:val="hybridMultilevel"/>
    <w:tmpl w:val="5D0867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1D0636B3"/>
    <w:multiLevelType w:val="hybridMultilevel"/>
    <w:tmpl w:val="6DF612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1DB607E1"/>
    <w:multiLevelType w:val="hybridMultilevel"/>
    <w:tmpl w:val="8C0C3E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1DE10030"/>
    <w:multiLevelType w:val="hybridMultilevel"/>
    <w:tmpl w:val="4C34E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1DF44A19"/>
    <w:multiLevelType w:val="hybridMultilevel"/>
    <w:tmpl w:val="CC6CC5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1E78213A"/>
    <w:multiLevelType w:val="hybridMultilevel"/>
    <w:tmpl w:val="D45434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1E9F626A"/>
    <w:multiLevelType w:val="hybridMultilevel"/>
    <w:tmpl w:val="B62C31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21FD2F0B"/>
    <w:multiLevelType w:val="hybridMultilevel"/>
    <w:tmpl w:val="E0281C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224971AF"/>
    <w:multiLevelType w:val="hybridMultilevel"/>
    <w:tmpl w:val="30F229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23220D88"/>
    <w:multiLevelType w:val="hybridMultilevel"/>
    <w:tmpl w:val="7472B4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246F026A"/>
    <w:multiLevelType w:val="hybridMultilevel"/>
    <w:tmpl w:val="799E23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24D067C4"/>
    <w:multiLevelType w:val="hybridMultilevel"/>
    <w:tmpl w:val="212613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250206AC"/>
    <w:multiLevelType w:val="multilevel"/>
    <w:tmpl w:val="06124A40"/>
    <w:lvl w:ilvl="0">
      <w:start w:val="2"/>
      <w:numFmt w:val="decimal"/>
      <w:lvlText w:val="%1"/>
      <w:lvlJc w:val="left"/>
      <w:pPr>
        <w:ind w:left="405" w:hanging="405"/>
      </w:pPr>
      <w:rPr>
        <w:rFonts w:hint="default"/>
      </w:rPr>
    </w:lvl>
    <w:lvl w:ilvl="1">
      <w:start w:val="2"/>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2">
    <w:nsid w:val="255979F4"/>
    <w:multiLevelType w:val="hybridMultilevel"/>
    <w:tmpl w:val="9990D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27192159"/>
    <w:multiLevelType w:val="hybridMultilevel"/>
    <w:tmpl w:val="0AF6F5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274778FD"/>
    <w:multiLevelType w:val="hybridMultilevel"/>
    <w:tmpl w:val="426A53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27EB1C74"/>
    <w:multiLevelType w:val="hybridMultilevel"/>
    <w:tmpl w:val="9F2AAA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28197336"/>
    <w:multiLevelType w:val="hybridMultilevel"/>
    <w:tmpl w:val="632289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nsid w:val="2834027E"/>
    <w:multiLevelType w:val="hybridMultilevel"/>
    <w:tmpl w:val="9D7AED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nsid w:val="2A74537E"/>
    <w:multiLevelType w:val="hybridMultilevel"/>
    <w:tmpl w:val="AA88D3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2D8178CB"/>
    <w:multiLevelType w:val="hybridMultilevel"/>
    <w:tmpl w:val="90021E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nsid w:val="2E635463"/>
    <w:multiLevelType w:val="hybridMultilevel"/>
    <w:tmpl w:val="489E51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2E867D1E"/>
    <w:multiLevelType w:val="hybridMultilevel"/>
    <w:tmpl w:val="73FC02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2EF072BA"/>
    <w:multiLevelType w:val="hybridMultilevel"/>
    <w:tmpl w:val="50D8FD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nsid w:val="344747E7"/>
    <w:multiLevelType w:val="hybridMultilevel"/>
    <w:tmpl w:val="91C0F55C"/>
    <w:lvl w:ilvl="0" w:tplc="DC6A8F50">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4">
    <w:nsid w:val="36C315BB"/>
    <w:multiLevelType w:val="hybridMultilevel"/>
    <w:tmpl w:val="BCB871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383C0FD7"/>
    <w:multiLevelType w:val="hybridMultilevel"/>
    <w:tmpl w:val="D05CE8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nsid w:val="39593BB4"/>
    <w:multiLevelType w:val="hybridMultilevel"/>
    <w:tmpl w:val="2AB837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nsid w:val="39D021FF"/>
    <w:multiLevelType w:val="hybridMultilevel"/>
    <w:tmpl w:val="DC26260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3D552EBA"/>
    <w:multiLevelType w:val="hybridMultilevel"/>
    <w:tmpl w:val="831A14E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nsid w:val="3E1C70A4"/>
    <w:multiLevelType w:val="hybridMultilevel"/>
    <w:tmpl w:val="106C5D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nsid w:val="3E6C7DDD"/>
    <w:multiLevelType w:val="hybridMultilevel"/>
    <w:tmpl w:val="C54478D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nsid w:val="3ED93FDE"/>
    <w:multiLevelType w:val="hybridMultilevel"/>
    <w:tmpl w:val="0B16A9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nsid w:val="3F8334A1"/>
    <w:multiLevelType w:val="hybridMultilevel"/>
    <w:tmpl w:val="AA5895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nsid w:val="3FE73833"/>
    <w:multiLevelType w:val="hybridMultilevel"/>
    <w:tmpl w:val="6AE8BF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nsid w:val="40165CBB"/>
    <w:multiLevelType w:val="hybridMultilevel"/>
    <w:tmpl w:val="5F4C67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nsid w:val="40715F20"/>
    <w:multiLevelType w:val="hybridMultilevel"/>
    <w:tmpl w:val="24E60C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nsid w:val="41370DE0"/>
    <w:multiLevelType w:val="hybridMultilevel"/>
    <w:tmpl w:val="CCA0D5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nsid w:val="429053CC"/>
    <w:multiLevelType w:val="hybridMultilevel"/>
    <w:tmpl w:val="EA161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nsid w:val="45B74FF6"/>
    <w:multiLevelType w:val="hybridMultilevel"/>
    <w:tmpl w:val="9BACBA1C"/>
    <w:lvl w:ilvl="0" w:tplc="5AB08480">
      <w:start w:val="1"/>
      <w:numFmt w:val="bullet"/>
      <w:lvlText w:val="•"/>
      <w:lvlJc w:val="left"/>
      <w:pPr>
        <w:tabs>
          <w:tab w:val="num" w:pos="360"/>
        </w:tabs>
        <w:ind w:left="360" w:hanging="360"/>
      </w:pPr>
      <w:rPr>
        <w:rFonts w:ascii="Arial" w:hAnsi="Arial" w:hint="default"/>
      </w:rPr>
    </w:lvl>
    <w:lvl w:ilvl="1" w:tplc="C1A8F4DE" w:tentative="1">
      <w:start w:val="1"/>
      <w:numFmt w:val="bullet"/>
      <w:lvlText w:val="•"/>
      <w:lvlJc w:val="left"/>
      <w:pPr>
        <w:tabs>
          <w:tab w:val="num" w:pos="1440"/>
        </w:tabs>
        <w:ind w:left="1440" w:hanging="360"/>
      </w:pPr>
      <w:rPr>
        <w:rFonts w:ascii="Arial" w:hAnsi="Arial" w:hint="default"/>
      </w:rPr>
    </w:lvl>
    <w:lvl w:ilvl="2" w:tplc="B0B80636" w:tentative="1">
      <w:start w:val="1"/>
      <w:numFmt w:val="bullet"/>
      <w:lvlText w:val="•"/>
      <w:lvlJc w:val="left"/>
      <w:pPr>
        <w:tabs>
          <w:tab w:val="num" w:pos="2160"/>
        </w:tabs>
        <w:ind w:left="2160" w:hanging="360"/>
      </w:pPr>
      <w:rPr>
        <w:rFonts w:ascii="Arial" w:hAnsi="Arial" w:hint="default"/>
      </w:rPr>
    </w:lvl>
    <w:lvl w:ilvl="3" w:tplc="A25E5818" w:tentative="1">
      <w:start w:val="1"/>
      <w:numFmt w:val="bullet"/>
      <w:lvlText w:val="•"/>
      <w:lvlJc w:val="left"/>
      <w:pPr>
        <w:tabs>
          <w:tab w:val="num" w:pos="2880"/>
        </w:tabs>
        <w:ind w:left="2880" w:hanging="360"/>
      </w:pPr>
      <w:rPr>
        <w:rFonts w:ascii="Arial" w:hAnsi="Arial" w:hint="default"/>
      </w:rPr>
    </w:lvl>
    <w:lvl w:ilvl="4" w:tplc="F634D4DE" w:tentative="1">
      <w:start w:val="1"/>
      <w:numFmt w:val="bullet"/>
      <w:lvlText w:val="•"/>
      <w:lvlJc w:val="left"/>
      <w:pPr>
        <w:tabs>
          <w:tab w:val="num" w:pos="3600"/>
        </w:tabs>
        <w:ind w:left="3600" w:hanging="360"/>
      </w:pPr>
      <w:rPr>
        <w:rFonts w:ascii="Arial" w:hAnsi="Arial" w:hint="default"/>
      </w:rPr>
    </w:lvl>
    <w:lvl w:ilvl="5" w:tplc="08CE1524" w:tentative="1">
      <w:start w:val="1"/>
      <w:numFmt w:val="bullet"/>
      <w:lvlText w:val="•"/>
      <w:lvlJc w:val="left"/>
      <w:pPr>
        <w:tabs>
          <w:tab w:val="num" w:pos="4320"/>
        </w:tabs>
        <w:ind w:left="4320" w:hanging="360"/>
      </w:pPr>
      <w:rPr>
        <w:rFonts w:ascii="Arial" w:hAnsi="Arial" w:hint="default"/>
      </w:rPr>
    </w:lvl>
    <w:lvl w:ilvl="6" w:tplc="62EEB2C2" w:tentative="1">
      <w:start w:val="1"/>
      <w:numFmt w:val="bullet"/>
      <w:lvlText w:val="•"/>
      <w:lvlJc w:val="left"/>
      <w:pPr>
        <w:tabs>
          <w:tab w:val="num" w:pos="5040"/>
        </w:tabs>
        <w:ind w:left="5040" w:hanging="360"/>
      </w:pPr>
      <w:rPr>
        <w:rFonts w:ascii="Arial" w:hAnsi="Arial" w:hint="default"/>
      </w:rPr>
    </w:lvl>
    <w:lvl w:ilvl="7" w:tplc="72127BB8" w:tentative="1">
      <w:start w:val="1"/>
      <w:numFmt w:val="bullet"/>
      <w:lvlText w:val="•"/>
      <w:lvlJc w:val="left"/>
      <w:pPr>
        <w:tabs>
          <w:tab w:val="num" w:pos="5760"/>
        </w:tabs>
        <w:ind w:left="5760" w:hanging="360"/>
      </w:pPr>
      <w:rPr>
        <w:rFonts w:ascii="Arial" w:hAnsi="Arial" w:hint="default"/>
      </w:rPr>
    </w:lvl>
    <w:lvl w:ilvl="8" w:tplc="D1CAB016" w:tentative="1">
      <w:start w:val="1"/>
      <w:numFmt w:val="bullet"/>
      <w:lvlText w:val="•"/>
      <w:lvlJc w:val="left"/>
      <w:pPr>
        <w:tabs>
          <w:tab w:val="num" w:pos="6480"/>
        </w:tabs>
        <w:ind w:left="6480" w:hanging="360"/>
      </w:pPr>
      <w:rPr>
        <w:rFonts w:ascii="Arial" w:hAnsi="Arial" w:hint="default"/>
      </w:rPr>
    </w:lvl>
  </w:abstractNum>
  <w:abstractNum w:abstractNumId="69">
    <w:nsid w:val="47844C63"/>
    <w:multiLevelType w:val="hybridMultilevel"/>
    <w:tmpl w:val="7D50C9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47C7524E"/>
    <w:multiLevelType w:val="multilevel"/>
    <w:tmpl w:val="66F8AB1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1">
    <w:nsid w:val="48E67247"/>
    <w:multiLevelType w:val="hybridMultilevel"/>
    <w:tmpl w:val="A21A63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nsid w:val="498B17EC"/>
    <w:multiLevelType w:val="hybridMultilevel"/>
    <w:tmpl w:val="71FAF4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nsid w:val="4BD62892"/>
    <w:multiLevelType w:val="hybridMultilevel"/>
    <w:tmpl w:val="68BC71B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4">
    <w:nsid w:val="4EB24BB7"/>
    <w:multiLevelType w:val="hybridMultilevel"/>
    <w:tmpl w:val="FE5831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nsid w:val="4EF14854"/>
    <w:multiLevelType w:val="hybridMultilevel"/>
    <w:tmpl w:val="04EEA2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nsid w:val="4F2B62F1"/>
    <w:multiLevelType w:val="hybridMultilevel"/>
    <w:tmpl w:val="D6DA1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nsid w:val="4F633E28"/>
    <w:multiLevelType w:val="hybridMultilevel"/>
    <w:tmpl w:val="D924EE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nsid w:val="50B04665"/>
    <w:multiLevelType w:val="hybridMultilevel"/>
    <w:tmpl w:val="89086C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nsid w:val="51752D88"/>
    <w:multiLevelType w:val="hybridMultilevel"/>
    <w:tmpl w:val="D9DEB9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nsid w:val="51916BFA"/>
    <w:multiLevelType w:val="hybridMultilevel"/>
    <w:tmpl w:val="6B60B1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nsid w:val="52F30654"/>
    <w:multiLevelType w:val="hybridMultilevel"/>
    <w:tmpl w:val="C7220F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nsid w:val="5336148F"/>
    <w:multiLevelType w:val="hybridMultilevel"/>
    <w:tmpl w:val="C1882A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nsid w:val="56E968FA"/>
    <w:multiLevelType w:val="multilevel"/>
    <w:tmpl w:val="087254B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4">
    <w:nsid w:val="579F41EE"/>
    <w:multiLevelType w:val="hybridMultilevel"/>
    <w:tmpl w:val="0C30E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nsid w:val="57A22C6F"/>
    <w:multiLevelType w:val="hybridMultilevel"/>
    <w:tmpl w:val="D9FE5E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nsid w:val="57EB07FE"/>
    <w:multiLevelType w:val="hybridMultilevel"/>
    <w:tmpl w:val="8200B6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nsid w:val="59C23BD9"/>
    <w:multiLevelType w:val="hybridMultilevel"/>
    <w:tmpl w:val="7C542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nsid w:val="5A9555D3"/>
    <w:multiLevelType w:val="hybridMultilevel"/>
    <w:tmpl w:val="8820B7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nsid w:val="5BD13C49"/>
    <w:multiLevelType w:val="hybridMultilevel"/>
    <w:tmpl w:val="58A63E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nsid w:val="5CBE1FC8"/>
    <w:multiLevelType w:val="hybridMultilevel"/>
    <w:tmpl w:val="F0F218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nsid w:val="5D6B0FA9"/>
    <w:multiLevelType w:val="hybridMultilevel"/>
    <w:tmpl w:val="DFC670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nsid w:val="5E2279D0"/>
    <w:multiLevelType w:val="hybridMultilevel"/>
    <w:tmpl w:val="DDE2A7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nsid w:val="5F6331DE"/>
    <w:multiLevelType w:val="hybridMultilevel"/>
    <w:tmpl w:val="B8E4B0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nsid w:val="603234F2"/>
    <w:multiLevelType w:val="hybridMultilevel"/>
    <w:tmpl w:val="B8BC9C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nsid w:val="605B5307"/>
    <w:multiLevelType w:val="hybridMultilevel"/>
    <w:tmpl w:val="E8720F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nsid w:val="61E25576"/>
    <w:multiLevelType w:val="hybridMultilevel"/>
    <w:tmpl w:val="2BF8341C"/>
    <w:lvl w:ilvl="0" w:tplc="080A0001">
      <w:start w:val="1"/>
      <w:numFmt w:val="bullet"/>
      <w:lvlText w:val=""/>
      <w:lvlJc w:val="left"/>
      <w:pPr>
        <w:ind w:left="720" w:hanging="360"/>
      </w:pPr>
      <w:rPr>
        <w:rFonts w:ascii="Symbol" w:hAnsi="Symbol" w:hint="default"/>
      </w:rPr>
    </w:lvl>
    <w:lvl w:ilvl="1" w:tplc="878A4E3C">
      <w:numFmt w:val="bullet"/>
      <w:lvlText w:val="•"/>
      <w:lvlJc w:val="left"/>
      <w:pPr>
        <w:ind w:left="1440" w:hanging="360"/>
      </w:pPr>
      <w:rPr>
        <w:rFonts w:ascii="Adobe Caslon Pro" w:eastAsia="Times New Roman" w:hAnsi="Adobe Caslon Pro" w:cs="Calibri"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nsid w:val="64A97114"/>
    <w:multiLevelType w:val="hybridMultilevel"/>
    <w:tmpl w:val="BCF81B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nsid w:val="65390041"/>
    <w:multiLevelType w:val="hybridMultilevel"/>
    <w:tmpl w:val="357E8D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nsid w:val="677C530D"/>
    <w:multiLevelType w:val="hybridMultilevel"/>
    <w:tmpl w:val="B93845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nsid w:val="683211CA"/>
    <w:multiLevelType w:val="hybridMultilevel"/>
    <w:tmpl w:val="4760C2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nsid w:val="68E61AB2"/>
    <w:multiLevelType w:val="hybridMultilevel"/>
    <w:tmpl w:val="B9B4D7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2">
    <w:nsid w:val="6A9C3336"/>
    <w:multiLevelType w:val="hybridMultilevel"/>
    <w:tmpl w:val="8A6CCB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3">
    <w:nsid w:val="6B002905"/>
    <w:multiLevelType w:val="hybridMultilevel"/>
    <w:tmpl w:val="B0648454"/>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4">
    <w:nsid w:val="6B0610A1"/>
    <w:multiLevelType w:val="hybridMultilevel"/>
    <w:tmpl w:val="39421C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nsid w:val="6C486519"/>
    <w:multiLevelType w:val="hybridMultilevel"/>
    <w:tmpl w:val="876E28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nsid w:val="6CED0054"/>
    <w:multiLevelType w:val="hybridMultilevel"/>
    <w:tmpl w:val="EBEE8F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nsid w:val="6E59197C"/>
    <w:multiLevelType w:val="hybridMultilevel"/>
    <w:tmpl w:val="BFDA8A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nsid w:val="6EE87EF0"/>
    <w:multiLevelType w:val="hybridMultilevel"/>
    <w:tmpl w:val="301AC8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nsid w:val="714A6412"/>
    <w:multiLevelType w:val="hybridMultilevel"/>
    <w:tmpl w:val="D28A79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nsid w:val="71AA567F"/>
    <w:multiLevelType w:val="hybridMultilevel"/>
    <w:tmpl w:val="14C04C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1">
    <w:nsid w:val="75325DC5"/>
    <w:multiLevelType w:val="hybridMultilevel"/>
    <w:tmpl w:val="E03A9C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2">
    <w:nsid w:val="75CF4F32"/>
    <w:multiLevelType w:val="hybridMultilevel"/>
    <w:tmpl w:val="0C22CF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3">
    <w:nsid w:val="767070F3"/>
    <w:multiLevelType w:val="hybridMultilevel"/>
    <w:tmpl w:val="F904D6C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14">
    <w:nsid w:val="768D40FF"/>
    <w:multiLevelType w:val="hybridMultilevel"/>
    <w:tmpl w:val="87AC55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5">
    <w:nsid w:val="772064F5"/>
    <w:multiLevelType w:val="hybridMultilevel"/>
    <w:tmpl w:val="568A5612"/>
    <w:lvl w:ilvl="0" w:tplc="6DB89E28">
      <w:start w:val="1"/>
      <w:numFmt w:val="decimal"/>
      <w:lvlText w:val="%1."/>
      <w:lvlJc w:val="left"/>
      <w:pPr>
        <w:ind w:left="720" w:hanging="360"/>
      </w:pPr>
      <w:rPr>
        <w:rFonts w:ascii="Calibri" w:eastAsia="Calibri" w:hAnsi="Calibri" w:cs="Times New Roman" w:hint="default"/>
        <w:i w:val="0"/>
        <w:color w:val="auto"/>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nsid w:val="7745735B"/>
    <w:multiLevelType w:val="hybridMultilevel"/>
    <w:tmpl w:val="5EF09C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nsid w:val="78A11948"/>
    <w:multiLevelType w:val="hybridMultilevel"/>
    <w:tmpl w:val="F60CD8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8">
    <w:nsid w:val="794056F2"/>
    <w:multiLevelType w:val="hybridMultilevel"/>
    <w:tmpl w:val="A89281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nsid w:val="79CD0E8E"/>
    <w:multiLevelType w:val="hybridMultilevel"/>
    <w:tmpl w:val="432EC8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nsid w:val="7B523DBE"/>
    <w:multiLevelType w:val="hybridMultilevel"/>
    <w:tmpl w:val="00843D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1">
    <w:nsid w:val="7CD41EAB"/>
    <w:multiLevelType w:val="hybridMultilevel"/>
    <w:tmpl w:val="814000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2">
    <w:nsid w:val="7EF143EC"/>
    <w:multiLevelType w:val="hybridMultilevel"/>
    <w:tmpl w:val="F31E80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3">
    <w:nsid w:val="7EF55506"/>
    <w:multiLevelType w:val="hybridMultilevel"/>
    <w:tmpl w:val="F89613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4">
    <w:nsid w:val="7FA94D2F"/>
    <w:multiLevelType w:val="hybridMultilevel"/>
    <w:tmpl w:val="6DF0FD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abstractNumId w:val="103"/>
  </w:num>
  <w:num w:numId="2">
    <w:abstractNumId w:val="1"/>
  </w:num>
  <w:num w:numId="3">
    <w:abstractNumId w:val="2"/>
  </w:num>
  <w:num w:numId="4">
    <w:abstractNumId w:val="0"/>
  </w:num>
  <w:num w:numId="5">
    <w:abstractNumId w:val="68"/>
  </w:num>
  <w:num w:numId="6">
    <w:abstractNumId w:val="51"/>
  </w:num>
  <w:num w:numId="7">
    <w:abstractNumId w:val="91"/>
  </w:num>
  <w:num w:numId="8">
    <w:abstractNumId w:val="3"/>
  </w:num>
  <w:num w:numId="9">
    <w:abstractNumId w:val="73"/>
  </w:num>
  <w:num w:numId="10">
    <w:abstractNumId w:val="22"/>
  </w:num>
  <w:num w:numId="11">
    <w:abstractNumId w:val="36"/>
  </w:num>
  <w:num w:numId="12">
    <w:abstractNumId w:val="26"/>
  </w:num>
  <w:num w:numId="13">
    <w:abstractNumId w:val="29"/>
  </w:num>
  <w:num w:numId="14">
    <w:abstractNumId w:val="83"/>
  </w:num>
  <w:num w:numId="15">
    <w:abstractNumId w:val="70"/>
  </w:num>
  <w:num w:numId="16">
    <w:abstractNumId w:val="85"/>
  </w:num>
  <w:num w:numId="17">
    <w:abstractNumId w:val="105"/>
  </w:num>
  <w:num w:numId="18">
    <w:abstractNumId w:val="120"/>
  </w:num>
  <w:num w:numId="19">
    <w:abstractNumId w:val="93"/>
  </w:num>
  <w:num w:numId="20">
    <w:abstractNumId w:val="49"/>
  </w:num>
  <w:num w:numId="21">
    <w:abstractNumId w:val="108"/>
  </w:num>
  <w:num w:numId="22">
    <w:abstractNumId w:val="15"/>
  </w:num>
  <w:num w:numId="23">
    <w:abstractNumId w:val="111"/>
  </w:num>
  <w:num w:numId="24">
    <w:abstractNumId w:val="53"/>
  </w:num>
  <w:num w:numId="25">
    <w:abstractNumId w:val="6"/>
  </w:num>
  <w:num w:numId="26">
    <w:abstractNumId w:val="35"/>
  </w:num>
  <w:num w:numId="27">
    <w:abstractNumId w:val="92"/>
  </w:num>
  <w:num w:numId="28">
    <w:abstractNumId w:val="43"/>
  </w:num>
  <w:num w:numId="29">
    <w:abstractNumId w:val="100"/>
  </w:num>
  <w:num w:numId="30">
    <w:abstractNumId w:val="87"/>
  </w:num>
  <w:num w:numId="31">
    <w:abstractNumId w:val="122"/>
  </w:num>
  <w:num w:numId="32">
    <w:abstractNumId w:val="48"/>
  </w:num>
  <w:num w:numId="33">
    <w:abstractNumId w:val="55"/>
  </w:num>
  <w:num w:numId="34">
    <w:abstractNumId w:val="25"/>
  </w:num>
  <w:num w:numId="35">
    <w:abstractNumId w:val="114"/>
  </w:num>
  <w:num w:numId="36">
    <w:abstractNumId w:val="77"/>
  </w:num>
  <w:num w:numId="37">
    <w:abstractNumId w:val="4"/>
  </w:num>
  <w:num w:numId="38">
    <w:abstractNumId w:val="81"/>
  </w:num>
  <w:num w:numId="39">
    <w:abstractNumId w:val="58"/>
  </w:num>
  <w:num w:numId="40">
    <w:abstractNumId w:val="97"/>
  </w:num>
  <w:num w:numId="41">
    <w:abstractNumId w:val="59"/>
  </w:num>
  <w:num w:numId="42">
    <w:abstractNumId w:val="118"/>
  </w:num>
  <w:num w:numId="43">
    <w:abstractNumId w:val="86"/>
  </w:num>
  <w:num w:numId="44">
    <w:abstractNumId w:val="96"/>
  </w:num>
  <w:num w:numId="45">
    <w:abstractNumId w:val="88"/>
  </w:num>
  <w:num w:numId="46">
    <w:abstractNumId w:val="12"/>
  </w:num>
  <w:num w:numId="47">
    <w:abstractNumId w:val="101"/>
  </w:num>
  <w:num w:numId="48">
    <w:abstractNumId w:val="99"/>
  </w:num>
  <w:num w:numId="49">
    <w:abstractNumId w:val="74"/>
  </w:num>
  <w:num w:numId="50">
    <w:abstractNumId w:val="72"/>
  </w:num>
  <w:num w:numId="51">
    <w:abstractNumId w:val="38"/>
  </w:num>
  <w:num w:numId="52">
    <w:abstractNumId w:val="80"/>
  </w:num>
  <w:num w:numId="53">
    <w:abstractNumId w:val="5"/>
  </w:num>
  <w:num w:numId="54">
    <w:abstractNumId w:val="69"/>
  </w:num>
  <w:num w:numId="55">
    <w:abstractNumId w:val="16"/>
  </w:num>
  <w:num w:numId="56">
    <w:abstractNumId w:val="63"/>
  </w:num>
  <w:num w:numId="57">
    <w:abstractNumId w:val="46"/>
  </w:num>
  <w:num w:numId="58">
    <w:abstractNumId w:val="34"/>
  </w:num>
  <w:num w:numId="59">
    <w:abstractNumId w:val="123"/>
  </w:num>
  <w:num w:numId="60">
    <w:abstractNumId w:val="61"/>
  </w:num>
  <w:num w:numId="61">
    <w:abstractNumId w:val="20"/>
  </w:num>
  <w:num w:numId="62">
    <w:abstractNumId w:val="113"/>
  </w:num>
  <w:num w:numId="63">
    <w:abstractNumId w:val="117"/>
  </w:num>
  <w:num w:numId="64">
    <w:abstractNumId w:val="82"/>
  </w:num>
  <w:num w:numId="65">
    <w:abstractNumId w:val="98"/>
  </w:num>
  <w:num w:numId="66">
    <w:abstractNumId w:val="31"/>
  </w:num>
  <w:num w:numId="67">
    <w:abstractNumId w:val="11"/>
  </w:num>
  <w:num w:numId="68">
    <w:abstractNumId w:val="76"/>
  </w:num>
  <w:num w:numId="69">
    <w:abstractNumId w:val="56"/>
  </w:num>
  <w:num w:numId="70">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1"/>
  </w:num>
  <w:num w:numId="72">
    <w:abstractNumId w:val="115"/>
  </w:num>
  <w:num w:numId="73">
    <w:abstractNumId w:val="42"/>
  </w:num>
  <w:num w:numId="74">
    <w:abstractNumId w:val="112"/>
  </w:num>
  <w:num w:numId="75">
    <w:abstractNumId w:val="14"/>
  </w:num>
  <w:num w:numId="76">
    <w:abstractNumId w:val="27"/>
  </w:num>
  <w:num w:numId="77">
    <w:abstractNumId w:val="75"/>
  </w:num>
  <w:num w:numId="78">
    <w:abstractNumId w:val="79"/>
  </w:num>
  <w:num w:numId="79">
    <w:abstractNumId w:val="107"/>
  </w:num>
  <w:num w:numId="80">
    <w:abstractNumId w:val="32"/>
  </w:num>
  <w:num w:numId="81">
    <w:abstractNumId w:val="13"/>
  </w:num>
  <w:num w:numId="82">
    <w:abstractNumId w:val="65"/>
  </w:num>
  <w:num w:numId="83">
    <w:abstractNumId w:val="109"/>
  </w:num>
  <w:num w:numId="84">
    <w:abstractNumId w:val="28"/>
  </w:num>
  <w:num w:numId="85">
    <w:abstractNumId w:val="52"/>
  </w:num>
  <w:num w:numId="86">
    <w:abstractNumId w:val="41"/>
  </w:num>
  <w:num w:numId="87">
    <w:abstractNumId w:val="23"/>
  </w:num>
  <w:num w:numId="88">
    <w:abstractNumId w:val="50"/>
  </w:num>
  <w:num w:numId="89">
    <w:abstractNumId w:val="104"/>
  </w:num>
  <w:num w:numId="90">
    <w:abstractNumId w:val="40"/>
  </w:num>
  <w:num w:numId="91">
    <w:abstractNumId w:val="44"/>
  </w:num>
  <w:num w:numId="92">
    <w:abstractNumId w:val="33"/>
  </w:num>
  <w:num w:numId="93">
    <w:abstractNumId w:val="57"/>
  </w:num>
  <w:num w:numId="94">
    <w:abstractNumId w:val="39"/>
  </w:num>
  <w:num w:numId="95">
    <w:abstractNumId w:val="106"/>
  </w:num>
  <w:num w:numId="96">
    <w:abstractNumId w:val="71"/>
  </w:num>
  <w:num w:numId="97">
    <w:abstractNumId w:val="67"/>
  </w:num>
  <w:num w:numId="98">
    <w:abstractNumId w:val="8"/>
  </w:num>
  <w:num w:numId="99">
    <w:abstractNumId w:val="89"/>
  </w:num>
  <w:num w:numId="100">
    <w:abstractNumId w:val="66"/>
  </w:num>
  <w:num w:numId="101">
    <w:abstractNumId w:val="102"/>
  </w:num>
  <w:num w:numId="102">
    <w:abstractNumId w:val="37"/>
  </w:num>
  <w:num w:numId="103">
    <w:abstractNumId w:val="19"/>
  </w:num>
  <w:num w:numId="104">
    <w:abstractNumId w:val="64"/>
  </w:num>
  <w:num w:numId="105">
    <w:abstractNumId w:val="30"/>
  </w:num>
  <w:num w:numId="106">
    <w:abstractNumId w:val="7"/>
  </w:num>
  <w:num w:numId="107">
    <w:abstractNumId w:val="94"/>
  </w:num>
  <w:num w:numId="108">
    <w:abstractNumId w:val="45"/>
  </w:num>
  <w:num w:numId="109">
    <w:abstractNumId w:val="54"/>
  </w:num>
  <w:num w:numId="110">
    <w:abstractNumId w:val="116"/>
  </w:num>
  <w:num w:numId="111">
    <w:abstractNumId w:val="90"/>
  </w:num>
  <w:num w:numId="112">
    <w:abstractNumId w:val="24"/>
  </w:num>
  <w:num w:numId="113">
    <w:abstractNumId w:val="21"/>
  </w:num>
  <w:num w:numId="114">
    <w:abstractNumId w:val="60"/>
  </w:num>
  <w:num w:numId="115">
    <w:abstractNumId w:val="10"/>
  </w:num>
  <w:num w:numId="116">
    <w:abstractNumId w:val="95"/>
  </w:num>
  <w:num w:numId="117">
    <w:abstractNumId w:val="119"/>
  </w:num>
  <w:num w:numId="118">
    <w:abstractNumId w:val="47"/>
  </w:num>
  <w:num w:numId="119">
    <w:abstractNumId w:val="62"/>
  </w:num>
  <w:num w:numId="120">
    <w:abstractNumId w:val="84"/>
  </w:num>
  <w:num w:numId="121">
    <w:abstractNumId w:val="9"/>
  </w:num>
  <w:num w:numId="122">
    <w:abstractNumId w:val="17"/>
  </w:num>
  <w:num w:numId="123">
    <w:abstractNumId w:val="78"/>
  </w:num>
  <w:num w:numId="124">
    <w:abstractNumId w:val="110"/>
  </w:num>
  <w:num w:numId="125">
    <w:abstractNumId w:val="18"/>
  </w:num>
  <w:num w:numId="126">
    <w:abstractNumId w:val="124"/>
  </w:num>
  <w:numIdMacAtCleanup w:val="1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proofState w:spelling="clean" w:grammar="clean"/>
  <w:defaultTabStop w:val="709"/>
  <w:hyphenationZone w:val="425"/>
  <w:drawingGridHorizontalSpacing w:val="120"/>
  <w:drawingGridVerticalSpacing w:val="142"/>
  <w:displayHorizontalDrawingGridEvery w:val="2"/>
  <w:characterSpacingControl w:val="doNotCompress"/>
  <w:hdrShapeDefaults>
    <o:shapedefaults v:ext="edit" spidmax="95234"/>
  </w:hdrShapeDefaults>
  <w:footnotePr>
    <w:footnote w:id="-1"/>
    <w:footnote w:id="0"/>
  </w:footnotePr>
  <w:endnotePr>
    <w:endnote w:id="-1"/>
    <w:endnote w:id="0"/>
  </w:endnotePr>
  <w:compat>
    <w:useFELayout/>
  </w:compat>
  <w:rsids>
    <w:rsidRoot w:val="00BF7222"/>
    <w:rsid w:val="000001E0"/>
    <w:rsid w:val="00000481"/>
    <w:rsid w:val="00002BB9"/>
    <w:rsid w:val="00005292"/>
    <w:rsid w:val="00006DA8"/>
    <w:rsid w:val="000073A9"/>
    <w:rsid w:val="00010238"/>
    <w:rsid w:val="00011C31"/>
    <w:rsid w:val="000122C1"/>
    <w:rsid w:val="00012B4B"/>
    <w:rsid w:val="00013556"/>
    <w:rsid w:val="00014A9D"/>
    <w:rsid w:val="00014F94"/>
    <w:rsid w:val="0001545E"/>
    <w:rsid w:val="00015BA3"/>
    <w:rsid w:val="00015F8B"/>
    <w:rsid w:val="000163CA"/>
    <w:rsid w:val="00016733"/>
    <w:rsid w:val="000170E7"/>
    <w:rsid w:val="0001773E"/>
    <w:rsid w:val="000201D1"/>
    <w:rsid w:val="0002074A"/>
    <w:rsid w:val="00020EC7"/>
    <w:rsid w:val="000217AC"/>
    <w:rsid w:val="000227F8"/>
    <w:rsid w:val="00022C2D"/>
    <w:rsid w:val="00023888"/>
    <w:rsid w:val="00024E16"/>
    <w:rsid w:val="00025295"/>
    <w:rsid w:val="0002592E"/>
    <w:rsid w:val="00025D72"/>
    <w:rsid w:val="00026A76"/>
    <w:rsid w:val="00027FEF"/>
    <w:rsid w:val="0003076B"/>
    <w:rsid w:val="000312C5"/>
    <w:rsid w:val="00031588"/>
    <w:rsid w:val="00034620"/>
    <w:rsid w:val="0003529A"/>
    <w:rsid w:val="00035AC0"/>
    <w:rsid w:val="00035E12"/>
    <w:rsid w:val="00037263"/>
    <w:rsid w:val="00037C58"/>
    <w:rsid w:val="00037F83"/>
    <w:rsid w:val="000408D3"/>
    <w:rsid w:val="000411A3"/>
    <w:rsid w:val="00041D63"/>
    <w:rsid w:val="00042001"/>
    <w:rsid w:val="00042793"/>
    <w:rsid w:val="00042B11"/>
    <w:rsid w:val="000430A3"/>
    <w:rsid w:val="00043240"/>
    <w:rsid w:val="00045215"/>
    <w:rsid w:val="000503BB"/>
    <w:rsid w:val="00051A39"/>
    <w:rsid w:val="00051A91"/>
    <w:rsid w:val="00052743"/>
    <w:rsid w:val="0005470D"/>
    <w:rsid w:val="00055AD8"/>
    <w:rsid w:val="00055AF9"/>
    <w:rsid w:val="000614CA"/>
    <w:rsid w:val="00062061"/>
    <w:rsid w:val="000636FC"/>
    <w:rsid w:val="00063C94"/>
    <w:rsid w:val="0006754D"/>
    <w:rsid w:val="00067F62"/>
    <w:rsid w:val="000708E7"/>
    <w:rsid w:val="00070CFC"/>
    <w:rsid w:val="00070FEF"/>
    <w:rsid w:val="000714F4"/>
    <w:rsid w:val="000716F4"/>
    <w:rsid w:val="0007547A"/>
    <w:rsid w:val="00076682"/>
    <w:rsid w:val="00077A75"/>
    <w:rsid w:val="00080A6C"/>
    <w:rsid w:val="00080CA5"/>
    <w:rsid w:val="00080EA0"/>
    <w:rsid w:val="0008203C"/>
    <w:rsid w:val="00085514"/>
    <w:rsid w:val="00086AF4"/>
    <w:rsid w:val="0008759E"/>
    <w:rsid w:val="00087EFC"/>
    <w:rsid w:val="000915BF"/>
    <w:rsid w:val="00093036"/>
    <w:rsid w:val="0009408F"/>
    <w:rsid w:val="00094AE2"/>
    <w:rsid w:val="00094C01"/>
    <w:rsid w:val="00095115"/>
    <w:rsid w:val="000978CA"/>
    <w:rsid w:val="0009793B"/>
    <w:rsid w:val="000A0C27"/>
    <w:rsid w:val="000A172C"/>
    <w:rsid w:val="000A28B0"/>
    <w:rsid w:val="000A2B73"/>
    <w:rsid w:val="000A34CE"/>
    <w:rsid w:val="000A53F6"/>
    <w:rsid w:val="000B2083"/>
    <w:rsid w:val="000B2B76"/>
    <w:rsid w:val="000B4692"/>
    <w:rsid w:val="000B496E"/>
    <w:rsid w:val="000B6E8C"/>
    <w:rsid w:val="000B735B"/>
    <w:rsid w:val="000B78BF"/>
    <w:rsid w:val="000B7B25"/>
    <w:rsid w:val="000C0461"/>
    <w:rsid w:val="000C0C50"/>
    <w:rsid w:val="000C0F5D"/>
    <w:rsid w:val="000C1199"/>
    <w:rsid w:val="000C169F"/>
    <w:rsid w:val="000C25A1"/>
    <w:rsid w:val="000C4674"/>
    <w:rsid w:val="000D0905"/>
    <w:rsid w:val="000D0D0F"/>
    <w:rsid w:val="000D11AB"/>
    <w:rsid w:val="000D1477"/>
    <w:rsid w:val="000D19D2"/>
    <w:rsid w:val="000D496E"/>
    <w:rsid w:val="000D61C1"/>
    <w:rsid w:val="000E1387"/>
    <w:rsid w:val="000E2E2B"/>
    <w:rsid w:val="000E4710"/>
    <w:rsid w:val="000E5B0A"/>
    <w:rsid w:val="000E654E"/>
    <w:rsid w:val="000E7030"/>
    <w:rsid w:val="000F122F"/>
    <w:rsid w:val="000F2003"/>
    <w:rsid w:val="000F6B41"/>
    <w:rsid w:val="000F73BE"/>
    <w:rsid w:val="000F76D2"/>
    <w:rsid w:val="0010126F"/>
    <w:rsid w:val="00101717"/>
    <w:rsid w:val="00102F5D"/>
    <w:rsid w:val="00103F99"/>
    <w:rsid w:val="00105C78"/>
    <w:rsid w:val="00106E96"/>
    <w:rsid w:val="00112782"/>
    <w:rsid w:val="001133DC"/>
    <w:rsid w:val="001136F1"/>
    <w:rsid w:val="00113AC2"/>
    <w:rsid w:val="0011433D"/>
    <w:rsid w:val="001162B1"/>
    <w:rsid w:val="00117556"/>
    <w:rsid w:val="00121B55"/>
    <w:rsid w:val="00122143"/>
    <w:rsid w:val="00122E51"/>
    <w:rsid w:val="00122F9C"/>
    <w:rsid w:val="001255A5"/>
    <w:rsid w:val="0012587F"/>
    <w:rsid w:val="001263DB"/>
    <w:rsid w:val="00131209"/>
    <w:rsid w:val="0013120A"/>
    <w:rsid w:val="00131E28"/>
    <w:rsid w:val="001326A4"/>
    <w:rsid w:val="00133065"/>
    <w:rsid w:val="001346AB"/>
    <w:rsid w:val="001348D5"/>
    <w:rsid w:val="00134D94"/>
    <w:rsid w:val="001359A8"/>
    <w:rsid w:val="00135E35"/>
    <w:rsid w:val="00137086"/>
    <w:rsid w:val="00137533"/>
    <w:rsid w:val="001404E3"/>
    <w:rsid w:val="00144F68"/>
    <w:rsid w:val="00144F95"/>
    <w:rsid w:val="001455E7"/>
    <w:rsid w:val="00145ED7"/>
    <w:rsid w:val="001474FF"/>
    <w:rsid w:val="00147F96"/>
    <w:rsid w:val="00150312"/>
    <w:rsid w:val="001505AC"/>
    <w:rsid w:val="00150B80"/>
    <w:rsid w:val="00152ECF"/>
    <w:rsid w:val="00153AB9"/>
    <w:rsid w:val="00153C28"/>
    <w:rsid w:val="0015573C"/>
    <w:rsid w:val="00157919"/>
    <w:rsid w:val="00161951"/>
    <w:rsid w:val="001621B5"/>
    <w:rsid w:val="00162A2F"/>
    <w:rsid w:val="0016472F"/>
    <w:rsid w:val="001648F1"/>
    <w:rsid w:val="00165085"/>
    <w:rsid w:val="00165112"/>
    <w:rsid w:val="00165288"/>
    <w:rsid w:val="00165CF7"/>
    <w:rsid w:val="00165F01"/>
    <w:rsid w:val="00166C1D"/>
    <w:rsid w:val="001702E2"/>
    <w:rsid w:val="00171882"/>
    <w:rsid w:val="00174694"/>
    <w:rsid w:val="001758B0"/>
    <w:rsid w:val="00175BA7"/>
    <w:rsid w:val="001765D9"/>
    <w:rsid w:val="00177228"/>
    <w:rsid w:val="00180ECB"/>
    <w:rsid w:val="00182678"/>
    <w:rsid w:val="00183839"/>
    <w:rsid w:val="00183E23"/>
    <w:rsid w:val="0018400C"/>
    <w:rsid w:val="001843E1"/>
    <w:rsid w:val="00184C6D"/>
    <w:rsid w:val="00184D36"/>
    <w:rsid w:val="001853CF"/>
    <w:rsid w:val="00187633"/>
    <w:rsid w:val="00187A03"/>
    <w:rsid w:val="00187BD2"/>
    <w:rsid w:val="001910A2"/>
    <w:rsid w:val="00194834"/>
    <w:rsid w:val="0019526B"/>
    <w:rsid w:val="0019557C"/>
    <w:rsid w:val="00195663"/>
    <w:rsid w:val="00195E7A"/>
    <w:rsid w:val="0019732B"/>
    <w:rsid w:val="001978F1"/>
    <w:rsid w:val="001A54B6"/>
    <w:rsid w:val="001B310D"/>
    <w:rsid w:val="001B3917"/>
    <w:rsid w:val="001B6D93"/>
    <w:rsid w:val="001C057C"/>
    <w:rsid w:val="001C1026"/>
    <w:rsid w:val="001C126F"/>
    <w:rsid w:val="001C16FE"/>
    <w:rsid w:val="001C51D7"/>
    <w:rsid w:val="001C58F9"/>
    <w:rsid w:val="001C7125"/>
    <w:rsid w:val="001D3220"/>
    <w:rsid w:val="001D34E5"/>
    <w:rsid w:val="001D3EFB"/>
    <w:rsid w:val="001D4337"/>
    <w:rsid w:val="001D5B21"/>
    <w:rsid w:val="001D62DD"/>
    <w:rsid w:val="001D6A66"/>
    <w:rsid w:val="001E1DA0"/>
    <w:rsid w:val="001E348B"/>
    <w:rsid w:val="001E44A9"/>
    <w:rsid w:val="001E5DD6"/>
    <w:rsid w:val="001E62EF"/>
    <w:rsid w:val="001E7328"/>
    <w:rsid w:val="001E76A7"/>
    <w:rsid w:val="001F1525"/>
    <w:rsid w:val="001F252B"/>
    <w:rsid w:val="001F3472"/>
    <w:rsid w:val="001F37AE"/>
    <w:rsid w:val="001F3E9E"/>
    <w:rsid w:val="001F42A3"/>
    <w:rsid w:val="001F524B"/>
    <w:rsid w:val="00200613"/>
    <w:rsid w:val="00200662"/>
    <w:rsid w:val="00200F0C"/>
    <w:rsid w:val="002024C0"/>
    <w:rsid w:val="00204851"/>
    <w:rsid w:val="00205948"/>
    <w:rsid w:val="00205E4A"/>
    <w:rsid w:val="002060D7"/>
    <w:rsid w:val="002063BD"/>
    <w:rsid w:val="002070A5"/>
    <w:rsid w:val="002075E5"/>
    <w:rsid w:val="002078EB"/>
    <w:rsid w:val="00207A5B"/>
    <w:rsid w:val="00210479"/>
    <w:rsid w:val="00212CE7"/>
    <w:rsid w:val="00212DBC"/>
    <w:rsid w:val="00215158"/>
    <w:rsid w:val="00215896"/>
    <w:rsid w:val="00215C22"/>
    <w:rsid w:val="002174E1"/>
    <w:rsid w:val="00220548"/>
    <w:rsid w:val="002235D7"/>
    <w:rsid w:val="00225B89"/>
    <w:rsid w:val="00225EC5"/>
    <w:rsid w:val="0023141D"/>
    <w:rsid w:val="0023144F"/>
    <w:rsid w:val="00231B2C"/>
    <w:rsid w:val="00233F79"/>
    <w:rsid w:val="0023477B"/>
    <w:rsid w:val="00236752"/>
    <w:rsid w:val="002379BB"/>
    <w:rsid w:val="002407BB"/>
    <w:rsid w:val="00242F16"/>
    <w:rsid w:val="002436C5"/>
    <w:rsid w:val="00243CB9"/>
    <w:rsid w:val="00244F8A"/>
    <w:rsid w:val="002450BB"/>
    <w:rsid w:val="00246E93"/>
    <w:rsid w:val="00251504"/>
    <w:rsid w:val="0025255E"/>
    <w:rsid w:val="002534B6"/>
    <w:rsid w:val="002537F5"/>
    <w:rsid w:val="00254FC4"/>
    <w:rsid w:val="002560FC"/>
    <w:rsid w:val="002575AC"/>
    <w:rsid w:val="002603B6"/>
    <w:rsid w:val="002617B7"/>
    <w:rsid w:val="00263020"/>
    <w:rsid w:val="00263ED5"/>
    <w:rsid w:val="00264CB3"/>
    <w:rsid w:val="002658C4"/>
    <w:rsid w:val="00265C9F"/>
    <w:rsid w:val="00266151"/>
    <w:rsid w:val="002664D3"/>
    <w:rsid w:val="002666D8"/>
    <w:rsid w:val="00271303"/>
    <w:rsid w:val="00271F54"/>
    <w:rsid w:val="00272B6F"/>
    <w:rsid w:val="00272D80"/>
    <w:rsid w:val="0027498D"/>
    <w:rsid w:val="00274C96"/>
    <w:rsid w:val="002752B7"/>
    <w:rsid w:val="00276D75"/>
    <w:rsid w:val="002775D6"/>
    <w:rsid w:val="00277E2A"/>
    <w:rsid w:val="00280247"/>
    <w:rsid w:val="00280500"/>
    <w:rsid w:val="00280F02"/>
    <w:rsid w:val="00282B7A"/>
    <w:rsid w:val="00282E8E"/>
    <w:rsid w:val="00286207"/>
    <w:rsid w:val="00286CB9"/>
    <w:rsid w:val="00286EFA"/>
    <w:rsid w:val="00287D74"/>
    <w:rsid w:val="00290C42"/>
    <w:rsid w:val="00290DE2"/>
    <w:rsid w:val="00291028"/>
    <w:rsid w:val="00292239"/>
    <w:rsid w:val="00292C8F"/>
    <w:rsid w:val="00295649"/>
    <w:rsid w:val="00295F23"/>
    <w:rsid w:val="002974C7"/>
    <w:rsid w:val="002A3614"/>
    <w:rsid w:val="002A3B13"/>
    <w:rsid w:val="002A3C86"/>
    <w:rsid w:val="002A4291"/>
    <w:rsid w:val="002A4CB7"/>
    <w:rsid w:val="002A50D0"/>
    <w:rsid w:val="002A5475"/>
    <w:rsid w:val="002A5B61"/>
    <w:rsid w:val="002A6237"/>
    <w:rsid w:val="002A6928"/>
    <w:rsid w:val="002A695D"/>
    <w:rsid w:val="002B03B9"/>
    <w:rsid w:val="002B0C8B"/>
    <w:rsid w:val="002B2FA2"/>
    <w:rsid w:val="002B4348"/>
    <w:rsid w:val="002B7E67"/>
    <w:rsid w:val="002C2AB2"/>
    <w:rsid w:val="002C33AB"/>
    <w:rsid w:val="002C4D45"/>
    <w:rsid w:val="002C5018"/>
    <w:rsid w:val="002C55FF"/>
    <w:rsid w:val="002C69FA"/>
    <w:rsid w:val="002C72E9"/>
    <w:rsid w:val="002C7386"/>
    <w:rsid w:val="002C7935"/>
    <w:rsid w:val="002D15FE"/>
    <w:rsid w:val="002D1788"/>
    <w:rsid w:val="002D22A1"/>
    <w:rsid w:val="002D26C6"/>
    <w:rsid w:val="002D44CE"/>
    <w:rsid w:val="002D4C9F"/>
    <w:rsid w:val="002D6698"/>
    <w:rsid w:val="002D7B6F"/>
    <w:rsid w:val="002E1730"/>
    <w:rsid w:val="002E2C51"/>
    <w:rsid w:val="002E2C72"/>
    <w:rsid w:val="002E4119"/>
    <w:rsid w:val="002E5982"/>
    <w:rsid w:val="002E647B"/>
    <w:rsid w:val="002E74C7"/>
    <w:rsid w:val="002E7C0C"/>
    <w:rsid w:val="002F1FC5"/>
    <w:rsid w:val="002F2BB0"/>
    <w:rsid w:val="002F2E67"/>
    <w:rsid w:val="002F38CB"/>
    <w:rsid w:val="002F6527"/>
    <w:rsid w:val="003011FA"/>
    <w:rsid w:val="003018D4"/>
    <w:rsid w:val="00305DCC"/>
    <w:rsid w:val="00306571"/>
    <w:rsid w:val="003102B1"/>
    <w:rsid w:val="00310D23"/>
    <w:rsid w:val="003115C4"/>
    <w:rsid w:val="00312BFC"/>
    <w:rsid w:val="00312D82"/>
    <w:rsid w:val="0031474B"/>
    <w:rsid w:val="0031559B"/>
    <w:rsid w:val="003200C9"/>
    <w:rsid w:val="00320F17"/>
    <w:rsid w:val="00322707"/>
    <w:rsid w:val="003245E1"/>
    <w:rsid w:val="00324820"/>
    <w:rsid w:val="003277E1"/>
    <w:rsid w:val="00327C17"/>
    <w:rsid w:val="0033004F"/>
    <w:rsid w:val="0033046F"/>
    <w:rsid w:val="0033219F"/>
    <w:rsid w:val="0033310F"/>
    <w:rsid w:val="00333172"/>
    <w:rsid w:val="003356AC"/>
    <w:rsid w:val="0033703A"/>
    <w:rsid w:val="0034027C"/>
    <w:rsid w:val="003407A6"/>
    <w:rsid w:val="00340B3B"/>
    <w:rsid w:val="003414D4"/>
    <w:rsid w:val="00341E27"/>
    <w:rsid w:val="0034419E"/>
    <w:rsid w:val="00345173"/>
    <w:rsid w:val="00345372"/>
    <w:rsid w:val="003453FE"/>
    <w:rsid w:val="00350FF7"/>
    <w:rsid w:val="00352CF5"/>
    <w:rsid w:val="00353835"/>
    <w:rsid w:val="00353D9C"/>
    <w:rsid w:val="00354041"/>
    <w:rsid w:val="00354957"/>
    <w:rsid w:val="00356A8E"/>
    <w:rsid w:val="00360AF7"/>
    <w:rsid w:val="00361C78"/>
    <w:rsid w:val="003620B2"/>
    <w:rsid w:val="003640BE"/>
    <w:rsid w:val="0036470C"/>
    <w:rsid w:val="003661DA"/>
    <w:rsid w:val="00366716"/>
    <w:rsid w:val="00366BBE"/>
    <w:rsid w:val="00366DB9"/>
    <w:rsid w:val="00367BBE"/>
    <w:rsid w:val="00370650"/>
    <w:rsid w:val="00370AFF"/>
    <w:rsid w:val="00370E90"/>
    <w:rsid w:val="00371EE7"/>
    <w:rsid w:val="003740A4"/>
    <w:rsid w:val="00374182"/>
    <w:rsid w:val="0037484E"/>
    <w:rsid w:val="00375795"/>
    <w:rsid w:val="003760AE"/>
    <w:rsid w:val="00380261"/>
    <w:rsid w:val="00380452"/>
    <w:rsid w:val="003809F6"/>
    <w:rsid w:val="00382163"/>
    <w:rsid w:val="003824B0"/>
    <w:rsid w:val="00382F9A"/>
    <w:rsid w:val="00386FC6"/>
    <w:rsid w:val="00391A81"/>
    <w:rsid w:val="003932EC"/>
    <w:rsid w:val="0039455A"/>
    <w:rsid w:val="00394744"/>
    <w:rsid w:val="00394FF3"/>
    <w:rsid w:val="00395CEF"/>
    <w:rsid w:val="003977E0"/>
    <w:rsid w:val="003A0127"/>
    <w:rsid w:val="003A0D66"/>
    <w:rsid w:val="003A0E70"/>
    <w:rsid w:val="003A29DD"/>
    <w:rsid w:val="003A306A"/>
    <w:rsid w:val="003A3241"/>
    <w:rsid w:val="003A3FB6"/>
    <w:rsid w:val="003A5F16"/>
    <w:rsid w:val="003A713F"/>
    <w:rsid w:val="003A7543"/>
    <w:rsid w:val="003A7EF3"/>
    <w:rsid w:val="003B0189"/>
    <w:rsid w:val="003B09E1"/>
    <w:rsid w:val="003B177D"/>
    <w:rsid w:val="003B28D6"/>
    <w:rsid w:val="003B2A01"/>
    <w:rsid w:val="003B3591"/>
    <w:rsid w:val="003B4168"/>
    <w:rsid w:val="003B612B"/>
    <w:rsid w:val="003B678C"/>
    <w:rsid w:val="003B6E56"/>
    <w:rsid w:val="003B75E2"/>
    <w:rsid w:val="003C0B58"/>
    <w:rsid w:val="003C12B7"/>
    <w:rsid w:val="003C131A"/>
    <w:rsid w:val="003C3F33"/>
    <w:rsid w:val="003C49F2"/>
    <w:rsid w:val="003C6853"/>
    <w:rsid w:val="003C7476"/>
    <w:rsid w:val="003C7716"/>
    <w:rsid w:val="003D09D5"/>
    <w:rsid w:val="003E0FE7"/>
    <w:rsid w:val="003E144F"/>
    <w:rsid w:val="003E18F5"/>
    <w:rsid w:val="003E19FA"/>
    <w:rsid w:val="003E2067"/>
    <w:rsid w:val="003E297F"/>
    <w:rsid w:val="003E2D32"/>
    <w:rsid w:val="003E2FD3"/>
    <w:rsid w:val="003E3081"/>
    <w:rsid w:val="003E3656"/>
    <w:rsid w:val="003E3C04"/>
    <w:rsid w:val="003E4C65"/>
    <w:rsid w:val="003E596E"/>
    <w:rsid w:val="003E5991"/>
    <w:rsid w:val="003E75ED"/>
    <w:rsid w:val="003F02AC"/>
    <w:rsid w:val="003F2108"/>
    <w:rsid w:val="003F3AAD"/>
    <w:rsid w:val="003F4DD2"/>
    <w:rsid w:val="003F6110"/>
    <w:rsid w:val="003F7EA4"/>
    <w:rsid w:val="004004B2"/>
    <w:rsid w:val="004011F5"/>
    <w:rsid w:val="00402810"/>
    <w:rsid w:val="00404A49"/>
    <w:rsid w:val="00410442"/>
    <w:rsid w:val="00411B7B"/>
    <w:rsid w:val="0041393E"/>
    <w:rsid w:val="0041435E"/>
    <w:rsid w:val="00415681"/>
    <w:rsid w:val="00415A04"/>
    <w:rsid w:val="004174CA"/>
    <w:rsid w:val="0041772C"/>
    <w:rsid w:val="0042510F"/>
    <w:rsid w:val="00425BF1"/>
    <w:rsid w:val="00430FAB"/>
    <w:rsid w:val="00431A9C"/>
    <w:rsid w:val="00431B54"/>
    <w:rsid w:val="00432479"/>
    <w:rsid w:val="004337AF"/>
    <w:rsid w:val="00435680"/>
    <w:rsid w:val="00437DC2"/>
    <w:rsid w:val="00437DED"/>
    <w:rsid w:val="0044005E"/>
    <w:rsid w:val="00441B41"/>
    <w:rsid w:val="00441F69"/>
    <w:rsid w:val="00442330"/>
    <w:rsid w:val="0044241A"/>
    <w:rsid w:val="004424A1"/>
    <w:rsid w:val="0044259B"/>
    <w:rsid w:val="004429AF"/>
    <w:rsid w:val="00444379"/>
    <w:rsid w:val="00444D7F"/>
    <w:rsid w:val="00444E31"/>
    <w:rsid w:val="00445432"/>
    <w:rsid w:val="004454EE"/>
    <w:rsid w:val="00445C39"/>
    <w:rsid w:val="004468FA"/>
    <w:rsid w:val="00446D8F"/>
    <w:rsid w:val="00446FDF"/>
    <w:rsid w:val="00447B96"/>
    <w:rsid w:val="00451C66"/>
    <w:rsid w:val="0045211D"/>
    <w:rsid w:val="00453A42"/>
    <w:rsid w:val="00454D27"/>
    <w:rsid w:val="004559F0"/>
    <w:rsid w:val="00455D09"/>
    <w:rsid w:val="004561E8"/>
    <w:rsid w:val="0045776D"/>
    <w:rsid w:val="004579CC"/>
    <w:rsid w:val="00457C91"/>
    <w:rsid w:val="00457D37"/>
    <w:rsid w:val="004629AD"/>
    <w:rsid w:val="004659A2"/>
    <w:rsid w:val="004666CD"/>
    <w:rsid w:val="00470E8D"/>
    <w:rsid w:val="0047312F"/>
    <w:rsid w:val="004734A4"/>
    <w:rsid w:val="00473A61"/>
    <w:rsid w:val="00473BAF"/>
    <w:rsid w:val="004741D7"/>
    <w:rsid w:val="004743CE"/>
    <w:rsid w:val="0047557E"/>
    <w:rsid w:val="00476F3C"/>
    <w:rsid w:val="0047765C"/>
    <w:rsid w:val="00481558"/>
    <w:rsid w:val="00481DC4"/>
    <w:rsid w:val="00483325"/>
    <w:rsid w:val="00483577"/>
    <w:rsid w:val="0048633E"/>
    <w:rsid w:val="00487224"/>
    <w:rsid w:val="00487F90"/>
    <w:rsid w:val="004902FA"/>
    <w:rsid w:val="00490CB9"/>
    <w:rsid w:val="0049213F"/>
    <w:rsid w:val="0049263C"/>
    <w:rsid w:val="00492FB0"/>
    <w:rsid w:val="00493338"/>
    <w:rsid w:val="00493AC8"/>
    <w:rsid w:val="0049692B"/>
    <w:rsid w:val="004A0AF7"/>
    <w:rsid w:val="004A2F4D"/>
    <w:rsid w:val="004A4050"/>
    <w:rsid w:val="004A523F"/>
    <w:rsid w:val="004A5512"/>
    <w:rsid w:val="004A5679"/>
    <w:rsid w:val="004A59AE"/>
    <w:rsid w:val="004A6136"/>
    <w:rsid w:val="004A6E0E"/>
    <w:rsid w:val="004A7150"/>
    <w:rsid w:val="004B0214"/>
    <w:rsid w:val="004B0F71"/>
    <w:rsid w:val="004B26E3"/>
    <w:rsid w:val="004B2842"/>
    <w:rsid w:val="004B45C2"/>
    <w:rsid w:val="004B485C"/>
    <w:rsid w:val="004B5B66"/>
    <w:rsid w:val="004B64DD"/>
    <w:rsid w:val="004C0001"/>
    <w:rsid w:val="004C1DE3"/>
    <w:rsid w:val="004C2507"/>
    <w:rsid w:val="004C3DA2"/>
    <w:rsid w:val="004C62F2"/>
    <w:rsid w:val="004D0162"/>
    <w:rsid w:val="004D094F"/>
    <w:rsid w:val="004D14B1"/>
    <w:rsid w:val="004D266E"/>
    <w:rsid w:val="004D4284"/>
    <w:rsid w:val="004D50D7"/>
    <w:rsid w:val="004D5D84"/>
    <w:rsid w:val="004D5FFB"/>
    <w:rsid w:val="004D6D7B"/>
    <w:rsid w:val="004D7093"/>
    <w:rsid w:val="004E2B68"/>
    <w:rsid w:val="004E3C55"/>
    <w:rsid w:val="004E41B2"/>
    <w:rsid w:val="004E49AB"/>
    <w:rsid w:val="004E4D9A"/>
    <w:rsid w:val="004E53F5"/>
    <w:rsid w:val="004E55D4"/>
    <w:rsid w:val="004E5629"/>
    <w:rsid w:val="004E63C2"/>
    <w:rsid w:val="004E68A4"/>
    <w:rsid w:val="004E6D85"/>
    <w:rsid w:val="004E79F3"/>
    <w:rsid w:val="004E7AB4"/>
    <w:rsid w:val="004E7AE6"/>
    <w:rsid w:val="004E7E60"/>
    <w:rsid w:val="004F0B96"/>
    <w:rsid w:val="004F19DF"/>
    <w:rsid w:val="004F2219"/>
    <w:rsid w:val="004F2931"/>
    <w:rsid w:val="004F35B4"/>
    <w:rsid w:val="004F3AA7"/>
    <w:rsid w:val="004F3DA1"/>
    <w:rsid w:val="004F4135"/>
    <w:rsid w:val="004F469D"/>
    <w:rsid w:val="004F482B"/>
    <w:rsid w:val="004F4D5D"/>
    <w:rsid w:val="004F4DE7"/>
    <w:rsid w:val="004F5E65"/>
    <w:rsid w:val="00501443"/>
    <w:rsid w:val="005042D1"/>
    <w:rsid w:val="005045F9"/>
    <w:rsid w:val="005072ED"/>
    <w:rsid w:val="00513FC8"/>
    <w:rsid w:val="00514824"/>
    <w:rsid w:val="0051602C"/>
    <w:rsid w:val="0052147D"/>
    <w:rsid w:val="0052451C"/>
    <w:rsid w:val="00524922"/>
    <w:rsid w:val="00525696"/>
    <w:rsid w:val="0052583F"/>
    <w:rsid w:val="005264D0"/>
    <w:rsid w:val="00526A01"/>
    <w:rsid w:val="00531316"/>
    <w:rsid w:val="00531C29"/>
    <w:rsid w:val="005323D6"/>
    <w:rsid w:val="00532F0B"/>
    <w:rsid w:val="00533160"/>
    <w:rsid w:val="0053400D"/>
    <w:rsid w:val="00535BCB"/>
    <w:rsid w:val="005369E0"/>
    <w:rsid w:val="005372A4"/>
    <w:rsid w:val="00537586"/>
    <w:rsid w:val="005416A3"/>
    <w:rsid w:val="0054223E"/>
    <w:rsid w:val="00542489"/>
    <w:rsid w:val="0054261B"/>
    <w:rsid w:val="005426BF"/>
    <w:rsid w:val="0054466D"/>
    <w:rsid w:val="00547731"/>
    <w:rsid w:val="00550FB3"/>
    <w:rsid w:val="0055122C"/>
    <w:rsid w:val="005514BA"/>
    <w:rsid w:val="0055180C"/>
    <w:rsid w:val="005518B3"/>
    <w:rsid w:val="00551D6E"/>
    <w:rsid w:val="00555422"/>
    <w:rsid w:val="00556FBC"/>
    <w:rsid w:val="0055713F"/>
    <w:rsid w:val="00560716"/>
    <w:rsid w:val="00561BC6"/>
    <w:rsid w:val="00561C25"/>
    <w:rsid w:val="005624FD"/>
    <w:rsid w:val="0056250E"/>
    <w:rsid w:val="0056264E"/>
    <w:rsid w:val="00562F0D"/>
    <w:rsid w:val="00570C85"/>
    <w:rsid w:val="00570F0C"/>
    <w:rsid w:val="00571D5E"/>
    <w:rsid w:val="00571D87"/>
    <w:rsid w:val="00572A4A"/>
    <w:rsid w:val="0057475F"/>
    <w:rsid w:val="00575078"/>
    <w:rsid w:val="00576B04"/>
    <w:rsid w:val="00576EF7"/>
    <w:rsid w:val="005800DE"/>
    <w:rsid w:val="00580C96"/>
    <w:rsid w:val="00581442"/>
    <w:rsid w:val="00583F99"/>
    <w:rsid w:val="00585341"/>
    <w:rsid w:val="00586C13"/>
    <w:rsid w:val="00587F20"/>
    <w:rsid w:val="0059011D"/>
    <w:rsid w:val="0059075E"/>
    <w:rsid w:val="00590986"/>
    <w:rsid w:val="00591769"/>
    <w:rsid w:val="00592005"/>
    <w:rsid w:val="00592102"/>
    <w:rsid w:val="005941B7"/>
    <w:rsid w:val="00594E83"/>
    <w:rsid w:val="005954CF"/>
    <w:rsid w:val="00595C98"/>
    <w:rsid w:val="0059711C"/>
    <w:rsid w:val="00597AA3"/>
    <w:rsid w:val="005A04B1"/>
    <w:rsid w:val="005A0E8E"/>
    <w:rsid w:val="005A1A31"/>
    <w:rsid w:val="005A251F"/>
    <w:rsid w:val="005A2A3F"/>
    <w:rsid w:val="005A3F35"/>
    <w:rsid w:val="005A5103"/>
    <w:rsid w:val="005A6949"/>
    <w:rsid w:val="005A73B7"/>
    <w:rsid w:val="005A73F8"/>
    <w:rsid w:val="005B09DD"/>
    <w:rsid w:val="005B0D0B"/>
    <w:rsid w:val="005B0F21"/>
    <w:rsid w:val="005B1860"/>
    <w:rsid w:val="005B2768"/>
    <w:rsid w:val="005B27C2"/>
    <w:rsid w:val="005B2E01"/>
    <w:rsid w:val="005B3692"/>
    <w:rsid w:val="005B3A90"/>
    <w:rsid w:val="005B4E95"/>
    <w:rsid w:val="005B5327"/>
    <w:rsid w:val="005C040D"/>
    <w:rsid w:val="005C075E"/>
    <w:rsid w:val="005C3297"/>
    <w:rsid w:val="005C389B"/>
    <w:rsid w:val="005C48E8"/>
    <w:rsid w:val="005C499F"/>
    <w:rsid w:val="005C590D"/>
    <w:rsid w:val="005C5CC2"/>
    <w:rsid w:val="005D0ADF"/>
    <w:rsid w:val="005D2149"/>
    <w:rsid w:val="005D47FE"/>
    <w:rsid w:val="005D4A26"/>
    <w:rsid w:val="005D5973"/>
    <w:rsid w:val="005E17E8"/>
    <w:rsid w:val="005E2F9B"/>
    <w:rsid w:val="005E34A5"/>
    <w:rsid w:val="005E4F1A"/>
    <w:rsid w:val="005E59EE"/>
    <w:rsid w:val="005E7389"/>
    <w:rsid w:val="005F072D"/>
    <w:rsid w:val="005F2296"/>
    <w:rsid w:val="005F37C1"/>
    <w:rsid w:val="005F60AC"/>
    <w:rsid w:val="005F72A9"/>
    <w:rsid w:val="005F76AA"/>
    <w:rsid w:val="005F7923"/>
    <w:rsid w:val="006000E0"/>
    <w:rsid w:val="0060088E"/>
    <w:rsid w:val="00600BB6"/>
    <w:rsid w:val="00601248"/>
    <w:rsid w:val="00601523"/>
    <w:rsid w:val="0060166A"/>
    <w:rsid w:val="00601993"/>
    <w:rsid w:val="006033DD"/>
    <w:rsid w:val="006043B1"/>
    <w:rsid w:val="006048CF"/>
    <w:rsid w:val="00606440"/>
    <w:rsid w:val="00606D6E"/>
    <w:rsid w:val="0060793B"/>
    <w:rsid w:val="00607F9A"/>
    <w:rsid w:val="0061042A"/>
    <w:rsid w:val="0061276A"/>
    <w:rsid w:val="006137A9"/>
    <w:rsid w:val="0061664B"/>
    <w:rsid w:val="006169E2"/>
    <w:rsid w:val="0062128C"/>
    <w:rsid w:val="006252A1"/>
    <w:rsid w:val="006262A9"/>
    <w:rsid w:val="00633389"/>
    <w:rsid w:val="006339E2"/>
    <w:rsid w:val="00633F49"/>
    <w:rsid w:val="006340CD"/>
    <w:rsid w:val="00634C72"/>
    <w:rsid w:val="0063797F"/>
    <w:rsid w:val="00637A56"/>
    <w:rsid w:val="00641009"/>
    <w:rsid w:val="00642F2E"/>
    <w:rsid w:val="00646E5E"/>
    <w:rsid w:val="006500BB"/>
    <w:rsid w:val="006545A6"/>
    <w:rsid w:val="006559BD"/>
    <w:rsid w:val="00656845"/>
    <w:rsid w:val="0065742F"/>
    <w:rsid w:val="00663ECE"/>
    <w:rsid w:val="006651C6"/>
    <w:rsid w:val="0066526A"/>
    <w:rsid w:val="00665A3D"/>
    <w:rsid w:val="00666D76"/>
    <w:rsid w:val="00667806"/>
    <w:rsid w:val="00667B49"/>
    <w:rsid w:val="00667CE2"/>
    <w:rsid w:val="0067105E"/>
    <w:rsid w:val="00671134"/>
    <w:rsid w:val="00671BFE"/>
    <w:rsid w:val="006725CE"/>
    <w:rsid w:val="006727BF"/>
    <w:rsid w:val="0067422E"/>
    <w:rsid w:val="0067473D"/>
    <w:rsid w:val="00674C01"/>
    <w:rsid w:val="00674C92"/>
    <w:rsid w:val="0068162A"/>
    <w:rsid w:val="0068176C"/>
    <w:rsid w:val="00682602"/>
    <w:rsid w:val="00683D4C"/>
    <w:rsid w:val="006848C5"/>
    <w:rsid w:val="00684CCE"/>
    <w:rsid w:val="00685CCE"/>
    <w:rsid w:val="00686584"/>
    <w:rsid w:val="00686F13"/>
    <w:rsid w:val="00687FC6"/>
    <w:rsid w:val="0069038B"/>
    <w:rsid w:val="0069047C"/>
    <w:rsid w:val="0069098B"/>
    <w:rsid w:val="00690F9E"/>
    <w:rsid w:val="006949AE"/>
    <w:rsid w:val="006A095F"/>
    <w:rsid w:val="006A0E8F"/>
    <w:rsid w:val="006A2A72"/>
    <w:rsid w:val="006A5EB4"/>
    <w:rsid w:val="006A672E"/>
    <w:rsid w:val="006A6A12"/>
    <w:rsid w:val="006A6FB5"/>
    <w:rsid w:val="006A7598"/>
    <w:rsid w:val="006A7775"/>
    <w:rsid w:val="006A7A12"/>
    <w:rsid w:val="006B0EB4"/>
    <w:rsid w:val="006B122F"/>
    <w:rsid w:val="006B1C66"/>
    <w:rsid w:val="006B1F2F"/>
    <w:rsid w:val="006B3B4E"/>
    <w:rsid w:val="006B41CE"/>
    <w:rsid w:val="006B48AC"/>
    <w:rsid w:val="006B54C5"/>
    <w:rsid w:val="006B5D6C"/>
    <w:rsid w:val="006B5E16"/>
    <w:rsid w:val="006B615D"/>
    <w:rsid w:val="006B7082"/>
    <w:rsid w:val="006C04F9"/>
    <w:rsid w:val="006C0C9A"/>
    <w:rsid w:val="006C11A6"/>
    <w:rsid w:val="006C1957"/>
    <w:rsid w:val="006C2014"/>
    <w:rsid w:val="006C2D3A"/>
    <w:rsid w:val="006C35E8"/>
    <w:rsid w:val="006C3CDB"/>
    <w:rsid w:val="006C4CA4"/>
    <w:rsid w:val="006C4D74"/>
    <w:rsid w:val="006C5089"/>
    <w:rsid w:val="006C70DA"/>
    <w:rsid w:val="006D1A09"/>
    <w:rsid w:val="006D1D9B"/>
    <w:rsid w:val="006D22B7"/>
    <w:rsid w:val="006D4953"/>
    <w:rsid w:val="006D5064"/>
    <w:rsid w:val="006D5E80"/>
    <w:rsid w:val="006E19F8"/>
    <w:rsid w:val="006E27B1"/>
    <w:rsid w:val="006E2D86"/>
    <w:rsid w:val="006E53AB"/>
    <w:rsid w:val="006E5950"/>
    <w:rsid w:val="006E6464"/>
    <w:rsid w:val="006F0DBB"/>
    <w:rsid w:val="006F3A26"/>
    <w:rsid w:val="006F3ADA"/>
    <w:rsid w:val="006F4F28"/>
    <w:rsid w:val="006F5635"/>
    <w:rsid w:val="00701839"/>
    <w:rsid w:val="00702033"/>
    <w:rsid w:val="00702C5D"/>
    <w:rsid w:val="00702E2C"/>
    <w:rsid w:val="00702EBC"/>
    <w:rsid w:val="00703FF7"/>
    <w:rsid w:val="00704B03"/>
    <w:rsid w:val="007050C4"/>
    <w:rsid w:val="007060C8"/>
    <w:rsid w:val="007073EE"/>
    <w:rsid w:val="00707437"/>
    <w:rsid w:val="00707FE6"/>
    <w:rsid w:val="00710165"/>
    <w:rsid w:val="007135D9"/>
    <w:rsid w:val="0071697C"/>
    <w:rsid w:val="007172BC"/>
    <w:rsid w:val="00720EDC"/>
    <w:rsid w:val="00721961"/>
    <w:rsid w:val="00723129"/>
    <w:rsid w:val="00723AF9"/>
    <w:rsid w:val="007240D1"/>
    <w:rsid w:val="007245C6"/>
    <w:rsid w:val="00724CAA"/>
    <w:rsid w:val="00724E06"/>
    <w:rsid w:val="007261F2"/>
    <w:rsid w:val="007264DA"/>
    <w:rsid w:val="0072684E"/>
    <w:rsid w:val="007304D1"/>
    <w:rsid w:val="007357EE"/>
    <w:rsid w:val="00736423"/>
    <w:rsid w:val="007372E5"/>
    <w:rsid w:val="00737D28"/>
    <w:rsid w:val="00740466"/>
    <w:rsid w:val="007414A7"/>
    <w:rsid w:val="00741E98"/>
    <w:rsid w:val="00742120"/>
    <w:rsid w:val="007456F1"/>
    <w:rsid w:val="0074576E"/>
    <w:rsid w:val="00745868"/>
    <w:rsid w:val="00746C3C"/>
    <w:rsid w:val="00747B2B"/>
    <w:rsid w:val="00751692"/>
    <w:rsid w:val="00751CD1"/>
    <w:rsid w:val="00751D67"/>
    <w:rsid w:val="007521F7"/>
    <w:rsid w:val="00752AEE"/>
    <w:rsid w:val="0075524B"/>
    <w:rsid w:val="0075649C"/>
    <w:rsid w:val="0076059F"/>
    <w:rsid w:val="00760DC8"/>
    <w:rsid w:val="00762698"/>
    <w:rsid w:val="00762ABA"/>
    <w:rsid w:val="00763348"/>
    <w:rsid w:val="007638D0"/>
    <w:rsid w:val="00764272"/>
    <w:rsid w:val="007646E7"/>
    <w:rsid w:val="007661A7"/>
    <w:rsid w:val="00771D9C"/>
    <w:rsid w:val="00772D07"/>
    <w:rsid w:val="007733E4"/>
    <w:rsid w:val="00774B05"/>
    <w:rsid w:val="00775528"/>
    <w:rsid w:val="00775878"/>
    <w:rsid w:val="00776197"/>
    <w:rsid w:val="00776B31"/>
    <w:rsid w:val="00776D90"/>
    <w:rsid w:val="007771D0"/>
    <w:rsid w:val="007779F7"/>
    <w:rsid w:val="0078038E"/>
    <w:rsid w:val="0078075A"/>
    <w:rsid w:val="00782B27"/>
    <w:rsid w:val="00783485"/>
    <w:rsid w:val="00785421"/>
    <w:rsid w:val="00785848"/>
    <w:rsid w:val="00786924"/>
    <w:rsid w:val="00787C62"/>
    <w:rsid w:val="007939DB"/>
    <w:rsid w:val="00795D71"/>
    <w:rsid w:val="00797D64"/>
    <w:rsid w:val="007A0BAE"/>
    <w:rsid w:val="007A2B5F"/>
    <w:rsid w:val="007A4AE1"/>
    <w:rsid w:val="007A5323"/>
    <w:rsid w:val="007A5B9F"/>
    <w:rsid w:val="007A6368"/>
    <w:rsid w:val="007A7399"/>
    <w:rsid w:val="007A7A86"/>
    <w:rsid w:val="007A7D0A"/>
    <w:rsid w:val="007B0683"/>
    <w:rsid w:val="007B144B"/>
    <w:rsid w:val="007B1D07"/>
    <w:rsid w:val="007B20B2"/>
    <w:rsid w:val="007B2338"/>
    <w:rsid w:val="007B3D21"/>
    <w:rsid w:val="007B4382"/>
    <w:rsid w:val="007B46C4"/>
    <w:rsid w:val="007B46D5"/>
    <w:rsid w:val="007B49F8"/>
    <w:rsid w:val="007B4A48"/>
    <w:rsid w:val="007B51A2"/>
    <w:rsid w:val="007B6C5D"/>
    <w:rsid w:val="007C176E"/>
    <w:rsid w:val="007C27CB"/>
    <w:rsid w:val="007C3E97"/>
    <w:rsid w:val="007C4A3F"/>
    <w:rsid w:val="007C4A48"/>
    <w:rsid w:val="007C5824"/>
    <w:rsid w:val="007C6350"/>
    <w:rsid w:val="007C670A"/>
    <w:rsid w:val="007D15C7"/>
    <w:rsid w:val="007D19F9"/>
    <w:rsid w:val="007D250E"/>
    <w:rsid w:val="007D438C"/>
    <w:rsid w:val="007D4684"/>
    <w:rsid w:val="007D4FCE"/>
    <w:rsid w:val="007D580C"/>
    <w:rsid w:val="007D706A"/>
    <w:rsid w:val="007E15DC"/>
    <w:rsid w:val="007E1F9A"/>
    <w:rsid w:val="007E4E85"/>
    <w:rsid w:val="007E52ED"/>
    <w:rsid w:val="007E5625"/>
    <w:rsid w:val="007E5747"/>
    <w:rsid w:val="007E5808"/>
    <w:rsid w:val="007E6F50"/>
    <w:rsid w:val="007E7FD2"/>
    <w:rsid w:val="007F0409"/>
    <w:rsid w:val="007F0DA9"/>
    <w:rsid w:val="007F10C6"/>
    <w:rsid w:val="007F1CE4"/>
    <w:rsid w:val="007F27FB"/>
    <w:rsid w:val="007F530F"/>
    <w:rsid w:val="00800AC7"/>
    <w:rsid w:val="00800B9F"/>
    <w:rsid w:val="00802565"/>
    <w:rsid w:val="00802A4B"/>
    <w:rsid w:val="008049EB"/>
    <w:rsid w:val="008050E9"/>
    <w:rsid w:val="00811932"/>
    <w:rsid w:val="00812C9F"/>
    <w:rsid w:val="00812F69"/>
    <w:rsid w:val="00813EAF"/>
    <w:rsid w:val="008171DD"/>
    <w:rsid w:val="00817326"/>
    <w:rsid w:val="008173E3"/>
    <w:rsid w:val="00817963"/>
    <w:rsid w:val="008237F2"/>
    <w:rsid w:val="008238F4"/>
    <w:rsid w:val="0083001B"/>
    <w:rsid w:val="00830221"/>
    <w:rsid w:val="00833C7C"/>
    <w:rsid w:val="00833DD2"/>
    <w:rsid w:val="0083484B"/>
    <w:rsid w:val="008349A4"/>
    <w:rsid w:val="00834E2F"/>
    <w:rsid w:val="00836272"/>
    <w:rsid w:val="00837B46"/>
    <w:rsid w:val="00842213"/>
    <w:rsid w:val="008425D4"/>
    <w:rsid w:val="0084334C"/>
    <w:rsid w:val="00845362"/>
    <w:rsid w:val="00850675"/>
    <w:rsid w:val="00852C02"/>
    <w:rsid w:val="00852DAB"/>
    <w:rsid w:val="008545E6"/>
    <w:rsid w:val="008548C0"/>
    <w:rsid w:val="00855B88"/>
    <w:rsid w:val="00857579"/>
    <w:rsid w:val="00861E3C"/>
    <w:rsid w:val="00863227"/>
    <w:rsid w:val="00864F6C"/>
    <w:rsid w:val="0086695E"/>
    <w:rsid w:val="00871335"/>
    <w:rsid w:val="008714A0"/>
    <w:rsid w:val="0087154B"/>
    <w:rsid w:val="008721C0"/>
    <w:rsid w:val="00872209"/>
    <w:rsid w:val="00872398"/>
    <w:rsid w:val="00873297"/>
    <w:rsid w:val="0087335E"/>
    <w:rsid w:val="00873DFA"/>
    <w:rsid w:val="00875CA4"/>
    <w:rsid w:val="0087757D"/>
    <w:rsid w:val="00881181"/>
    <w:rsid w:val="0088167B"/>
    <w:rsid w:val="00881DFB"/>
    <w:rsid w:val="00881F7D"/>
    <w:rsid w:val="00882B44"/>
    <w:rsid w:val="00883241"/>
    <w:rsid w:val="00883C32"/>
    <w:rsid w:val="00883C64"/>
    <w:rsid w:val="008841ED"/>
    <w:rsid w:val="00884725"/>
    <w:rsid w:val="00884897"/>
    <w:rsid w:val="00884902"/>
    <w:rsid w:val="00885910"/>
    <w:rsid w:val="00885FEC"/>
    <w:rsid w:val="00886ECD"/>
    <w:rsid w:val="00887290"/>
    <w:rsid w:val="00890260"/>
    <w:rsid w:val="00890A54"/>
    <w:rsid w:val="00892194"/>
    <w:rsid w:val="008921FB"/>
    <w:rsid w:val="008946B8"/>
    <w:rsid w:val="008950F6"/>
    <w:rsid w:val="008951DF"/>
    <w:rsid w:val="00896916"/>
    <w:rsid w:val="008A0747"/>
    <w:rsid w:val="008A223A"/>
    <w:rsid w:val="008A2515"/>
    <w:rsid w:val="008A4305"/>
    <w:rsid w:val="008A457F"/>
    <w:rsid w:val="008A4D0A"/>
    <w:rsid w:val="008A75C7"/>
    <w:rsid w:val="008A7640"/>
    <w:rsid w:val="008B098D"/>
    <w:rsid w:val="008B1D3D"/>
    <w:rsid w:val="008B1FDA"/>
    <w:rsid w:val="008B25A9"/>
    <w:rsid w:val="008B32AE"/>
    <w:rsid w:val="008B3950"/>
    <w:rsid w:val="008B47B6"/>
    <w:rsid w:val="008B61A0"/>
    <w:rsid w:val="008B7550"/>
    <w:rsid w:val="008B7676"/>
    <w:rsid w:val="008C17AF"/>
    <w:rsid w:val="008C18CA"/>
    <w:rsid w:val="008C1D1D"/>
    <w:rsid w:val="008C1F79"/>
    <w:rsid w:val="008C2BFA"/>
    <w:rsid w:val="008C2DAA"/>
    <w:rsid w:val="008C40EE"/>
    <w:rsid w:val="008C4C35"/>
    <w:rsid w:val="008C5FF2"/>
    <w:rsid w:val="008C6C08"/>
    <w:rsid w:val="008D04CB"/>
    <w:rsid w:val="008D0850"/>
    <w:rsid w:val="008D089F"/>
    <w:rsid w:val="008D0E7A"/>
    <w:rsid w:val="008D1CA8"/>
    <w:rsid w:val="008D24A0"/>
    <w:rsid w:val="008D259A"/>
    <w:rsid w:val="008D296C"/>
    <w:rsid w:val="008D3EBE"/>
    <w:rsid w:val="008D40FC"/>
    <w:rsid w:val="008D43F6"/>
    <w:rsid w:val="008D493C"/>
    <w:rsid w:val="008D5E6E"/>
    <w:rsid w:val="008D7265"/>
    <w:rsid w:val="008E1C23"/>
    <w:rsid w:val="008E4272"/>
    <w:rsid w:val="008E4CCF"/>
    <w:rsid w:val="008E766E"/>
    <w:rsid w:val="008F10B1"/>
    <w:rsid w:val="008F24AB"/>
    <w:rsid w:val="008F2D6E"/>
    <w:rsid w:val="008F30BF"/>
    <w:rsid w:val="008F342D"/>
    <w:rsid w:val="008F3CA8"/>
    <w:rsid w:val="008F3F63"/>
    <w:rsid w:val="008F407A"/>
    <w:rsid w:val="008F433F"/>
    <w:rsid w:val="008F5375"/>
    <w:rsid w:val="008F5FAE"/>
    <w:rsid w:val="008F66AE"/>
    <w:rsid w:val="008F719D"/>
    <w:rsid w:val="008F7E60"/>
    <w:rsid w:val="00901029"/>
    <w:rsid w:val="00901416"/>
    <w:rsid w:val="00901A93"/>
    <w:rsid w:val="00901E06"/>
    <w:rsid w:val="00903028"/>
    <w:rsid w:val="0090445E"/>
    <w:rsid w:val="00905379"/>
    <w:rsid w:val="009074D2"/>
    <w:rsid w:val="00912718"/>
    <w:rsid w:val="00912A6D"/>
    <w:rsid w:val="00913EEE"/>
    <w:rsid w:val="009149CB"/>
    <w:rsid w:val="00914CAD"/>
    <w:rsid w:val="00914F9B"/>
    <w:rsid w:val="009164DD"/>
    <w:rsid w:val="00917BBD"/>
    <w:rsid w:val="00917D71"/>
    <w:rsid w:val="00920398"/>
    <w:rsid w:val="00920B3B"/>
    <w:rsid w:val="00923CB1"/>
    <w:rsid w:val="00923F8F"/>
    <w:rsid w:val="00925B28"/>
    <w:rsid w:val="009264D5"/>
    <w:rsid w:val="0093011F"/>
    <w:rsid w:val="00930167"/>
    <w:rsid w:val="009313B0"/>
    <w:rsid w:val="00931C86"/>
    <w:rsid w:val="00931F59"/>
    <w:rsid w:val="00933BEA"/>
    <w:rsid w:val="009340BA"/>
    <w:rsid w:val="0093492A"/>
    <w:rsid w:val="009356CA"/>
    <w:rsid w:val="0093635D"/>
    <w:rsid w:val="00937F43"/>
    <w:rsid w:val="00940B01"/>
    <w:rsid w:val="00940C53"/>
    <w:rsid w:val="009411EE"/>
    <w:rsid w:val="0094122E"/>
    <w:rsid w:val="00941F24"/>
    <w:rsid w:val="00945B60"/>
    <w:rsid w:val="009471E3"/>
    <w:rsid w:val="0094786A"/>
    <w:rsid w:val="00952020"/>
    <w:rsid w:val="0095307B"/>
    <w:rsid w:val="009540B7"/>
    <w:rsid w:val="00955B40"/>
    <w:rsid w:val="00957355"/>
    <w:rsid w:val="00963C98"/>
    <w:rsid w:val="00964E40"/>
    <w:rsid w:val="00967702"/>
    <w:rsid w:val="00967704"/>
    <w:rsid w:val="00967B72"/>
    <w:rsid w:val="00971DE1"/>
    <w:rsid w:val="00972328"/>
    <w:rsid w:val="00972AF1"/>
    <w:rsid w:val="0097323E"/>
    <w:rsid w:val="009734E8"/>
    <w:rsid w:val="00976097"/>
    <w:rsid w:val="00977293"/>
    <w:rsid w:val="00982321"/>
    <w:rsid w:val="00984989"/>
    <w:rsid w:val="00984F26"/>
    <w:rsid w:val="00985361"/>
    <w:rsid w:val="00985550"/>
    <w:rsid w:val="0098759D"/>
    <w:rsid w:val="009900E3"/>
    <w:rsid w:val="009925F0"/>
    <w:rsid w:val="00993581"/>
    <w:rsid w:val="00994E20"/>
    <w:rsid w:val="009950B9"/>
    <w:rsid w:val="0099645D"/>
    <w:rsid w:val="00996815"/>
    <w:rsid w:val="00997384"/>
    <w:rsid w:val="00997D04"/>
    <w:rsid w:val="009A0272"/>
    <w:rsid w:val="009A1595"/>
    <w:rsid w:val="009A195A"/>
    <w:rsid w:val="009A1AFA"/>
    <w:rsid w:val="009A40C2"/>
    <w:rsid w:val="009A63DF"/>
    <w:rsid w:val="009A6F54"/>
    <w:rsid w:val="009A71FC"/>
    <w:rsid w:val="009A7520"/>
    <w:rsid w:val="009A75D5"/>
    <w:rsid w:val="009B1A50"/>
    <w:rsid w:val="009B2473"/>
    <w:rsid w:val="009B2E40"/>
    <w:rsid w:val="009B464C"/>
    <w:rsid w:val="009B5F0C"/>
    <w:rsid w:val="009B73A9"/>
    <w:rsid w:val="009C21C0"/>
    <w:rsid w:val="009C35C5"/>
    <w:rsid w:val="009C3606"/>
    <w:rsid w:val="009C3A57"/>
    <w:rsid w:val="009C50DE"/>
    <w:rsid w:val="009C5BBB"/>
    <w:rsid w:val="009C5C1A"/>
    <w:rsid w:val="009C60C9"/>
    <w:rsid w:val="009C6BEC"/>
    <w:rsid w:val="009C7219"/>
    <w:rsid w:val="009C7781"/>
    <w:rsid w:val="009D016A"/>
    <w:rsid w:val="009D0722"/>
    <w:rsid w:val="009D20A9"/>
    <w:rsid w:val="009D2980"/>
    <w:rsid w:val="009D436C"/>
    <w:rsid w:val="009D518B"/>
    <w:rsid w:val="009D5C5A"/>
    <w:rsid w:val="009D5F83"/>
    <w:rsid w:val="009D664D"/>
    <w:rsid w:val="009D6DDE"/>
    <w:rsid w:val="009D7614"/>
    <w:rsid w:val="009E1483"/>
    <w:rsid w:val="009E1FCA"/>
    <w:rsid w:val="009E1FFD"/>
    <w:rsid w:val="009E3DB9"/>
    <w:rsid w:val="009E4E67"/>
    <w:rsid w:val="009E50EA"/>
    <w:rsid w:val="009E5CEF"/>
    <w:rsid w:val="009E615F"/>
    <w:rsid w:val="009F03B7"/>
    <w:rsid w:val="009F325B"/>
    <w:rsid w:val="009F3314"/>
    <w:rsid w:val="009F37D7"/>
    <w:rsid w:val="009F4514"/>
    <w:rsid w:val="009F58F0"/>
    <w:rsid w:val="009F6086"/>
    <w:rsid w:val="009F6C58"/>
    <w:rsid w:val="009F7EA7"/>
    <w:rsid w:val="00A00A7E"/>
    <w:rsid w:val="00A0185F"/>
    <w:rsid w:val="00A02124"/>
    <w:rsid w:val="00A03A35"/>
    <w:rsid w:val="00A03E69"/>
    <w:rsid w:val="00A03F63"/>
    <w:rsid w:val="00A043C2"/>
    <w:rsid w:val="00A044AA"/>
    <w:rsid w:val="00A04B02"/>
    <w:rsid w:val="00A066A9"/>
    <w:rsid w:val="00A106A2"/>
    <w:rsid w:val="00A10DAB"/>
    <w:rsid w:val="00A113CB"/>
    <w:rsid w:val="00A11A01"/>
    <w:rsid w:val="00A11B2D"/>
    <w:rsid w:val="00A133B0"/>
    <w:rsid w:val="00A15755"/>
    <w:rsid w:val="00A15EA7"/>
    <w:rsid w:val="00A16F9D"/>
    <w:rsid w:val="00A17E65"/>
    <w:rsid w:val="00A2075B"/>
    <w:rsid w:val="00A20B1D"/>
    <w:rsid w:val="00A21897"/>
    <w:rsid w:val="00A22348"/>
    <w:rsid w:val="00A225C2"/>
    <w:rsid w:val="00A24E43"/>
    <w:rsid w:val="00A24F77"/>
    <w:rsid w:val="00A24FF1"/>
    <w:rsid w:val="00A25513"/>
    <w:rsid w:val="00A256F9"/>
    <w:rsid w:val="00A2576A"/>
    <w:rsid w:val="00A26098"/>
    <w:rsid w:val="00A26698"/>
    <w:rsid w:val="00A2712C"/>
    <w:rsid w:val="00A27184"/>
    <w:rsid w:val="00A277C6"/>
    <w:rsid w:val="00A27A5A"/>
    <w:rsid w:val="00A300B8"/>
    <w:rsid w:val="00A30C5D"/>
    <w:rsid w:val="00A314B1"/>
    <w:rsid w:val="00A315A9"/>
    <w:rsid w:val="00A32816"/>
    <w:rsid w:val="00A33CE4"/>
    <w:rsid w:val="00A35003"/>
    <w:rsid w:val="00A35BF3"/>
    <w:rsid w:val="00A361B2"/>
    <w:rsid w:val="00A42C7C"/>
    <w:rsid w:val="00A44579"/>
    <w:rsid w:val="00A446BA"/>
    <w:rsid w:val="00A4655A"/>
    <w:rsid w:val="00A503E9"/>
    <w:rsid w:val="00A506EA"/>
    <w:rsid w:val="00A508F2"/>
    <w:rsid w:val="00A52FB7"/>
    <w:rsid w:val="00A546DF"/>
    <w:rsid w:val="00A55461"/>
    <w:rsid w:val="00A56213"/>
    <w:rsid w:val="00A56717"/>
    <w:rsid w:val="00A56E05"/>
    <w:rsid w:val="00A610F0"/>
    <w:rsid w:val="00A62912"/>
    <w:rsid w:val="00A65FD8"/>
    <w:rsid w:val="00A66091"/>
    <w:rsid w:val="00A67210"/>
    <w:rsid w:val="00A67D74"/>
    <w:rsid w:val="00A67E3E"/>
    <w:rsid w:val="00A67F10"/>
    <w:rsid w:val="00A70342"/>
    <w:rsid w:val="00A7202D"/>
    <w:rsid w:val="00A72040"/>
    <w:rsid w:val="00A722C6"/>
    <w:rsid w:val="00A728C1"/>
    <w:rsid w:val="00A75E44"/>
    <w:rsid w:val="00A76F1D"/>
    <w:rsid w:val="00A76F24"/>
    <w:rsid w:val="00A81937"/>
    <w:rsid w:val="00A824D1"/>
    <w:rsid w:val="00A840C6"/>
    <w:rsid w:val="00A845BF"/>
    <w:rsid w:val="00A901A9"/>
    <w:rsid w:val="00A9071D"/>
    <w:rsid w:val="00A9150F"/>
    <w:rsid w:val="00A92E60"/>
    <w:rsid w:val="00A93A0A"/>
    <w:rsid w:val="00A95581"/>
    <w:rsid w:val="00AA07BD"/>
    <w:rsid w:val="00AA1B25"/>
    <w:rsid w:val="00AA1B48"/>
    <w:rsid w:val="00AA2667"/>
    <w:rsid w:val="00AA2F22"/>
    <w:rsid w:val="00AA3D33"/>
    <w:rsid w:val="00AA4217"/>
    <w:rsid w:val="00AA4883"/>
    <w:rsid w:val="00AA4A01"/>
    <w:rsid w:val="00AA4F51"/>
    <w:rsid w:val="00AA5D60"/>
    <w:rsid w:val="00AA6434"/>
    <w:rsid w:val="00AA7E3A"/>
    <w:rsid w:val="00AB38C2"/>
    <w:rsid w:val="00AC0663"/>
    <w:rsid w:val="00AC1402"/>
    <w:rsid w:val="00AC17E7"/>
    <w:rsid w:val="00AC20D4"/>
    <w:rsid w:val="00AC3B81"/>
    <w:rsid w:val="00AC4686"/>
    <w:rsid w:val="00AC5DA2"/>
    <w:rsid w:val="00AC6A26"/>
    <w:rsid w:val="00AC784A"/>
    <w:rsid w:val="00AD0034"/>
    <w:rsid w:val="00AD1436"/>
    <w:rsid w:val="00AD1B0B"/>
    <w:rsid w:val="00AD33BB"/>
    <w:rsid w:val="00AD36CE"/>
    <w:rsid w:val="00AD420F"/>
    <w:rsid w:val="00AD4991"/>
    <w:rsid w:val="00AD4BFC"/>
    <w:rsid w:val="00AD6037"/>
    <w:rsid w:val="00AD67BB"/>
    <w:rsid w:val="00AD67D7"/>
    <w:rsid w:val="00AD77BE"/>
    <w:rsid w:val="00AE05E1"/>
    <w:rsid w:val="00AE31A5"/>
    <w:rsid w:val="00AE32BA"/>
    <w:rsid w:val="00AE4472"/>
    <w:rsid w:val="00AE67C5"/>
    <w:rsid w:val="00AE6BF8"/>
    <w:rsid w:val="00AE6C22"/>
    <w:rsid w:val="00AE72FC"/>
    <w:rsid w:val="00AF2AE2"/>
    <w:rsid w:val="00AF5969"/>
    <w:rsid w:val="00AF684F"/>
    <w:rsid w:val="00AF7CB5"/>
    <w:rsid w:val="00AF7DFE"/>
    <w:rsid w:val="00B00D62"/>
    <w:rsid w:val="00B0230D"/>
    <w:rsid w:val="00B03FF7"/>
    <w:rsid w:val="00B0435A"/>
    <w:rsid w:val="00B062D8"/>
    <w:rsid w:val="00B0708A"/>
    <w:rsid w:val="00B072E6"/>
    <w:rsid w:val="00B075B3"/>
    <w:rsid w:val="00B11CA1"/>
    <w:rsid w:val="00B1332D"/>
    <w:rsid w:val="00B13E7A"/>
    <w:rsid w:val="00B1759E"/>
    <w:rsid w:val="00B20ACB"/>
    <w:rsid w:val="00B211CF"/>
    <w:rsid w:val="00B22692"/>
    <w:rsid w:val="00B2517F"/>
    <w:rsid w:val="00B25DE9"/>
    <w:rsid w:val="00B25E51"/>
    <w:rsid w:val="00B276D8"/>
    <w:rsid w:val="00B27CD7"/>
    <w:rsid w:val="00B27E5F"/>
    <w:rsid w:val="00B3054E"/>
    <w:rsid w:val="00B30C89"/>
    <w:rsid w:val="00B31430"/>
    <w:rsid w:val="00B32C8B"/>
    <w:rsid w:val="00B331E3"/>
    <w:rsid w:val="00B349BC"/>
    <w:rsid w:val="00B34B16"/>
    <w:rsid w:val="00B35573"/>
    <w:rsid w:val="00B35D43"/>
    <w:rsid w:val="00B35FE3"/>
    <w:rsid w:val="00B37299"/>
    <w:rsid w:val="00B4398D"/>
    <w:rsid w:val="00B442E9"/>
    <w:rsid w:val="00B44972"/>
    <w:rsid w:val="00B46B43"/>
    <w:rsid w:val="00B46D42"/>
    <w:rsid w:val="00B471E8"/>
    <w:rsid w:val="00B5067F"/>
    <w:rsid w:val="00B52862"/>
    <w:rsid w:val="00B53A07"/>
    <w:rsid w:val="00B53F64"/>
    <w:rsid w:val="00B55223"/>
    <w:rsid w:val="00B5705D"/>
    <w:rsid w:val="00B5734B"/>
    <w:rsid w:val="00B574F7"/>
    <w:rsid w:val="00B575F4"/>
    <w:rsid w:val="00B57A8E"/>
    <w:rsid w:val="00B608A3"/>
    <w:rsid w:val="00B62FDF"/>
    <w:rsid w:val="00B63507"/>
    <w:rsid w:val="00B65252"/>
    <w:rsid w:val="00B65A85"/>
    <w:rsid w:val="00B67B01"/>
    <w:rsid w:val="00B67E3D"/>
    <w:rsid w:val="00B70879"/>
    <w:rsid w:val="00B716FF"/>
    <w:rsid w:val="00B71942"/>
    <w:rsid w:val="00B71BDD"/>
    <w:rsid w:val="00B72287"/>
    <w:rsid w:val="00B72B70"/>
    <w:rsid w:val="00B732DE"/>
    <w:rsid w:val="00B741E6"/>
    <w:rsid w:val="00B765D8"/>
    <w:rsid w:val="00B77277"/>
    <w:rsid w:val="00B80264"/>
    <w:rsid w:val="00B86651"/>
    <w:rsid w:val="00B909F5"/>
    <w:rsid w:val="00B910C2"/>
    <w:rsid w:val="00B911DB"/>
    <w:rsid w:val="00B91983"/>
    <w:rsid w:val="00B933CA"/>
    <w:rsid w:val="00B93A7F"/>
    <w:rsid w:val="00B93E39"/>
    <w:rsid w:val="00B94D3B"/>
    <w:rsid w:val="00B956BF"/>
    <w:rsid w:val="00B95EB6"/>
    <w:rsid w:val="00B96C27"/>
    <w:rsid w:val="00B97468"/>
    <w:rsid w:val="00BA1FD6"/>
    <w:rsid w:val="00BA29A0"/>
    <w:rsid w:val="00BA3818"/>
    <w:rsid w:val="00BA4912"/>
    <w:rsid w:val="00BA5493"/>
    <w:rsid w:val="00BB07E3"/>
    <w:rsid w:val="00BB43F0"/>
    <w:rsid w:val="00BB74E6"/>
    <w:rsid w:val="00BB7A38"/>
    <w:rsid w:val="00BC2844"/>
    <w:rsid w:val="00BC2F29"/>
    <w:rsid w:val="00BC469D"/>
    <w:rsid w:val="00BC53A0"/>
    <w:rsid w:val="00BC5C99"/>
    <w:rsid w:val="00BC65A7"/>
    <w:rsid w:val="00BC66B9"/>
    <w:rsid w:val="00BC7D32"/>
    <w:rsid w:val="00BD09C4"/>
    <w:rsid w:val="00BD09C9"/>
    <w:rsid w:val="00BD0B22"/>
    <w:rsid w:val="00BD0BCC"/>
    <w:rsid w:val="00BD3BF5"/>
    <w:rsid w:val="00BD53BF"/>
    <w:rsid w:val="00BD5F28"/>
    <w:rsid w:val="00BE23DA"/>
    <w:rsid w:val="00BE27DC"/>
    <w:rsid w:val="00BE35FE"/>
    <w:rsid w:val="00BE3BB2"/>
    <w:rsid w:val="00BE42EC"/>
    <w:rsid w:val="00BE44AC"/>
    <w:rsid w:val="00BE48D0"/>
    <w:rsid w:val="00BE4D43"/>
    <w:rsid w:val="00BE517F"/>
    <w:rsid w:val="00BF130A"/>
    <w:rsid w:val="00BF400E"/>
    <w:rsid w:val="00BF4106"/>
    <w:rsid w:val="00BF4A28"/>
    <w:rsid w:val="00BF55FF"/>
    <w:rsid w:val="00BF7222"/>
    <w:rsid w:val="00BF72D2"/>
    <w:rsid w:val="00C01903"/>
    <w:rsid w:val="00C02B67"/>
    <w:rsid w:val="00C03D8A"/>
    <w:rsid w:val="00C056FF"/>
    <w:rsid w:val="00C059A9"/>
    <w:rsid w:val="00C05DFA"/>
    <w:rsid w:val="00C05FD3"/>
    <w:rsid w:val="00C06CE7"/>
    <w:rsid w:val="00C105C5"/>
    <w:rsid w:val="00C10F2D"/>
    <w:rsid w:val="00C11A5A"/>
    <w:rsid w:val="00C11E20"/>
    <w:rsid w:val="00C12DD7"/>
    <w:rsid w:val="00C131F0"/>
    <w:rsid w:val="00C13637"/>
    <w:rsid w:val="00C15AE4"/>
    <w:rsid w:val="00C16595"/>
    <w:rsid w:val="00C16926"/>
    <w:rsid w:val="00C1778E"/>
    <w:rsid w:val="00C211CF"/>
    <w:rsid w:val="00C21D45"/>
    <w:rsid w:val="00C21F16"/>
    <w:rsid w:val="00C22FAC"/>
    <w:rsid w:val="00C23F5B"/>
    <w:rsid w:val="00C305B2"/>
    <w:rsid w:val="00C31B5A"/>
    <w:rsid w:val="00C31BA1"/>
    <w:rsid w:val="00C3291C"/>
    <w:rsid w:val="00C32DA9"/>
    <w:rsid w:val="00C378E2"/>
    <w:rsid w:val="00C37A53"/>
    <w:rsid w:val="00C40DFA"/>
    <w:rsid w:val="00C42702"/>
    <w:rsid w:val="00C42AC2"/>
    <w:rsid w:val="00C43530"/>
    <w:rsid w:val="00C438D2"/>
    <w:rsid w:val="00C443F6"/>
    <w:rsid w:val="00C445CA"/>
    <w:rsid w:val="00C44FE0"/>
    <w:rsid w:val="00C4650D"/>
    <w:rsid w:val="00C473EA"/>
    <w:rsid w:val="00C5140D"/>
    <w:rsid w:val="00C521CB"/>
    <w:rsid w:val="00C55C48"/>
    <w:rsid w:val="00C55FF7"/>
    <w:rsid w:val="00C56430"/>
    <w:rsid w:val="00C5715D"/>
    <w:rsid w:val="00C60262"/>
    <w:rsid w:val="00C603F0"/>
    <w:rsid w:val="00C6067E"/>
    <w:rsid w:val="00C60B56"/>
    <w:rsid w:val="00C620A6"/>
    <w:rsid w:val="00C62A32"/>
    <w:rsid w:val="00C659EE"/>
    <w:rsid w:val="00C65BE3"/>
    <w:rsid w:val="00C661F2"/>
    <w:rsid w:val="00C676F4"/>
    <w:rsid w:val="00C67E7E"/>
    <w:rsid w:val="00C70069"/>
    <w:rsid w:val="00C73371"/>
    <w:rsid w:val="00C73F59"/>
    <w:rsid w:val="00C74164"/>
    <w:rsid w:val="00C75F8D"/>
    <w:rsid w:val="00C767B6"/>
    <w:rsid w:val="00C76CCA"/>
    <w:rsid w:val="00C76E40"/>
    <w:rsid w:val="00C809B5"/>
    <w:rsid w:val="00C80DDA"/>
    <w:rsid w:val="00C81BBB"/>
    <w:rsid w:val="00C827A7"/>
    <w:rsid w:val="00C82E4A"/>
    <w:rsid w:val="00C841AD"/>
    <w:rsid w:val="00C86624"/>
    <w:rsid w:val="00C87771"/>
    <w:rsid w:val="00C9089A"/>
    <w:rsid w:val="00C91194"/>
    <w:rsid w:val="00C92ED2"/>
    <w:rsid w:val="00C92F55"/>
    <w:rsid w:val="00C934F8"/>
    <w:rsid w:val="00C938EB"/>
    <w:rsid w:val="00C94660"/>
    <w:rsid w:val="00C94E21"/>
    <w:rsid w:val="00C95B6D"/>
    <w:rsid w:val="00C9672D"/>
    <w:rsid w:val="00CA0066"/>
    <w:rsid w:val="00CA0E20"/>
    <w:rsid w:val="00CA1203"/>
    <w:rsid w:val="00CA4E0D"/>
    <w:rsid w:val="00CA59B7"/>
    <w:rsid w:val="00CA6192"/>
    <w:rsid w:val="00CA7310"/>
    <w:rsid w:val="00CA7BE4"/>
    <w:rsid w:val="00CB082D"/>
    <w:rsid w:val="00CB1363"/>
    <w:rsid w:val="00CB1EE3"/>
    <w:rsid w:val="00CB207D"/>
    <w:rsid w:val="00CB3B20"/>
    <w:rsid w:val="00CB3D39"/>
    <w:rsid w:val="00CB3D98"/>
    <w:rsid w:val="00CB4D61"/>
    <w:rsid w:val="00CB4D85"/>
    <w:rsid w:val="00CB6E50"/>
    <w:rsid w:val="00CB77FC"/>
    <w:rsid w:val="00CB7A2F"/>
    <w:rsid w:val="00CC1029"/>
    <w:rsid w:val="00CC1CF3"/>
    <w:rsid w:val="00CC233D"/>
    <w:rsid w:val="00CC256F"/>
    <w:rsid w:val="00CC2DC6"/>
    <w:rsid w:val="00CC3D62"/>
    <w:rsid w:val="00CC3E4E"/>
    <w:rsid w:val="00CC43FC"/>
    <w:rsid w:val="00CC504A"/>
    <w:rsid w:val="00CC58A2"/>
    <w:rsid w:val="00CC6836"/>
    <w:rsid w:val="00CD1362"/>
    <w:rsid w:val="00CD54BF"/>
    <w:rsid w:val="00CD58BC"/>
    <w:rsid w:val="00CD603F"/>
    <w:rsid w:val="00CD6807"/>
    <w:rsid w:val="00CE1456"/>
    <w:rsid w:val="00CE2883"/>
    <w:rsid w:val="00CE3467"/>
    <w:rsid w:val="00CE4DE4"/>
    <w:rsid w:val="00CE5184"/>
    <w:rsid w:val="00CE5B8D"/>
    <w:rsid w:val="00CE631E"/>
    <w:rsid w:val="00CF0FC3"/>
    <w:rsid w:val="00CF3034"/>
    <w:rsid w:val="00CF3C49"/>
    <w:rsid w:val="00CF482F"/>
    <w:rsid w:val="00CF4CC4"/>
    <w:rsid w:val="00CF4E46"/>
    <w:rsid w:val="00CF766D"/>
    <w:rsid w:val="00CF7CA7"/>
    <w:rsid w:val="00D014F0"/>
    <w:rsid w:val="00D01F47"/>
    <w:rsid w:val="00D04CA7"/>
    <w:rsid w:val="00D05276"/>
    <w:rsid w:val="00D06901"/>
    <w:rsid w:val="00D06D2C"/>
    <w:rsid w:val="00D07AC8"/>
    <w:rsid w:val="00D1241D"/>
    <w:rsid w:val="00D1290D"/>
    <w:rsid w:val="00D132D8"/>
    <w:rsid w:val="00D15C14"/>
    <w:rsid w:val="00D16E3E"/>
    <w:rsid w:val="00D16F6F"/>
    <w:rsid w:val="00D178E4"/>
    <w:rsid w:val="00D22501"/>
    <w:rsid w:val="00D22A1F"/>
    <w:rsid w:val="00D23F91"/>
    <w:rsid w:val="00D2438A"/>
    <w:rsid w:val="00D24848"/>
    <w:rsid w:val="00D2774B"/>
    <w:rsid w:val="00D323E8"/>
    <w:rsid w:val="00D36309"/>
    <w:rsid w:val="00D37996"/>
    <w:rsid w:val="00D419E0"/>
    <w:rsid w:val="00D41E74"/>
    <w:rsid w:val="00D422F3"/>
    <w:rsid w:val="00D424CD"/>
    <w:rsid w:val="00D43023"/>
    <w:rsid w:val="00D43667"/>
    <w:rsid w:val="00D437DE"/>
    <w:rsid w:val="00D43E9E"/>
    <w:rsid w:val="00D443BE"/>
    <w:rsid w:val="00D44CBA"/>
    <w:rsid w:val="00D44CC8"/>
    <w:rsid w:val="00D46E04"/>
    <w:rsid w:val="00D475F8"/>
    <w:rsid w:val="00D54B07"/>
    <w:rsid w:val="00D55126"/>
    <w:rsid w:val="00D555F0"/>
    <w:rsid w:val="00D60D24"/>
    <w:rsid w:val="00D62889"/>
    <w:rsid w:val="00D6366C"/>
    <w:rsid w:val="00D64EAF"/>
    <w:rsid w:val="00D653BA"/>
    <w:rsid w:val="00D66029"/>
    <w:rsid w:val="00D66205"/>
    <w:rsid w:val="00D66B17"/>
    <w:rsid w:val="00D74225"/>
    <w:rsid w:val="00D76033"/>
    <w:rsid w:val="00D765B4"/>
    <w:rsid w:val="00D76B7D"/>
    <w:rsid w:val="00D77AD3"/>
    <w:rsid w:val="00D80179"/>
    <w:rsid w:val="00D8142B"/>
    <w:rsid w:val="00D83D8E"/>
    <w:rsid w:val="00D85A4C"/>
    <w:rsid w:val="00D87E3B"/>
    <w:rsid w:val="00D903DD"/>
    <w:rsid w:val="00D9087C"/>
    <w:rsid w:val="00D90AE5"/>
    <w:rsid w:val="00D90C33"/>
    <w:rsid w:val="00D9102A"/>
    <w:rsid w:val="00D91171"/>
    <w:rsid w:val="00D9430B"/>
    <w:rsid w:val="00D9603B"/>
    <w:rsid w:val="00D960FA"/>
    <w:rsid w:val="00DA0279"/>
    <w:rsid w:val="00DA0FAF"/>
    <w:rsid w:val="00DA2345"/>
    <w:rsid w:val="00DA3863"/>
    <w:rsid w:val="00DA4A1B"/>
    <w:rsid w:val="00DA53C9"/>
    <w:rsid w:val="00DA5832"/>
    <w:rsid w:val="00DA6F2D"/>
    <w:rsid w:val="00DA7DDA"/>
    <w:rsid w:val="00DB17C7"/>
    <w:rsid w:val="00DB1B3C"/>
    <w:rsid w:val="00DB2678"/>
    <w:rsid w:val="00DB36D3"/>
    <w:rsid w:val="00DB3AF8"/>
    <w:rsid w:val="00DB3E5C"/>
    <w:rsid w:val="00DB449B"/>
    <w:rsid w:val="00DB4F80"/>
    <w:rsid w:val="00DB6459"/>
    <w:rsid w:val="00DB7218"/>
    <w:rsid w:val="00DC159B"/>
    <w:rsid w:val="00DC1AC8"/>
    <w:rsid w:val="00DC1CC0"/>
    <w:rsid w:val="00DC3DDF"/>
    <w:rsid w:val="00DC6565"/>
    <w:rsid w:val="00DC69AF"/>
    <w:rsid w:val="00DC75D6"/>
    <w:rsid w:val="00DC77F5"/>
    <w:rsid w:val="00DD01F1"/>
    <w:rsid w:val="00DD02B5"/>
    <w:rsid w:val="00DD10A3"/>
    <w:rsid w:val="00DD16C9"/>
    <w:rsid w:val="00DD1F7F"/>
    <w:rsid w:val="00DD2F16"/>
    <w:rsid w:val="00DD2F17"/>
    <w:rsid w:val="00DD4985"/>
    <w:rsid w:val="00DD6385"/>
    <w:rsid w:val="00DD681E"/>
    <w:rsid w:val="00DD699A"/>
    <w:rsid w:val="00DD6D05"/>
    <w:rsid w:val="00DD6D93"/>
    <w:rsid w:val="00DD6DE0"/>
    <w:rsid w:val="00DD7813"/>
    <w:rsid w:val="00DE0945"/>
    <w:rsid w:val="00DE0D00"/>
    <w:rsid w:val="00DE172C"/>
    <w:rsid w:val="00DE17C2"/>
    <w:rsid w:val="00DE22FE"/>
    <w:rsid w:val="00DE2B0B"/>
    <w:rsid w:val="00DE3C67"/>
    <w:rsid w:val="00DE4085"/>
    <w:rsid w:val="00DE5DA3"/>
    <w:rsid w:val="00DF05A6"/>
    <w:rsid w:val="00DF27DF"/>
    <w:rsid w:val="00DF2ABA"/>
    <w:rsid w:val="00DF357B"/>
    <w:rsid w:val="00DF69CF"/>
    <w:rsid w:val="00DF740A"/>
    <w:rsid w:val="00DF7860"/>
    <w:rsid w:val="00DF788D"/>
    <w:rsid w:val="00E003C8"/>
    <w:rsid w:val="00E0210E"/>
    <w:rsid w:val="00E026A6"/>
    <w:rsid w:val="00E02856"/>
    <w:rsid w:val="00E04BE3"/>
    <w:rsid w:val="00E04FD5"/>
    <w:rsid w:val="00E04FE7"/>
    <w:rsid w:val="00E05936"/>
    <w:rsid w:val="00E05BBA"/>
    <w:rsid w:val="00E07FA6"/>
    <w:rsid w:val="00E10470"/>
    <w:rsid w:val="00E12DFB"/>
    <w:rsid w:val="00E14125"/>
    <w:rsid w:val="00E14F5B"/>
    <w:rsid w:val="00E17C9A"/>
    <w:rsid w:val="00E17D0D"/>
    <w:rsid w:val="00E2045E"/>
    <w:rsid w:val="00E20A58"/>
    <w:rsid w:val="00E23152"/>
    <w:rsid w:val="00E24996"/>
    <w:rsid w:val="00E24A81"/>
    <w:rsid w:val="00E266F7"/>
    <w:rsid w:val="00E306B9"/>
    <w:rsid w:val="00E30D5F"/>
    <w:rsid w:val="00E3130D"/>
    <w:rsid w:val="00E318C2"/>
    <w:rsid w:val="00E31D79"/>
    <w:rsid w:val="00E31E69"/>
    <w:rsid w:val="00E325BB"/>
    <w:rsid w:val="00E33AB6"/>
    <w:rsid w:val="00E33D5B"/>
    <w:rsid w:val="00E35ADB"/>
    <w:rsid w:val="00E35D92"/>
    <w:rsid w:val="00E37797"/>
    <w:rsid w:val="00E41C8C"/>
    <w:rsid w:val="00E41CCB"/>
    <w:rsid w:val="00E42E59"/>
    <w:rsid w:val="00E43DB5"/>
    <w:rsid w:val="00E44C8B"/>
    <w:rsid w:val="00E45CD2"/>
    <w:rsid w:val="00E47206"/>
    <w:rsid w:val="00E474CB"/>
    <w:rsid w:val="00E474D1"/>
    <w:rsid w:val="00E4786A"/>
    <w:rsid w:val="00E50FB5"/>
    <w:rsid w:val="00E551B3"/>
    <w:rsid w:val="00E55CF5"/>
    <w:rsid w:val="00E56212"/>
    <w:rsid w:val="00E568E4"/>
    <w:rsid w:val="00E56CFF"/>
    <w:rsid w:val="00E579D4"/>
    <w:rsid w:val="00E57B2E"/>
    <w:rsid w:val="00E60555"/>
    <w:rsid w:val="00E62DD8"/>
    <w:rsid w:val="00E64582"/>
    <w:rsid w:val="00E64748"/>
    <w:rsid w:val="00E65376"/>
    <w:rsid w:val="00E65744"/>
    <w:rsid w:val="00E66304"/>
    <w:rsid w:val="00E6632E"/>
    <w:rsid w:val="00E67B8F"/>
    <w:rsid w:val="00E70A90"/>
    <w:rsid w:val="00E70EC6"/>
    <w:rsid w:val="00E737BE"/>
    <w:rsid w:val="00E739EE"/>
    <w:rsid w:val="00E74BF8"/>
    <w:rsid w:val="00E75FCC"/>
    <w:rsid w:val="00E7705A"/>
    <w:rsid w:val="00E770C5"/>
    <w:rsid w:val="00E80259"/>
    <w:rsid w:val="00E8047A"/>
    <w:rsid w:val="00E804A9"/>
    <w:rsid w:val="00E80965"/>
    <w:rsid w:val="00E80D5E"/>
    <w:rsid w:val="00E81A69"/>
    <w:rsid w:val="00E829FA"/>
    <w:rsid w:val="00E83798"/>
    <w:rsid w:val="00E842D8"/>
    <w:rsid w:val="00E848FC"/>
    <w:rsid w:val="00E87A9F"/>
    <w:rsid w:val="00E91881"/>
    <w:rsid w:val="00E91C2E"/>
    <w:rsid w:val="00E93FFF"/>
    <w:rsid w:val="00E942BA"/>
    <w:rsid w:val="00E942FA"/>
    <w:rsid w:val="00E947B2"/>
    <w:rsid w:val="00E9668E"/>
    <w:rsid w:val="00E97F4B"/>
    <w:rsid w:val="00EA2306"/>
    <w:rsid w:val="00EA294E"/>
    <w:rsid w:val="00EA3BF6"/>
    <w:rsid w:val="00EA4803"/>
    <w:rsid w:val="00EA6A7C"/>
    <w:rsid w:val="00EA6E2A"/>
    <w:rsid w:val="00EB0262"/>
    <w:rsid w:val="00EB0AD3"/>
    <w:rsid w:val="00EB0BF6"/>
    <w:rsid w:val="00EB2539"/>
    <w:rsid w:val="00EB28CF"/>
    <w:rsid w:val="00EB386D"/>
    <w:rsid w:val="00EB3A24"/>
    <w:rsid w:val="00EB4BC6"/>
    <w:rsid w:val="00EB508C"/>
    <w:rsid w:val="00EB54C2"/>
    <w:rsid w:val="00EB56F3"/>
    <w:rsid w:val="00EB5A61"/>
    <w:rsid w:val="00EB6060"/>
    <w:rsid w:val="00EC06B3"/>
    <w:rsid w:val="00EC1482"/>
    <w:rsid w:val="00EC226A"/>
    <w:rsid w:val="00EC3064"/>
    <w:rsid w:val="00EC3488"/>
    <w:rsid w:val="00EC3CD5"/>
    <w:rsid w:val="00EC510E"/>
    <w:rsid w:val="00EC55B4"/>
    <w:rsid w:val="00EC5ACD"/>
    <w:rsid w:val="00ED57C9"/>
    <w:rsid w:val="00ED5936"/>
    <w:rsid w:val="00ED6641"/>
    <w:rsid w:val="00ED6E28"/>
    <w:rsid w:val="00ED6FD3"/>
    <w:rsid w:val="00ED7310"/>
    <w:rsid w:val="00ED786F"/>
    <w:rsid w:val="00EE1272"/>
    <w:rsid w:val="00EE15A5"/>
    <w:rsid w:val="00EE18FB"/>
    <w:rsid w:val="00EE1E28"/>
    <w:rsid w:val="00EE28F3"/>
    <w:rsid w:val="00EE3E77"/>
    <w:rsid w:val="00EE4297"/>
    <w:rsid w:val="00EE4DAB"/>
    <w:rsid w:val="00EE57CC"/>
    <w:rsid w:val="00EE57E6"/>
    <w:rsid w:val="00EE5CF1"/>
    <w:rsid w:val="00EE65B0"/>
    <w:rsid w:val="00EE77B8"/>
    <w:rsid w:val="00EF39BB"/>
    <w:rsid w:val="00EF5531"/>
    <w:rsid w:val="00EF64A7"/>
    <w:rsid w:val="00EF7236"/>
    <w:rsid w:val="00EF7F1F"/>
    <w:rsid w:val="00F01702"/>
    <w:rsid w:val="00F02ACD"/>
    <w:rsid w:val="00F048B5"/>
    <w:rsid w:val="00F05B18"/>
    <w:rsid w:val="00F05C38"/>
    <w:rsid w:val="00F075EB"/>
    <w:rsid w:val="00F1207C"/>
    <w:rsid w:val="00F1241E"/>
    <w:rsid w:val="00F1260D"/>
    <w:rsid w:val="00F12E41"/>
    <w:rsid w:val="00F12E45"/>
    <w:rsid w:val="00F131C0"/>
    <w:rsid w:val="00F13BCD"/>
    <w:rsid w:val="00F13DCC"/>
    <w:rsid w:val="00F13FEE"/>
    <w:rsid w:val="00F150AC"/>
    <w:rsid w:val="00F15DA1"/>
    <w:rsid w:val="00F16D0D"/>
    <w:rsid w:val="00F17A48"/>
    <w:rsid w:val="00F205F0"/>
    <w:rsid w:val="00F20DA3"/>
    <w:rsid w:val="00F223AB"/>
    <w:rsid w:val="00F229CD"/>
    <w:rsid w:val="00F23B09"/>
    <w:rsid w:val="00F23B2B"/>
    <w:rsid w:val="00F26345"/>
    <w:rsid w:val="00F26CAB"/>
    <w:rsid w:val="00F30144"/>
    <w:rsid w:val="00F31703"/>
    <w:rsid w:val="00F326D4"/>
    <w:rsid w:val="00F34EB4"/>
    <w:rsid w:val="00F350E7"/>
    <w:rsid w:val="00F35602"/>
    <w:rsid w:val="00F36DE6"/>
    <w:rsid w:val="00F401EF"/>
    <w:rsid w:val="00F402CB"/>
    <w:rsid w:val="00F4093D"/>
    <w:rsid w:val="00F41B6D"/>
    <w:rsid w:val="00F41F07"/>
    <w:rsid w:val="00F44766"/>
    <w:rsid w:val="00F44994"/>
    <w:rsid w:val="00F45DB0"/>
    <w:rsid w:val="00F45E77"/>
    <w:rsid w:val="00F50407"/>
    <w:rsid w:val="00F50BCF"/>
    <w:rsid w:val="00F51661"/>
    <w:rsid w:val="00F51AFB"/>
    <w:rsid w:val="00F52665"/>
    <w:rsid w:val="00F55AC6"/>
    <w:rsid w:val="00F56964"/>
    <w:rsid w:val="00F5698B"/>
    <w:rsid w:val="00F5699E"/>
    <w:rsid w:val="00F56D88"/>
    <w:rsid w:val="00F575BC"/>
    <w:rsid w:val="00F57A5D"/>
    <w:rsid w:val="00F615C1"/>
    <w:rsid w:val="00F62B6F"/>
    <w:rsid w:val="00F62BA2"/>
    <w:rsid w:val="00F62D34"/>
    <w:rsid w:val="00F63D3A"/>
    <w:rsid w:val="00F64FC3"/>
    <w:rsid w:val="00F65158"/>
    <w:rsid w:val="00F7033D"/>
    <w:rsid w:val="00F71CCB"/>
    <w:rsid w:val="00F71EFA"/>
    <w:rsid w:val="00F733F4"/>
    <w:rsid w:val="00F73656"/>
    <w:rsid w:val="00F73915"/>
    <w:rsid w:val="00F7391B"/>
    <w:rsid w:val="00F73F4F"/>
    <w:rsid w:val="00F74E9C"/>
    <w:rsid w:val="00F7586D"/>
    <w:rsid w:val="00F75B21"/>
    <w:rsid w:val="00F775F9"/>
    <w:rsid w:val="00F77A43"/>
    <w:rsid w:val="00F80937"/>
    <w:rsid w:val="00F8375A"/>
    <w:rsid w:val="00F840DF"/>
    <w:rsid w:val="00F86A01"/>
    <w:rsid w:val="00F90D0F"/>
    <w:rsid w:val="00F91066"/>
    <w:rsid w:val="00F9171A"/>
    <w:rsid w:val="00F92141"/>
    <w:rsid w:val="00F9460E"/>
    <w:rsid w:val="00F94FAA"/>
    <w:rsid w:val="00F95504"/>
    <w:rsid w:val="00F9578D"/>
    <w:rsid w:val="00F9739D"/>
    <w:rsid w:val="00F979DC"/>
    <w:rsid w:val="00FA0AD8"/>
    <w:rsid w:val="00FA17E5"/>
    <w:rsid w:val="00FA2735"/>
    <w:rsid w:val="00FA3C1C"/>
    <w:rsid w:val="00FA56FD"/>
    <w:rsid w:val="00FA6304"/>
    <w:rsid w:val="00FA74A4"/>
    <w:rsid w:val="00FB0C53"/>
    <w:rsid w:val="00FB2FA5"/>
    <w:rsid w:val="00FB31CB"/>
    <w:rsid w:val="00FB3BBC"/>
    <w:rsid w:val="00FB4B23"/>
    <w:rsid w:val="00FB524A"/>
    <w:rsid w:val="00FB601D"/>
    <w:rsid w:val="00FB63A1"/>
    <w:rsid w:val="00FB6DF9"/>
    <w:rsid w:val="00FC0AC0"/>
    <w:rsid w:val="00FC0B96"/>
    <w:rsid w:val="00FC2BC5"/>
    <w:rsid w:val="00FC2C55"/>
    <w:rsid w:val="00FC3EB2"/>
    <w:rsid w:val="00FC639F"/>
    <w:rsid w:val="00FC6ADE"/>
    <w:rsid w:val="00FC6FE9"/>
    <w:rsid w:val="00FC706E"/>
    <w:rsid w:val="00FC7E78"/>
    <w:rsid w:val="00FD053D"/>
    <w:rsid w:val="00FD1178"/>
    <w:rsid w:val="00FD4B1F"/>
    <w:rsid w:val="00FD4E52"/>
    <w:rsid w:val="00FD6C1C"/>
    <w:rsid w:val="00FD72CE"/>
    <w:rsid w:val="00FE160A"/>
    <w:rsid w:val="00FE19A6"/>
    <w:rsid w:val="00FE4400"/>
    <w:rsid w:val="00FE44AD"/>
    <w:rsid w:val="00FE48D9"/>
    <w:rsid w:val="00FE4D26"/>
    <w:rsid w:val="00FE710C"/>
    <w:rsid w:val="00FF033F"/>
    <w:rsid w:val="00FF1E92"/>
    <w:rsid w:val="00FF23AD"/>
    <w:rsid w:val="00FF2BF0"/>
    <w:rsid w:val="00FF4F43"/>
    <w:rsid w:val="00FF4FC9"/>
    <w:rsid w:val="00FF5783"/>
    <w:rsid w:val="00FF6C48"/>
    <w:rsid w:val="00FF6FC4"/>
    <w:rsid w:val="00FF7207"/>
    <w:rsid w:val="00FF729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52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Mincho" w:hAnsi="Cambria"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11"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59"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3"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0"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0" w:unhideWhenUsed="0"/>
    <w:lsdException w:name="Light List Accent 6" w:semiHidden="0" w:uiPriority="66" w:unhideWhenUsed="0"/>
    <w:lsdException w:name="Light Grid Accent 6" w:semiHidden="0" w:uiPriority="62"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21"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9D518B"/>
    <w:rPr>
      <w:rFonts w:ascii="Helvetica" w:eastAsia="Times New Roman" w:hAnsi="Helvetica"/>
      <w:sz w:val="24"/>
      <w:szCs w:val="24"/>
    </w:rPr>
  </w:style>
  <w:style w:type="paragraph" w:styleId="Ttulo1">
    <w:name w:val="heading 1"/>
    <w:basedOn w:val="Normal"/>
    <w:next w:val="Normal"/>
    <w:link w:val="Ttulo1Car"/>
    <w:qFormat/>
    <w:rsid w:val="005323D6"/>
    <w:pPr>
      <w:keepNext/>
      <w:jc w:val="center"/>
      <w:outlineLvl w:val="0"/>
    </w:pPr>
    <w:rPr>
      <w:rFonts w:ascii="Albertus Extra Bold" w:hAnsi="Albertus Extra Bold"/>
      <w:b/>
      <w:sz w:val="36"/>
      <w:szCs w:val="20"/>
    </w:rPr>
  </w:style>
  <w:style w:type="paragraph" w:styleId="Ttulo2">
    <w:name w:val="heading 2"/>
    <w:basedOn w:val="Normal"/>
    <w:next w:val="Normal"/>
    <w:link w:val="Ttulo2Car"/>
    <w:qFormat/>
    <w:rsid w:val="00A16F9D"/>
    <w:pPr>
      <w:keepNext/>
      <w:spacing w:line="360" w:lineRule="auto"/>
      <w:jc w:val="both"/>
      <w:outlineLvl w:val="1"/>
    </w:pPr>
    <w:rPr>
      <w:rFonts w:ascii="Arial" w:hAnsi="Arial"/>
      <w:spacing w:val="20"/>
      <w:szCs w:val="20"/>
      <w:lang w:val="es-MX"/>
    </w:rPr>
  </w:style>
  <w:style w:type="paragraph" w:styleId="Ttulo3">
    <w:name w:val="heading 3"/>
    <w:basedOn w:val="Normal"/>
    <w:next w:val="Normal"/>
    <w:link w:val="Ttulo3Car"/>
    <w:qFormat/>
    <w:rsid w:val="00A16F9D"/>
    <w:pPr>
      <w:keepNext/>
      <w:outlineLvl w:val="2"/>
    </w:pPr>
    <w:rPr>
      <w:rFonts w:ascii="Arial" w:hAnsi="Arial"/>
      <w:b/>
      <w:bCs/>
      <w:sz w:val="28"/>
      <w:lang w:val="es-MX"/>
    </w:rPr>
  </w:style>
  <w:style w:type="paragraph" w:styleId="Ttulo4">
    <w:name w:val="heading 4"/>
    <w:basedOn w:val="Normal"/>
    <w:next w:val="Normal"/>
    <w:link w:val="Ttulo4Car"/>
    <w:qFormat/>
    <w:rsid w:val="00A16F9D"/>
    <w:pPr>
      <w:keepNext/>
      <w:jc w:val="center"/>
      <w:outlineLvl w:val="3"/>
    </w:pPr>
    <w:rPr>
      <w:rFonts w:ascii="Arial" w:hAnsi="Arial"/>
      <w:b/>
      <w:bCs/>
      <w:sz w:val="20"/>
      <w:szCs w:val="20"/>
      <w:lang w:val="es-MX"/>
    </w:rPr>
  </w:style>
  <w:style w:type="paragraph" w:styleId="Ttulo5">
    <w:name w:val="heading 5"/>
    <w:basedOn w:val="Normal"/>
    <w:next w:val="Normal"/>
    <w:link w:val="Ttulo5Car"/>
    <w:qFormat/>
    <w:rsid w:val="00A16F9D"/>
    <w:pPr>
      <w:keepNext/>
      <w:outlineLvl w:val="4"/>
    </w:pPr>
    <w:rPr>
      <w:rFonts w:ascii="Times New Roman" w:hAnsi="Times New Roman"/>
      <w:b/>
      <w:bCs/>
      <w:sz w:val="20"/>
      <w:szCs w:val="20"/>
      <w:lang w:val="es-MX"/>
    </w:rPr>
  </w:style>
  <w:style w:type="paragraph" w:styleId="Ttulo6">
    <w:name w:val="heading 6"/>
    <w:basedOn w:val="Normal"/>
    <w:next w:val="Normal"/>
    <w:link w:val="Ttulo6Car"/>
    <w:qFormat/>
    <w:rsid w:val="00A16F9D"/>
    <w:pPr>
      <w:keepNext/>
      <w:jc w:val="center"/>
      <w:outlineLvl w:val="5"/>
    </w:pPr>
    <w:rPr>
      <w:rFonts w:ascii="Arial" w:hAnsi="Arial"/>
      <w:b/>
      <w:bCs/>
      <w:sz w:val="22"/>
      <w:szCs w:val="18"/>
      <w:lang w:val="es-MX"/>
    </w:rPr>
  </w:style>
  <w:style w:type="paragraph" w:styleId="Ttulo7">
    <w:name w:val="heading 7"/>
    <w:basedOn w:val="Normal"/>
    <w:next w:val="Normal"/>
    <w:link w:val="Ttulo7Car"/>
    <w:qFormat/>
    <w:rsid w:val="00A16F9D"/>
    <w:pPr>
      <w:keepNext/>
      <w:outlineLvl w:val="6"/>
    </w:pPr>
    <w:rPr>
      <w:rFonts w:ascii="Arial" w:hAnsi="Arial"/>
      <w:b/>
      <w:bCs/>
      <w:sz w:val="16"/>
      <w:szCs w:val="16"/>
      <w:u w:val="single"/>
      <w:lang w:val="es-MX"/>
    </w:rPr>
  </w:style>
  <w:style w:type="paragraph" w:styleId="Ttulo8">
    <w:name w:val="heading 8"/>
    <w:basedOn w:val="Normal"/>
    <w:next w:val="Normal"/>
    <w:link w:val="Ttulo8Car"/>
    <w:qFormat/>
    <w:rsid w:val="00A16F9D"/>
    <w:pPr>
      <w:keepNext/>
      <w:outlineLvl w:val="7"/>
    </w:pPr>
    <w:rPr>
      <w:rFonts w:ascii="Arial" w:hAnsi="Arial"/>
      <w:b/>
      <w:bCs/>
      <w:sz w:val="20"/>
      <w:szCs w:val="20"/>
      <w:u w:val="single"/>
      <w:lang w:val="es-MX"/>
    </w:rPr>
  </w:style>
  <w:style w:type="paragraph" w:styleId="Ttulo9">
    <w:name w:val="heading 9"/>
    <w:basedOn w:val="Normal"/>
    <w:next w:val="Normal"/>
    <w:link w:val="Ttulo9Car"/>
    <w:qFormat/>
    <w:rsid w:val="00A16F9D"/>
    <w:pPr>
      <w:keepNext/>
      <w:outlineLvl w:val="8"/>
    </w:pPr>
    <w:rPr>
      <w:rFonts w:ascii="Arial" w:hAnsi="Arial"/>
      <w:b/>
      <w:bCs/>
      <w:sz w:val="18"/>
      <w:szCs w:val="18"/>
      <w:u w:val="single"/>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5323D6"/>
    <w:rPr>
      <w:rFonts w:ascii="Albertus Extra Bold" w:eastAsia="Times New Roman" w:hAnsi="Albertus Extra Bold" w:cs="Times New Roman"/>
      <w:b/>
      <w:sz w:val="36"/>
      <w:szCs w:val="20"/>
    </w:rPr>
  </w:style>
  <w:style w:type="character" w:customStyle="1" w:styleId="Ttulo2Car">
    <w:name w:val="Título 2 Car"/>
    <w:link w:val="Ttulo2"/>
    <w:rsid w:val="00A16F9D"/>
    <w:rPr>
      <w:rFonts w:ascii="Arial" w:eastAsia="Times New Roman" w:hAnsi="Arial" w:cs="Arial"/>
      <w:spacing w:val="20"/>
      <w:sz w:val="24"/>
      <w:lang w:val="es-MX"/>
    </w:rPr>
  </w:style>
  <w:style w:type="character" w:customStyle="1" w:styleId="Ttulo3Car">
    <w:name w:val="Título 3 Car"/>
    <w:link w:val="Ttulo3"/>
    <w:rsid w:val="00A16F9D"/>
    <w:rPr>
      <w:rFonts w:ascii="Arial" w:eastAsia="Times New Roman" w:hAnsi="Arial" w:cs="Arial"/>
      <w:b/>
      <w:bCs/>
      <w:sz w:val="28"/>
      <w:szCs w:val="24"/>
      <w:lang w:val="es-MX"/>
    </w:rPr>
  </w:style>
  <w:style w:type="character" w:customStyle="1" w:styleId="Ttulo4Car">
    <w:name w:val="Título 4 Car"/>
    <w:link w:val="Ttulo4"/>
    <w:rsid w:val="00A16F9D"/>
    <w:rPr>
      <w:rFonts w:ascii="Arial" w:eastAsia="Times New Roman" w:hAnsi="Arial" w:cs="Arial"/>
      <w:b/>
      <w:bCs/>
      <w:lang w:val="es-MX"/>
    </w:rPr>
  </w:style>
  <w:style w:type="character" w:customStyle="1" w:styleId="Ttulo5Car">
    <w:name w:val="Título 5 Car"/>
    <w:link w:val="Ttulo5"/>
    <w:rsid w:val="00A16F9D"/>
    <w:rPr>
      <w:rFonts w:ascii="Times New Roman" w:eastAsia="Times New Roman" w:hAnsi="Times New Roman"/>
      <w:b/>
      <w:bCs/>
      <w:lang w:val="es-MX"/>
    </w:rPr>
  </w:style>
  <w:style w:type="character" w:customStyle="1" w:styleId="Ttulo6Car">
    <w:name w:val="Título 6 Car"/>
    <w:link w:val="Ttulo6"/>
    <w:rsid w:val="00A16F9D"/>
    <w:rPr>
      <w:rFonts w:ascii="Arial" w:eastAsia="Times New Roman" w:hAnsi="Arial" w:cs="Arial"/>
      <w:b/>
      <w:bCs/>
      <w:sz w:val="22"/>
      <w:szCs w:val="18"/>
      <w:lang w:val="es-MX"/>
    </w:rPr>
  </w:style>
  <w:style w:type="character" w:customStyle="1" w:styleId="Ttulo7Car">
    <w:name w:val="Título 7 Car"/>
    <w:link w:val="Ttulo7"/>
    <w:rsid w:val="00A16F9D"/>
    <w:rPr>
      <w:rFonts w:ascii="Arial" w:eastAsia="Times New Roman" w:hAnsi="Arial" w:cs="Arial"/>
      <w:b/>
      <w:bCs/>
      <w:sz w:val="16"/>
      <w:szCs w:val="16"/>
      <w:u w:val="single"/>
      <w:lang w:val="es-MX"/>
    </w:rPr>
  </w:style>
  <w:style w:type="character" w:customStyle="1" w:styleId="Ttulo8Car">
    <w:name w:val="Título 8 Car"/>
    <w:link w:val="Ttulo8"/>
    <w:rsid w:val="00A16F9D"/>
    <w:rPr>
      <w:rFonts w:ascii="Arial" w:eastAsia="Times New Roman" w:hAnsi="Arial" w:cs="Arial"/>
      <w:b/>
      <w:bCs/>
      <w:u w:val="single"/>
      <w:lang w:val="es-MX"/>
    </w:rPr>
  </w:style>
  <w:style w:type="character" w:customStyle="1" w:styleId="Ttulo9Car">
    <w:name w:val="Título 9 Car"/>
    <w:link w:val="Ttulo9"/>
    <w:rsid w:val="00A16F9D"/>
    <w:rPr>
      <w:rFonts w:ascii="Arial" w:eastAsia="Times New Roman" w:hAnsi="Arial" w:cs="Arial"/>
      <w:b/>
      <w:bCs/>
      <w:sz w:val="18"/>
      <w:szCs w:val="18"/>
      <w:u w:val="single"/>
      <w:lang w:val="es-MX"/>
    </w:rPr>
  </w:style>
  <w:style w:type="paragraph" w:styleId="Encabezado">
    <w:name w:val="header"/>
    <w:basedOn w:val="Normal"/>
    <w:link w:val="EncabezadoCar"/>
    <w:uiPriority w:val="99"/>
    <w:unhideWhenUsed/>
    <w:rsid w:val="00BF7222"/>
    <w:pPr>
      <w:tabs>
        <w:tab w:val="center" w:pos="4252"/>
        <w:tab w:val="right" w:pos="8504"/>
      </w:tabs>
    </w:pPr>
  </w:style>
  <w:style w:type="character" w:customStyle="1" w:styleId="EncabezadoCar">
    <w:name w:val="Encabezado Car"/>
    <w:basedOn w:val="Fuentedeprrafopredeter"/>
    <w:link w:val="Encabezado"/>
    <w:uiPriority w:val="99"/>
    <w:rsid w:val="00BF7222"/>
  </w:style>
  <w:style w:type="paragraph" w:styleId="Piedepgina">
    <w:name w:val="footer"/>
    <w:basedOn w:val="Normal"/>
    <w:link w:val="PiedepginaCar"/>
    <w:uiPriority w:val="99"/>
    <w:unhideWhenUsed/>
    <w:rsid w:val="00BF7222"/>
    <w:pPr>
      <w:tabs>
        <w:tab w:val="center" w:pos="4252"/>
        <w:tab w:val="right" w:pos="8504"/>
      </w:tabs>
    </w:pPr>
  </w:style>
  <w:style w:type="character" w:customStyle="1" w:styleId="PiedepginaCar">
    <w:name w:val="Pie de página Car"/>
    <w:basedOn w:val="Fuentedeprrafopredeter"/>
    <w:link w:val="Piedepgina"/>
    <w:uiPriority w:val="99"/>
    <w:rsid w:val="00BF7222"/>
  </w:style>
  <w:style w:type="paragraph" w:styleId="Textodeglobo">
    <w:name w:val="Balloon Text"/>
    <w:basedOn w:val="Normal"/>
    <w:link w:val="TextodegloboCar"/>
    <w:uiPriority w:val="99"/>
    <w:unhideWhenUsed/>
    <w:rsid w:val="00BF7222"/>
    <w:rPr>
      <w:rFonts w:ascii="Lucida Grande" w:eastAsia="MS Mincho" w:hAnsi="Lucida Grande"/>
      <w:sz w:val="18"/>
      <w:szCs w:val="18"/>
    </w:rPr>
  </w:style>
  <w:style w:type="character" w:customStyle="1" w:styleId="TextodegloboCar">
    <w:name w:val="Texto de globo Car"/>
    <w:link w:val="Textodeglobo"/>
    <w:uiPriority w:val="99"/>
    <w:rsid w:val="00BF7222"/>
    <w:rPr>
      <w:rFonts w:ascii="Lucida Grande" w:hAnsi="Lucida Grande" w:cs="Lucida Grande"/>
      <w:sz w:val="18"/>
      <w:szCs w:val="18"/>
    </w:rPr>
  </w:style>
  <w:style w:type="character" w:styleId="Nmerodepgina">
    <w:name w:val="page number"/>
    <w:unhideWhenUsed/>
    <w:rsid w:val="00310D23"/>
  </w:style>
  <w:style w:type="paragraph" w:styleId="Textoindependiente">
    <w:name w:val="Body Text"/>
    <w:basedOn w:val="Normal"/>
    <w:link w:val="TextoindependienteCar"/>
    <w:rsid w:val="007357EE"/>
    <w:pPr>
      <w:spacing w:line="360" w:lineRule="auto"/>
      <w:jc w:val="both"/>
    </w:pPr>
    <w:rPr>
      <w:rFonts w:ascii="Arial" w:hAnsi="Arial"/>
      <w:spacing w:val="20"/>
      <w:szCs w:val="20"/>
      <w:lang w:val="es-MX"/>
    </w:rPr>
  </w:style>
  <w:style w:type="character" w:customStyle="1" w:styleId="TextoindependienteCar">
    <w:name w:val="Texto independiente Car"/>
    <w:link w:val="Textoindependiente"/>
    <w:rsid w:val="007357EE"/>
    <w:rPr>
      <w:rFonts w:ascii="Arial" w:eastAsia="Times New Roman" w:hAnsi="Arial" w:cs="Arial"/>
      <w:spacing w:val="20"/>
      <w:sz w:val="24"/>
      <w:lang w:val="es-MX"/>
    </w:rPr>
  </w:style>
  <w:style w:type="paragraph" w:customStyle="1" w:styleId="xl35">
    <w:name w:val="xl35"/>
    <w:basedOn w:val="Normal"/>
    <w:rsid w:val="007357EE"/>
    <w:pPr>
      <w:pBdr>
        <w:left w:val="single" w:sz="4" w:space="0" w:color="auto"/>
        <w:right w:val="single" w:sz="4" w:space="0" w:color="auto"/>
      </w:pBdr>
      <w:spacing w:before="100" w:beforeAutospacing="1" w:after="100" w:afterAutospacing="1"/>
    </w:pPr>
    <w:rPr>
      <w:rFonts w:ascii="Times New Roman" w:hAnsi="Times New Roman"/>
      <w:lang w:val="es-MX"/>
    </w:rPr>
  </w:style>
  <w:style w:type="paragraph" w:styleId="Prrafodelista">
    <w:name w:val="List Paragraph"/>
    <w:basedOn w:val="Normal"/>
    <w:link w:val="PrrafodelistaCar"/>
    <w:uiPriority w:val="34"/>
    <w:qFormat/>
    <w:rsid w:val="007357EE"/>
    <w:pPr>
      <w:ind w:left="708"/>
    </w:pPr>
    <w:rPr>
      <w:rFonts w:ascii="Times New Roman" w:hAnsi="Times New Roman"/>
      <w:sz w:val="20"/>
      <w:szCs w:val="20"/>
      <w:lang w:val="es-MX"/>
    </w:rPr>
  </w:style>
  <w:style w:type="paragraph" w:customStyle="1" w:styleId="Default">
    <w:name w:val="Default"/>
    <w:rsid w:val="007357EE"/>
    <w:pPr>
      <w:autoSpaceDE w:val="0"/>
      <w:autoSpaceDN w:val="0"/>
      <w:adjustRightInd w:val="0"/>
    </w:pPr>
    <w:rPr>
      <w:rFonts w:ascii="Arial" w:eastAsia="Times New Roman" w:hAnsi="Arial" w:cs="Arial"/>
      <w:color w:val="000000"/>
      <w:sz w:val="24"/>
      <w:szCs w:val="24"/>
    </w:rPr>
  </w:style>
  <w:style w:type="paragraph" w:styleId="NormalWeb">
    <w:name w:val="Normal (Web)"/>
    <w:basedOn w:val="Normal"/>
    <w:uiPriority w:val="99"/>
    <w:rsid w:val="007357EE"/>
    <w:pPr>
      <w:spacing w:before="100" w:beforeAutospacing="1" w:after="100" w:afterAutospacing="1"/>
    </w:pPr>
    <w:rPr>
      <w:rFonts w:ascii="Tahoma" w:hAnsi="Tahoma" w:cs="Tahoma"/>
      <w:color w:val="000000"/>
      <w:sz w:val="14"/>
      <w:szCs w:val="14"/>
    </w:rPr>
  </w:style>
  <w:style w:type="paragraph" w:styleId="Textonotapie">
    <w:name w:val="footnote text"/>
    <w:basedOn w:val="Normal"/>
    <w:link w:val="TextonotapieCar"/>
    <w:semiHidden/>
    <w:rsid w:val="00A16F9D"/>
    <w:rPr>
      <w:rFonts w:ascii="Times New Roman" w:hAnsi="Times New Roman"/>
      <w:sz w:val="20"/>
      <w:szCs w:val="20"/>
      <w:lang w:val="es-MX"/>
    </w:rPr>
  </w:style>
  <w:style w:type="character" w:customStyle="1" w:styleId="TextonotapieCar">
    <w:name w:val="Texto nota pie Car"/>
    <w:link w:val="Textonotapie"/>
    <w:semiHidden/>
    <w:rsid w:val="00A16F9D"/>
    <w:rPr>
      <w:rFonts w:ascii="Times New Roman" w:eastAsia="Times New Roman" w:hAnsi="Times New Roman"/>
      <w:lang w:val="es-MX"/>
    </w:rPr>
  </w:style>
  <w:style w:type="paragraph" w:customStyle="1" w:styleId="xl24">
    <w:name w:val="xl24"/>
    <w:basedOn w:val="Normal"/>
    <w:rsid w:val="00A16F9D"/>
    <w:pPr>
      <w:pBdr>
        <w:left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5">
    <w:name w:val="xl25"/>
    <w:basedOn w:val="Normal"/>
    <w:rsid w:val="00A16F9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6">
    <w:name w:val="xl26"/>
    <w:basedOn w:val="Normal"/>
    <w:rsid w:val="00A16F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7">
    <w:name w:val="xl27"/>
    <w:basedOn w:val="Normal"/>
    <w:rsid w:val="00A16F9D"/>
    <w:pPr>
      <w:pBdr>
        <w:top w:val="single" w:sz="4" w:space="0" w:color="auto"/>
        <w:left w:val="single" w:sz="4" w:space="0" w:color="auto"/>
      </w:pBdr>
      <w:spacing w:before="100" w:beforeAutospacing="1" w:after="100" w:afterAutospacing="1"/>
    </w:pPr>
    <w:rPr>
      <w:rFonts w:ascii="Arial" w:hAnsi="Arial" w:cs="Arial"/>
      <w:b/>
      <w:bCs/>
      <w:sz w:val="18"/>
      <w:szCs w:val="18"/>
      <w:lang w:val="es-MX"/>
    </w:rPr>
  </w:style>
  <w:style w:type="paragraph" w:customStyle="1" w:styleId="xl28">
    <w:name w:val="xl28"/>
    <w:basedOn w:val="Normal"/>
    <w:rsid w:val="00A16F9D"/>
    <w:pPr>
      <w:pBdr>
        <w:top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29">
    <w:name w:val="xl29"/>
    <w:basedOn w:val="Normal"/>
    <w:rsid w:val="00A16F9D"/>
    <w:pPr>
      <w:pBdr>
        <w:left w:val="single" w:sz="4" w:space="0" w:color="auto"/>
        <w:bottom w:val="single" w:sz="4" w:space="0" w:color="auto"/>
      </w:pBdr>
      <w:spacing w:before="100" w:beforeAutospacing="1" w:after="100" w:afterAutospacing="1"/>
    </w:pPr>
    <w:rPr>
      <w:rFonts w:ascii="Arial" w:hAnsi="Arial" w:cs="Arial"/>
      <w:b/>
      <w:bCs/>
      <w:sz w:val="18"/>
      <w:szCs w:val="18"/>
      <w:lang w:val="es-MX"/>
    </w:rPr>
  </w:style>
  <w:style w:type="paragraph" w:customStyle="1" w:styleId="xl30">
    <w:name w:val="xl30"/>
    <w:basedOn w:val="Normal"/>
    <w:rsid w:val="00A16F9D"/>
    <w:pPr>
      <w:pBdr>
        <w:bottom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31">
    <w:name w:val="xl31"/>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32">
    <w:name w:val="xl32"/>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3">
    <w:name w:val="xl33"/>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34">
    <w:name w:val="xl34"/>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6">
    <w:name w:val="xl36"/>
    <w:basedOn w:val="Normal"/>
    <w:rsid w:val="00A16F9D"/>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val="es-MX"/>
    </w:rPr>
  </w:style>
  <w:style w:type="paragraph" w:customStyle="1" w:styleId="xl37">
    <w:name w:val="xl37"/>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8">
    <w:name w:val="xl38"/>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39">
    <w:name w:val="xl39"/>
    <w:basedOn w:val="Normal"/>
    <w:rsid w:val="00A16F9D"/>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0">
    <w:name w:val="xl40"/>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1">
    <w:name w:val="xl41"/>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2">
    <w:name w:val="xl42"/>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3">
    <w:name w:val="xl43"/>
    <w:basedOn w:val="Normal"/>
    <w:rsid w:val="00A16F9D"/>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4">
    <w:name w:val="xl44"/>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5">
    <w:name w:val="xl45"/>
    <w:basedOn w:val="Normal"/>
    <w:rsid w:val="00A16F9D"/>
    <w:pPr>
      <w:pBdr>
        <w:left w:val="single" w:sz="4" w:space="0" w:color="auto"/>
        <w:right w:val="single" w:sz="4" w:space="0" w:color="auto"/>
      </w:pBdr>
      <w:spacing w:before="100" w:beforeAutospacing="1" w:after="100" w:afterAutospacing="1"/>
    </w:pPr>
    <w:rPr>
      <w:rFonts w:ascii="Times New Roman" w:hAnsi="Times New Roman"/>
      <w:lang w:val="es-MX"/>
    </w:rPr>
  </w:style>
  <w:style w:type="paragraph" w:customStyle="1" w:styleId="xl46">
    <w:name w:val="xl46"/>
    <w:basedOn w:val="Normal"/>
    <w:rsid w:val="00A16F9D"/>
    <w:pPr>
      <w:pBdr>
        <w:top w:val="single" w:sz="4" w:space="0" w:color="auto"/>
        <w:left w:val="single" w:sz="4" w:space="0" w:color="auto"/>
      </w:pBdr>
      <w:spacing w:before="100" w:beforeAutospacing="1" w:after="100" w:afterAutospacing="1"/>
    </w:pPr>
    <w:rPr>
      <w:rFonts w:ascii="Arial" w:hAnsi="Arial" w:cs="Arial"/>
      <w:b/>
      <w:bCs/>
      <w:sz w:val="16"/>
      <w:szCs w:val="16"/>
      <w:lang w:val="es-MX"/>
    </w:rPr>
  </w:style>
  <w:style w:type="paragraph" w:customStyle="1" w:styleId="xl47">
    <w:name w:val="xl47"/>
    <w:basedOn w:val="Normal"/>
    <w:rsid w:val="00A16F9D"/>
    <w:pPr>
      <w:pBdr>
        <w:left w:val="single" w:sz="4" w:space="0" w:color="auto"/>
      </w:pBdr>
      <w:spacing w:before="100" w:beforeAutospacing="1" w:after="100" w:afterAutospacing="1"/>
    </w:pPr>
    <w:rPr>
      <w:rFonts w:ascii="Arial" w:hAnsi="Arial" w:cs="Arial"/>
      <w:sz w:val="16"/>
      <w:szCs w:val="16"/>
      <w:lang w:val="es-MX"/>
    </w:rPr>
  </w:style>
  <w:style w:type="paragraph" w:customStyle="1" w:styleId="xl48">
    <w:name w:val="xl48"/>
    <w:basedOn w:val="Normal"/>
    <w:rsid w:val="00A16F9D"/>
    <w:pPr>
      <w:pBdr>
        <w:left w:val="single" w:sz="4" w:space="0" w:color="auto"/>
      </w:pBdr>
      <w:spacing w:before="100" w:beforeAutospacing="1" w:after="100" w:afterAutospacing="1"/>
    </w:pPr>
    <w:rPr>
      <w:rFonts w:ascii="Arial" w:hAnsi="Arial" w:cs="Arial"/>
      <w:b/>
      <w:bCs/>
      <w:sz w:val="16"/>
      <w:szCs w:val="16"/>
      <w:lang w:val="es-MX"/>
    </w:rPr>
  </w:style>
  <w:style w:type="paragraph" w:customStyle="1" w:styleId="xl49">
    <w:name w:val="xl49"/>
    <w:basedOn w:val="Normal"/>
    <w:rsid w:val="00A16F9D"/>
    <w:pPr>
      <w:pBdr>
        <w:left w:val="single" w:sz="4" w:space="0" w:color="auto"/>
      </w:pBdr>
      <w:spacing w:before="100" w:beforeAutospacing="1" w:after="100" w:afterAutospacing="1"/>
    </w:pPr>
    <w:rPr>
      <w:rFonts w:ascii="Times New Roman" w:hAnsi="Times New Roman"/>
      <w:lang w:val="es-MX"/>
    </w:rPr>
  </w:style>
  <w:style w:type="paragraph" w:customStyle="1" w:styleId="xl50">
    <w:name w:val="xl50"/>
    <w:basedOn w:val="Normal"/>
    <w:rsid w:val="00A16F9D"/>
    <w:pPr>
      <w:pBdr>
        <w:left w:val="single" w:sz="4" w:space="0" w:color="auto"/>
        <w:bottom w:val="single" w:sz="4" w:space="0" w:color="auto"/>
      </w:pBdr>
      <w:spacing w:before="100" w:beforeAutospacing="1" w:after="100" w:afterAutospacing="1"/>
    </w:pPr>
    <w:rPr>
      <w:rFonts w:ascii="Arial" w:hAnsi="Arial" w:cs="Arial"/>
      <w:sz w:val="16"/>
      <w:szCs w:val="16"/>
      <w:lang w:val="es-MX"/>
    </w:rPr>
  </w:style>
  <w:style w:type="paragraph" w:customStyle="1" w:styleId="xl51">
    <w:name w:val="xl51"/>
    <w:basedOn w:val="Normal"/>
    <w:rsid w:val="00A16F9D"/>
    <w:pPr>
      <w:pBdr>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52">
    <w:name w:val="xl52"/>
    <w:basedOn w:val="Normal"/>
    <w:rsid w:val="00A16F9D"/>
    <w:pPr>
      <w:pBdr>
        <w:left w:val="single" w:sz="4" w:space="0" w:color="auto"/>
        <w:right w:val="single" w:sz="4" w:space="0" w:color="auto"/>
      </w:pBdr>
      <w:spacing w:before="100" w:beforeAutospacing="1" w:after="100" w:afterAutospacing="1"/>
      <w:jc w:val="center"/>
    </w:pPr>
    <w:rPr>
      <w:rFonts w:ascii="Arial" w:hAnsi="Arial" w:cs="Arial"/>
      <w:sz w:val="16"/>
      <w:szCs w:val="16"/>
      <w:lang w:val="es-MX"/>
    </w:rPr>
  </w:style>
  <w:style w:type="paragraph" w:customStyle="1" w:styleId="xl53">
    <w:name w:val="xl53"/>
    <w:basedOn w:val="Normal"/>
    <w:rsid w:val="00A16F9D"/>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4">
    <w:name w:val="xl54"/>
    <w:basedOn w:val="Normal"/>
    <w:rsid w:val="00A16F9D"/>
    <w:pPr>
      <w:pBdr>
        <w:left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5">
    <w:name w:val="xl55"/>
    <w:basedOn w:val="Normal"/>
    <w:rsid w:val="00A16F9D"/>
    <w:pPr>
      <w:pBdr>
        <w:left w:val="single" w:sz="4" w:space="0" w:color="auto"/>
      </w:pBdr>
      <w:spacing w:before="100" w:beforeAutospacing="1" w:after="100" w:afterAutospacing="1"/>
    </w:pPr>
    <w:rPr>
      <w:rFonts w:ascii="Arial" w:hAnsi="Arial" w:cs="Arial"/>
      <w:sz w:val="12"/>
      <w:szCs w:val="12"/>
      <w:lang w:val="es-MX"/>
    </w:rPr>
  </w:style>
  <w:style w:type="paragraph" w:customStyle="1" w:styleId="xl56">
    <w:name w:val="xl56"/>
    <w:basedOn w:val="Normal"/>
    <w:rsid w:val="00A16F9D"/>
    <w:pPr>
      <w:pBdr>
        <w:top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7">
    <w:name w:val="xl57"/>
    <w:basedOn w:val="Normal"/>
    <w:rsid w:val="00A16F9D"/>
    <w:pPr>
      <w:pBdr>
        <w:right w:val="single" w:sz="4" w:space="0" w:color="auto"/>
      </w:pBdr>
      <w:spacing w:before="100" w:beforeAutospacing="1" w:after="100" w:afterAutospacing="1"/>
      <w:jc w:val="center"/>
    </w:pPr>
    <w:rPr>
      <w:rFonts w:ascii="Arial" w:hAnsi="Arial" w:cs="Arial"/>
      <w:sz w:val="16"/>
      <w:szCs w:val="16"/>
      <w:lang w:val="es-MX"/>
    </w:rPr>
  </w:style>
  <w:style w:type="paragraph" w:customStyle="1" w:styleId="xl58">
    <w:name w:val="xl58"/>
    <w:basedOn w:val="Normal"/>
    <w:rsid w:val="00A16F9D"/>
    <w:pPr>
      <w:pBdr>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9">
    <w:name w:val="xl59"/>
    <w:basedOn w:val="Normal"/>
    <w:rsid w:val="00A16F9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60">
    <w:name w:val="xl60"/>
    <w:basedOn w:val="Normal"/>
    <w:rsid w:val="00A16F9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1">
    <w:name w:val="xl61"/>
    <w:basedOn w:val="Normal"/>
    <w:rsid w:val="00A16F9D"/>
    <w:pPr>
      <w:pBdr>
        <w:left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2">
    <w:name w:val="xl62"/>
    <w:basedOn w:val="Normal"/>
    <w:rsid w:val="00A16F9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3">
    <w:name w:val="xl63"/>
    <w:basedOn w:val="Normal"/>
    <w:rsid w:val="00A16F9D"/>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4">
    <w:name w:val="xl64"/>
    <w:basedOn w:val="Normal"/>
    <w:rsid w:val="00A16F9D"/>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5">
    <w:name w:val="xl65"/>
    <w:basedOn w:val="Normal"/>
    <w:rsid w:val="00A16F9D"/>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6">
    <w:name w:val="xl66"/>
    <w:basedOn w:val="Normal"/>
    <w:rsid w:val="00A16F9D"/>
    <w:pPr>
      <w:spacing w:before="100" w:beforeAutospacing="1" w:after="100" w:afterAutospacing="1"/>
      <w:jc w:val="center"/>
    </w:pPr>
    <w:rPr>
      <w:rFonts w:ascii="Arial" w:hAnsi="Arial" w:cs="Arial"/>
      <w:b/>
      <w:bCs/>
      <w:lang w:val="es-MX"/>
    </w:rPr>
  </w:style>
  <w:style w:type="paragraph" w:styleId="Epgrafe">
    <w:name w:val="caption"/>
    <w:basedOn w:val="Normal"/>
    <w:next w:val="Normal"/>
    <w:qFormat/>
    <w:rsid w:val="00A16F9D"/>
    <w:pPr>
      <w:spacing w:before="120" w:after="120"/>
    </w:pPr>
    <w:rPr>
      <w:rFonts w:ascii="Times New Roman" w:hAnsi="Times New Roman"/>
      <w:b/>
      <w:bCs/>
      <w:sz w:val="20"/>
      <w:szCs w:val="20"/>
      <w:lang w:val="es-MX"/>
    </w:rPr>
  </w:style>
  <w:style w:type="paragraph" w:styleId="Textoindependiente2">
    <w:name w:val="Body Text 2"/>
    <w:basedOn w:val="Normal"/>
    <w:link w:val="Textoindependiente2Car"/>
    <w:rsid w:val="00A16F9D"/>
    <w:rPr>
      <w:rFonts w:ascii="Arial" w:hAnsi="Arial"/>
      <w:b/>
      <w:bCs/>
      <w:sz w:val="28"/>
      <w:szCs w:val="20"/>
      <w:lang w:val="es-MX"/>
    </w:rPr>
  </w:style>
  <w:style w:type="character" w:customStyle="1" w:styleId="Textoindependiente2Car">
    <w:name w:val="Texto independiente 2 Car"/>
    <w:link w:val="Textoindependiente2"/>
    <w:rsid w:val="00A16F9D"/>
    <w:rPr>
      <w:rFonts w:ascii="Arial" w:eastAsia="Times New Roman" w:hAnsi="Arial" w:cs="Arial"/>
      <w:b/>
      <w:bCs/>
      <w:sz w:val="28"/>
      <w:lang w:val="es-MX"/>
    </w:rPr>
  </w:style>
  <w:style w:type="paragraph" w:styleId="Lista">
    <w:name w:val="List"/>
    <w:basedOn w:val="Normal"/>
    <w:rsid w:val="00A16F9D"/>
    <w:pPr>
      <w:ind w:left="283" w:hanging="283"/>
    </w:pPr>
    <w:rPr>
      <w:rFonts w:ascii="Times New Roman" w:hAnsi="Times New Roman"/>
      <w:sz w:val="20"/>
      <w:szCs w:val="20"/>
      <w:lang w:val="es-MX"/>
    </w:rPr>
  </w:style>
  <w:style w:type="paragraph" w:styleId="Sangradetextonormal">
    <w:name w:val="Body Text Indent"/>
    <w:basedOn w:val="Normal"/>
    <w:link w:val="SangradetextonormalCar"/>
    <w:rsid w:val="00A16F9D"/>
    <w:pPr>
      <w:ind w:left="709" w:hanging="709"/>
    </w:pPr>
    <w:rPr>
      <w:rFonts w:ascii="Arial" w:hAnsi="Arial"/>
      <w:b/>
      <w:bCs/>
      <w:sz w:val="28"/>
      <w:szCs w:val="20"/>
      <w:lang w:val="es-MX"/>
    </w:rPr>
  </w:style>
  <w:style w:type="character" w:customStyle="1" w:styleId="SangradetextonormalCar">
    <w:name w:val="Sangría de texto normal Car"/>
    <w:link w:val="Sangradetextonormal"/>
    <w:rsid w:val="00A16F9D"/>
    <w:rPr>
      <w:rFonts w:ascii="Arial" w:eastAsia="Times New Roman" w:hAnsi="Arial" w:cs="Arial"/>
      <w:b/>
      <w:bCs/>
      <w:sz w:val="28"/>
      <w:lang w:val="es-MX"/>
    </w:rPr>
  </w:style>
  <w:style w:type="paragraph" w:styleId="Textoindependiente3">
    <w:name w:val="Body Text 3"/>
    <w:basedOn w:val="Normal"/>
    <w:link w:val="Textoindependiente3Car"/>
    <w:rsid w:val="00A16F9D"/>
    <w:pPr>
      <w:jc w:val="both"/>
    </w:pPr>
    <w:rPr>
      <w:rFonts w:ascii="Arial" w:hAnsi="Arial"/>
      <w:snapToGrid w:val="0"/>
      <w:szCs w:val="20"/>
      <w:lang w:val="es-MX"/>
    </w:rPr>
  </w:style>
  <w:style w:type="character" w:customStyle="1" w:styleId="Textoindependiente3Car">
    <w:name w:val="Texto independiente 3 Car"/>
    <w:link w:val="Textoindependiente3"/>
    <w:rsid w:val="00A16F9D"/>
    <w:rPr>
      <w:rFonts w:ascii="Arial" w:eastAsia="Times New Roman" w:hAnsi="Arial"/>
      <w:snapToGrid w:val="0"/>
      <w:sz w:val="24"/>
      <w:lang w:val="es-MX"/>
    </w:rPr>
  </w:style>
  <w:style w:type="paragraph" w:styleId="Sangra2detindependiente">
    <w:name w:val="Body Text Indent 2"/>
    <w:basedOn w:val="Normal"/>
    <w:link w:val="Sangra2detindependienteCar"/>
    <w:rsid w:val="00A16F9D"/>
    <w:pPr>
      <w:spacing w:after="120" w:line="360" w:lineRule="auto"/>
      <w:ind w:firstLine="709"/>
      <w:jc w:val="both"/>
    </w:pPr>
    <w:rPr>
      <w:rFonts w:ascii="Arial" w:hAnsi="Arial"/>
      <w:szCs w:val="20"/>
      <w:lang w:val="es-MX"/>
    </w:rPr>
  </w:style>
  <w:style w:type="character" w:customStyle="1" w:styleId="Sangra2detindependienteCar">
    <w:name w:val="Sangría 2 de t. independiente Car"/>
    <w:link w:val="Sangra2detindependiente"/>
    <w:rsid w:val="00A16F9D"/>
    <w:rPr>
      <w:rFonts w:ascii="Arial" w:eastAsia="Times New Roman" w:hAnsi="Arial" w:cs="Arial"/>
      <w:sz w:val="24"/>
      <w:lang w:val="es-MX"/>
    </w:rPr>
  </w:style>
  <w:style w:type="paragraph" w:styleId="Sangra3detindependiente">
    <w:name w:val="Body Text Indent 3"/>
    <w:basedOn w:val="Normal"/>
    <w:link w:val="Sangra3detindependienteCar"/>
    <w:rsid w:val="00A16F9D"/>
    <w:pPr>
      <w:spacing w:after="120" w:line="360" w:lineRule="auto"/>
      <w:ind w:firstLine="709"/>
      <w:jc w:val="both"/>
    </w:pPr>
    <w:rPr>
      <w:rFonts w:ascii="Arial" w:hAnsi="Arial"/>
      <w:b/>
      <w:bCs/>
      <w:szCs w:val="20"/>
      <w:lang w:val="es-MX"/>
    </w:rPr>
  </w:style>
  <w:style w:type="character" w:customStyle="1" w:styleId="Sangra3detindependienteCar">
    <w:name w:val="Sangría 3 de t. independiente Car"/>
    <w:link w:val="Sangra3detindependiente"/>
    <w:rsid w:val="00A16F9D"/>
    <w:rPr>
      <w:rFonts w:ascii="Arial" w:eastAsia="Times New Roman" w:hAnsi="Arial"/>
      <w:b/>
      <w:bCs/>
      <w:sz w:val="24"/>
      <w:lang w:val="es-MX"/>
    </w:rPr>
  </w:style>
  <w:style w:type="character" w:styleId="Hipervnculo">
    <w:name w:val="Hyperlink"/>
    <w:uiPriority w:val="99"/>
    <w:rsid w:val="00A16F9D"/>
    <w:rPr>
      <w:color w:val="0000FF"/>
      <w:u w:val="single"/>
    </w:rPr>
  </w:style>
  <w:style w:type="paragraph" w:customStyle="1" w:styleId="font5">
    <w:name w:val="font5"/>
    <w:basedOn w:val="Normal"/>
    <w:rsid w:val="00A16F9D"/>
    <w:pPr>
      <w:spacing w:before="100" w:beforeAutospacing="1" w:after="100" w:afterAutospacing="1"/>
    </w:pPr>
    <w:rPr>
      <w:rFonts w:ascii="Arial" w:eastAsia="Arial Unicode MS" w:hAnsi="Arial" w:cs="Arial"/>
      <w:sz w:val="16"/>
      <w:szCs w:val="16"/>
      <w:lang w:val="es-MX"/>
    </w:rPr>
  </w:style>
  <w:style w:type="character" w:styleId="Hipervnculovisitado">
    <w:name w:val="FollowedHyperlink"/>
    <w:uiPriority w:val="99"/>
    <w:rsid w:val="00A16F9D"/>
    <w:rPr>
      <w:color w:val="800080"/>
      <w:u w:val="single"/>
    </w:rPr>
  </w:style>
  <w:style w:type="paragraph" w:customStyle="1" w:styleId="xl67">
    <w:name w:val="xl67"/>
    <w:basedOn w:val="Normal"/>
    <w:rsid w:val="00A16F9D"/>
    <w:pPr>
      <w:pBdr>
        <w:right w:val="single" w:sz="4" w:space="0" w:color="auto"/>
      </w:pBdr>
      <w:spacing w:before="100" w:beforeAutospacing="1" w:after="100" w:afterAutospacing="1"/>
    </w:pPr>
    <w:rPr>
      <w:rFonts w:ascii="Arial" w:eastAsia="Arial Unicode MS" w:hAnsi="Arial" w:cs="Arial"/>
      <w:sz w:val="16"/>
      <w:szCs w:val="16"/>
      <w:lang w:val="es-MX"/>
    </w:rPr>
  </w:style>
  <w:style w:type="paragraph" w:customStyle="1" w:styleId="xl68">
    <w:name w:val="xl68"/>
    <w:basedOn w:val="Normal"/>
    <w:rsid w:val="00A16F9D"/>
    <w:pPr>
      <w:pBdr>
        <w:left w:val="single" w:sz="4" w:space="0" w:color="auto"/>
      </w:pBdr>
      <w:spacing w:before="100" w:beforeAutospacing="1" w:after="100" w:afterAutospacing="1"/>
    </w:pPr>
    <w:rPr>
      <w:rFonts w:ascii="Arial" w:eastAsia="Arial Unicode MS" w:hAnsi="Arial" w:cs="Arial"/>
      <w:sz w:val="16"/>
      <w:szCs w:val="16"/>
      <w:lang w:val="es-MX"/>
    </w:rPr>
  </w:style>
  <w:style w:type="paragraph" w:customStyle="1" w:styleId="xl69">
    <w:name w:val="xl69"/>
    <w:basedOn w:val="Normal"/>
    <w:rsid w:val="00A16F9D"/>
    <w:pPr>
      <w:pBdr>
        <w:bottom w:val="single" w:sz="4" w:space="0" w:color="auto"/>
        <w:right w:val="single" w:sz="4" w:space="0" w:color="auto"/>
      </w:pBdr>
      <w:spacing w:before="100" w:beforeAutospacing="1" w:after="100" w:afterAutospacing="1"/>
    </w:pPr>
    <w:rPr>
      <w:rFonts w:ascii="Times New Roman" w:eastAsia="Arial Unicode MS" w:hAnsi="Times New Roman"/>
      <w:lang w:val="es-MX"/>
    </w:rPr>
  </w:style>
  <w:style w:type="paragraph" w:customStyle="1" w:styleId="xl70">
    <w:name w:val="xl70"/>
    <w:basedOn w:val="Normal"/>
    <w:rsid w:val="00A16F9D"/>
    <w:pPr>
      <w:pBdr>
        <w:left w:val="single" w:sz="4" w:space="0" w:color="auto"/>
        <w:bottom w:val="single" w:sz="4" w:space="0" w:color="auto"/>
      </w:pBdr>
      <w:spacing w:before="100" w:beforeAutospacing="1" w:after="100" w:afterAutospacing="1"/>
      <w:jc w:val="right"/>
    </w:pPr>
    <w:rPr>
      <w:rFonts w:ascii="Times New Roman" w:eastAsia="Arial Unicode MS" w:hAnsi="Times New Roman"/>
      <w:lang w:val="es-MX"/>
    </w:rPr>
  </w:style>
  <w:style w:type="paragraph" w:customStyle="1" w:styleId="xl71">
    <w:name w:val="xl71"/>
    <w:basedOn w:val="Normal"/>
    <w:rsid w:val="00A16F9D"/>
    <w:pPr>
      <w:pBdr>
        <w:bottom w:val="single" w:sz="4" w:space="0" w:color="auto"/>
        <w:right w:val="single" w:sz="4" w:space="0" w:color="auto"/>
      </w:pBdr>
      <w:spacing w:before="100" w:beforeAutospacing="1" w:after="100" w:afterAutospacing="1"/>
      <w:jc w:val="right"/>
    </w:pPr>
    <w:rPr>
      <w:rFonts w:ascii="Times New Roman" w:eastAsia="Arial Unicode MS" w:hAnsi="Times New Roman"/>
      <w:lang w:val="es-MX"/>
    </w:rPr>
  </w:style>
  <w:style w:type="paragraph" w:customStyle="1" w:styleId="xl72">
    <w:name w:val="xl72"/>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lang w:val="es-MX"/>
    </w:rPr>
  </w:style>
  <w:style w:type="paragraph" w:customStyle="1" w:styleId="xl73">
    <w:name w:val="xl73"/>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lang w:val="es-MX"/>
    </w:rPr>
  </w:style>
  <w:style w:type="paragraph" w:customStyle="1" w:styleId="xl74">
    <w:name w:val="xl74"/>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5">
    <w:name w:val="xl75"/>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6">
    <w:name w:val="xl76"/>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7">
    <w:name w:val="xl77"/>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8">
    <w:name w:val="xl78"/>
    <w:basedOn w:val="Normal"/>
    <w:rsid w:val="00A16F9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xl79">
    <w:name w:val="xl79"/>
    <w:basedOn w:val="Normal"/>
    <w:rsid w:val="00A16F9D"/>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xl80">
    <w:name w:val="xl80"/>
    <w:basedOn w:val="Normal"/>
    <w:rsid w:val="00A16F9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font6">
    <w:name w:val="font6"/>
    <w:basedOn w:val="Normal"/>
    <w:rsid w:val="00A16F9D"/>
    <w:pPr>
      <w:spacing w:before="100" w:beforeAutospacing="1" w:after="100" w:afterAutospacing="1"/>
    </w:pPr>
    <w:rPr>
      <w:rFonts w:ascii="Arial" w:eastAsia="Arial Unicode MS" w:hAnsi="Arial" w:cs="Arial"/>
      <w:sz w:val="14"/>
      <w:szCs w:val="14"/>
      <w:lang w:val="es-MX"/>
    </w:rPr>
  </w:style>
  <w:style w:type="paragraph" w:customStyle="1" w:styleId="font7">
    <w:name w:val="font7"/>
    <w:basedOn w:val="Normal"/>
    <w:rsid w:val="00A16F9D"/>
    <w:pPr>
      <w:spacing w:before="100" w:beforeAutospacing="1" w:after="100" w:afterAutospacing="1"/>
    </w:pPr>
    <w:rPr>
      <w:rFonts w:ascii="Arial" w:eastAsia="Arial Unicode MS" w:hAnsi="Arial" w:cs="Arial"/>
      <w:sz w:val="14"/>
      <w:szCs w:val="14"/>
      <w:lang w:val="es-MX"/>
    </w:rPr>
  </w:style>
  <w:style w:type="paragraph" w:customStyle="1" w:styleId="font8">
    <w:name w:val="font8"/>
    <w:basedOn w:val="Normal"/>
    <w:rsid w:val="00A16F9D"/>
    <w:pPr>
      <w:spacing w:before="100" w:beforeAutospacing="1" w:after="100" w:afterAutospacing="1"/>
    </w:pPr>
    <w:rPr>
      <w:rFonts w:ascii="Arial" w:eastAsia="Arial Unicode MS" w:hAnsi="Arial" w:cs="Arial"/>
      <w:sz w:val="16"/>
      <w:szCs w:val="16"/>
      <w:lang w:val="es-MX"/>
    </w:rPr>
  </w:style>
  <w:style w:type="paragraph" w:styleId="Lista3">
    <w:name w:val="List 3"/>
    <w:basedOn w:val="Normal"/>
    <w:rsid w:val="00A16F9D"/>
    <w:pPr>
      <w:ind w:left="849" w:hanging="283"/>
    </w:pPr>
    <w:rPr>
      <w:rFonts w:ascii="Times New Roman" w:hAnsi="Times New Roman"/>
      <w:sz w:val="20"/>
      <w:szCs w:val="20"/>
    </w:rPr>
  </w:style>
  <w:style w:type="paragraph" w:styleId="Lista4">
    <w:name w:val="List 4"/>
    <w:basedOn w:val="Normal"/>
    <w:rsid w:val="00A16F9D"/>
    <w:pPr>
      <w:ind w:left="1132" w:hanging="283"/>
    </w:pPr>
    <w:rPr>
      <w:rFonts w:ascii="Times New Roman" w:hAnsi="Times New Roman"/>
      <w:sz w:val="20"/>
      <w:szCs w:val="20"/>
    </w:rPr>
  </w:style>
  <w:style w:type="paragraph" w:styleId="Saludo">
    <w:name w:val="Salutation"/>
    <w:basedOn w:val="Normal"/>
    <w:next w:val="Normal"/>
    <w:link w:val="SaludoCar"/>
    <w:rsid w:val="00A16F9D"/>
    <w:rPr>
      <w:rFonts w:ascii="Times New Roman" w:hAnsi="Times New Roman"/>
      <w:sz w:val="20"/>
      <w:szCs w:val="20"/>
    </w:rPr>
  </w:style>
  <w:style w:type="character" w:customStyle="1" w:styleId="SaludoCar">
    <w:name w:val="Saludo Car"/>
    <w:link w:val="Saludo"/>
    <w:rsid w:val="00A16F9D"/>
    <w:rPr>
      <w:rFonts w:ascii="Times New Roman" w:eastAsia="Times New Roman" w:hAnsi="Times New Roman"/>
    </w:rPr>
  </w:style>
  <w:style w:type="paragraph" w:styleId="Listaconvietas2">
    <w:name w:val="List Bullet 2"/>
    <w:basedOn w:val="Normal"/>
    <w:autoRedefine/>
    <w:rsid w:val="00A16F9D"/>
    <w:pPr>
      <w:numPr>
        <w:numId w:val="2"/>
      </w:numPr>
    </w:pPr>
    <w:rPr>
      <w:rFonts w:ascii="Times New Roman" w:hAnsi="Times New Roman"/>
      <w:sz w:val="20"/>
      <w:szCs w:val="20"/>
    </w:rPr>
  </w:style>
  <w:style w:type="paragraph" w:styleId="Continuarlista">
    <w:name w:val="List Continue"/>
    <w:basedOn w:val="Normal"/>
    <w:rsid w:val="00A16F9D"/>
    <w:pPr>
      <w:spacing w:after="120"/>
      <w:ind w:left="283"/>
    </w:pPr>
    <w:rPr>
      <w:rFonts w:ascii="Times New Roman" w:hAnsi="Times New Roman"/>
      <w:sz w:val="20"/>
      <w:szCs w:val="20"/>
    </w:rPr>
  </w:style>
  <w:style w:type="paragraph" w:styleId="Continuarlista2">
    <w:name w:val="List Continue 2"/>
    <w:basedOn w:val="Normal"/>
    <w:rsid w:val="00A16F9D"/>
    <w:pPr>
      <w:spacing w:after="120"/>
      <w:ind w:left="566"/>
    </w:pPr>
    <w:rPr>
      <w:rFonts w:ascii="Times New Roman" w:hAnsi="Times New Roman"/>
      <w:sz w:val="20"/>
      <w:szCs w:val="20"/>
    </w:rPr>
  </w:style>
  <w:style w:type="paragraph" w:customStyle="1" w:styleId="Lneadeasunto">
    <w:name w:val="Línea de asunto"/>
    <w:basedOn w:val="Normal"/>
    <w:rsid w:val="00A16F9D"/>
    <w:rPr>
      <w:rFonts w:ascii="Times New Roman" w:hAnsi="Times New Roman"/>
      <w:sz w:val="20"/>
      <w:szCs w:val="20"/>
    </w:rPr>
  </w:style>
  <w:style w:type="paragraph" w:customStyle="1" w:styleId="Infodocumentosadjuntos">
    <w:name w:val="Info documentos adjuntos"/>
    <w:basedOn w:val="Normal"/>
    <w:rsid w:val="00A16F9D"/>
    <w:rPr>
      <w:rFonts w:ascii="Times New Roman" w:hAnsi="Times New Roman"/>
      <w:sz w:val="20"/>
      <w:szCs w:val="20"/>
    </w:rPr>
  </w:style>
  <w:style w:type="paragraph" w:customStyle="1" w:styleId="TextoindependienteExpandido08pto">
    <w:name w:val="Texto independiente + Expandido  0.8 pto"/>
    <w:aliases w:val="Interlineado:  Múltiple 1.1 lín."/>
    <w:basedOn w:val="Normal"/>
    <w:rsid w:val="00A16F9D"/>
    <w:pPr>
      <w:jc w:val="both"/>
    </w:pPr>
    <w:rPr>
      <w:rFonts w:ascii="Arial" w:hAnsi="Arial" w:cs="Arial"/>
      <w:spacing w:val="16"/>
      <w:lang w:val="es-MX"/>
    </w:rPr>
  </w:style>
  <w:style w:type="paragraph" w:styleId="Textoindependienteprimerasangra2">
    <w:name w:val="Body Text First Indent 2"/>
    <w:basedOn w:val="Sangradetextonormal"/>
    <w:link w:val="Textoindependienteprimerasangra2Car"/>
    <w:rsid w:val="00A16F9D"/>
    <w:pPr>
      <w:spacing w:after="120"/>
      <w:ind w:left="283" w:firstLine="210"/>
    </w:pPr>
    <w:rPr>
      <w:rFonts w:ascii="Times New Roman" w:hAnsi="Times New Roman"/>
    </w:rPr>
  </w:style>
  <w:style w:type="character" w:customStyle="1" w:styleId="Textoindependienteprimerasangra2Car">
    <w:name w:val="Texto independiente primera sangría 2 Car"/>
    <w:link w:val="Textoindependienteprimerasangra2"/>
    <w:rsid w:val="00A16F9D"/>
    <w:rPr>
      <w:rFonts w:ascii="Times New Roman" w:eastAsia="Times New Roman" w:hAnsi="Times New Roman" w:cs="Arial"/>
      <w:b/>
      <w:bCs/>
      <w:sz w:val="28"/>
      <w:lang w:val="es-MX"/>
    </w:rPr>
  </w:style>
  <w:style w:type="paragraph" w:styleId="Ttulo">
    <w:name w:val="Title"/>
    <w:basedOn w:val="Normal"/>
    <w:link w:val="TtuloCar"/>
    <w:qFormat/>
    <w:rsid w:val="00A16F9D"/>
    <w:pPr>
      <w:jc w:val="center"/>
    </w:pPr>
    <w:rPr>
      <w:rFonts w:ascii="Tahoma" w:hAnsi="Tahoma"/>
      <w:b/>
      <w:szCs w:val="20"/>
    </w:rPr>
  </w:style>
  <w:style w:type="character" w:customStyle="1" w:styleId="TtuloCar">
    <w:name w:val="Título Car"/>
    <w:link w:val="Ttulo"/>
    <w:rsid w:val="00A16F9D"/>
    <w:rPr>
      <w:rFonts w:ascii="Tahoma" w:eastAsia="Times New Roman" w:hAnsi="Tahoma"/>
      <w:b/>
      <w:sz w:val="24"/>
    </w:rPr>
  </w:style>
  <w:style w:type="paragraph" w:customStyle="1" w:styleId="Normal0">
    <w:name w:val="[Normal]"/>
    <w:rsid w:val="00A16F9D"/>
    <w:pPr>
      <w:autoSpaceDE w:val="0"/>
      <w:autoSpaceDN w:val="0"/>
      <w:adjustRightInd w:val="0"/>
    </w:pPr>
    <w:rPr>
      <w:rFonts w:ascii="Arial" w:eastAsia="Times New Roman" w:hAnsi="Arial" w:cs="Arial"/>
      <w:sz w:val="24"/>
      <w:szCs w:val="24"/>
      <w:lang w:val="es-MX" w:eastAsia="es-MX"/>
    </w:rPr>
  </w:style>
  <w:style w:type="paragraph" w:styleId="Lista2">
    <w:name w:val="List 2"/>
    <w:basedOn w:val="Normal"/>
    <w:rsid w:val="00A16F9D"/>
    <w:pPr>
      <w:ind w:left="566" w:hanging="283"/>
      <w:contextualSpacing/>
    </w:pPr>
    <w:rPr>
      <w:rFonts w:ascii="Times New Roman" w:hAnsi="Times New Roman"/>
      <w:sz w:val="20"/>
      <w:szCs w:val="20"/>
      <w:lang w:val="es-MX"/>
    </w:rPr>
  </w:style>
  <w:style w:type="paragraph" w:styleId="Listaconvietas">
    <w:name w:val="List Bullet"/>
    <w:basedOn w:val="Normal"/>
    <w:rsid w:val="00A16F9D"/>
    <w:pPr>
      <w:numPr>
        <w:numId w:val="3"/>
      </w:numPr>
      <w:contextualSpacing/>
    </w:pPr>
    <w:rPr>
      <w:rFonts w:ascii="Times New Roman" w:hAnsi="Times New Roman"/>
      <w:sz w:val="20"/>
      <w:szCs w:val="20"/>
      <w:lang w:val="es-MX"/>
    </w:rPr>
  </w:style>
  <w:style w:type="paragraph" w:styleId="Listaconvietas3">
    <w:name w:val="List Bullet 3"/>
    <w:basedOn w:val="Normal"/>
    <w:rsid w:val="00A16F9D"/>
    <w:pPr>
      <w:numPr>
        <w:numId w:val="4"/>
      </w:numPr>
      <w:contextualSpacing/>
    </w:pPr>
    <w:rPr>
      <w:rFonts w:ascii="Times New Roman" w:hAnsi="Times New Roman"/>
      <w:sz w:val="20"/>
      <w:szCs w:val="20"/>
      <w:lang w:val="es-MX"/>
    </w:rPr>
  </w:style>
  <w:style w:type="paragraph" w:styleId="Textoindependienteprimerasangra">
    <w:name w:val="Body Text First Indent"/>
    <w:basedOn w:val="Textoindependiente"/>
    <w:link w:val="TextoindependienteprimerasangraCar"/>
    <w:rsid w:val="00A16F9D"/>
    <w:pPr>
      <w:spacing w:line="240" w:lineRule="auto"/>
      <w:ind w:firstLine="360"/>
      <w:jc w:val="left"/>
    </w:pPr>
    <w:rPr>
      <w:rFonts w:ascii="Times New Roman" w:hAnsi="Times New Roman"/>
    </w:rPr>
  </w:style>
  <w:style w:type="character" w:customStyle="1" w:styleId="TextoindependienteprimerasangraCar">
    <w:name w:val="Texto independiente primera sangría Car"/>
    <w:link w:val="Textoindependienteprimerasangra"/>
    <w:rsid w:val="00A16F9D"/>
    <w:rPr>
      <w:rFonts w:ascii="Times New Roman" w:eastAsia="Times New Roman" w:hAnsi="Times New Roman" w:cs="Arial"/>
      <w:spacing w:val="20"/>
      <w:sz w:val="24"/>
      <w:lang w:val="es-MX"/>
    </w:rPr>
  </w:style>
  <w:style w:type="paragraph" w:styleId="Sinespaciado">
    <w:name w:val="No Spacing"/>
    <w:link w:val="SinespaciadoCar"/>
    <w:uiPriority w:val="1"/>
    <w:qFormat/>
    <w:rsid w:val="00A16F9D"/>
    <w:rPr>
      <w:rFonts w:ascii="Calibri" w:eastAsia="Times New Roman" w:hAnsi="Calibri"/>
      <w:sz w:val="22"/>
      <w:szCs w:val="22"/>
    </w:rPr>
  </w:style>
  <w:style w:type="character" w:customStyle="1" w:styleId="SinespaciadoCar">
    <w:name w:val="Sin espaciado Car"/>
    <w:basedOn w:val="Fuentedeprrafopredeter"/>
    <w:link w:val="Sinespaciado"/>
    <w:uiPriority w:val="1"/>
    <w:rsid w:val="00802565"/>
    <w:rPr>
      <w:rFonts w:ascii="Calibri" w:eastAsia="Times New Roman" w:hAnsi="Calibri"/>
      <w:sz w:val="22"/>
      <w:szCs w:val="22"/>
    </w:rPr>
  </w:style>
  <w:style w:type="paragraph" w:customStyle="1" w:styleId="Textodenotaalfinal">
    <w:name w:val="Texto de nota al final"/>
    <w:basedOn w:val="Normal"/>
    <w:rsid w:val="00A16F9D"/>
    <w:pPr>
      <w:widowControl w:val="0"/>
    </w:pPr>
    <w:rPr>
      <w:rFonts w:ascii="Courier New" w:hAnsi="Courier New"/>
      <w:snapToGrid w:val="0"/>
      <w:szCs w:val="20"/>
    </w:rPr>
  </w:style>
  <w:style w:type="paragraph" w:customStyle="1" w:styleId="a">
    <w:name w:val="ñññ"/>
    <w:basedOn w:val="Default"/>
    <w:next w:val="Default"/>
    <w:uiPriority w:val="99"/>
    <w:rsid w:val="00A16F9D"/>
    <w:rPr>
      <w:rFonts w:eastAsia="Calibri"/>
      <w:color w:val="auto"/>
      <w:lang w:eastAsia="en-US"/>
    </w:rPr>
  </w:style>
  <w:style w:type="character" w:styleId="nfasisintenso">
    <w:name w:val="Intense Emphasis"/>
    <w:uiPriority w:val="21"/>
    <w:qFormat/>
    <w:rsid w:val="00A16F9D"/>
    <w:rPr>
      <w:b/>
      <w:bCs/>
      <w:i/>
      <w:iCs/>
      <w:color w:val="4F81BD"/>
    </w:rPr>
  </w:style>
  <w:style w:type="character" w:styleId="nfasis">
    <w:name w:val="Emphasis"/>
    <w:qFormat/>
    <w:rsid w:val="00A16F9D"/>
    <w:rPr>
      <w:i/>
      <w:iCs/>
    </w:rPr>
  </w:style>
  <w:style w:type="paragraph" w:styleId="Mapadeldocumento">
    <w:name w:val="Document Map"/>
    <w:basedOn w:val="Normal"/>
    <w:link w:val="MapadeldocumentoCar"/>
    <w:rsid w:val="00A16F9D"/>
    <w:rPr>
      <w:rFonts w:ascii="Tahoma" w:hAnsi="Tahoma"/>
      <w:sz w:val="16"/>
      <w:szCs w:val="16"/>
      <w:lang w:val="es-MX"/>
    </w:rPr>
  </w:style>
  <w:style w:type="character" w:customStyle="1" w:styleId="MapadeldocumentoCar">
    <w:name w:val="Mapa del documento Car"/>
    <w:link w:val="Mapadeldocumento"/>
    <w:rsid w:val="00A16F9D"/>
    <w:rPr>
      <w:rFonts w:ascii="Tahoma" w:eastAsia="Times New Roman" w:hAnsi="Tahoma" w:cs="Tahoma"/>
      <w:sz w:val="16"/>
      <w:szCs w:val="16"/>
      <w:lang w:val="es-MX"/>
    </w:rPr>
  </w:style>
  <w:style w:type="table" w:styleId="Tablaconcuadrcula">
    <w:name w:val="Table Grid"/>
    <w:basedOn w:val="Tablanormal"/>
    <w:uiPriority w:val="59"/>
    <w:rsid w:val="00B71BD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uiPriority w:val="1"/>
    <w:qFormat/>
    <w:rsid w:val="009D016A"/>
    <w:rPr>
      <w:rFonts w:ascii="Calibri" w:eastAsia="Times New Roman" w:hAnsi="Calibri"/>
      <w:sz w:val="22"/>
      <w:szCs w:val="22"/>
      <w:lang w:eastAsia="en-US"/>
    </w:rPr>
  </w:style>
  <w:style w:type="table" w:styleId="Sombreadoclaro-nfasis5">
    <w:name w:val="Light Shading Accent 5"/>
    <w:basedOn w:val="Tablanormal"/>
    <w:uiPriority w:val="60"/>
    <w:rsid w:val="00836272"/>
    <w:rPr>
      <w:rFonts w:ascii="Calibri" w:eastAsia="Calibri" w:hAnsi="Calibri"/>
      <w:color w:val="31849B"/>
      <w:sz w:val="22"/>
      <w:szCs w:val="22"/>
      <w:lang w:val="en-US"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Refdenotaalpie">
    <w:name w:val="footnote reference"/>
    <w:basedOn w:val="Fuentedeprrafopredeter"/>
    <w:uiPriority w:val="99"/>
    <w:semiHidden/>
    <w:unhideWhenUsed/>
    <w:rsid w:val="003B678C"/>
    <w:rPr>
      <w:vertAlign w:val="superscript"/>
    </w:rPr>
  </w:style>
  <w:style w:type="paragraph" w:customStyle="1" w:styleId="ANOTACION">
    <w:name w:val="ANOTACION"/>
    <w:basedOn w:val="Normal"/>
    <w:rsid w:val="00CC504A"/>
    <w:pPr>
      <w:spacing w:before="101" w:after="101"/>
      <w:jc w:val="center"/>
    </w:pPr>
    <w:rPr>
      <w:rFonts w:ascii="Times New Roman" w:hAnsi="Times New Roman"/>
      <w:b/>
      <w:sz w:val="18"/>
      <w:szCs w:val="20"/>
    </w:rPr>
  </w:style>
  <w:style w:type="character" w:customStyle="1" w:styleId="st">
    <w:name w:val="st"/>
    <w:basedOn w:val="Fuentedeprrafopredeter"/>
    <w:rsid w:val="005518B3"/>
  </w:style>
  <w:style w:type="character" w:customStyle="1" w:styleId="unsafesenderemail">
    <w:name w:val="unsafesenderemail"/>
    <w:basedOn w:val="Fuentedeprrafopredeter"/>
    <w:rsid w:val="00972328"/>
  </w:style>
  <w:style w:type="paragraph" w:customStyle="1" w:styleId="xl81">
    <w:name w:val="xl81"/>
    <w:basedOn w:val="Normal"/>
    <w:rsid w:val="00EA294E"/>
    <w:pPr>
      <w:spacing w:before="100" w:beforeAutospacing="1" w:after="100" w:afterAutospacing="1"/>
      <w:jc w:val="center"/>
      <w:textAlignment w:val="center"/>
    </w:pPr>
    <w:rPr>
      <w:rFonts w:ascii="Times New Roman" w:hAnsi="Times New Roman"/>
      <w:sz w:val="16"/>
      <w:szCs w:val="16"/>
      <w:lang w:val="es-MX" w:eastAsia="es-MX"/>
    </w:rPr>
  </w:style>
  <w:style w:type="paragraph" w:customStyle="1" w:styleId="xl82">
    <w:name w:val="xl82"/>
    <w:basedOn w:val="Normal"/>
    <w:rsid w:val="00EA294E"/>
    <w:pPr>
      <w:spacing w:before="100" w:beforeAutospacing="1" w:after="100" w:afterAutospacing="1"/>
      <w:textAlignment w:val="center"/>
    </w:pPr>
    <w:rPr>
      <w:rFonts w:ascii="Times New Roman" w:hAnsi="Times New Roman"/>
      <w:sz w:val="16"/>
      <w:szCs w:val="16"/>
      <w:lang w:val="es-MX" w:eastAsia="es-MX"/>
    </w:rPr>
  </w:style>
  <w:style w:type="paragraph" w:customStyle="1" w:styleId="xl83">
    <w:name w:val="xl83"/>
    <w:basedOn w:val="Normal"/>
    <w:rsid w:val="00EA294E"/>
    <w:pPr>
      <w:spacing w:before="100" w:beforeAutospacing="1" w:after="100" w:afterAutospacing="1"/>
      <w:jc w:val="right"/>
      <w:textAlignment w:val="center"/>
    </w:pPr>
    <w:rPr>
      <w:rFonts w:ascii="Times New Roman" w:hAnsi="Times New Roman"/>
      <w:sz w:val="16"/>
      <w:szCs w:val="16"/>
      <w:lang w:val="es-MX" w:eastAsia="es-MX"/>
    </w:rPr>
  </w:style>
  <w:style w:type="paragraph" w:customStyle="1" w:styleId="Encabezadodetabladecontenido1">
    <w:name w:val="Encabezado de tabla de contenido1"/>
    <w:basedOn w:val="Ttulo1"/>
    <w:next w:val="Normal"/>
    <w:uiPriority w:val="39"/>
    <w:unhideWhenUsed/>
    <w:qFormat/>
    <w:rsid w:val="00802565"/>
    <w:pPr>
      <w:keepLines/>
      <w:spacing w:before="480" w:line="276" w:lineRule="auto"/>
      <w:jc w:val="left"/>
      <w:outlineLvl w:val="9"/>
    </w:pPr>
    <w:rPr>
      <w:rFonts w:ascii="Cambria" w:hAnsi="Cambria"/>
      <w:bCs/>
      <w:color w:val="365F91"/>
      <w:sz w:val="28"/>
      <w:szCs w:val="28"/>
      <w:lang w:eastAsia="en-US"/>
    </w:rPr>
  </w:style>
  <w:style w:type="paragraph" w:styleId="TDC1">
    <w:name w:val="toc 1"/>
    <w:basedOn w:val="Normal"/>
    <w:next w:val="Normal"/>
    <w:autoRedefine/>
    <w:uiPriority w:val="39"/>
    <w:unhideWhenUsed/>
    <w:rsid w:val="00802565"/>
    <w:pPr>
      <w:spacing w:after="100"/>
      <w:jc w:val="both"/>
    </w:pPr>
    <w:rPr>
      <w:rFonts w:ascii="Arial" w:eastAsia="Calibri" w:hAnsi="Arial"/>
      <w:szCs w:val="22"/>
      <w:lang w:val="es-MX" w:eastAsia="en-US"/>
    </w:rPr>
  </w:style>
  <w:style w:type="paragraph" w:customStyle="1" w:styleId="Listavistosa-nfasis11">
    <w:name w:val="Lista vistosa - Énfasis 11"/>
    <w:basedOn w:val="Normal"/>
    <w:uiPriority w:val="34"/>
    <w:qFormat/>
    <w:rsid w:val="00802565"/>
    <w:pPr>
      <w:spacing w:after="200"/>
      <w:ind w:left="720"/>
      <w:contextualSpacing/>
      <w:jc w:val="both"/>
    </w:pPr>
    <w:rPr>
      <w:rFonts w:ascii="Arial" w:eastAsia="Calibri" w:hAnsi="Arial"/>
      <w:szCs w:val="22"/>
      <w:lang w:val="es-MX" w:eastAsia="en-US"/>
    </w:rPr>
  </w:style>
  <w:style w:type="character" w:styleId="Textoennegrita">
    <w:name w:val="Strong"/>
    <w:uiPriority w:val="22"/>
    <w:qFormat/>
    <w:rsid w:val="00802565"/>
    <w:rPr>
      <w:b/>
      <w:bCs/>
    </w:rPr>
  </w:style>
  <w:style w:type="character" w:customStyle="1" w:styleId="TextocomentarioCar">
    <w:name w:val="Texto comentario Car"/>
    <w:basedOn w:val="Fuentedeprrafopredeter"/>
    <w:link w:val="Textocomentario"/>
    <w:uiPriority w:val="99"/>
    <w:semiHidden/>
    <w:rsid w:val="00802565"/>
    <w:rPr>
      <w:rFonts w:ascii="Arial" w:eastAsia="Calibri" w:hAnsi="Arial"/>
      <w:lang w:val="es-MX" w:eastAsia="en-US"/>
    </w:rPr>
  </w:style>
  <w:style w:type="paragraph" w:styleId="Textocomentario">
    <w:name w:val="annotation text"/>
    <w:basedOn w:val="Normal"/>
    <w:link w:val="TextocomentarioCar"/>
    <w:uiPriority w:val="99"/>
    <w:semiHidden/>
    <w:unhideWhenUsed/>
    <w:rsid w:val="00802565"/>
    <w:pPr>
      <w:spacing w:after="200"/>
      <w:jc w:val="both"/>
    </w:pPr>
    <w:rPr>
      <w:rFonts w:ascii="Arial" w:eastAsia="Calibri" w:hAnsi="Arial"/>
      <w:sz w:val="20"/>
      <w:szCs w:val="20"/>
      <w:lang w:val="es-MX" w:eastAsia="en-US"/>
    </w:rPr>
  </w:style>
  <w:style w:type="character" w:customStyle="1" w:styleId="AsuntodelcomentarioCar">
    <w:name w:val="Asunto del comentario Car"/>
    <w:basedOn w:val="TextocomentarioCar"/>
    <w:link w:val="Asuntodelcomentario"/>
    <w:uiPriority w:val="99"/>
    <w:semiHidden/>
    <w:rsid w:val="00802565"/>
    <w:rPr>
      <w:rFonts w:ascii="Arial" w:eastAsia="Calibri" w:hAnsi="Arial"/>
      <w:b/>
      <w:bCs/>
      <w:lang w:val="es-MX" w:eastAsia="en-US"/>
    </w:rPr>
  </w:style>
  <w:style w:type="paragraph" w:styleId="Asuntodelcomentario">
    <w:name w:val="annotation subject"/>
    <w:basedOn w:val="Textocomentario"/>
    <w:next w:val="Textocomentario"/>
    <w:link w:val="AsuntodelcomentarioCar"/>
    <w:uiPriority w:val="99"/>
    <w:semiHidden/>
    <w:unhideWhenUsed/>
    <w:rsid w:val="00802565"/>
    <w:rPr>
      <w:b/>
      <w:bCs/>
    </w:rPr>
  </w:style>
  <w:style w:type="paragraph" w:styleId="TtulodeTDC">
    <w:name w:val="TOC Heading"/>
    <w:basedOn w:val="Ttulo1"/>
    <w:next w:val="Normal"/>
    <w:uiPriority w:val="39"/>
    <w:unhideWhenUsed/>
    <w:qFormat/>
    <w:rsid w:val="00802565"/>
    <w:pPr>
      <w:keepLines/>
      <w:spacing w:before="480" w:line="276" w:lineRule="auto"/>
      <w:jc w:val="left"/>
      <w:outlineLvl w:val="9"/>
    </w:pPr>
    <w:rPr>
      <w:rFonts w:asciiTheme="majorHAnsi" w:eastAsiaTheme="majorEastAsia" w:hAnsiTheme="majorHAnsi" w:cstheme="majorBidi"/>
      <w:bCs/>
      <w:color w:val="365F91" w:themeColor="accent1" w:themeShade="BF"/>
      <w:sz w:val="28"/>
      <w:szCs w:val="28"/>
      <w:lang w:eastAsia="en-US"/>
    </w:rPr>
  </w:style>
  <w:style w:type="paragraph" w:styleId="TDC2">
    <w:name w:val="toc 2"/>
    <w:basedOn w:val="Normal"/>
    <w:next w:val="Normal"/>
    <w:autoRedefine/>
    <w:uiPriority w:val="39"/>
    <w:unhideWhenUsed/>
    <w:rsid w:val="00802565"/>
    <w:pPr>
      <w:spacing w:after="100"/>
      <w:ind w:left="240"/>
      <w:jc w:val="both"/>
    </w:pPr>
    <w:rPr>
      <w:rFonts w:ascii="Arial" w:eastAsia="Calibri" w:hAnsi="Arial"/>
      <w:szCs w:val="22"/>
      <w:lang w:val="es-MX" w:eastAsia="en-US"/>
    </w:rPr>
  </w:style>
  <w:style w:type="paragraph" w:customStyle="1" w:styleId="cuerpodetexto">
    <w:name w:val="cuerpo de texto"/>
    <w:basedOn w:val="Normal"/>
    <w:uiPriority w:val="99"/>
    <w:rsid w:val="001263DB"/>
    <w:pPr>
      <w:widowControl w:val="0"/>
      <w:autoSpaceDE w:val="0"/>
      <w:autoSpaceDN w:val="0"/>
      <w:adjustRightInd w:val="0"/>
      <w:spacing w:line="294" w:lineRule="atLeast"/>
      <w:ind w:firstLine="567"/>
      <w:jc w:val="both"/>
      <w:textAlignment w:val="center"/>
    </w:pPr>
    <w:rPr>
      <w:rFonts w:ascii="FranklinGothic-Book" w:eastAsiaTheme="minorEastAsia" w:hAnsi="FranklinGothic-Book" w:cs="FranklinGothic-Book"/>
      <w:color w:val="000000"/>
      <w:lang w:val="es-ES_tradnl"/>
    </w:rPr>
  </w:style>
  <w:style w:type="paragraph" w:customStyle="1" w:styleId="ENLISTADO">
    <w:name w:val="ENLISTADO"/>
    <w:basedOn w:val="Normal"/>
    <w:uiPriority w:val="99"/>
    <w:rsid w:val="001263DB"/>
    <w:pPr>
      <w:widowControl w:val="0"/>
      <w:suppressAutoHyphens/>
      <w:autoSpaceDE w:val="0"/>
      <w:autoSpaceDN w:val="0"/>
      <w:adjustRightInd w:val="0"/>
      <w:spacing w:line="294" w:lineRule="atLeast"/>
      <w:ind w:left="1100" w:hanging="320"/>
      <w:jc w:val="both"/>
      <w:textAlignment w:val="center"/>
    </w:pPr>
    <w:rPr>
      <w:rFonts w:ascii="FranklinGothic-Book" w:eastAsiaTheme="minorEastAsia" w:hAnsi="FranklinGothic-Book" w:cs="FranklinGothic-Book"/>
      <w:color w:val="000000"/>
      <w:lang w:val="es-ES_tradnl"/>
    </w:rPr>
  </w:style>
  <w:style w:type="character" w:customStyle="1" w:styleId="negritas">
    <w:name w:val="negritas"/>
    <w:uiPriority w:val="99"/>
    <w:rsid w:val="001263DB"/>
    <w:rPr>
      <w:rFonts w:ascii="FranklinGothic-Medium" w:hAnsi="FranklinGothic-Medium" w:cs="FranklinGothic-Medium"/>
      <w:color w:val="000000"/>
      <w:spacing w:val="0"/>
      <w:sz w:val="24"/>
      <w:szCs w:val="24"/>
    </w:rPr>
  </w:style>
  <w:style w:type="character" w:customStyle="1" w:styleId="fccc">
    <w:name w:val="fccc"/>
    <w:uiPriority w:val="99"/>
    <w:rsid w:val="001263DB"/>
  </w:style>
  <w:style w:type="paragraph" w:customStyle="1" w:styleId="Prrafobsico">
    <w:name w:val="[Párrafo básico]"/>
    <w:basedOn w:val="Normal"/>
    <w:uiPriority w:val="99"/>
    <w:rsid w:val="001263DB"/>
    <w:pPr>
      <w:widowControl w:val="0"/>
      <w:autoSpaceDE w:val="0"/>
      <w:autoSpaceDN w:val="0"/>
      <w:adjustRightInd w:val="0"/>
      <w:spacing w:line="288" w:lineRule="auto"/>
      <w:textAlignment w:val="center"/>
    </w:pPr>
    <w:rPr>
      <w:rFonts w:ascii="MinionPro-Regular" w:eastAsiaTheme="minorEastAsia" w:hAnsi="MinionPro-Regular" w:cs="MinionPro-Regular"/>
      <w:color w:val="000000"/>
      <w:lang w:val="en-GB"/>
    </w:rPr>
  </w:style>
  <w:style w:type="character" w:customStyle="1" w:styleId="Subtitular1">
    <w:name w:val="Subtitular 1"/>
    <w:uiPriority w:val="99"/>
    <w:rsid w:val="001263DB"/>
    <w:rPr>
      <w:rFonts w:ascii="FranklinGothic-Demi" w:hAnsi="FranklinGothic-Demi" w:cs="FranklinGothic-Demi"/>
      <w:caps/>
      <w:color w:val="9F0014"/>
      <w:sz w:val="34"/>
      <w:szCs w:val="34"/>
    </w:rPr>
  </w:style>
  <w:style w:type="character" w:customStyle="1" w:styleId="sub2">
    <w:name w:val="sub2"/>
    <w:basedOn w:val="Subtitular1"/>
    <w:uiPriority w:val="99"/>
    <w:rsid w:val="001263DB"/>
    <w:rPr>
      <w:rFonts w:ascii="FranklinGothic-Demi" w:hAnsi="FranklinGothic-Demi" w:cs="FranklinGothic-Demi"/>
      <w:caps/>
      <w:color w:val="9F0014"/>
      <w:sz w:val="28"/>
      <w:szCs w:val="28"/>
    </w:rPr>
  </w:style>
  <w:style w:type="paragraph" w:customStyle="1" w:styleId="xl118">
    <w:name w:val="xl118"/>
    <w:basedOn w:val="Normal"/>
    <w:rsid w:val="000217AC"/>
    <w:pPr>
      <w:spacing w:before="100" w:beforeAutospacing="1" w:after="100" w:afterAutospacing="1"/>
      <w:jc w:val="center"/>
    </w:pPr>
    <w:rPr>
      <w:rFonts w:ascii="Arial" w:hAnsi="Arial" w:cs="Arial"/>
      <w:b/>
      <w:bCs/>
      <w:sz w:val="18"/>
      <w:szCs w:val="18"/>
      <w:lang w:val="es-MX" w:eastAsia="es-MX"/>
    </w:rPr>
  </w:style>
  <w:style w:type="paragraph" w:customStyle="1" w:styleId="xl119">
    <w:name w:val="xl119"/>
    <w:basedOn w:val="Normal"/>
    <w:rsid w:val="000217AC"/>
    <w:pPr>
      <w:spacing w:before="100" w:beforeAutospacing="1" w:after="100" w:afterAutospacing="1"/>
    </w:pPr>
    <w:rPr>
      <w:rFonts w:ascii="Arial" w:hAnsi="Arial" w:cs="Arial"/>
      <w:sz w:val="20"/>
      <w:szCs w:val="20"/>
      <w:lang w:val="es-MX" w:eastAsia="es-MX"/>
    </w:rPr>
  </w:style>
  <w:style w:type="paragraph" w:customStyle="1" w:styleId="xl120">
    <w:name w:val="xl120"/>
    <w:basedOn w:val="Normal"/>
    <w:rsid w:val="000217AC"/>
    <w:pPr>
      <w:spacing w:before="100" w:beforeAutospacing="1" w:after="100" w:afterAutospacing="1"/>
      <w:jc w:val="center"/>
    </w:pPr>
    <w:rPr>
      <w:rFonts w:ascii="Arial" w:hAnsi="Arial" w:cs="Arial"/>
      <w:sz w:val="18"/>
      <w:szCs w:val="18"/>
      <w:lang w:val="es-MX" w:eastAsia="es-MX"/>
    </w:rPr>
  </w:style>
  <w:style w:type="paragraph" w:customStyle="1" w:styleId="xl121">
    <w:name w:val="xl121"/>
    <w:basedOn w:val="Normal"/>
    <w:rsid w:val="000217AC"/>
    <w:pPr>
      <w:spacing w:before="100" w:beforeAutospacing="1" w:after="100" w:afterAutospacing="1"/>
      <w:jc w:val="center"/>
    </w:pPr>
    <w:rPr>
      <w:rFonts w:ascii="Times New Roman" w:hAnsi="Times New Roman"/>
      <w:sz w:val="20"/>
      <w:szCs w:val="20"/>
      <w:lang w:val="es-MX" w:eastAsia="es-MX"/>
    </w:rPr>
  </w:style>
  <w:style w:type="paragraph" w:customStyle="1" w:styleId="xl122">
    <w:name w:val="xl122"/>
    <w:basedOn w:val="Normal"/>
    <w:rsid w:val="000217AC"/>
    <w:pPr>
      <w:pBdr>
        <w:top w:val="single" w:sz="4" w:space="0" w:color="auto"/>
        <w:lef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3">
    <w:name w:val="xl123"/>
    <w:basedOn w:val="Normal"/>
    <w:rsid w:val="000217AC"/>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4">
    <w:name w:val="xl124"/>
    <w:basedOn w:val="Normal"/>
    <w:rsid w:val="000217AC"/>
    <w:pPr>
      <w:pBdr>
        <w:top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5">
    <w:name w:val="xl125"/>
    <w:basedOn w:val="Normal"/>
    <w:rsid w:val="000217AC"/>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u w:val="single"/>
      <w:lang w:val="es-MX" w:eastAsia="es-MX"/>
    </w:rPr>
  </w:style>
  <w:style w:type="paragraph" w:customStyle="1" w:styleId="xl126">
    <w:name w:val="xl126"/>
    <w:basedOn w:val="Normal"/>
    <w:rsid w:val="000217AC"/>
    <w:pPr>
      <w:pBdr>
        <w:top w:val="single" w:sz="4" w:space="0" w:color="auto"/>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27">
    <w:name w:val="xl127"/>
    <w:basedOn w:val="Normal"/>
    <w:rsid w:val="000217AC"/>
    <w:pPr>
      <w:pBdr>
        <w:top w:val="single" w:sz="4" w:space="0" w:color="auto"/>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28">
    <w:name w:val="xl128"/>
    <w:basedOn w:val="Normal"/>
    <w:rsid w:val="000217AC"/>
    <w:pPr>
      <w:pBdr>
        <w:left w:val="single" w:sz="4" w:space="0" w:color="auto"/>
        <w:right w:val="single" w:sz="4" w:space="0" w:color="auto"/>
      </w:pBdr>
      <w:spacing w:before="100" w:beforeAutospacing="1" w:after="100" w:afterAutospacing="1"/>
    </w:pPr>
    <w:rPr>
      <w:rFonts w:ascii="Arial" w:hAnsi="Arial" w:cs="Arial"/>
      <w:b/>
      <w:bCs/>
      <w:sz w:val="16"/>
      <w:szCs w:val="16"/>
      <w:u w:val="single"/>
      <w:lang w:val="es-MX" w:eastAsia="es-MX"/>
    </w:rPr>
  </w:style>
  <w:style w:type="paragraph" w:customStyle="1" w:styleId="xl129">
    <w:name w:val="xl129"/>
    <w:basedOn w:val="Normal"/>
    <w:rsid w:val="000217AC"/>
    <w:pPr>
      <w:pBdr>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30">
    <w:name w:val="xl130"/>
    <w:basedOn w:val="Normal"/>
    <w:rsid w:val="000217AC"/>
    <w:pPr>
      <w:pBdr>
        <w:right w:val="single" w:sz="4" w:space="0" w:color="auto"/>
      </w:pBdr>
      <w:spacing w:before="100" w:beforeAutospacing="1" w:after="100" w:afterAutospacing="1"/>
      <w:jc w:val="right"/>
    </w:pPr>
    <w:rPr>
      <w:rFonts w:ascii="Arial" w:hAnsi="Arial" w:cs="Arial"/>
      <w:b/>
      <w:bCs/>
      <w:sz w:val="16"/>
      <w:szCs w:val="16"/>
      <w:lang w:val="es-MX" w:eastAsia="es-MX"/>
    </w:rPr>
  </w:style>
  <w:style w:type="paragraph" w:customStyle="1" w:styleId="xl131">
    <w:name w:val="xl131"/>
    <w:basedOn w:val="Normal"/>
    <w:rsid w:val="000217AC"/>
    <w:pPr>
      <w:pBdr>
        <w:left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2">
    <w:name w:val="xl132"/>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3">
    <w:name w:val="xl133"/>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4">
    <w:name w:val="xl134"/>
    <w:basedOn w:val="Normal"/>
    <w:rsid w:val="000217AC"/>
    <w:pPr>
      <w:spacing w:before="100" w:beforeAutospacing="1" w:after="100" w:afterAutospacing="1"/>
      <w:textAlignment w:val="top"/>
    </w:pPr>
    <w:rPr>
      <w:rFonts w:ascii="Arial" w:hAnsi="Arial" w:cs="Arial"/>
      <w:sz w:val="20"/>
      <w:szCs w:val="20"/>
      <w:lang w:val="es-MX" w:eastAsia="es-MX"/>
    </w:rPr>
  </w:style>
  <w:style w:type="paragraph" w:customStyle="1" w:styleId="xl135">
    <w:name w:val="xl135"/>
    <w:basedOn w:val="Normal"/>
    <w:rsid w:val="000217AC"/>
    <w:pPr>
      <w:pBdr>
        <w:left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6">
    <w:name w:val="xl136"/>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7">
    <w:name w:val="xl137"/>
    <w:basedOn w:val="Normal"/>
    <w:rsid w:val="000217AC"/>
    <w:pPr>
      <w:pBdr>
        <w:lef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8">
    <w:name w:val="xl138"/>
    <w:basedOn w:val="Normal"/>
    <w:rsid w:val="000217AC"/>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9">
    <w:name w:val="xl139"/>
    <w:basedOn w:val="Normal"/>
    <w:rsid w:val="000217AC"/>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40">
    <w:name w:val="xl140"/>
    <w:basedOn w:val="Normal"/>
    <w:rsid w:val="000217AC"/>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ROMANOS">
    <w:name w:val="ROMANOS"/>
    <w:basedOn w:val="Normal"/>
    <w:rsid w:val="00483577"/>
    <w:pPr>
      <w:tabs>
        <w:tab w:val="left" w:pos="720"/>
      </w:tabs>
      <w:spacing w:after="101" w:line="216" w:lineRule="exact"/>
      <w:ind w:left="720" w:hanging="432"/>
      <w:jc w:val="both"/>
    </w:pPr>
    <w:rPr>
      <w:rFonts w:ascii="Arial" w:hAnsi="Arial" w:cs="Arial"/>
      <w:sz w:val="18"/>
      <w:szCs w:val="18"/>
      <w:lang w:val="es-MX" w:eastAsia="es-MX"/>
    </w:rPr>
  </w:style>
  <w:style w:type="paragraph" w:customStyle="1" w:styleId="INCISO">
    <w:name w:val="INCISO"/>
    <w:basedOn w:val="Normal"/>
    <w:rsid w:val="00483577"/>
    <w:pPr>
      <w:tabs>
        <w:tab w:val="left" w:pos="1080"/>
      </w:tabs>
      <w:spacing w:after="101" w:line="216" w:lineRule="exact"/>
      <w:ind w:left="1080" w:hanging="360"/>
      <w:jc w:val="both"/>
    </w:pPr>
    <w:rPr>
      <w:rFonts w:ascii="Arial" w:hAnsi="Arial" w:cs="Arial"/>
      <w:sz w:val="18"/>
      <w:szCs w:val="18"/>
      <w:lang w:val="es-MX" w:eastAsia="es-MX"/>
    </w:rPr>
  </w:style>
  <w:style w:type="table" w:styleId="Sombreadoclaro-nfasis6">
    <w:name w:val="Light Shading Accent 6"/>
    <w:basedOn w:val="Tablanormal"/>
    <w:uiPriority w:val="60"/>
    <w:rsid w:val="00DB3E5C"/>
    <w:rPr>
      <w:rFonts w:ascii="Times New Roman" w:eastAsia="Times New Roman" w:hAnsi="Times New Roman"/>
      <w:color w:val="E36C0A" w:themeColor="accent6" w:themeShade="BF"/>
      <w:lang w:val="es-MX" w:eastAsia="es-MX"/>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uadrculaclara-nfasis6">
    <w:name w:val="Light Grid Accent 6"/>
    <w:basedOn w:val="Tablanormal"/>
    <w:uiPriority w:val="62"/>
    <w:rsid w:val="00DB3E5C"/>
    <w:rPr>
      <w:rFonts w:ascii="Times New Roman" w:eastAsia="Times New Roman" w:hAnsi="Times New Roman"/>
      <w:lang w:val="es-MX" w:eastAsia="es-MX"/>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xl84">
    <w:name w:val="xl84"/>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5">
    <w:name w:val="xl85"/>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6">
    <w:name w:val="xl86"/>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7">
    <w:name w:val="xl87"/>
    <w:basedOn w:val="Normal"/>
    <w:rsid w:val="0094786A"/>
    <w:pPr>
      <w:pBdr>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88">
    <w:name w:val="xl88"/>
    <w:basedOn w:val="Normal"/>
    <w:rsid w:val="0094786A"/>
    <w:pPr>
      <w:pBdr>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89">
    <w:name w:val="xl89"/>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0">
    <w:name w:val="xl90"/>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1">
    <w:name w:val="xl91"/>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2">
    <w:name w:val="xl92"/>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3">
    <w:name w:val="xl93"/>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4">
    <w:name w:val="xl94"/>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5">
    <w:name w:val="xl95"/>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6">
    <w:name w:val="xl96"/>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7">
    <w:name w:val="xl97"/>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table" w:customStyle="1" w:styleId="Tablaconcuadrcula1">
    <w:name w:val="Tabla con cuadrícula1"/>
    <w:basedOn w:val="Tablanormal"/>
    <w:next w:val="Tablaconcuadrcula"/>
    <w:uiPriority w:val="59"/>
    <w:rsid w:val="00FB2FA5"/>
    <w:rPr>
      <w:rFonts w:ascii="Calibri" w:eastAsia="Calibri" w:hAnsi="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Fuentedeprrafopredeter"/>
    <w:rsid w:val="00EE5CF1"/>
  </w:style>
  <w:style w:type="paragraph" w:styleId="Revisin">
    <w:name w:val="Revision"/>
    <w:hidden/>
    <w:uiPriority w:val="71"/>
    <w:rsid w:val="00EE5CF1"/>
    <w:rPr>
      <w:rFonts w:ascii="Helvetica" w:eastAsia="Times New Roman" w:hAnsi="Helvetica"/>
      <w:sz w:val="24"/>
      <w:szCs w:val="24"/>
    </w:rPr>
  </w:style>
  <w:style w:type="paragraph" w:customStyle="1" w:styleId="Texto">
    <w:name w:val="Texto"/>
    <w:basedOn w:val="Normal"/>
    <w:link w:val="TextoCar"/>
    <w:qFormat/>
    <w:rsid w:val="00EE5CF1"/>
    <w:pPr>
      <w:spacing w:after="101" w:line="216" w:lineRule="exact"/>
      <w:ind w:firstLine="288"/>
      <w:jc w:val="both"/>
    </w:pPr>
    <w:rPr>
      <w:rFonts w:ascii="Arial" w:hAnsi="Arial" w:cs="Arial"/>
      <w:sz w:val="18"/>
      <w:szCs w:val="18"/>
      <w:lang w:val="es-MX" w:eastAsia="es-MX"/>
    </w:rPr>
  </w:style>
  <w:style w:type="character" w:customStyle="1" w:styleId="TextoCar">
    <w:name w:val="Texto Car"/>
    <w:link w:val="Texto"/>
    <w:locked/>
    <w:rsid w:val="00EE5CF1"/>
    <w:rPr>
      <w:rFonts w:ascii="Arial" w:eastAsia="Times New Roman" w:hAnsi="Arial" w:cs="Arial"/>
      <w:sz w:val="18"/>
      <w:szCs w:val="18"/>
      <w:lang w:val="es-MX" w:eastAsia="es-MX"/>
    </w:rPr>
  </w:style>
  <w:style w:type="paragraph" w:customStyle="1" w:styleId="Encabezadodetabladecontenido">
    <w:name w:val="Encabezado de tabla de contenido"/>
    <w:basedOn w:val="Ttulo1"/>
    <w:next w:val="Normal"/>
    <w:uiPriority w:val="39"/>
    <w:unhideWhenUsed/>
    <w:qFormat/>
    <w:rsid w:val="00812F69"/>
    <w:pPr>
      <w:keepLines/>
      <w:spacing w:before="480" w:line="276" w:lineRule="auto"/>
      <w:jc w:val="left"/>
      <w:outlineLvl w:val="9"/>
    </w:pPr>
    <w:rPr>
      <w:rFonts w:ascii="Cambria" w:hAnsi="Cambria"/>
      <w:bCs/>
      <w:color w:val="365F91"/>
      <w:sz w:val="28"/>
      <w:szCs w:val="28"/>
      <w:lang w:eastAsia="en-US"/>
    </w:rPr>
  </w:style>
  <w:style w:type="paragraph" w:customStyle="1" w:styleId="xl98">
    <w:name w:val="xl98"/>
    <w:basedOn w:val="Normal"/>
    <w:rsid w:val="00812F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99">
    <w:name w:val="xl99"/>
    <w:basedOn w:val="Normal"/>
    <w:rsid w:val="00812F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100">
    <w:name w:val="xl100"/>
    <w:basedOn w:val="Normal"/>
    <w:rsid w:val="00812F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101">
    <w:name w:val="xl101"/>
    <w:basedOn w:val="Normal"/>
    <w:rsid w:val="00812F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102">
    <w:name w:val="xl102"/>
    <w:basedOn w:val="Normal"/>
    <w:rsid w:val="00812F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103">
    <w:name w:val="xl103"/>
    <w:basedOn w:val="Normal"/>
    <w:rsid w:val="00812F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104">
    <w:name w:val="xl104"/>
    <w:basedOn w:val="Normal"/>
    <w:rsid w:val="00812F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105">
    <w:name w:val="xl105"/>
    <w:basedOn w:val="Normal"/>
    <w:rsid w:val="00812F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106">
    <w:name w:val="xl106"/>
    <w:basedOn w:val="Normal"/>
    <w:rsid w:val="00812F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2"/>
      <w:szCs w:val="12"/>
      <w:lang w:val="es-MX" w:eastAsia="es-MX"/>
    </w:rPr>
  </w:style>
  <w:style w:type="paragraph" w:customStyle="1" w:styleId="xl107">
    <w:name w:val="xl107"/>
    <w:basedOn w:val="Normal"/>
    <w:rsid w:val="00812F69"/>
    <w:pPr>
      <w:pBdr>
        <w:top w:val="single" w:sz="4" w:space="0" w:color="auto"/>
        <w:left w:val="single" w:sz="4" w:space="0" w:color="auto"/>
        <w:bottom w:val="single" w:sz="4" w:space="0" w:color="auto"/>
      </w:pBdr>
      <w:shd w:val="clear" w:color="000000" w:fill="E7E5C3"/>
      <w:spacing w:before="100" w:beforeAutospacing="1" w:after="100" w:afterAutospacing="1"/>
      <w:textAlignment w:val="center"/>
    </w:pPr>
    <w:rPr>
      <w:rFonts w:ascii="Arial" w:hAnsi="Arial" w:cs="Arial"/>
      <w:b/>
      <w:bCs/>
      <w:sz w:val="12"/>
      <w:szCs w:val="12"/>
      <w:lang w:val="es-MX" w:eastAsia="es-MX"/>
    </w:rPr>
  </w:style>
  <w:style w:type="paragraph" w:customStyle="1" w:styleId="xl108">
    <w:name w:val="xl108"/>
    <w:basedOn w:val="Normal"/>
    <w:rsid w:val="00812F69"/>
    <w:pPr>
      <w:pBdr>
        <w:top w:val="single" w:sz="4" w:space="0" w:color="auto"/>
        <w:bottom w:val="single" w:sz="4" w:space="0" w:color="auto"/>
      </w:pBdr>
      <w:shd w:val="clear" w:color="000000" w:fill="E7E5C3"/>
      <w:spacing w:before="100" w:beforeAutospacing="1" w:after="100" w:afterAutospacing="1"/>
      <w:textAlignment w:val="center"/>
    </w:pPr>
    <w:rPr>
      <w:rFonts w:ascii="Arial" w:hAnsi="Arial" w:cs="Arial"/>
      <w:b/>
      <w:bCs/>
      <w:sz w:val="12"/>
      <w:szCs w:val="12"/>
      <w:lang w:val="es-MX" w:eastAsia="es-MX"/>
    </w:rPr>
  </w:style>
  <w:style w:type="paragraph" w:customStyle="1" w:styleId="xl109">
    <w:name w:val="xl109"/>
    <w:basedOn w:val="Normal"/>
    <w:rsid w:val="00812F69"/>
    <w:pPr>
      <w:pBdr>
        <w:top w:val="single" w:sz="4" w:space="0" w:color="auto"/>
        <w:bottom w:val="single" w:sz="4" w:space="0" w:color="auto"/>
        <w:right w:val="single" w:sz="4" w:space="0" w:color="auto"/>
      </w:pBdr>
      <w:shd w:val="clear" w:color="000000" w:fill="E7E5C3"/>
      <w:spacing w:before="100" w:beforeAutospacing="1" w:after="100" w:afterAutospacing="1"/>
      <w:textAlignment w:val="center"/>
    </w:pPr>
    <w:rPr>
      <w:rFonts w:ascii="Arial" w:hAnsi="Arial" w:cs="Arial"/>
      <w:b/>
      <w:bCs/>
      <w:sz w:val="12"/>
      <w:szCs w:val="12"/>
      <w:lang w:val="es-MX" w:eastAsia="es-MX"/>
    </w:rPr>
  </w:style>
  <w:style w:type="paragraph" w:customStyle="1" w:styleId="xl110">
    <w:name w:val="xl110"/>
    <w:basedOn w:val="Normal"/>
    <w:rsid w:val="00812F69"/>
    <w:pPr>
      <w:pBdr>
        <w:top w:val="single" w:sz="8" w:space="0" w:color="auto"/>
        <w:left w:val="single" w:sz="4" w:space="0" w:color="auto"/>
        <w:bottom w:val="single" w:sz="8" w:space="0" w:color="auto"/>
        <w:right w:val="single" w:sz="4" w:space="0" w:color="auto"/>
      </w:pBdr>
      <w:shd w:val="clear" w:color="000000" w:fill="C4C06A"/>
      <w:spacing w:before="100" w:beforeAutospacing="1" w:after="100" w:afterAutospacing="1"/>
      <w:jc w:val="center"/>
      <w:textAlignment w:val="center"/>
    </w:pPr>
    <w:rPr>
      <w:rFonts w:ascii="Arial" w:hAnsi="Arial" w:cs="Arial"/>
      <w:b/>
      <w:bCs/>
      <w:sz w:val="12"/>
      <w:szCs w:val="12"/>
      <w:lang w:val="es-MX" w:eastAsia="es-MX"/>
    </w:rPr>
  </w:style>
  <w:style w:type="paragraph" w:customStyle="1" w:styleId="xl111">
    <w:name w:val="xl111"/>
    <w:basedOn w:val="Normal"/>
    <w:rsid w:val="00812F69"/>
    <w:pPr>
      <w:pBdr>
        <w:top w:val="single" w:sz="8" w:space="0" w:color="auto"/>
        <w:left w:val="single" w:sz="4" w:space="0" w:color="auto"/>
        <w:bottom w:val="single" w:sz="8" w:space="0" w:color="auto"/>
        <w:right w:val="single" w:sz="4" w:space="0" w:color="auto"/>
      </w:pBdr>
      <w:shd w:val="clear" w:color="000000" w:fill="C4C06A"/>
      <w:spacing w:before="100" w:beforeAutospacing="1" w:after="100" w:afterAutospacing="1"/>
      <w:jc w:val="center"/>
      <w:textAlignment w:val="center"/>
    </w:pPr>
    <w:rPr>
      <w:rFonts w:ascii="Arial" w:hAnsi="Arial" w:cs="Arial"/>
      <w:b/>
      <w:bCs/>
      <w:sz w:val="12"/>
      <w:szCs w:val="12"/>
      <w:lang w:val="es-MX" w:eastAsia="es-MX"/>
    </w:rPr>
  </w:style>
  <w:style w:type="paragraph" w:customStyle="1" w:styleId="xl112">
    <w:name w:val="xl112"/>
    <w:basedOn w:val="Normal"/>
    <w:rsid w:val="00812F69"/>
    <w:pPr>
      <w:pBdr>
        <w:top w:val="single" w:sz="8" w:space="0" w:color="auto"/>
        <w:left w:val="single" w:sz="4" w:space="0" w:color="auto"/>
        <w:bottom w:val="single" w:sz="8" w:space="0" w:color="auto"/>
        <w:right w:val="single" w:sz="8" w:space="0" w:color="auto"/>
      </w:pBdr>
      <w:shd w:val="clear" w:color="000000" w:fill="C4C06A"/>
      <w:spacing w:before="100" w:beforeAutospacing="1" w:after="100" w:afterAutospacing="1"/>
      <w:jc w:val="center"/>
      <w:textAlignment w:val="center"/>
    </w:pPr>
    <w:rPr>
      <w:rFonts w:ascii="Arial" w:hAnsi="Arial" w:cs="Arial"/>
      <w:b/>
      <w:bCs/>
      <w:sz w:val="12"/>
      <w:szCs w:val="12"/>
      <w:lang w:val="es-MX" w:eastAsia="es-MX"/>
    </w:rPr>
  </w:style>
  <w:style w:type="paragraph" w:customStyle="1" w:styleId="SUPTITULOSJAVIER">
    <w:name w:val="SUPTITULOS JAVIER"/>
    <w:basedOn w:val="Normal"/>
    <w:link w:val="SUPTITULOSJAVIERCar"/>
    <w:qFormat/>
    <w:rsid w:val="00812F69"/>
    <w:pPr>
      <w:spacing w:after="200" w:line="22" w:lineRule="atLeast"/>
      <w:contextualSpacing/>
      <w:jc w:val="both"/>
    </w:pPr>
    <w:rPr>
      <w:rFonts w:ascii="Arial" w:hAnsi="Arial" w:cs="Arial"/>
      <w:b/>
      <w:spacing w:val="20"/>
    </w:rPr>
  </w:style>
  <w:style w:type="character" w:customStyle="1" w:styleId="SUPTITULOSJAVIERCar">
    <w:name w:val="SUPTITULOS JAVIER Car"/>
    <w:link w:val="SUPTITULOSJAVIER"/>
    <w:rsid w:val="00812F69"/>
    <w:rPr>
      <w:rFonts w:ascii="Arial" w:eastAsia="Times New Roman" w:hAnsi="Arial" w:cs="Arial"/>
      <w:b/>
      <w:spacing w:val="20"/>
      <w:sz w:val="24"/>
      <w:szCs w:val="24"/>
    </w:rPr>
  </w:style>
  <w:style w:type="paragraph" w:customStyle="1" w:styleId="TEXTOJAVIER">
    <w:name w:val="TEXTO JAVIER"/>
    <w:basedOn w:val="Normal"/>
    <w:link w:val="TEXTOJAVIERCar"/>
    <w:qFormat/>
    <w:rsid w:val="00812F69"/>
    <w:pPr>
      <w:spacing w:line="360" w:lineRule="auto"/>
      <w:jc w:val="both"/>
    </w:pPr>
    <w:rPr>
      <w:rFonts w:ascii="Arial" w:hAnsi="Arial" w:cs="Arial"/>
      <w:bCs/>
      <w:sz w:val="22"/>
      <w:szCs w:val="22"/>
    </w:rPr>
  </w:style>
  <w:style w:type="character" w:customStyle="1" w:styleId="TEXTOJAVIERCar">
    <w:name w:val="TEXTO JAVIER Car"/>
    <w:link w:val="TEXTOJAVIER"/>
    <w:rsid w:val="00812F69"/>
    <w:rPr>
      <w:rFonts w:ascii="Arial" w:eastAsia="Times New Roman" w:hAnsi="Arial" w:cs="Arial"/>
      <w:bCs/>
      <w:sz w:val="22"/>
      <w:szCs w:val="22"/>
    </w:rPr>
  </w:style>
  <w:style w:type="character" w:customStyle="1" w:styleId="PuestoCar">
    <w:name w:val="Puesto Car"/>
    <w:rsid w:val="00812F69"/>
    <w:rPr>
      <w:rFonts w:ascii="Arial" w:eastAsia="Times New Roman" w:hAnsi="Arial"/>
      <w:b/>
      <w:sz w:val="24"/>
      <w:lang w:val="es-ES" w:eastAsia="es-ES"/>
    </w:rPr>
  </w:style>
  <w:style w:type="paragraph" w:customStyle="1" w:styleId="paragraph">
    <w:name w:val="paragraph"/>
    <w:basedOn w:val="Normal"/>
    <w:rsid w:val="00812F69"/>
    <w:pPr>
      <w:spacing w:before="100" w:beforeAutospacing="1" w:after="100" w:afterAutospacing="1"/>
    </w:pPr>
    <w:rPr>
      <w:rFonts w:ascii="Times New Roman" w:hAnsi="Times New Roman"/>
      <w:lang w:val="es-MX" w:eastAsia="es-MX"/>
    </w:rPr>
  </w:style>
  <w:style w:type="character" w:customStyle="1" w:styleId="eop">
    <w:name w:val="eop"/>
    <w:basedOn w:val="Fuentedeprrafopredeter"/>
    <w:rsid w:val="00812F69"/>
  </w:style>
  <w:style w:type="character" w:customStyle="1" w:styleId="normaltextrun">
    <w:name w:val="normaltextrun"/>
    <w:basedOn w:val="Fuentedeprrafopredeter"/>
    <w:rsid w:val="00812F69"/>
  </w:style>
  <w:style w:type="character" w:customStyle="1" w:styleId="apple-converted-space">
    <w:name w:val="apple-converted-space"/>
    <w:basedOn w:val="Fuentedeprrafopredeter"/>
    <w:rsid w:val="00812F69"/>
  </w:style>
  <w:style w:type="character" w:customStyle="1" w:styleId="scx260945857">
    <w:name w:val="scx260945857"/>
    <w:basedOn w:val="Fuentedeprrafopredeter"/>
    <w:rsid w:val="00812F69"/>
  </w:style>
  <w:style w:type="character" w:customStyle="1" w:styleId="spellingerror">
    <w:name w:val="spellingerror"/>
    <w:basedOn w:val="Fuentedeprrafopredeter"/>
    <w:rsid w:val="00812F69"/>
  </w:style>
  <w:style w:type="paragraph" w:customStyle="1" w:styleId="xl113">
    <w:name w:val="xl113"/>
    <w:basedOn w:val="Normal"/>
    <w:rsid w:val="00E474D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MX" w:eastAsia="es-MX"/>
    </w:rPr>
  </w:style>
  <w:style w:type="table" w:styleId="Sombreadomedio1-nfasis3">
    <w:name w:val="Medium Shading 1 Accent 3"/>
    <w:basedOn w:val="Tablanormal"/>
    <w:uiPriority w:val="63"/>
    <w:rsid w:val="00133065"/>
    <w:rPr>
      <w:rFonts w:asciiTheme="minorHAnsi" w:eastAsiaTheme="minorHAnsi" w:hAnsiTheme="minorHAnsi" w:cstheme="minorBidi"/>
      <w:sz w:val="22"/>
      <w:szCs w:val="22"/>
      <w:lang w:val="es-MX"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TextocomentarioCar1">
    <w:name w:val="Texto comentario Car1"/>
    <w:basedOn w:val="Fuentedeprrafopredeter"/>
    <w:uiPriority w:val="99"/>
    <w:semiHidden/>
    <w:rsid w:val="00133065"/>
    <w:rPr>
      <w:rFonts w:ascii="Helvetica" w:eastAsia="Times New Roman" w:hAnsi="Helvetica"/>
    </w:rPr>
  </w:style>
  <w:style w:type="character" w:customStyle="1" w:styleId="AsuntodelcomentarioCar1">
    <w:name w:val="Asunto del comentario Car1"/>
    <w:basedOn w:val="TextocomentarioCar1"/>
    <w:uiPriority w:val="99"/>
    <w:semiHidden/>
    <w:rsid w:val="00133065"/>
    <w:rPr>
      <w:b/>
      <w:bCs/>
    </w:rPr>
  </w:style>
  <w:style w:type="paragraph" w:customStyle="1" w:styleId="xl141">
    <w:name w:val="xl141"/>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142">
    <w:name w:val="xl142"/>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43">
    <w:name w:val="xl143"/>
    <w:basedOn w:val="Normal"/>
    <w:rsid w:val="00133065"/>
    <w:pPr>
      <w:pBdr>
        <w:top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44">
    <w:name w:val="xl144"/>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45">
    <w:name w:val="xl145"/>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16"/>
      <w:szCs w:val="16"/>
      <w:lang w:val="es-MX" w:eastAsia="es-MX"/>
    </w:rPr>
  </w:style>
  <w:style w:type="paragraph" w:customStyle="1" w:styleId="xl146">
    <w:name w:val="xl146"/>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147">
    <w:name w:val="xl147"/>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top"/>
    </w:pPr>
    <w:rPr>
      <w:rFonts w:ascii="Arial" w:hAnsi="Arial" w:cs="Arial"/>
      <w:b/>
      <w:bCs/>
      <w:color w:val="000000"/>
      <w:sz w:val="16"/>
      <w:szCs w:val="16"/>
      <w:lang w:val="es-MX" w:eastAsia="es-MX"/>
    </w:rPr>
  </w:style>
  <w:style w:type="paragraph" w:customStyle="1" w:styleId="xl148">
    <w:name w:val="xl148"/>
    <w:basedOn w:val="Normal"/>
    <w:rsid w:val="00133065"/>
    <w:pPr>
      <w:pBdr>
        <w:top w:val="single" w:sz="4" w:space="0" w:color="auto"/>
        <w:bottom w:val="single" w:sz="4" w:space="0" w:color="auto"/>
      </w:pBdr>
      <w:shd w:val="clear" w:color="000000" w:fill="FFC000"/>
      <w:spacing w:before="100" w:beforeAutospacing="1" w:after="100" w:afterAutospacing="1"/>
      <w:jc w:val="center"/>
      <w:textAlignment w:val="top"/>
    </w:pPr>
    <w:rPr>
      <w:rFonts w:ascii="Arial" w:hAnsi="Arial" w:cs="Arial"/>
      <w:b/>
      <w:bCs/>
      <w:color w:val="000000"/>
      <w:sz w:val="16"/>
      <w:szCs w:val="16"/>
      <w:lang w:val="es-MX" w:eastAsia="es-MX"/>
    </w:rPr>
  </w:style>
  <w:style w:type="paragraph" w:customStyle="1" w:styleId="xl149">
    <w:name w:val="xl149"/>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top"/>
    </w:pPr>
    <w:rPr>
      <w:rFonts w:ascii="Arial" w:hAnsi="Arial" w:cs="Arial"/>
      <w:b/>
      <w:bCs/>
      <w:color w:val="000000"/>
      <w:sz w:val="16"/>
      <w:szCs w:val="16"/>
      <w:lang w:val="es-MX" w:eastAsia="es-MX"/>
    </w:rPr>
  </w:style>
  <w:style w:type="paragraph" w:customStyle="1" w:styleId="xl150">
    <w:name w:val="xl150"/>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151">
    <w:name w:val="xl151"/>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152">
    <w:name w:val="xl152"/>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53">
    <w:name w:val="xl153"/>
    <w:basedOn w:val="Normal"/>
    <w:rsid w:val="00133065"/>
    <w:pPr>
      <w:pBdr>
        <w:top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54">
    <w:name w:val="xl154"/>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55">
    <w:name w:val="xl155"/>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156">
    <w:name w:val="xl156"/>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157">
    <w:name w:val="xl157"/>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lang w:val="es-MX" w:eastAsia="es-MX"/>
    </w:rPr>
  </w:style>
  <w:style w:type="paragraph" w:customStyle="1" w:styleId="xl158">
    <w:name w:val="xl158"/>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59">
    <w:name w:val="xl159"/>
    <w:basedOn w:val="Normal"/>
    <w:rsid w:val="00133065"/>
    <w:pPr>
      <w:pBdr>
        <w:top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60">
    <w:name w:val="xl160"/>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61">
    <w:name w:val="xl161"/>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MX" w:eastAsia="es-MX"/>
    </w:rPr>
  </w:style>
  <w:style w:type="paragraph" w:customStyle="1" w:styleId="xl162">
    <w:name w:val="xl162"/>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lang w:val="es-MX" w:eastAsia="es-MX"/>
    </w:rPr>
  </w:style>
  <w:style w:type="paragraph" w:customStyle="1" w:styleId="xl163">
    <w:name w:val="xl163"/>
    <w:basedOn w:val="Normal"/>
    <w:rsid w:val="00133065"/>
    <w:pPr>
      <w:pBdr>
        <w:top w:val="single" w:sz="4" w:space="0" w:color="auto"/>
        <w:left w:val="single" w:sz="4" w:space="0" w:color="auto"/>
      </w:pBdr>
      <w:shd w:val="clear" w:color="000000" w:fill="FFC00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64">
    <w:name w:val="xl164"/>
    <w:basedOn w:val="Normal"/>
    <w:rsid w:val="00133065"/>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65">
    <w:name w:val="xl165"/>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66">
    <w:name w:val="xl166"/>
    <w:basedOn w:val="Normal"/>
    <w:rsid w:val="00133065"/>
    <w:pPr>
      <w:pBdr>
        <w:top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167">
    <w:name w:val="xl167"/>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MX" w:eastAsia="es-MX"/>
    </w:rPr>
  </w:style>
  <w:style w:type="paragraph" w:customStyle="1" w:styleId="xl168">
    <w:name w:val="xl168"/>
    <w:basedOn w:val="Normal"/>
    <w:rsid w:val="00133065"/>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MX" w:eastAsia="es-MX"/>
    </w:rPr>
  </w:style>
  <w:style w:type="paragraph" w:customStyle="1" w:styleId="xl169">
    <w:name w:val="xl169"/>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MX" w:eastAsia="es-MX"/>
    </w:rPr>
  </w:style>
  <w:style w:type="paragraph" w:customStyle="1" w:styleId="xl170">
    <w:name w:val="xl170"/>
    <w:basedOn w:val="Normal"/>
    <w:rsid w:val="00133065"/>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MX" w:eastAsia="es-MX"/>
    </w:rPr>
  </w:style>
  <w:style w:type="paragraph" w:customStyle="1" w:styleId="xl171">
    <w:name w:val="xl171"/>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lang w:val="es-MX" w:eastAsia="es-MX"/>
    </w:rPr>
  </w:style>
  <w:style w:type="paragraph" w:customStyle="1" w:styleId="xl172">
    <w:name w:val="xl172"/>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73">
    <w:name w:val="xl173"/>
    <w:basedOn w:val="Normal"/>
    <w:rsid w:val="00133065"/>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74">
    <w:name w:val="xl174"/>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75">
    <w:name w:val="xl175"/>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176">
    <w:name w:val="xl176"/>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77">
    <w:name w:val="xl177"/>
    <w:basedOn w:val="Normal"/>
    <w:rsid w:val="00133065"/>
    <w:pPr>
      <w:pBdr>
        <w:top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78">
    <w:name w:val="xl178"/>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79">
    <w:name w:val="xl179"/>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lang w:val="es-MX" w:eastAsia="es-MX"/>
    </w:rPr>
  </w:style>
  <w:style w:type="paragraph" w:customStyle="1" w:styleId="xl180">
    <w:name w:val="xl180"/>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181">
    <w:name w:val="xl181"/>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82">
    <w:name w:val="xl182"/>
    <w:basedOn w:val="Normal"/>
    <w:rsid w:val="00133065"/>
    <w:pPr>
      <w:pBdr>
        <w:top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83">
    <w:name w:val="xl183"/>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84">
    <w:name w:val="xl184"/>
    <w:basedOn w:val="Normal"/>
    <w:rsid w:val="001330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85">
    <w:name w:val="xl185"/>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186">
    <w:name w:val="xl186"/>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87">
    <w:name w:val="xl187"/>
    <w:basedOn w:val="Normal"/>
    <w:rsid w:val="00133065"/>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88">
    <w:name w:val="xl188"/>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89">
    <w:name w:val="xl189"/>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90">
    <w:name w:val="xl190"/>
    <w:basedOn w:val="Normal"/>
    <w:rsid w:val="00133065"/>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91">
    <w:name w:val="xl191"/>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192">
    <w:name w:val="xl192"/>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193">
    <w:name w:val="xl193"/>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lang w:val="es-MX" w:eastAsia="es-MX"/>
    </w:rPr>
  </w:style>
  <w:style w:type="paragraph" w:customStyle="1" w:styleId="xl194">
    <w:name w:val="xl194"/>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195">
    <w:name w:val="xl195"/>
    <w:basedOn w:val="Normal"/>
    <w:rsid w:val="00133065"/>
    <w:pPr>
      <w:pBdr>
        <w:top w:val="single" w:sz="4" w:space="0" w:color="auto"/>
        <w:left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96">
    <w:name w:val="xl196"/>
    <w:basedOn w:val="Normal"/>
    <w:rsid w:val="00133065"/>
    <w:pPr>
      <w:pBdr>
        <w:top w:val="single" w:sz="4" w:space="0" w:color="auto"/>
        <w:bottom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97">
    <w:name w:val="xl197"/>
    <w:basedOn w:val="Normal"/>
    <w:rsid w:val="00133065"/>
    <w:pPr>
      <w:pBdr>
        <w:top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w:hAnsi="Arial" w:cs="Arial"/>
      <w:b/>
      <w:bCs/>
      <w:sz w:val="16"/>
      <w:szCs w:val="16"/>
      <w:lang w:val="es-MX" w:eastAsia="es-MX"/>
    </w:rPr>
  </w:style>
  <w:style w:type="paragraph" w:customStyle="1" w:styleId="xl198">
    <w:name w:val="xl198"/>
    <w:basedOn w:val="Normal"/>
    <w:rsid w:val="0013306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character" w:customStyle="1" w:styleId="PrrafodelistaCar">
    <w:name w:val="Párrafo de lista Car"/>
    <w:basedOn w:val="Fuentedeprrafopredeter"/>
    <w:link w:val="Prrafodelista"/>
    <w:uiPriority w:val="34"/>
    <w:rsid w:val="007D438C"/>
    <w:rPr>
      <w:rFonts w:ascii="Times New Roman" w:eastAsia="Times New Roman" w:hAnsi="Times New Roman"/>
      <w:lang w:val="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8748738">
      <w:bodyDiv w:val="1"/>
      <w:marLeft w:val="0"/>
      <w:marRight w:val="0"/>
      <w:marTop w:val="0"/>
      <w:marBottom w:val="0"/>
      <w:divBdr>
        <w:top w:val="none" w:sz="0" w:space="0" w:color="auto"/>
        <w:left w:val="none" w:sz="0" w:space="0" w:color="auto"/>
        <w:bottom w:val="none" w:sz="0" w:space="0" w:color="auto"/>
        <w:right w:val="none" w:sz="0" w:space="0" w:color="auto"/>
      </w:divBdr>
    </w:div>
    <w:div w:id="71007719">
      <w:bodyDiv w:val="1"/>
      <w:marLeft w:val="0"/>
      <w:marRight w:val="0"/>
      <w:marTop w:val="0"/>
      <w:marBottom w:val="0"/>
      <w:divBdr>
        <w:top w:val="none" w:sz="0" w:space="0" w:color="auto"/>
        <w:left w:val="none" w:sz="0" w:space="0" w:color="auto"/>
        <w:bottom w:val="none" w:sz="0" w:space="0" w:color="auto"/>
        <w:right w:val="none" w:sz="0" w:space="0" w:color="auto"/>
      </w:divBdr>
    </w:div>
    <w:div w:id="86317128">
      <w:bodyDiv w:val="1"/>
      <w:marLeft w:val="0"/>
      <w:marRight w:val="0"/>
      <w:marTop w:val="0"/>
      <w:marBottom w:val="0"/>
      <w:divBdr>
        <w:top w:val="none" w:sz="0" w:space="0" w:color="auto"/>
        <w:left w:val="none" w:sz="0" w:space="0" w:color="auto"/>
        <w:bottom w:val="none" w:sz="0" w:space="0" w:color="auto"/>
        <w:right w:val="none" w:sz="0" w:space="0" w:color="auto"/>
      </w:divBdr>
    </w:div>
    <w:div w:id="95369093">
      <w:bodyDiv w:val="1"/>
      <w:marLeft w:val="0"/>
      <w:marRight w:val="0"/>
      <w:marTop w:val="0"/>
      <w:marBottom w:val="0"/>
      <w:divBdr>
        <w:top w:val="none" w:sz="0" w:space="0" w:color="auto"/>
        <w:left w:val="none" w:sz="0" w:space="0" w:color="auto"/>
        <w:bottom w:val="none" w:sz="0" w:space="0" w:color="auto"/>
        <w:right w:val="none" w:sz="0" w:space="0" w:color="auto"/>
      </w:divBdr>
    </w:div>
    <w:div w:id="125004869">
      <w:bodyDiv w:val="1"/>
      <w:marLeft w:val="0"/>
      <w:marRight w:val="0"/>
      <w:marTop w:val="0"/>
      <w:marBottom w:val="0"/>
      <w:divBdr>
        <w:top w:val="none" w:sz="0" w:space="0" w:color="auto"/>
        <w:left w:val="none" w:sz="0" w:space="0" w:color="auto"/>
        <w:bottom w:val="none" w:sz="0" w:space="0" w:color="auto"/>
        <w:right w:val="none" w:sz="0" w:space="0" w:color="auto"/>
      </w:divBdr>
    </w:div>
    <w:div w:id="130907332">
      <w:bodyDiv w:val="1"/>
      <w:marLeft w:val="0"/>
      <w:marRight w:val="0"/>
      <w:marTop w:val="0"/>
      <w:marBottom w:val="0"/>
      <w:divBdr>
        <w:top w:val="none" w:sz="0" w:space="0" w:color="auto"/>
        <w:left w:val="none" w:sz="0" w:space="0" w:color="auto"/>
        <w:bottom w:val="none" w:sz="0" w:space="0" w:color="auto"/>
        <w:right w:val="none" w:sz="0" w:space="0" w:color="auto"/>
      </w:divBdr>
    </w:div>
    <w:div w:id="155804459">
      <w:bodyDiv w:val="1"/>
      <w:marLeft w:val="0"/>
      <w:marRight w:val="0"/>
      <w:marTop w:val="0"/>
      <w:marBottom w:val="0"/>
      <w:divBdr>
        <w:top w:val="none" w:sz="0" w:space="0" w:color="auto"/>
        <w:left w:val="none" w:sz="0" w:space="0" w:color="auto"/>
        <w:bottom w:val="none" w:sz="0" w:space="0" w:color="auto"/>
        <w:right w:val="none" w:sz="0" w:space="0" w:color="auto"/>
      </w:divBdr>
    </w:div>
    <w:div w:id="198475435">
      <w:bodyDiv w:val="1"/>
      <w:marLeft w:val="0"/>
      <w:marRight w:val="0"/>
      <w:marTop w:val="0"/>
      <w:marBottom w:val="0"/>
      <w:divBdr>
        <w:top w:val="none" w:sz="0" w:space="0" w:color="auto"/>
        <w:left w:val="none" w:sz="0" w:space="0" w:color="auto"/>
        <w:bottom w:val="none" w:sz="0" w:space="0" w:color="auto"/>
        <w:right w:val="none" w:sz="0" w:space="0" w:color="auto"/>
      </w:divBdr>
    </w:div>
    <w:div w:id="213154849">
      <w:bodyDiv w:val="1"/>
      <w:marLeft w:val="0"/>
      <w:marRight w:val="0"/>
      <w:marTop w:val="0"/>
      <w:marBottom w:val="0"/>
      <w:divBdr>
        <w:top w:val="none" w:sz="0" w:space="0" w:color="auto"/>
        <w:left w:val="none" w:sz="0" w:space="0" w:color="auto"/>
        <w:bottom w:val="none" w:sz="0" w:space="0" w:color="auto"/>
        <w:right w:val="none" w:sz="0" w:space="0" w:color="auto"/>
      </w:divBdr>
    </w:div>
    <w:div w:id="235359205">
      <w:bodyDiv w:val="1"/>
      <w:marLeft w:val="0"/>
      <w:marRight w:val="0"/>
      <w:marTop w:val="0"/>
      <w:marBottom w:val="0"/>
      <w:divBdr>
        <w:top w:val="none" w:sz="0" w:space="0" w:color="auto"/>
        <w:left w:val="none" w:sz="0" w:space="0" w:color="auto"/>
        <w:bottom w:val="none" w:sz="0" w:space="0" w:color="auto"/>
        <w:right w:val="none" w:sz="0" w:space="0" w:color="auto"/>
      </w:divBdr>
    </w:div>
    <w:div w:id="271713621">
      <w:bodyDiv w:val="1"/>
      <w:marLeft w:val="0"/>
      <w:marRight w:val="0"/>
      <w:marTop w:val="0"/>
      <w:marBottom w:val="0"/>
      <w:divBdr>
        <w:top w:val="none" w:sz="0" w:space="0" w:color="auto"/>
        <w:left w:val="none" w:sz="0" w:space="0" w:color="auto"/>
        <w:bottom w:val="none" w:sz="0" w:space="0" w:color="auto"/>
        <w:right w:val="none" w:sz="0" w:space="0" w:color="auto"/>
      </w:divBdr>
    </w:div>
    <w:div w:id="289635756">
      <w:bodyDiv w:val="1"/>
      <w:marLeft w:val="0"/>
      <w:marRight w:val="0"/>
      <w:marTop w:val="0"/>
      <w:marBottom w:val="0"/>
      <w:divBdr>
        <w:top w:val="none" w:sz="0" w:space="0" w:color="auto"/>
        <w:left w:val="none" w:sz="0" w:space="0" w:color="auto"/>
        <w:bottom w:val="none" w:sz="0" w:space="0" w:color="auto"/>
        <w:right w:val="none" w:sz="0" w:space="0" w:color="auto"/>
      </w:divBdr>
    </w:div>
    <w:div w:id="296959622">
      <w:bodyDiv w:val="1"/>
      <w:marLeft w:val="0"/>
      <w:marRight w:val="0"/>
      <w:marTop w:val="0"/>
      <w:marBottom w:val="0"/>
      <w:divBdr>
        <w:top w:val="none" w:sz="0" w:space="0" w:color="auto"/>
        <w:left w:val="none" w:sz="0" w:space="0" w:color="auto"/>
        <w:bottom w:val="none" w:sz="0" w:space="0" w:color="auto"/>
        <w:right w:val="none" w:sz="0" w:space="0" w:color="auto"/>
      </w:divBdr>
    </w:div>
    <w:div w:id="335616082">
      <w:bodyDiv w:val="1"/>
      <w:marLeft w:val="0"/>
      <w:marRight w:val="0"/>
      <w:marTop w:val="0"/>
      <w:marBottom w:val="0"/>
      <w:divBdr>
        <w:top w:val="none" w:sz="0" w:space="0" w:color="auto"/>
        <w:left w:val="none" w:sz="0" w:space="0" w:color="auto"/>
        <w:bottom w:val="none" w:sz="0" w:space="0" w:color="auto"/>
        <w:right w:val="none" w:sz="0" w:space="0" w:color="auto"/>
      </w:divBdr>
    </w:div>
    <w:div w:id="343166649">
      <w:bodyDiv w:val="1"/>
      <w:marLeft w:val="0"/>
      <w:marRight w:val="0"/>
      <w:marTop w:val="0"/>
      <w:marBottom w:val="0"/>
      <w:divBdr>
        <w:top w:val="none" w:sz="0" w:space="0" w:color="auto"/>
        <w:left w:val="none" w:sz="0" w:space="0" w:color="auto"/>
        <w:bottom w:val="none" w:sz="0" w:space="0" w:color="auto"/>
        <w:right w:val="none" w:sz="0" w:space="0" w:color="auto"/>
      </w:divBdr>
    </w:div>
    <w:div w:id="363363776">
      <w:bodyDiv w:val="1"/>
      <w:marLeft w:val="0"/>
      <w:marRight w:val="0"/>
      <w:marTop w:val="0"/>
      <w:marBottom w:val="0"/>
      <w:divBdr>
        <w:top w:val="none" w:sz="0" w:space="0" w:color="auto"/>
        <w:left w:val="none" w:sz="0" w:space="0" w:color="auto"/>
        <w:bottom w:val="none" w:sz="0" w:space="0" w:color="auto"/>
        <w:right w:val="none" w:sz="0" w:space="0" w:color="auto"/>
      </w:divBdr>
    </w:div>
    <w:div w:id="415447370">
      <w:bodyDiv w:val="1"/>
      <w:marLeft w:val="0"/>
      <w:marRight w:val="0"/>
      <w:marTop w:val="0"/>
      <w:marBottom w:val="0"/>
      <w:divBdr>
        <w:top w:val="none" w:sz="0" w:space="0" w:color="auto"/>
        <w:left w:val="none" w:sz="0" w:space="0" w:color="auto"/>
        <w:bottom w:val="none" w:sz="0" w:space="0" w:color="auto"/>
        <w:right w:val="none" w:sz="0" w:space="0" w:color="auto"/>
      </w:divBdr>
    </w:div>
    <w:div w:id="423234646">
      <w:bodyDiv w:val="1"/>
      <w:marLeft w:val="0"/>
      <w:marRight w:val="0"/>
      <w:marTop w:val="0"/>
      <w:marBottom w:val="0"/>
      <w:divBdr>
        <w:top w:val="none" w:sz="0" w:space="0" w:color="auto"/>
        <w:left w:val="none" w:sz="0" w:space="0" w:color="auto"/>
        <w:bottom w:val="none" w:sz="0" w:space="0" w:color="auto"/>
        <w:right w:val="none" w:sz="0" w:space="0" w:color="auto"/>
      </w:divBdr>
    </w:div>
    <w:div w:id="430206657">
      <w:bodyDiv w:val="1"/>
      <w:marLeft w:val="0"/>
      <w:marRight w:val="0"/>
      <w:marTop w:val="0"/>
      <w:marBottom w:val="0"/>
      <w:divBdr>
        <w:top w:val="none" w:sz="0" w:space="0" w:color="auto"/>
        <w:left w:val="none" w:sz="0" w:space="0" w:color="auto"/>
        <w:bottom w:val="none" w:sz="0" w:space="0" w:color="auto"/>
        <w:right w:val="none" w:sz="0" w:space="0" w:color="auto"/>
      </w:divBdr>
    </w:div>
    <w:div w:id="437793334">
      <w:bodyDiv w:val="1"/>
      <w:marLeft w:val="0"/>
      <w:marRight w:val="0"/>
      <w:marTop w:val="0"/>
      <w:marBottom w:val="0"/>
      <w:divBdr>
        <w:top w:val="none" w:sz="0" w:space="0" w:color="auto"/>
        <w:left w:val="none" w:sz="0" w:space="0" w:color="auto"/>
        <w:bottom w:val="none" w:sz="0" w:space="0" w:color="auto"/>
        <w:right w:val="none" w:sz="0" w:space="0" w:color="auto"/>
      </w:divBdr>
    </w:div>
    <w:div w:id="440146219">
      <w:bodyDiv w:val="1"/>
      <w:marLeft w:val="0"/>
      <w:marRight w:val="0"/>
      <w:marTop w:val="0"/>
      <w:marBottom w:val="0"/>
      <w:divBdr>
        <w:top w:val="none" w:sz="0" w:space="0" w:color="auto"/>
        <w:left w:val="none" w:sz="0" w:space="0" w:color="auto"/>
        <w:bottom w:val="none" w:sz="0" w:space="0" w:color="auto"/>
        <w:right w:val="none" w:sz="0" w:space="0" w:color="auto"/>
      </w:divBdr>
    </w:div>
    <w:div w:id="464004744">
      <w:bodyDiv w:val="1"/>
      <w:marLeft w:val="0"/>
      <w:marRight w:val="0"/>
      <w:marTop w:val="0"/>
      <w:marBottom w:val="0"/>
      <w:divBdr>
        <w:top w:val="none" w:sz="0" w:space="0" w:color="auto"/>
        <w:left w:val="none" w:sz="0" w:space="0" w:color="auto"/>
        <w:bottom w:val="none" w:sz="0" w:space="0" w:color="auto"/>
        <w:right w:val="none" w:sz="0" w:space="0" w:color="auto"/>
      </w:divBdr>
    </w:div>
    <w:div w:id="477571831">
      <w:bodyDiv w:val="1"/>
      <w:marLeft w:val="0"/>
      <w:marRight w:val="0"/>
      <w:marTop w:val="0"/>
      <w:marBottom w:val="0"/>
      <w:divBdr>
        <w:top w:val="none" w:sz="0" w:space="0" w:color="auto"/>
        <w:left w:val="none" w:sz="0" w:space="0" w:color="auto"/>
        <w:bottom w:val="none" w:sz="0" w:space="0" w:color="auto"/>
        <w:right w:val="none" w:sz="0" w:space="0" w:color="auto"/>
      </w:divBdr>
    </w:div>
    <w:div w:id="478303670">
      <w:bodyDiv w:val="1"/>
      <w:marLeft w:val="0"/>
      <w:marRight w:val="0"/>
      <w:marTop w:val="0"/>
      <w:marBottom w:val="0"/>
      <w:divBdr>
        <w:top w:val="none" w:sz="0" w:space="0" w:color="auto"/>
        <w:left w:val="none" w:sz="0" w:space="0" w:color="auto"/>
        <w:bottom w:val="none" w:sz="0" w:space="0" w:color="auto"/>
        <w:right w:val="none" w:sz="0" w:space="0" w:color="auto"/>
      </w:divBdr>
    </w:div>
    <w:div w:id="483474408">
      <w:bodyDiv w:val="1"/>
      <w:marLeft w:val="0"/>
      <w:marRight w:val="0"/>
      <w:marTop w:val="0"/>
      <w:marBottom w:val="0"/>
      <w:divBdr>
        <w:top w:val="none" w:sz="0" w:space="0" w:color="auto"/>
        <w:left w:val="none" w:sz="0" w:space="0" w:color="auto"/>
        <w:bottom w:val="none" w:sz="0" w:space="0" w:color="auto"/>
        <w:right w:val="none" w:sz="0" w:space="0" w:color="auto"/>
      </w:divBdr>
    </w:div>
    <w:div w:id="515121597">
      <w:bodyDiv w:val="1"/>
      <w:marLeft w:val="0"/>
      <w:marRight w:val="0"/>
      <w:marTop w:val="0"/>
      <w:marBottom w:val="0"/>
      <w:divBdr>
        <w:top w:val="none" w:sz="0" w:space="0" w:color="auto"/>
        <w:left w:val="none" w:sz="0" w:space="0" w:color="auto"/>
        <w:bottom w:val="none" w:sz="0" w:space="0" w:color="auto"/>
        <w:right w:val="none" w:sz="0" w:space="0" w:color="auto"/>
      </w:divBdr>
    </w:div>
    <w:div w:id="543562852">
      <w:bodyDiv w:val="1"/>
      <w:marLeft w:val="0"/>
      <w:marRight w:val="0"/>
      <w:marTop w:val="0"/>
      <w:marBottom w:val="0"/>
      <w:divBdr>
        <w:top w:val="none" w:sz="0" w:space="0" w:color="auto"/>
        <w:left w:val="none" w:sz="0" w:space="0" w:color="auto"/>
        <w:bottom w:val="none" w:sz="0" w:space="0" w:color="auto"/>
        <w:right w:val="none" w:sz="0" w:space="0" w:color="auto"/>
      </w:divBdr>
    </w:div>
    <w:div w:id="547378732">
      <w:bodyDiv w:val="1"/>
      <w:marLeft w:val="0"/>
      <w:marRight w:val="0"/>
      <w:marTop w:val="0"/>
      <w:marBottom w:val="0"/>
      <w:divBdr>
        <w:top w:val="none" w:sz="0" w:space="0" w:color="auto"/>
        <w:left w:val="none" w:sz="0" w:space="0" w:color="auto"/>
        <w:bottom w:val="none" w:sz="0" w:space="0" w:color="auto"/>
        <w:right w:val="none" w:sz="0" w:space="0" w:color="auto"/>
      </w:divBdr>
    </w:div>
    <w:div w:id="559632368">
      <w:bodyDiv w:val="1"/>
      <w:marLeft w:val="0"/>
      <w:marRight w:val="0"/>
      <w:marTop w:val="0"/>
      <w:marBottom w:val="0"/>
      <w:divBdr>
        <w:top w:val="none" w:sz="0" w:space="0" w:color="auto"/>
        <w:left w:val="none" w:sz="0" w:space="0" w:color="auto"/>
        <w:bottom w:val="none" w:sz="0" w:space="0" w:color="auto"/>
        <w:right w:val="none" w:sz="0" w:space="0" w:color="auto"/>
      </w:divBdr>
    </w:div>
    <w:div w:id="577447105">
      <w:bodyDiv w:val="1"/>
      <w:marLeft w:val="0"/>
      <w:marRight w:val="0"/>
      <w:marTop w:val="0"/>
      <w:marBottom w:val="0"/>
      <w:divBdr>
        <w:top w:val="none" w:sz="0" w:space="0" w:color="auto"/>
        <w:left w:val="none" w:sz="0" w:space="0" w:color="auto"/>
        <w:bottom w:val="none" w:sz="0" w:space="0" w:color="auto"/>
        <w:right w:val="none" w:sz="0" w:space="0" w:color="auto"/>
      </w:divBdr>
    </w:div>
    <w:div w:id="606817292">
      <w:bodyDiv w:val="1"/>
      <w:marLeft w:val="0"/>
      <w:marRight w:val="0"/>
      <w:marTop w:val="0"/>
      <w:marBottom w:val="0"/>
      <w:divBdr>
        <w:top w:val="none" w:sz="0" w:space="0" w:color="auto"/>
        <w:left w:val="none" w:sz="0" w:space="0" w:color="auto"/>
        <w:bottom w:val="none" w:sz="0" w:space="0" w:color="auto"/>
        <w:right w:val="none" w:sz="0" w:space="0" w:color="auto"/>
      </w:divBdr>
    </w:div>
    <w:div w:id="646664962">
      <w:bodyDiv w:val="1"/>
      <w:marLeft w:val="0"/>
      <w:marRight w:val="0"/>
      <w:marTop w:val="0"/>
      <w:marBottom w:val="0"/>
      <w:divBdr>
        <w:top w:val="none" w:sz="0" w:space="0" w:color="auto"/>
        <w:left w:val="none" w:sz="0" w:space="0" w:color="auto"/>
        <w:bottom w:val="none" w:sz="0" w:space="0" w:color="auto"/>
        <w:right w:val="none" w:sz="0" w:space="0" w:color="auto"/>
      </w:divBdr>
    </w:div>
    <w:div w:id="648291366">
      <w:bodyDiv w:val="1"/>
      <w:marLeft w:val="0"/>
      <w:marRight w:val="0"/>
      <w:marTop w:val="0"/>
      <w:marBottom w:val="0"/>
      <w:divBdr>
        <w:top w:val="none" w:sz="0" w:space="0" w:color="auto"/>
        <w:left w:val="none" w:sz="0" w:space="0" w:color="auto"/>
        <w:bottom w:val="none" w:sz="0" w:space="0" w:color="auto"/>
        <w:right w:val="none" w:sz="0" w:space="0" w:color="auto"/>
      </w:divBdr>
    </w:div>
    <w:div w:id="668800037">
      <w:bodyDiv w:val="1"/>
      <w:marLeft w:val="0"/>
      <w:marRight w:val="0"/>
      <w:marTop w:val="0"/>
      <w:marBottom w:val="0"/>
      <w:divBdr>
        <w:top w:val="none" w:sz="0" w:space="0" w:color="auto"/>
        <w:left w:val="none" w:sz="0" w:space="0" w:color="auto"/>
        <w:bottom w:val="none" w:sz="0" w:space="0" w:color="auto"/>
        <w:right w:val="none" w:sz="0" w:space="0" w:color="auto"/>
      </w:divBdr>
    </w:div>
    <w:div w:id="743835930">
      <w:bodyDiv w:val="1"/>
      <w:marLeft w:val="0"/>
      <w:marRight w:val="0"/>
      <w:marTop w:val="0"/>
      <w:marBottom w:val="0"/>
      <w:divBdr>
        <w:top w:val="none" w:sz="0" w:space="0" w:color="auto"/>
        <w:left w:val="none" w:sz="0" w:space="0" w:color="auto"/>
        <w:bottom w:val="none" w:sz="0" w:space="0" w:color="auto"/>
        <w:right w:val="none" w:sz="0" w:space="0" w:color="auto"/>
      </w:divBdr>
    </w:div>
    <w:div w:id="754941294">
      <w:bodyDiv w:val="1"/>
      <w:marLeft w:val="0"/>
      <w:marRight w:val="0"/>
      <w:marTop w:val="0"/>
      <w:marBottom w:val="0"/>
      <w:divBdr>
        <w:top w:val="none" w:sz="0" w:space="0" w:color="auto"/>
        <w:left w:val="none" w:sz="0" w:space="0" w:color="auto"/>
        <w:bottom w:val="none" w:sz="0" w:space="0" w:color="auto"/>
        <w:right w:val="none" w:sz="0" w:space="0" w:color="auto"/>
      </w:divBdr>
    </w:div>
    <w:div w:id="774792206">
      <w:bodyDiv w:val="1"/>
      <w:marLeft w:val="0"/>
      <w:marRight w:val="0"/>
      <w:marTop w:val="0"/>
      <w:marBottom w:val="0"/>
      <w:divBdr>
        <w:top w:val="none" w:sz="0" w:space="0" w:color="auto"/>
        <w:left w:val="none" w:sz="0" w:space="0" w:color="auto"/>
        <w:bottom w:val="none" w:sz="0" w:space="0" w:color="auto"/>
        <w:right w:val="none" w:sz="0" w:space="0" w:color="auto"/>
      </w:divBdr>
    </w:div>
    <w:div w:id="775557456">
      <w:bodyDiv w:val="1"/>
      <w:marLeft w:val="0"/>
      <w:marRight w:val="0"/>
      <w:marTop w:val="0"/>
      <w:marBottom w:val="0"/>
      <w:divBdr>
        <w:top w:val="none" w:sz="0" w:space="0" w:color="auto"/>
        <w:left w:val="none" w:sz="0" w:space="0" w:color="auto"/>
        <w:bottom w:val="none" w:sz="0" w:space="0" w:color="auto"/>
        <w:right w:val="none" w:sz="0" w:space="0" w:color="auto"/>
      </w:divBdr>
    </w:div>
    <w:div w:id="812909275">
      <w:bodyDiv w:val="1"/>
      <w:marLeft w:val="0"/>
      <w:marRight w:val="0"/>
      <w:marTop w:val="0"/>
      <w:marBottom w:val="0"/>
      <w:divBdr>
        <w:top w:val="none" w:sz="0" w:space="0" w:color="auto"/>
        <w:left w:val="none" w:sz="0" w:space="0" w:color="auto"/>
        <w:bottom w:val="none" w:sz="0" w:space="0" w:color="auto"/>
        <w:right w:val="none" w:sz="0" w:space="0" w:color="auto"/>
      </w:divBdr>
    </w:div>
    <w:div w:id="867455001">
      <w:bodyDiv w:val="1"/>
      <w:marLeft w:val="0"/>
      <w:marRight w:val="0"/>
      <w:marTop w:val="0"/>
      <w:marBottom w:val="0"/>
      <w:divBdr>
        <w:top w:val="none" w:sz="0" w:space="0" w:color="auto"/>
        <w:left w:val="none" w:sz="0" w:space="0" w:color="auto"/>
        <w:bottom w:val="none" w:sz="0" w:space="0" w:color="auto"/>
        <w:right w:val="none" w:sz="0" w:space="0" w:color="auto"/>
      </w:divBdr>
    </w:div>
    <w:div w:id="867989996">
      <w:bodyDiv w:val="1"/>
      <w:marLeft w:val="0"/>
      <w:marRight w:val="0"/>
      <w:marTop w:val="0"/>
      <w:marBottom w:val="0"/>
      <w:divBdr>
        <w:top w:val="none" w:sz="0" w:space="0" w:color="auto"/>
        <w:left w:val="none" w:sz="0" w:space="0" w:color="auto"/>
        <w:bottom w:val="none" w:sz="0" w:space="0" w:color="auto"/>
        <w:right w:val="none" w:sz="0" w:space="0" w:color="auto"/>
      </w:divBdr>
    </w:div>
    <w:div w:id="875436445">
      <w:bodyDiv w:val="1"/>
      <w:marLeft w:val="0"/>
      <w:marRight w:val="0"/>
      <w:marTop w:val="0"/>
      <w:marBottom w:val="0"/>
      <w:divBdr>
        <w:top w:val="none" w:sz="0" w:space="0" w:color="auto"/>
        <w:left w:val="none" w:sz="0" w:space="0" w:color="auto"/>
        <w:bottom w:val="none" w:sz="0" w:space="0" w:color="auto"/>
        <w:right w:val="none" w:sz="0" w:space="0" w:color="auto"/>
      </w:divBdr>
    </w:div>
    <w:div w:id="899945002">
      <w:bodyDiv w:val="1"/>
      <w:marLeft w:val="0"/>
      <w:marRight w:val="0"/>
      <w:marTop w:val="0"/>
      <w:marBottom w:val="0"/>
      <w:divBdr>
        <w:top w:val="none" w:sz="0" w:space="0" w:color="auto"/>
        <w:left w:val="none" w:sz="0" w:space="0" w:color="auto"/>
        <w:bottom w:val="none" w:sz="0" w:space="0" w:color="auto"/>
        <w:right w:val="none" w:sz="0" w:space="0" w:color="auto"/>
      </w:divBdr>
    </w:div>
    <w:div w:id="903565211">
      <w:bodyDiv w:val="1"/>
      <w:marLeft w:val="0"/>
      <w:marRight w:val="0"/>
      <w:marTop w:val="0"/>
      <w:marBottom w:val="0"/>
      <w:divBdr>
        <w:top w:val="none" w:sz="0" w:space="0" w:color="auto"/>
        <w:left w:val="none" w:sz="0" w:space="0" w:color="auto"/>
        <w:bottom w:val="none" w:sz="0" w:space="0" w:color="auto"/>
        <w:right w:val="none" w:sz="0" w:space="0" w:color="auto"/>
      </w:divBdr>
    </w:div>
    <w:div w:id="935595372">
      <w:bodyDiv w:val="1"/>
      <w:marLeft w:val="0"/>
      <w:marRight w:val="0"/>
      <w:marTop w:val="0"/>
      <w:marBottom w:val="0"/>
      <w:divBdr>
        <w:top w:val="none" w:sz="0" w:space="0" w:color="auto"/>
        <w:left w:val="none" w:sz="0" w:space="0" w:color="auto"/>
        <w:bottom w:val="none" w:sz="0" w:space="0" w:color="auto"/>
        <w:right w:val="none" w:sz="0" w:space="0" w:color="auto"/>
      </w:divBdr>
    </w:div>
    <w:div w:id="989557347">
      <w:bodyDiv w:val="1"/>
      <w:marLeft w:val="0"/>
      <w:marRight w:val="0"/>
      <w:marTop w:val="0"/>
      <w:marBottom w:val="0"/>
      <w:divBdr>
        <w:top w:val="none" w:sz="0" w:space="0" w:color="auto"/>
        <w:left w:val="none" w:sz="0" w:space="0" w:color="auto"/>
        <w:bottom w:val="none" w:sz="0" w:space="0" w:color="auto"/>
        <w:right w:val="none" w:sz="0" w:space="0" w:color="auto"/>
      </w:divBdr>
    </w:div>
    <w:div w:id="995458132">
      <w:bodyDiv w:val="1"/>
      <w:marLeft w:val="0"/>
      <w:marRight w:val="0"/>
      <w:marTop w:val="0"/>
      <w:marBottom w:val="0"/>
      <w:divBdr>
        <w:top w:val="none" w:sz="0" w:space="0" w:color="auto"/>
        <w:left w:val="none" w:sz="0" w:space="0" w:color="auto"/>
        <w:bottom w:val="none" w:sz="0" w:space="0" w:color="auto"/>
        <w:right w:val="none" w:sz="0" w:space="0" w:color="auto"/>
      </w:divBdr>
    </w:div>
    <w:div w:id="999504659">
      <w:bodyDiv w:val="1"/>
      <w:marLeft w:val="0"/>
      <w:marRight w:val="0"/>
      <w:marTop w:val="0"/>
      <w:marBottom w:val="0"/>
      <w:divBdr>
        <w:top w:val="none" w:sz="0" w:space="0" w:color="auto"/>
        <w:left w:val="none" w:sz="0" w:space="0" w:color="auto"/>
        <w:bottom w:val="none" w:sz="0" w:space="0" w:color="auto"/>
        <w:right w:val="none" w:sz="0" w:space="0" w:color="auto"/>
      </w:divBdr>
    </w:div>
    <w:div w:id="1027291277">
      <w:bodyDiv w:val="1"/>
      <w:marLeft w:val="0"/>
      <w:marRight w:val="0"/>
      <w:marTop w:val="0"/>
      <w:marBottom w:val="0"/>
      <w:divBdr>
        <w:top w:val="none" w:sz="0" w:space="0" w:color="auto"/>
        <w:left w:val="none" w:sz="0" w:space="0" w:color="auto"/>
        <w:bottom w:val="none" w:sz="0" w:space="0" w:color="auto"/>
        <w:right w:val="none" w:sz="0" w:space="0" w:color="auto"/>
      </w:divBdr>
    </w:div>
    <w:div w:id="1051726900">
      <w:bodyDiv w:val="1"/>
      <w:marLeft w:val="0"/>
      <w:marRight w:val="0"/>
      <w:marTop w:val="0"/>
      <w:marBottom w:val="0"/>
      <w:divBdr>
        <w:top w:val="none" w:sz="0" w:space="0" w:color="auto"/>
        <w:left w:val="none" w:sz="0" w:space="0" w:color="auto"/>
        <w:bottom w:val="none" w:sz="0" w:space="0" w:color="auto"/>
        <w:right w:val="none" w:sz="0" w:space="0" w:color="auto"/>
      </w:divBdr>
    </w:div>
    <w:div w:id="1114714543">
      <w:bodyDiv w:val="1"/>
      <w:marLeft w:val="0"/>
      <w:marRight w:val="0"/>
      <w:marTop w:val="0"/>
      <w:marBottom w:val="0"/>
      <w:divBdr>
        <w:top w:val="none" w:sz="0" w:space="0" w:color="auto"/>
        <w:left w:val="none" w:sz="0" w:space="0" w:color="auto"/>
        <w:bottom w:val="none" w:sz="0" w:space="0" w:color="auto"/>
        <w:right w:val="none" w:sz="0" w:space="0" w:color="auto"/>
      </w:divBdr>
    </w:div>
    <w:div w:id="1139616970">
      <w:bodyDiv w:val="1"/>
      <w:marLeft w:val="0"/>
      <w:marRight w:val="0"/>
      <w:marTop w:val="0"/>
      <w:marBottom w:val="0"/>
      <w:divBdr>
        <w:top w:val="none" w:sz="0" w:space="0" w:color="auto"/>
        <w:left w:val="none" w:sz="0" w:space="0" w:color="auto"/>
        <w:bottom w:val="none" w:sz="0" w:space="0" w:color="auto"/>
        <w:right w:val="none" w:sz="0" w:space="0" w:color="auto"/>
      </w:divBdr>
    </w:div>
    <w:div w:id="1140805964">
      <w:bodyDiv w:val="1"/>
      <w:marLeft w:val="0"/>
      <w:marRight w:val="0"/>
      <w:marTop w:val="0"/>
      <w:marBottom w:val="0"/>
      <w:divBdr>
        <w:top w:val="none" w:sz="0" w:space="0" w:color="auto"/>
        <w:left w:val="none" w:sz="0" w:space="0" w:color="auto"/>
        <w:bottom w:val="none" w:sz="0" w:space="0" w:color="auto"/>
        <w:right w:val="none" w:sz="0" w:space="0" w:color="auto"/>
      </w:divBdr>
    </w:div>
    <w:div w:id="1156802540">
      <w:bodyDiv w:val="1"/>
      <w:marLeft w:val="0"/>
      <w:marRight w:val="0"/>
      <w:marTop w:val="0"/>
      <w:marBottom w:val="0"/>
      <w:divBdr>
        <w:top w:val="none" w:sz="0" w:space="0" w:color="auto"/>
        <w:left w:val="none" w:sz="0" w:space="0" w:color="auto"/>
        <w:bottom w:val="none" w:sz="0" w:space="0" w:color="auto"/>
        <w:right w:val="none" w:sz="0" w:space="0" w:color="auto"/>
      </w:divBdr>
    </w:div>
    <w:div w:id="1211915447">
      <w:bodyDiv w:val="1"/>
      <w:marLeft w:val="0"/>
      <w:marRight w:val="0"/>
      <w:marTop w:val="0"/>
      <w:marBottom w:val="0"/>
      <w:divBdr>
        <w:top w:val="none" w:sz="0" w:space="0" w:color="auto"/>
        <w:left w:val="none" w:sz="0" w:space="0" w:color="auto"/>
        <w:bottom w:val="none" w:sz="0" w:space="0" w:color="auto"/>
        <w:right w:val="none" w:sz="0" w:space="0" w:color="auto"/>
      </w:divBdr>
    </w:div>
    <w:div w:id="1214393367">
      <w:bodyDiv w:val="1"/>
      <w:marLeft w:val="0"/>
      <w:marRight w:val="0"/>
      <w:marTop w:val="0"/>
      <w:marBottom w:val="0"/>
      <w:divBdr>
        <w:top w:val="none" w:sz="0" w:space="0" w:color="auto"/>
        <w:left w:val="none" w:sz="0" w:space="0" w:color="auto"/>
        <w:bottom w:val="none" w:sz="0" w:space="0" w:color="auto"/>
        <w:right w:val="none" w:sz="0" w:space="0" w:color="auto"/>
      </w:divBdr>
    </w:div>
    <w:div w:id="1216358131">
      <w:bodyDiv w:val="1"/>
      <w:marLeft w:val="0"/>
      <w:marRight w:val="0"/>
      <w:marTop w:val="0"/>
      <w:marBottom w:val="0"/>
      <w:divBdr>
        <w:top w:val="none" w:sz="0" w:space="0" w:color="auto"/>
        <w:left w:val="none" w:sz="0" w:space="0" w:color="auto"/>
        <w:bottom w:val="none" w:sz="0" w:space="0" w:color="auto"/>
        <w:right w:val="none" w:sz="0" w:space="0" w:color="auto"/>
      </w:divBdr>
    </w:div>
    <w:div w:id="1283465639">
      <w:bodyDiv w:val="1"/>
      <w:marLeft w:val="0"/>
      <w:marRight w:val="0"/>
      <w:marTop w:val="0"/>
      <w:marBottom w:val="0"/>
      <w:divBdr>
        <w:top w:val="none" w:sz="0" w:space="0" w:color="auto"/>
        <w:left w:val="none" w:sz="0" w:space="0" w:color="auto"/>
        <w:bottom w:val="none" w:sz="0" w:space="0" w:color="auto"/>
        <w:right w:val="none" w:sz="0" w:space="0" w:color="auto"/>
      </w:divBdr>
    </w:div>
    <w:div w:id="1293363625">
      <w:bodyDiv w:val="1"/>
      <w:marLeft w:val="0"/>
      <w:marRight w:val="0"/>
      <w:marTop w:val="0"/>
      <w:marBottom w:val="0"/>
      <w:divBdr>
        <w:top w:val="none" w:sz="0" w:space="0" w:color="auto"/>
        <w:left w:val="none" w:sz="0" w:space="0" w:color="auto"/>
        <w:bottom w:val="none" w:sz="0" w:space="0" w:color="auto"/>
        <w:right w:val="none" w:sz="0" w:space="0" w:color="auto"/>
      </w:divBdr>
    </w:div>
    <w:div w:id="1300382757">
      <w:bodyDiv w:val="1"/>
      <w:marLeft w:val="0"/>
      <w:marRight w:val="0"/>
      <w:marTop w:val="0"/>
      <w:marBottom w:val="0"/>
      <w:divBdr>
        <w:top w:val="none" w:sz="0" w:space="0" w:color="auto"/>
        <w:left w:val="none" w:sz="0" w:space="0" w:color="auto"/>
        <w:bottom w:val="none" w:sz="0" w:space="0" w:color="auto"/>
        <w:right w:val="none" w:sz="0" w:space="0" w:color="auto"/>
      </w:divBdr>
    </w:div>
    <w:div w:id="1308053475">
      <w:bodyDiv w:val="1"/>
      <w:marLeft w:val="0"/>
      <w:marRight w:val="0"/>
      <w:marTop w:val="0"/>
      <w:marBottom w:val="0"/>
      <w:divBdr>
        <w:top w:val="none" w:sz="0" w:space="0" w:color="auto"/>
        <w:left w:val="none" w:sz="0" w:space="0" w:color="auto"/>
        <w:bottom w:val="none" w:sz="0" w:space="0" w:color="auto"/>
        <w:right w:val="none" w:sz="0" w:space="0" w:color="auto"/>
      </w:divBdr>
    </w:div>
    <w:div w:id="1321808066">
      <w:bodyDiv w:val="1"/>
      <w:marLeft w:val="0"/>
      <w:marRight w:val="0"/>
      <w:marTop w:val="0"/>
      <w:marBottom w:val="0"/>
      <w:divBdr>
        <w:top w:val="none" w:sz="0" w:space="0" w:color="auto"/>
        <w:left w:val="none" w:sz="0" w:space="0" w:color="auto"/>
        <w:bottom w:val="none" w:sz="0" w:space="0" w:color="auto"/>
        <w:right w:val="none" w:sz="0" w:space="0" w:color="auto"/>
      </w:divBdr>
    </w:div>
    <w:div w:id="1351836130">
      <w:bodyDiv w:val="1"/>
      <w:marLeft w:val="0"/>
      <w:marRight w:val="0"/>
      <w:marTop w:val="0"/>
      <w:marBottom w:val="0"/>
      <w:divBdr>
        <w:top w:val="none" w:sz="0" w:space="0" w:color="auto"/>
        <w:left w:val="none" w:sz="0" w:space="0" w:color="auto"/>
        <w:bottom w:val="none" w:sz="0" w:space="0" w:color="auto"/>
        <w:right w:val="none" w:sz="0" w:space="0" w:color="auto"/>
      </w:divBdr>
    </w:div>
    <w:div w:id="1386946198">
      <w:bodyDiv w:val="1"/>
      <w:marLeft w:val="0"/>
      <w:marRight w:val="0"/>
      <w:marTop w:val="0"/>
      <w:marBottom w:val="0"/>
      <w:divBdr>
        <w:top w:val="none" w:sz="0" w:space="0" w:color="auto"/>
        <w:left w:val="none" w:sz="0" w:space="0" w:color="auto"/>
        <w:bottom w:val="none" w:sz="0" w:space="0" w:color="auto"/>
        <w:right w:val="none" w:sz="0" w:space="0" w:color="auto"/>
      </w:divBdr>
    </w:div>
    <w:div w:id="1405840490">
      <w:bodyDiv w:val="1"/>
      <w:marLeft w:val="0"/>
      <w:marRight w:val="0"/>
      <w:marTop w:val="0"/>
      <w:marBottom w:val="0"/>
      <w:divBdr>
        <w:top w:val="none" w:sz="0" w:space="0" w:color="auto"/>
        <w:left w:val="none" w:sz="0" w:space="0" w:color="auto"/>
        <w:bottom w:val="none" w:sz="0" w:space="0" w:color="auto"/>
        <w:right w:val="none" w:sz="0" w:space="0" w:color="auto"/>
      </w:divBdr>
    </w:div>
    <w:div w:id="1415975971">
      <w:bodyDiv w:val="1"/>
      <w:marLeft w:val="0"/>
      <w:marRight w:val="0"/>
      <w:marTop w:val="0"/>
      <w:marBottom w:val="0"/>
      <w:divBdr>
        <w:top w:val="none" w:sz="0" w:space="0" w:color="auto"/>
        <w:left w:val="none" w:sz="0" w:space="0" w:color="auto"/>
        <w:bottom w:val="none" w:sz="0" w:space="0" w:color="auto"/>
        <w:right w:val="none" w:sz="0" w:space="0" w:color="auto"/>
      </w:divBdr>
    </w:div>
    <w:div w:id="1439372852">
      <w:bodyDiv w:val="1"/>
      <w:marLeft w:val="0"/>
      <w:marRight w:val="0"/>
      <w:marTop w:val="0"/>
      <w:marBottom w:val="0"/>
      <w:divBdr>
        <w:top w:val="none" w:sz="0" w:space="0" w:color="auto"/>
        <w:left w:val="none" w:sz="0" w:space="0" w:color="auto"/>
        <w:bottom w:val="none" w:sz="0" w:space="0" w:color="auto"/>
        <w:right w:val="none" w:sz="0" w:space="0" w:color="auto"/>
      </w:divBdr>
    </w:div>
    <w:div w:id="1463233510">
      <w:bodyDiv w:val="1"/>
      <w:marLeft w:val="0"/>
      <w:marRight w:val="0"/>
      <w:marTop w:val="0"/>
      <w:marBottom w:val="0"/>
      <w:divBdr>
        <w:top w:val="none" w:sz="0" w:space="0" w:color="auto"/>
        <w:left w:val="none" w:sz="0" w:space="0" w:color="auto"/>
        <w:bottom w:val="none" w:sz="0" w:space="0" w:color="auto"/>
        <w:right w:val="none" w:sz="0" w:space="0" w:color="auto"/>
      </w:divBdr>
    </w:div>
    <w:div w:id="1470633469">
      <w:bodyDiv w:val="1"/>
      <w:marLeft w:val="0"/>
      <w:marRight w:val="0"/>
      <w:marTop w:val="0"/>
      <w:marBottom w:val="0"/>
      <w:divBdr>
        <w:top w:val="none" w:sz="0" w:space="0" w:color="auto"/>
        <w:left w:val="none" w:sz="0" w:space="0" w:color="auto"/>
        <w:bottom w:val="none" w:sz="0" w:space="0" w:color="auto"/>
        <w:right w:val="none" w:sz="0" w:space="0" w:color="auto"/>
      </w:divBdr>
    </w:div>
    <w:div w:id="1512144580">
      <w:bodyDiv w:val="1"/>
      <w:marLeft w:val="0"/>
      <w:marRight w:val="0"/>
      <w:marTop w:val="0"/>
      <w:marBottom w:val="0"/>
      <w:divBdr>
        <w:top w:val="none" w:sz="0" w:space="0" w:color="auto"/>
        <w:left w:val="none" w:sz="0" w:space="0" w:color="auto"/>
        <w:bottom w:val="none" w:sz="0" w:space="0" w:color="auto"/>
        <w:right w:val="none" w:sz="0" w:space="0" w:color="auto"/>
      </w:divBdr>
    </w:div>
    <w:div w:id="1532036565">
      <w:bodyDiv w:val="1"/>
      <w:marLeft w:val="0"/>
      <w:marRight w:val="0"/>
      <w:marTop w:val="0"/>
      <w:marBottom w:val="0"/>
      <w:divBdr>
        <w:top w:val="none" w:sz="0" w:space="0" w:color="auto"/>
        <w:left w:val="none" w:sz="0" w:space="0" w:color="auto"/>
        <w:bottom w:val="none" w:sz="0" w:space="0" w:color="auto"/>
        <w:right w:val="none" w:sz="0" w:space="0" w:color="auto"/>
      </w:divBdr>
    </w:div>
    <w:div w:id="1547721988">
      <w:bodyDiv w:val="1"/>
      <w:marLeft w:val="0"/>
      <w:marRight w:val="0"/>
      <w:marTop w:val="0"/>
      <w:marBottom w:val="0"/>
      <w:divBdr>
        <w:top w:val="none" w:sz="0" w:space="0" w:color="auto"/>
        <w:left w:val="none" w:sz="0" w:space="0" w:color="auto"/>
        <w:bottom w:val="none" w:sz="0" w:space="0" w:color="auto"/>
        <w:right w:val="none" w:sz="0" w:space="0" w:color="auto"/>
      </w:divBdr>
    </w:div>
    <w:div w:id="1602106324">
      <w:bodyDiv w:val="1"/>
      <w:marLeft w:val="0"/>
      <w:marRight w:val="0"/>
      <w:marTop w:val="0"/>
      <w:marBottom w:val="0"/>
      <w:divBdr>
        <w:top w:val="none" w:sz="0" w:space="0" w:color="auto"/>
        <w:left w:val="none" w:sz="0" w:space="0" w:color="auto"/>
        <w:bottom w:val="none" w:sz="0" w:space="0" w:color="auto"/>
        <w:right w:val="none" w:sz="0" w:space="0" w:color="auto"/>
      </w:divBdr>
    </w:div>
    <w:div w:id="1650665759">
      <w:bodyDiv w:val="1"/>
      <w:marLeft w:val="0"/>
      <w:marRight w:val="0"/>
      <w:marTop w:val="0"/>
      <w:marBottom w:val="0"/>
      <w:divBdr>
        <w:top w:val="none" w:sz="0" w:space="0" w:color="auto"/>
        <w:left w:val="none" w:sz="0" w:space="0" w:color="auto"/>
        <w:bottom w:val="none" w:sz="0" w:space="0" w:color="auto"/>
        <w:right w:val="none" w:sz="0" w:space="0" w:color="auto"/>
      </w:divBdr>
    </w:div>
    <w:div w:id="1656495558">
      <w:bodyDiv w:val="1"/>
      <w:marLeft w:val="0"/>
      <w:marRight w:val="0"/>
      <w:marTop w:val="0"/>
      <w:marBottom w:val="0"/>
      <w:divBdr>
        <w:top w:val="none" w:sz="0" w:space="0" w:color="auto"/>
        <w:left w:val="none" w:sz="0" w:space="0" w:color="auto"/>
        <w:bottom w:val="none" w:sz="0" w:space="0" w:color="auto"/>
        <w:right w:val="none" w:sz="0" w:space="0" w:color="auto"/>
      </w:divBdr>
    </w:div>
    <w:div w:id="1658338443">
      <w:bodyDiv w:val="1"/>
      <w:marLeft w:val="0"/>
      <w:marRight w:val="0"/>
      <w:marTop w:val="0"/>
      <w:marBottom w:val="0"/>
      <w:divBdr>
        <w:top w:val="none" w:sz="0" w:space="0" w:color="auto"/>
        <w:left w:val="none" w:sz="0" w:space="0" w:color="auto"/>
        <w:bottom w:val="none" w:sz="0" w:space="0" w:color="auto"/>
        <w:right w:val="none" w:sz="0" w:space="0" w:color="auto"/>
      </w:divBdr>
    </w:div>
    <w:div w:id="1706055289">
      <w:bodyDiv w:val="1"/>
      <w:marLeft w:val="0"/>
      <w:marRight w:val="0"/>
      <w:marTop w:val="0"/>
      <w:marBottom w:val="0"/>
      <w:divBdr>
        <w:top w:val="none" w:sz="0" w:space="0" w:color="auto"/>
        <w:left w:val="none" w:sz="0" w:space="0" w:color="auto"/>
        <w:bottom w:val="none" w:sz="0" w:space="0" w:color="auto"/>
        <w:right w:val="none" w:sz="0" w:space="0" w:color="auto"/>
      </w:divBdr>
    </w:div>
    <w:div w:id="1720130926">
      <w:bodyDiv w:val="1"/>
      <w:marLeft w:val="0"/>
      <w:marRight w:val="0"/>
      <w:marTop w:val="0"/>
      <w:marBottom w:val="0"/>
      <w:divBdr>
        <w:top w:val="none" w:sz="0" w:space="0" w:color="auto"/>
        <w:left w:val="none" w:sz="0" w:space="0" w:color="auto"/>
        <w:bottom w:val="none" w:sz="0" w:space="0" w:color="auto"/>
        <w:right w:val="none" w:sz="0" w:space="0" w:color="auto"/>
      </w:divBdr>
    </w:div>
    <w:div w:id="1728410482">
      <w:bodyDiv w:val="1"/>
      <w:marLeft w:val="0"/>
      <w:marRight w:val="0"/>
      <w:marTop w:val="0"/>
      <w:marBottom w:val="0"/>
      <w:divBdr>
        <w:top w:val="none" w:sz="0" w:space="0" w:color="auto"/>
        <w:left w:val="none" w:sz="0" w:space="0" w:color="auto"/>
        <w:bottom w:val="none" w:sz="0" w:space="0" w:color="auto"/>
        <w:right w:val="none" w:sz="0" w:space="0" w:color="auto"/>
      </w:divBdr>
    </w:div>
    <w:div w:id="1739744955">
      <w:bodyDiv w:val="1"/>
      <w:marLeft w:val="0"/>
      <w:marRight w:val="0"/>
      <w:marTop w:val="0"/>
      <w:marBottom w:val="0"/>
      <w:divBdr>
        <w:top w:val="none" w:sz="0" w:space="0" w:color="auto"/>
        <w:left w:val="none" w:sz="0" w:space="0" w:color="auto"/>
        <w:bottom w:val="none" w:sz="0" w:space="0" w:color="auto"/>
        <w:right w:val="none" w:sz="0" w:space="0" w:color="auto"/>
      </w:divBdr>
    </w:div>
    <w:div w:id="1756853009">
      <w:bodyDiv w:val="1"/>
      <w:marLeft w:val="0"/>
      <w:marRight w:val="0"/>
      <w:marTop w:val="0"/>
      <w:marBottom w:val="0"/>
      <w:divBdr>
        <w:top w:val="none" w:sz="0" w:space="0" w:color="auto"/>
        <w:left w:val="none" w:sz="0" w:space="0" w:color="auto"/>
        <w:bottom w:val="none" w:sz="0" w:space="0" w:color="auto"/>
        <w:right w:val="none" w:sz="0" w:space="0" w:color="auto"/>
      </w:divBdr>
    </w:div>
    <w:div w:id="1786608072">
      <w:bodyDiv w:val="1"/>
      <w:marLeft w:val="0"/>
      <w:marRight w:val="0"/>
      <w:marTop w:val="0"/>
      <w:marBottom w:val="0"/>
      <w:divBdr>
        <w:top w:val="none" w:sz="0" w:space="0" w:color="auto"/>
        <w:left w:val="none" w:sz="0" w:space="0" w:color="auto"/>
        <w:bottom w:val="none" w:sz="0" w:space="0" w:color="auto"/>
        <w:right w:val="none" w:sz="0" w:space="0" w:color="auto"/>
      </w:divBdr>
    </w:div>
    <w:div w:id="1824464154">
      <w:bodyDiv w:val="1"/>
      <w:marLeft w:val="0"/>
      <w:marRight w:val="0"/>
      <w:marTop w:val="0"/>
      <w:marBottom w:val="0"/>
      <w:divBdr>
        <w:top w:val="none" w:sz="0" w:space="0" w:color="auto"/>
        <w:left w:val="none" w:sz="0" w:space="0" w:color="auto"/>
        <w:bottom w:val="none" w:sz="0" w:space="0" w:color="auto"/>
        <w:right w:val="none" w:sz="0" w:space="0" w:color="auto"/>
      </w:divBdr>
    </w:div>
    <w:div w:id="1847404902">
      <w:bodyDiv w:val="1"/>
      <w:marLeft w:val="0"/>
      <w:marRight w:val="0"/>
      <w:marTop w:val="0"/>
      <w:marBottom w:val="0"/>
      <w:divBdr>
        <w:top w:val="none" w:sz="0" w:space="0" w:color="auto"/>
        <w:left w:val="none" w:sz="0" w:space="0" w:color="auto"/>
        <w:bottom w:val="none" w:sz="0" w:space="0" w:color="auto"/>
        <w:right w:val="none" w:sz="0" w:space="0" w:color="auto"/>
      </w:divBdr>
    </w:div>
    <w:div w:id="1879275842">
      <w:bodyDiv w:val="1"/>
      <w:marLeft w:val="0"/>
      <w:marRight w:val="0"/>
      <w:marTop w:val="0"/>
      <w:marBottom w:val="0"/>
      <w:divBdr>
        <w:top w:val="none" w:sz="0" w:space="0" w:color="auto"/>
        <w:left w:val="none" w:sz="0" w:space="0" w:color="auto"/>
        <w:bottom w:val="none" w:sz="0" w:space="0" w:color="auto"/>
        <w:right w:val="none" w:sz="0" w:space="0" w:color="auto"/>
      </w:divBdr>
    </w:div>
    <w:div w:id="1879389234">
      <w:bodyDiv w:val="1"/>
      <w:marLeft w:val="0"/>
      <w:marRight w:val="0"/>
      <w:marTop w:val="0"/>
      <w:marBottom w:val="0"/>
      <w:divBdr>
        <w:top w:val="none" w:sz="0" w:space="0" w:color="auto"/>
        <w:left w:val="none" w:sz="0" w:space="0" w:color="auto"/>
        <w:bottom w:val="none" w:sz="0" w:space="0" w:color="auto"/>
        <w:right w:val="none" w:sz="0" w:space="0" w:color="auto"/>
      </w:divBdr>
    </w:div>
    <w:div w:id="1956326695">
      <w:bodyDiv w:val="1"/>
      <w:marLeft w:val="0"/>
      <w:marRight w:val="0"/>
      <w:marTop w:val="0"/>
      <w:marBottom w:val="0"/>
      <w:divBdr>
        <w:top w:val="none" w:sz="0" w:space="0" w:color="auto"/>
        <w:left w:val="none" w:sz="0" w:space="0" w:color="auto"/>
        <w:bottom w:val="none" w:sz="0" w:space="0" w:color="auto"/>
        <w:right w:val="none" w:sz="0" w:space="0" w:color="auto"/>
      </w:divBdr>
    </w:div>
    <w:div w:id="1986817502">
      <w:bodyDiv w:val="1"/>
      <w:marLeft w:val="0"/>
      <w:marRight w:val="0"/>
      <w:marTop w:val="0"/>
      <w:marBottom w:val="0"/>
      <w:divBdr>
        <w:top w:val="none" w:sz="0" w:space="0" w:color="auto"/>
        <w:left w:val="none" w:sz="0" w:space="0" w:color="auto"/>
        <w:bottom w:val="none" w:sz="0" w:space="0" w:color="auto"/>
        <w:right w:val="none" w:sz="0" w:space="0" w:color="auto"/>
      </w:divBdr>
    </w:div>
    <w:div w:id="2026245403">
      <w:bodyDiv w:val="1"/>
      <w:marLeft w:val="0"/>
      <w:marRight w:val="0"/>
      <w:marTop w:val="0"/>
      <w:marBottom w:val="0"/>
      <w:divBdr>
        <w:top w:val="none" w:sz="0" w:space="0" w:color="auto"/>
        <w:left w:val="none" w:sz="0" w:space="0" w:color="auto"/>
        <w:bottom w:val="none" w:sz="0" w:space="0" w:color="auto"/>
        <w:right w:val="none" w:sz="0" w:space="0" w:color="auto"/>
      </w:divBdr>
    </w:div>
    <w:div w:id="2053797879">
      <w:bodyDiv w:val="1"/>
      <w:marLeft w:val="0"/>
      <w:marRight w:val="0"/>
      <w:marTop w:val="0"/>
      <w:marBottom w:val="0"/>
      <w:divBdr>
        <w:top w:val="none" w:sz="0" w:space="0" w:color="auto"/>
        <w:left w:val="none" w:sz="0" w:space="0" w:color="auto"/>
        <w:bottom w:val="none" w:sz="0" w:space="0" w:color="auto"/>
        <w:right w:val="none" w:sz="0" w:space="0" w:color="auto"/>
      </w:divBdr>
    </w:div>
    <w:div w:id="2133204028">
      <w:bodyDiv w:val="1"/>
      <w:marLeft w:val="0"/>
      <w:marRight w:val="0"/>
      <w:marTop w:val="0"/>
      <w:marBottom w:val="0"/>
      <w:divBdr>
        <w:top w:val="none" w:sz="0" w:space="0" w:color="auto"/>
        <w:left w:val="none" w:sz="0" w:space="0" w:color="auto"/>
        <w:bottom w:val="none" w:sz="0" w:space="0" w:color="auto"/>
        <w:right w:val="none" w:sz="0" w:space="0" w:color="auto"/>
      </w:divBdr>
    </w:div>
    <w:div w:id="21429896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91.wmf"/><Relationship Id="rId21" Type="http://schemas.openxmlformats.org/officeDocument/2006/relationships/chart" Target="charts/chart12.xml"/><Relationship Id="rId42" Type="http://schemas.openxmlformats.org/officeDocument/2006/relationships/image" Target="media/image16.emf"/><Relationship Id="rId63" Type="http://schemas.openxmlformats.org/officeDocument/2006/relationships/image" Target="media/image37.wmf"/><Relationship Id="rId84" Type="http://schemas.openxmlformats.org/officeDocument/2006/relationships/image" Target="media/image58.wmf"/><Relationship Id="rId138" Type="http://schemas.openxmlformats.org/officeDocument/2006/relationships/hyperlink" Target="http://www.jefaturadelagubernatura-evaluacion.oaxaca.gob.mx/index.php/pae-sidepanel/pae-2014" TargetMode="External"/><Relationship Id="rId159" Type="http://schemas.openxmlformats.org/officeDocument/2006/relationships/hyperlink" Target="http://www.jefaturadelagubernatura-evaluacion.oaxaca.gob.mx/index.php/pae-sidepanel/pae-2014" TargetMode="External"/><Relationship Id="rId170" Type="http://schemas.openxmlformats.org/officeDocument/2006/relationships/hyperlink" Target="http://www.jefaturadelagubernatura-evaluacion.oaxaca.gob.mx/index.php/pae-sidepanel/pae-2014" TargetMode="External"/><Relationship Id="rId191" Type="http://schemas.openxmlformats.org/officeDocument/2006/relationships/hyperlink" Target="http://www.transparenciapresupuestaria.oaxaca.gob.mx/05_ev1_eprogramas.php" TargetMode="External"/><Relationship Id="rId196" Type="http://schemas.openxmlformats.org/officeDocument/2006/relationships/hyperlink" Target="mailto:jguizarj@indetec.gob.mx" TargetMode="External"/><Relationship Id="rId200" Type="http://schemas.openxmlformats.org/officeDocument/2006/relationships/footer" Target="footer1.xml"/><Relationship Id="rId16" Type="http://schemas.openxmlformats.org/officeDocument/2006/relationships/chart" Target="charts/chart8.xml"/><Relationship Id="rId107" Type="http://schemas.openxmlformats.org/officeDocument/2006/relationships/image" Target="media/image81.wmf"/><Relationship Id="rId11" Type="http://schemas.openxmlformats.org/officeDocument/2006/relationships/chart" Target="charts/chart4.xml"/><Relationship Id="rId32" Type="http://schemas.openxmlformats.org/officeDocument/2006/relationships/image" Target="media/image8.emf"/><Relationship Id="rId37" Type="http://schemas.openxmlformats.org/officeDocument/2006/relationships/image" Target="media/image11.emf"/><Relationship Id="rId53" Type="http://schemas.openxmlformats.org/officeDocument/2006/relationships/image" Target="media/image27.emf"/><Relationship Id="rId58" Type="http://schemas.openxmlformats.org/officeDocument/2006/relationships/image" Target="media/image32.wmf"/><Relationship Id="rId74" Type="http://schemas.openxmlformats.org/officeDocument/2006/relationships/image" Target="media/image48.wmf"/><Relationship Id="rId79" Type="http://schemas.openxmlformats.org/officeDocument/2006/relationships/image" Target="media/image53.wmf"/><Relationship Id="rId102" Type="http://schemas.openxmlformats.org/officeDocument/2006/relationships/image" Target="media/image76.emf"/><Relationship Id="rId123" Type="http://schemas.openxmlformats.org/officeDocument/2006/relationships/hyperlink" Target="http://www.jefaturadelagubernatura-evaluacion.oaxaca.gob.mx/index.php/pae-sidepanel/pae-2014" TargetMode="External"/><Relationship Id="rId128" Type="http://schemas.openxmlformats.org/officeDocument/2006/relationships/hyperlink" Target="http://www.jefaturadelagubernatura-evaluacion.oaxaca.gob.mx/index.php/pae-sidepanel/pae-2014" TargetMode="External"/><Relationship Id="rId144" Type="http://schemas.openxmlformats.org/officeDocument/2006/relationships/hyperlink" Target="http://www.jefaturadelagubernatura-evaluacion.oaxaca.gob.mx/index.php/pae-sidepanel/pae-2014" TargetMode="External"/><Relationship Id="rId149" Type="http://schemas.openxmlformats.org/officeDocument/2006/relationships/hyperlink" Target="http://www.jefaturadelagubernatura-evaluacion.oaxaca.gob.mx/index.php/pae-sidepanel/pae-2014" TargetMode="External"/><Relationship Id="rId5" Type="http://schemas.openxmlformats.org/officeDocument/2006/relationships/webSettings" Target="webSettings.xml"/><Relationship Id="rId90" Type="http://schemas.openxmlformats.org/officeDocument/2006/relationships/image" Target="media/image64.wmf"/><Relationship Id="rId95" Type="http://schemas.openxmlformats.org/officeDocument/2006/relationships/image" Target="media/image69.wmf"/><Relationship Id="rId160" Type="http://schemas.openxmlformats.org/officeDocument/2006/relationships/hyperlink" Target="http://www.transparenciapresupuestaria.oaxaca.gob.mx/05_ev1_eprogramas.php" TargetMode="External"/><Relationship Id="rId165" Type="http://schemas.openxmlformats.org/officeDocument/2006/relationships/hyperlink" Target="http://www.jefaturadelagubernatura-evaluacion.oaxaca.gob.mx/index.php/pae-sidepanel/pae-2014" TargetMode="External"/><Relationship Id="rId181" Type="http://schemas.openxmlformats.org/officeDocument/2006/relationships/hyperlink" Target="mailto:jguizarj@indetec.gob.mx" TargetMode="External"/><Relationship Id="rId186" Type="http://schemas.openxmlformats.org/officeDocument/2006/relationships/hyperlink" Target="http://www.jefaturadelagubernatura-evaluacion.oaxaca.gob.mx/index.php/pae-sidepanel/pae-2014" TargetMode="External"/><Relationship Id="rId22" Type="http://schemas.openxmlformats.org/officeDocument/2006/relationships/chart" Target="charts/chart13.xml"/><Relationship Id="rId27" Type="http://schemas.openxmlformats.org/officeDocument/2006/relationships/chart" Target="charts/chart17.xml"/><Relationship Id="rId43" Type="http://schemas.openxmlformats.org/officeDocument/2006/relationships/image" Target="media/image17.emf"/><Relationship Id="rId48" Type="http://schemas.openxmlformats.org/officeDocument/2006/relationships/image" Target="media/image22.emf"/><Relationship Id="rId64" Type="http://schemas.openxmlformats.org/officeDocument/2006/relationships/image" Target="media/image38.wmf"/><Relationship Id="rId69" Type="http://schemas.openxmlformats.org/officeDocument/2006/relationships/image" Target="media/image43.wmf"/><Relationship Id="rId113" Type="http://schemas.openxmlformats.org/officeDocument/2006/relationships/image" Target="media/image87.wmf"/><Relationship Id="rId118" Type="http://schemas.openxmlformats.org/officeDocument/2006/relationships/image" Target="media/image92.wmf"/><Relationship Id="rId134" Type="http://schemas.openxmlformats.org/officeDocument/2006/relationships/hyperlink" Target="http://www.jefaturadelagubernatura-evaluacion.oaxaca.gob.mx/index.php/pae-sidepanel/pae-2014" TargetMode="External"/><Relationship Id="rId139" Type="http://schemas.openxmlformats.org/officeDocument/2006/relationships/hyperlink" Target="http://www.transparenciapresupuestaria.oaxaca.gob.mx/05_ev1_eprogramas.php" TargetMode="External"/><Relationship Id="rId80" Type="http://schemas.openxmlformats.org/officeDocument/2006/relationships/image" Target="media/image54.wmf"/><Relationship Id="rId85" Type="http://schemas.openxmlformats.org/officeDocument/2006/relationships/image" Target="media/image59.wmf"/><Relationship Id="rId150" Type="http://schemas.openxmlformats.org/officeDocument/2006/relationships/hyperlink" Target="http://www.transparenciapresupuestaria.oaxaca.gob.mx/05_ev1_eprogramas.php" TargetMode="External"/><Relationship Id="rId155" Type="http://schemas.openxmlformats.org/officeDocument/2006/relationships/hyperlink" Target="http://www.jefaturadelagubernatura-evaluacion.oaxaca.gob.mx/index.php/pae-sidepanel/pae-2014" TargetMode="External"/><Relationship Id="rId171" Type="http://schemas.openxmlformats.org/officeDocument/2006/relationships/hyperlink" Target="http://www.jefaturadelagubernatura-evaluacion.oaxaca.gob.mx/index.php/pae-sidepanel/pae-2014" TargetMode="External"/><Relationship Id="rId176" Type="http://schemas.openxmlformats.org/officeDocument/2006/relationships/hyperlink" Target="http://www.jefaturadelagubernatura-evaluacion.oaxaca.gob.mx/index.php/pae-sidepanel/pae-2014" TargetMode="External"/><Relationship Id="rId192" Type="http://schemas.openxmlformats.org/officeDocument/2006/relationships/hyperlink" Target="http://www.jefaturadelagubernatura-evaluacion.oaxaca.gob.mx/index.php/pae-sidepanel/pae-2015" TargetMode="External"/><Relationship Id="rId197" Type="http://schemas.openxmlformats.org/officeDocument/2006/relationships/hyperlink" Target="http://www.transparenciapresupuestaria.oaxaca.gob.mx/05_ev1_eprogramas.php" TargetMode="External"/><Relationship Id="rId201" Type="http://schemas.openxmlformats.org/officeDocument/2006/relationships/footer" Target="footer2.xml"/><Relationship Id="rId12" Type="http://schemas.openxmlformats.org/officeDocument/2006/relationships/chart" Target="charts/chart5.xml"/><Relationship Id="rId17" Type="http://schemas.openxmlformats.org/officeDocument/2006/relationships/chart" Target="charts/chart9.xml"/><Relationship Id="rId33" Type="http://schemas.openxmlformats.org/officeDocument/2006/relationships/image" Target="media/image9.png"/><Relationship Id="rId38" Type="http://schemas.openxmlformats.org/officeDocument/2006/relationships/image" Target="media/image12.emf"/><Relationship Id="rId59" Type="http://schemas.openxmlformats.org/officeDocument/2006/relationships/image" Target="media/image33.wmf"/><Relationship Id="rId103" Type="http://schemas.openxmlformats.org/officeDocument/2006/relationships/image" Target="media/image77.emf"/><Relationship Id="rId108" Type="http://schemas.openxmlformats.org/officeDocument/2006/relationships/image" Target="media/image82.wmf"/><Relationship Id="rId124" Type="http://schemas.openxmlformats.org/officeDocument/2006/relationships/hyperlink" Target="http://www.jefaturadelagubernatura-evaluacion.oaxaca.gob.mx/index.php/pae-sidepanel/pae-2014" TargetMode="External"/><Relationship Id="rId129" Type="http://schemas.openxmlformats.org/officeDocument/2006/relationships/hyperlink" Target="http://www.jefaturadelagubernatura-evaluacion.oaxaca.gob.mx/index.php/pae-sidepanel/pae-2014" TargetMode="External"/><Relationship Id="rId54" Type="http://schemas.openxmlformats.org/officeDocument/2006/relationships/image" Target="media/image28.emf"/><Relationship Id="rId70" Type="http://schemas.openxmlformats.org/officeDocument/2006/relationships/image" Target="media/image44.wmf"/><Relationship Id="rId75" Type="http://schemas.openxmlformats.org/officeDocument/2006/relationships/image" Target="media/image49.wmf"/><Relationship Id="rId91" Type="http://schemas.openxmlformats.org/officeDocument/2006/relationships/image" Target="media/image65.wmf"/><Relationship Id="rId96" Type="http://schemas.openxmlformats.org/officeDocument/2006/relationships/image" Target="media/image70.wmf"/><Relationship Id="rId140" Type="http://schemas.openxmlformats.org/officeDocument/2006/relationships/hyperlink" Target="http://www.jefaturadelagubernatura-evaluacion.oaxaca.gob.mx/index.php/pae-sidepanel/pae-2014" TargetMode="External"/><Relationship Id="rId145" Type="http://schemas.openxmlformats.org/officeDocument/2006/relationships/hyperlink" Target="http://www.jefaturadelagubernatura-evaluacion.oaxaca.gob.mx/index.php/pae-sidepanel/pae-2014" TargetMode="External"/><Relationship Id="rId161" Type="http://schemas.openxmlformats.org/officeDocument/2006/relationships/hyperlink" Target="http://www.jefaturadelagubernatura-evaluacion.oaxaca.gob.mx/index.php/pae-sidepanel/pae-2014" TargetMode="External"/><Relationship Id="rId166" Type="http://schemas.openxmlformats.org/officeDocument/2006/relationships/hyperlink" Target="http://www.jefaturadelagubernatura-evaluacion.oaxaca.gob.mx/index.php/pae-sidepanel/pae-2014" TargetMode="External"/><Relationship Id="rId182" Type="http://schemas.openxmlformats.org/officeDocument/2006/relationships/hyperlink" Target="mailto:Guillermomartinez.cao@oaxaca.gob.mx" TargetMode="External"/><Relationship Id="rId187" Type="http://schemas.openxmlformats.org/officeDocument/2006/relationships/hyperlink" Target="http://www.jefaturadelagubernatura-evaluacion.oaxaca.gob.mx/index.php/pae-sidepanel/pae-201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4.xml"/><Relationship Id="rId28" Type="http://schemas.openxmlformats.org/officeDocument/2006/relationships/image" Target="media/image4.emf"/><Relationship Id="rId49" Type="http://schemas.openxmlformats.org/officeDocument/2006/relationships/image" Target="media/image23.emf"/><Relationship Id="rId114" Type="http://schemas.openxmlformats.org/officeDocument/2006/relationships/image" Target="media/image88.wmf"/><Relationship Id="rId119" Type="http://schemas.openxmlformats.org/officeDocument/2006/relationships/image" Target="media/image93.wmf"/><Relationship Id="rId44" Type="http://schemas.openxmlformats.org/officeDocument/2006/relationships/image" Target="media/image18.emf"/><Relationship Id="rId60" Type="http://schemas.openxmlformats.org/officeDocument/2006/relationships/image" Target="media/image34.wmf"/><Relationship Id="rId65" Type="http://schemas.openxmlformats.org/officeDocument/2006/relationships/image" Target="media/image39.wmf"/><Relationship Id="rId81" Type="http://schemas.openxmlformats.org/officeDocument/2006/relationships/image" Target="media/image55.wmf"/><Relationship Id="rId86" Type="http://schemas.openxmlformats.org/officeDocument/2006/relationships/image" Target="media/image60.wmf"/><Relationship Id="rId130" Type="http://schemas.openxmlformats.org/officeDocument/2006/relationships/hyperlink" Target="http://www.jefaturadelagubernatura-evaluacion.oaxaca.gob.mx/index.php/pae-sidepanel/pae-2014" TargetMode="External"/><Relationship Id="rId135" Type="http://schemas.openxmlformats.org/officeDocument/2006/relationships/hyperlink" Target="http://www.transparenciapresupuestaria.oaxaca.gob.mx/05_ev1_eprogramas.php" TargetMode="External"/><Relationship Id="rId151" Type="http://schemas.openxmlformats.org/officeDocument/2006/relationships/hyperlink" Target="http://www.jefaturadelagubernatura-evaluacion.oaxaca.gob.mx/index.php/pae-sidepanel/pae-2014" TargetMode="External"/><Relationship Id="rId156" Type="http://schemas.openxmlformats.org/officeDocument/2006/relationships/hyperlink" Target="http://www.transparenciapresupuestaria.oaxaca.gob.mx/05_ev1_eprogramas.php" TargetMode="External"/><Relationship Id="rId177" Type="http://schemas.openxmlformats.org/officeDocument/2006/relationships/hyperlink" Target="http://www.jefaturadelagubernatura-evaluacion.oaxaca.gob.mx/index.php/pae-sidepanel/pae-2014" TargetMode="External"/><Relationship Id="rId198" Type="http://schemas.openxmlformats.org/officeDocument/2006/relationships/header" Target="header1.xml"/><Relationship Id="rId172" Type="http://schemas.openxmlformats.org/officeDocument/2006/relationships/hyperlink" Target="mailto:jguizarj@indetec.gob.mx" TargetMode="External"/><Relationship Id="rId193" Type="http://schemas.openxmlformats.org/officeDocument/2006/relationships/hyperlink" Target="mailto:jguizarj@indetec.gob.mx" TargetMode="External"/><Relationship Id="rId202" Type="http://schemas.openxmlformats.org/officeDocument/2006/relationships/fontTable" Target="fontTable.xml"/><Relationship Id="rId13" Type="http://schemas.openxmlformats.org/officeDocument/2006/relationships/chart" Target="charts/chart6.xml"/><Relationship Id="rId18" Type="http://schemas.openxmlformats.org/officeDocument/2006/relationships/chart" Target="charts/chart10.xml"/><Relationship Id="rId39" Type="http://schemas.openxmlformats.org/officeDocument/2006/relationships/image" Target="media/image13.emf"/><Relationship Id="rId109" Type="http://schemas.openxmlformats.org/officeDocument/2006/relationships/image" Target="media/image83.wmf"/><Relationship Id="rId34" Type="http://schemas.openxmlformats.org/officeDocument/2006/relationships/chart" Target="charts/chart18.xml"/><Relationship Id="rId50" Type="http://schemas.openxmlformats.org/officeDocument/2006/relationships/image" Target="media/image24.emf"/><Relationship Id="rId55" Type="http://schemas.openxmlformats.org/officeDocument/2006/relationships/image" Target="media/image29.emf"/><Relationship Id="rId76" Type="http://schemas.openxmlformats.org/officeDocument/2006/relationships/image" Target="media/image50.wmf"/><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4.wmf"/><Relationship Id="rId125" Type="http://schemas.openxmlformats.org/officeDocument/2006/relationships/hyperlink" Target="http://www.transparenciapresupuestaria.oaxaca.gob.mx/05_ev1_eprogramas.php" TargetMode="External"/><Relationship Id="rId141" Type="http://schemas.openxmlformats.org/officeDocument/2006/relationships/hyperlink" Target="http://www.jefaturadelagubernatura-evaluacion.oaxaca.gob.mx/index.php/pae-sidepanel/pae-2014" TargetMode="External"/><Relationship Id="rId146" Type="http://schemas.openxmlformats.org/officeDocument/2006/relationships/hyperlink" Target="mailto:jguizarj@indetec.gob.mx" TargetMode="External"/><Relationship Id="rId167" Type="http://schemas.openxmlformats.org/officeDocument/2006/relationships/hyperlink" Target="mailto:jguizarj@indetec.gob.mx" TargetMode="External"/><Relationship Id="rId188" Type="http://schemas.openxmlformats.org/officeDocument/2006/relationships/hyperlink" Target="mailto:jguizarj@indetec.gob.mx" TargetMode="External"/><Relationship Id="rId7" Type="http://schemas.openxmlformats.org/officeDocument/2006/relationships/endnotes" Target="endnotes.xml"/><Relationship Id="rId71" Type="http://schemas.openxmlformats.org/officeDocument/2006/relationships/image" Target="media/image45.wmf"/><Relationship Id="rId92" Type="http://schemas.openxmlformats.org/officeDocument/2006/relationships/image" Target="media/image66.wmf"/><Relationship Id="rId162" Type="http://schemas.openxmlformats.org/officeDocument/2006/relationships/hyperlink" Target="http://www.jefaturadelagubernatura-evaluacion.oaxaca.gob.mx/index.php/pae-sidepanel/pae-2014" TargetMode="External"/><Relationship Id="rId183" Type="http://schemas.openxmlformats.org/officeDocument/2006/relationships/hyperlink" Target="mailto:Salvadorcernacevi@gmail.com" TargetMode="External"/><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image" Target="media/image3.png"/><Relationship Id="rId40" Type="http://schemas.openxmlformats.org/officeDocument/2006/relationships/image" Target="media/image14.emf"/><Relationship Id="rId45" Type="http://schemas.openxmlformats.org/officeDocument/2006/relationships/image" Target="media/image19.emf"/><Relationship Id="rId66" Type="http://schemas.openxmlformats.org/officeDocument/2006/relationships/image" Target="media/image40.wmf"/><Relationship Id="rId87" Type="http://schemas.openxmlformats.org/officeDocument/2006/relationships/image" Target="media/image61.wmf"/><Relationship Id="rId110" Type="http://schemas.openxmlformats.org/officeDocument/2006/relationships/image" Target="media/image84.wmf"/><Relationship Id="rId115" Type="http://schemas.openxmlformats.org/officeDocument/2006/relationships/image" Target="media/image89.wmf"/><Relationship Id="rId131" Type="http://schemas.openxmlformats.org/officeDocument/2006/relationships/hyperlink" Target="http://www.jefaturadelagubernatura-evaluacion.oaxaca.gob.mx/index.php/pae-sidepanel/pae-2014" TargetMode="External"/><Relationship Id="rId136" Type="http://schemas.openxmlformats.org/officeDocument/2006/relationships/hyperlink" Target="http://www.jefaturadelagubernatura-evaluacion.oaxaca.gob.mx/index.php/pae-sidepanel/pae-2014" TargetMode="External"/><Relationship Id="rId157" Type="http://schemas.openxmlformats.org/officeDocument/2006/relationships/hyperlink" Target="http://www.jefaturadelagubernatura-evaluacion.oaxaca.gob.mx/index.php/pae-sidepanel/pae-2014" TargetMode="External"/><Relationship Id="rId178" Type="http://schemas.openxmlformats.org/officeDocument/2006/relationships/hyperlink" Target="http://www.transparenciapresupuestaria.oaxaca.gob.mx/05_ev1_eprogramas.php" TargetMode="External"/><Relationship Id="rId61" Type="http://schemas.openxmlformats.org/officeDocument/2006/relationships/image" Target="media/image35.wmf"/><Relationship Id="rId82" Type="http://schemas.openxmlformats.org/officeDocument/2006/relationships/image" Target="media/image56.wmf"/><Relationship Id="rId152" Type="http://schemas.openxmlformats.org/officeDocument/2006/relationships/hyperlink" Target="http://www.jefaturadelagubernatura-evaluacion.oaxaca.gob.mx/index.php/pae-sidepanel/pae-2014" TargetMode="External"/><Relationship Id="rId173" Type="http://schemas.openxmlformats.org/officeDocument/2006/relationships/hyperlink" Target="http://www.jefaturadelagubernatura-evaluacion.oaxaca.gob.mx/index.php/pae-sidepanel/pae-2014" TargetMode="External"/><Relationship Id="rId194" Type="http://schemas.openxmlformats.org/officeDocument/2006/relationships/hyperlink" Target="http://www.transparenciapresupuestaria.oaxaca.gob.mx/05_ev1_eprogramas.php" TargetMode="External"/><Relationship Id="rId199" Type="http://schemas.openxmlformats.org/officeDocument/2006/relationships/header" Target="header2.xml"/><Relationship Id="rId203" Type="http://schemas.openxmlformats.org/officeDocument/2006/relationships/theme" Target="theme/theme1.xml"/><Relationship Id="rId19" Type="http://schemas.openxmlformats.org/officeDocument/2006/relationships/chart" Target="charts/chart11.xml"/><Relationship Id="rId14" Type="http://schemas.openxmlformats.org/officeDocument/2006/relationships/image" Target="media/image1.emf"/><Relationship Id="rId30" Type="http://schemas.openxmlformats.org/officeDocument/2006/relationships/image" Target="media/image6.emf"/><Relationship Id="rId35" Type="http://schemas.openxmlformats.org/officeDocument/2006/relationships/chart" Target="charts/chart19.xml"/><Relationship Id="rId56" Type="http://schemas.openxmlformats.org/officeDocument/2006/relationships/image" Target="media/image30.wmf"/><Relationship Id="rId77" Type="http://schemas.openxmlformats.org/officeDocument/2006/relationships/image" Target="media/image51.wmf"/><Relationship Id="rId100" Type="http://schemas.openxmlformats.org/officeDocument/2006/relationships/image" Target="media/image74.emf"/><Relationship Id="rId105" Type="http://schemas.openxmlformats.org/officeDocument/2006/relationships/image" Target="media/image79.emf"/><Relationship Id="rId126" Type="http://schemas.openxmlformats.org/officeDocument/2006/relationships/hyperlink" Target="http://www.jefaturadelagubernatura-evaluacion.oaxaca.gob.mx/index.php/pae-sidepanel/pae-2014" TargetMode="External"/><Relationship Id="rId147" Type="http://schemas.openxmlformats.org/officeDocument/2006/relationships/hyperlink" Target="mailto:Ieepo.direcciongeneral@oaxaca.gob.mx" TargetMode="External"/><Relationship Id="rId168" Type="http://schemas.openxmlformats.org/officeDocument/2006/relationships/hyperlink" Target="http://www.jefaturadelagubernatura-evaluacion.oaxaca.gob.mx/index.php/pae-sidepanel/pae-2014" TargetMode="External"/><Relationship Id="rId8" Type="http://schemas.openxmlformats.org/officeDocument/2006/relationships/chart" Target="charts/chart1.xml"/><Relationship Id="rId51" Type="http://schemas.openxmlformats.org/officeDocument/2006/relationships/image" Target="media/image25.emf"/><Relationship Id="rId72" Type="http://schemas.openxmlformats.org/officeDocument/2006/relationships/image" Target="media/image46.wmf"/><Relationship Id="rId93" Type="http://schemas.openxmlformats.org/officeDocument/2006/relationships/image" Target="media/image67.wmf"/><Relationship Id="rId98" Type="http://schemas.openxmlformats.org/officeDocument/2006/relationships/image" Target="media/image72.wmf"/><Relationship Id="rId121" Type="http://schemas.openxmlformats.org/officeDocument/2006/relationships/image" Target="media/image95.jpeg"/><Relationship Id="rId142" Type="http://schemas.openxmlformats.org/officeDocument/2006/relationships/hyperlink" Target="http://www.jefaturadelagubernatura-evaluacion.oaxaca.gob.mx/index.php/pae-sidepanel/pae-2014" TargetMode="External"/><Relationship Id="rId163" Type="http://schemas.openxmlformats.org/officeDocument/2006/relationships/hyperlink" Target="http://www.jefaturadelagubernatura-evaluacion.oaxaca.gob.mx/index.php/pae-sidepanel/pae-2014" TargetMode="External"/><Relationship Id="rId184" Type="http://schemas.openxmlformats.org/officeDocument/2006/relationships/hyperlink" Target="http://www.jefaturadelagubernatura-evaluacion.oaxaca.gob.mx/index.php/pae-sidepanel/pae-2014" TargetMode="External"/><Relationship Id="rId189" Type="http://schemas.openxmlformats.org/officeDocument/2006/relationships/hyperlink" Target="mailto:Ieepo.direcciongeneral@oaxaca.gob.mx" TargetMode="External"/><Relationship Id="rId3" Type="http://schemas.openxmlformats.org/officeDocument/2006/relationships/styles" Target="styles.xml"/><Relationship Id="rId25" Type="http://schemas.openxmlformats.org/officeDocument/2006/relationships/chart" Target="charts/chart15.xml"/><Relationship Id="rId46" Type="http://schemas.openxmlformats.org/officeDocument/2006/relationships/image" Target="media/image20.emf"/><Relationship Id="rId67" Type="http://schemas.openxmlformats.org/officeDocument/2006/relationships/image" Target="media/image41.wmf"/><Relationship Id="rId116" Type="http://schemas.openxmlformats.org/officeDocument/2006/relationships/image" Target="media/image90.wmf"/><Relationship Id="rId137" Type="http://schemas.openxmlformats.org/officeDocument/2006/relationships/hyperlink" Target="http://www.jefaturadelagubernatura-evaluacion.oaxaca.gob.mx/index.php/pae-sidepanel/pae-2014" TargetMode="External"/><Relationship Id="rId158" Type="http://schemas.openxmlformats.org/officeDocument/2006/relationships/hyperlink" Target="http://www.jefaturadelagubernatura-evaluacion.oaxaca.gob.mx/index.php/pae-sidepanel/pae-2014" TargetMode="External"/><Relationship Id="rId20" Type="http://schemas.openxmlformats.org/officeDocument/2006/relationships/image" Target="media/image2.emf"/><Relationship Id="rId41" Type="http://schemas.openxmlformats.org/officeDocument/2006/relationships/image" Target="media/image15.emf"/><Relationship Id="rId62" Type="http://schemas.openxmlformats.org/officeDocument/2006/relationships/image" Target="media/image36.wmf"/><Relationship Id="rId83" Type="http://schemas.openxmlformats.org/officeDocument/2006/relationships/image" Target="media/image57.wmf"/><Relationship Id="rId88" Type="http://schemas.openxmlformats.org/officeDocument/2006/relationships/image" Target="media/image62.wmf"/><Relationship Id="rId111" Type="http://schemas.openxmlformats.org/officeDocument/2006/relationships/image" Target="media/image85.wmf"/><Relationship Id="rId132" Type="http://schemas.openxmlformats.org/officeDocument/2006/relationships/hyperlink" Target="http://www.jefaturadelagubernatura-evaluacion.oaxaca.gob.mx/index.php/pae-sidepanel/pae-2014" TargetMode="External"/><Relationship Id="rId153" Type="http://schemas.openxmlformats.org/officeDocument/2006/relationships/hyperlink" Target="mailto:Guillermomartinez.cao@oaxaca.gob.mx" TargetMode="External"/><Relationship Id="rId174" Type="http://schemas.openxmlformats.org/officeDocument/2006/relationships/hyperlink" Target="http://www.transparenciapresupuestaria.oaxaca.gob.mx/05_ev1_eprogramas.php" TargetMode="External"/><Relationship Id="rId179" Type="http://schemas.openxmlformats.org/officeDocument/2006/relationships/hyperlink" Target="http://www.jefaturadelagubernatura-evaluacion.oaxaca.gob.mx/index.php/pae-sidepanel/pae-2014" TargetMode="External"/><Relationship Id="rId195" Type="http://schemas.openxmlformats.org/officeDocument/2006/relationships/hyperlink" Target="http://www.jefaturadelagubernatura-evaluacion.oaxaca.gob.mx/index.php/pae-sidepanel/pae-2015" TargetMode="External"/><Relationship Id="rId190" Type="http://schemas.openxmlformats.org/officeDocument/2006/relationships/hyperlink" Target="mailto:direcciongral@ieepo.edu.mx" TargetMode="External"/><Relationship Id="rId204" Type="http://schemas.microsoft.com/office/2007/relationships/stylesWithEffects" Target="stylesWithEffects.xml"/><Relationship Id="rId15" Type="http://schemas.openxmlformats.org/officeDocument/2006/relationships/chart" Target="charts/chart7.xml"/><Relationship Id="rId36" Type="http://schemas.openxmlformats.org/officeDocument/2006/relationships/image" Target="media/image10.emf"/><Relationship Id="rId57" Type="http://schemas.openxmlformats.org/officeDocument/2006/relationships/image" Target="media/image31.wmf"/><Relationship Id="rId106" Type="http://schemas.openxmlformats.org/officeDocument/2006/relationships/image" Target="media/image80.emf"/><Relationship Id="rId127" Type="http://schemas.openxmlformats.org/officeDocument/2006/relationships/hyperlink" Target="http://www.jefaturadelagubernatura-evaluacion.oaxaca.gob.mx/index.php/pae-sidepanel/pae-2014" TargetMode="External"/><Relationship Id="rId10" Type="http://schemas.openxmlformats.org/officeDocument/2006/relationships/chart" Target="charts/chart3.xml"/><Relationship Id="rId31" Type="http://schemas.openxmlformats.org/officeDocument/2006/relationships/image" Target="media/image7.emf"/><Relationship Id="rId52" Type="http://schemas.openxmlformats.org/officeDocument/2006/relationships/image" Target="media/image26.emf"/><Relationship Id="rId73" Type="http://schemas.openxmlformats.org/officeDocument/2006/relationships/image" Target="media/image47.emf"/><Relationship Id="rId78" Type="http://schemas.openxmlformats.org/officeDocument/2006/relationships/image" Target="media/image52.wmf"/><Relationship Id="rId94" Type="http://schemas.openxmlformats.org/officeDocument/2006/relationships/image" Target="media/image68.wmf"/><Relationship Id="rId99" Type="http://schemas.openxmlformats.org/officeDocument/2006/relationships/image" Target="media/image73.emf"/><Relationship Id="rId101" Type="http://schemas.openxmlformats.org/officeDocument/2006/relationships/image" Target="media/image75.emf"/><Relationship Id="rId122" Type="http://schemas.openxmlformats.org/officeDocument/2006/relationships/image" Target="media/image96.jpeg"/><Relationship Id="rId143" Type="http://schemas.openxmlformats.org/officeDocument/2006/relationships/hyperlink" Target="http://www.jefaturadelagubernatura-evaluacion.oaxaca.gob.mx/index.php/pae-sidepanel/pae-2014" TargetMode="External"/><Relationship Id="rId148" Type="http://schemas.openxmlformats.org/officeDocument/2006/relationships/hyperlink" Target="mailto:direcciongral@ieepo.edu.mx" TargetMode="External"/><Relationship Id="rId164" Type="http://schemas.openxmlformats.org/officeDocument/2006/relationships/hyperlink" Target="http://www.transparenciapresupuestaria.oaxaca.gob.mx/05_ev1_eprogramas.php" TargetMode="External"/><Relationship Id="rId169" Type="http://schemas.openxmlformats.org/officeDocument/2006/relationships/hyperlink" Target="http://www.transparenciapresupuestaria.oaxaca.gob.mx/05_ev1_eprogramas.php" TargetMode="External"/><Relationship Id="rId185" Type="http://schemas.openxmlformats.org/officeDocument/2006/relationships/hyperlink" Target="http://www.transparenciapresupuestaria.oaxaca.gob.mx/05_ev1_eprogramas.php" TargetMode="External"/><Relationship Id="rId4" Type="http://schemas.openxmlformats.org/officeDocument/2006/relationships/settings" Target="settings.xml"/><Relationship Id="rId9" Type="http://schemas.openxmlformats.org/officeDocument/2006/relationships/chart" Target="charts/chart2.xml"/><Relationship Id="rId180" Type="http://schemas.openxmlformats.org/officeDocument/2006/relationships/hyperlink" Target="http://www.jefaturadelagubernatura-evaluacion.oaxaca.gob.mx/index.php/pae-sidepanel/pae-2014" TargetMode="External"/><Relationship Id="rId26" Type="http://schemas.openxmlformats.org/officeDocument/2006/relationships/chart" Target="charts/chart16.xml"/><Relationship Id="rId47" Type="http://schemas.openxmlformats.org/officeDocument/2006/relationships/image" Target="media/image21.emf"/><Relationship Id="rId68" Type="http://schemas.openxmlformats.org/officeDocument/2006/relationships/image" Target="media/image42.wmf"/><Relationship Id="rId89" Type="http://schemas.openxmlformats.org/officeDocument/2006/relationships/image" Target="media/image63.wmf"/><Relationship Id="rId112" Type="http://schemas.openxmlformats.org/officeDocument/2006/relationships/image" Target="media/image86.wmf"/><Relationship Id="rId133" Type="http://schemas.openxmlformats.org/officeDocument/2006/relationships/hyperlink" Target="http://www.jefaturadelagubernatura-evaluacion.oaxaca.gob.mx/index.php/pae-sidepanel/pae-2014" TargetMode="External"/><Relationship Id="rId154" Type="http://schemas.openxmlformats.org/officeDocument/2006/relationships/hyperlink" Target="mailto:Salvadorcernacevi@gmail.com" TargetMode="External"/><Relationship Id="rId175" Type="http://schemas.openxmlformats.org/officeDocument/2006/relationships/hyperlink" Target="http://www.jefaturadelagubernatura-evaluacion.oaxaca.gob.mx/index.php/pae-sidepanel/pae-2014"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1.emf"/></Relationships>
</file>

<file path=word/_rels/footer2.xml.rels><?xml version="1.0" encoding="UTF-8" standalone="yes"?>
<Relationships xmlns="http://schemas.openxmlformats.org/package/2006/relationships"><Relationship Id="rId2" Type="http://schemas.openxmlformats.org/officeDocument/2006/relationships/image" Target="media/image101.emf"/><Relationship Id="rId1" Type="http://schemas.openxmlformats.org/officeDocument/2006/relationships/image" Target="media/image102.emf"/></Relationships>
</file>

<file path=word/_rels/header1.xml.rels><?xml version="1.0" encoding="UTF-8" standalone="yes"?>
<Relationships xmlns="http://schemas.openxmlformats.org/package/2006/relationships"><Relationship Id="rId3" Type="http://schemas.openxmlformats.org/officeDocument/2006/relationships/image" Target="media/image99.emf"/><Relationship Id="rId2" Type="http://schemas.openxmlformats.org/officeDocument/2006/relationships/image" Target="media/image98.emf"/><Relationship Id="rId1" Type="http://schemas.openxmlformats.org/officeDocument/2006/relationships/image" Target="media/image97.emf"/></Relationships>
</file>

<file path=word/_rels/header2.xml.rels><?xml version="1.0" encoding="UTF-8" standalone="yes"?>
<Relationships xmlns="http://schemas.openxmlformats.org/package/2006/relationships"><Relationship Id="rId1" Type="http://schemas.openxmlformats.org/officeDocument/2006/relationships/image" Target="media/image10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SOPORTE\Dropbox\SEFIN\PIB,%20PIBE,%20sectores,%20oaxaca%20vs%20nacional%20oc2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lterna\Desktop\IED%20oax%20Flujosporentidadfederativa2%20mar%202016.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lterna\Downloads\INP_INP20160313225829.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Documents\2015\AVANCE,%20DETALLE%20Y%20TG%20AREA%20CENTRAL\T.G\12%20Tablero%20Global%20Ene-Dic%202015%20(20012016)v.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Documents\2015\AVANCE,%20DETALLE%20Y%20TG%20AREA%20CENTRAL\T.G\12%20Tablero%20Global%20Ene-Dic%202015%20(20012016)v.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LORENA\2014\INFORMACION%202014\CONTABILIDAD\informes\cuenta%20p&#250;blica%202014\VARIOS%20INTEGRA%20CTA%20PUBLICA\graficas%20ingresos%20gestion2014.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dell\Desktop\2015\Cuenta%20P&#250;blica%202014\graficas%20ingresos%20ges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terna\Downloads\BIE_BIE20160306192905%20(version%201).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terna\Downloads\BIE_BIE20160306192905%20(version%201).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terna\Downloads\BIE_BIE20160306192905%20(version%201).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terna\Downloads\BIE_BIE20160306192905%20(version%201).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terna\Desktop\CUENTA%20PUBLICA%20empleo%20por%20actividad%20oct21%20actualizado%20mar201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LENOVO\Desktop\Cuenta%20P&#250;blica.%20Ingresos%20Marzo%20201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lterna\Desktop\CUENTA%20PUBLICA%20empleo%20por%20actividad%20oct21%20actualizado%20mar201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LENOVO\Desktop\Cuenta%20P&#250;blica.%20Ingresos%20Marzo%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lgn="ctr">
              <a:defRPr sz="1200"/>
            </a:pPr>
            <a:r>
              <a:rPr lang="es-MX" sz="1200" b="1" i="0" baseline="0">
                <a:effectLst/>
                <a:latin typeface="Arial Narrow" pitchFamily="34" charset="0"/>
              </a:rPr>
              <a:t>ESTADO DE OAXACA: PIBE (2005-2014)</a:t>
            </a:r>
            <a:endParaRPr lang="en-US" sz="1200">
              <a:latin typeface="Arial Narrow" pitchFamily="34" charset="0"/>
            </a:endParaRPr>
          </a:p>
        </c:rich>
      </c:tx>
      <c:layout>
        <c:manualLayout>
          <c:xMode val="edge"/>
          <c:yMode val="edge"/>
          <c:x val="0.23513128119148194"/>
          <c:y val="0"/>
        </c:manualLayout>
      </c:layout>
    </c:title>
    <c:plotArea>
      <c:layout>
        <c:manualLayout>
          <c:layoutTarget val="inner"/>
          <c:xMode val="edge"/>
          <c:yMode val="edge"/>
          <c:x val="0.13631459839951468"/>
          <c:y val="0.15987188664354018"/>
          <c:w val="0.8328898807726165"/>
          <c:h val="0.60933722445533467"/>
        </c:manualLayout>
      </c:layout>
      <c:barChart>
        <c:barDir val="col"/>
        <c:grouping val="clustered"/>
        <c:ser>
          <c:idx val="0"/>
          <c:order val="0"/>
          <c:tx>
            <c:strRef>
              <c:f>'PIBE OAXACA'!$W$6</c:f>
              <c:strCache>
                <c:ptCount val="1"/>
                <c:pt idx="0">
                  <c:v>PIBE</c:v>
                </c:pt>
              </c:strCache>
            </c:strRef>
          </c:tx>
          <c:dLbls>
            <c:numFmt formatCode="#,##0" sourceLinked="0"/>
            <c:spPr>
              <a:noFill/>
              <a:ln>
                <a:noFill/>
              </a:ln>
              <a:effectLst/>
            </c:spPr>
            <c:txPr>
              <a:bodyPr rot="-5400000" vert="horz"/>
              <a:lstStyle/>
              <a:p>
                <a:pPr>
                  <a:defRPr>
                    <a:solidFill>
                      <a:schemeClr val="bg1"/>
                    </a:solidFill>
                  </a:defRPr>
                </a:pPr>
                <a:endParaRPr lang="es-MX"/>
              </a:p>
            </c:txPr>
            <c:dLblPos val="inEnd"/>
            <c:showVal val="1"/>
            <c:extLst>
              <c:ext xmlns:c15="http://schemas.microsoft.com/office/drawing/2012/chart" uri="{CE6537A1-D6FC-4f65-9D91-7224C49458BB}">
                <c15:layout/>
                <c15:showLeaderLines val="0"/>
              </c:ext>
            </c:extLst>
          </c:dLbls>
          <c:cat>
            <c:numRef>
              <c:f>'PIBE OAXACA'!$V$8:$V$17</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'PIBE OAXACA'!$W$8:$W$17</c:f>
              <c:numCache>
                <c:formatCode>#,##0.00</c:formatCode>
                <c:ptCount val="10"/>
                <c:pt idx="0">
                  <c:v>175914.345</c:v>
                </c:pt>
                <c:pt idx="1">
                  <c:v>178421.87900000002</c:v>
                </c:pt>
                <c:pt idx="2">
                  <c:v>181732.16600000003</c:v>
                </c:pt>
                <c:pt idx="3">
                  <c:v>183904.85099999965</c:v>
                </c:pt>
                <c:pt idx="4">
                  <c:v>182120.24300000007</c:v>
                </c:pt>
                <c:pt idx="5">
                  <c:v>185660.05599999998</c:v>
                </c:pt>
                <c:pt idx="6">
                  <c:v>194106.85599999968</c:v>
                </c:pt>
                <c:pt idx="7">
                  <c:v>199424.802</c:v>
                </c:pt>
                <c:pt idx="8" formatCode="#,##0">
                  <c:v>204829</c:v>
                </c:pt>
                <c:pt idx="9" formatCode="#,##0">
                  <c:v>208849</c:v>
                </c:pt>
              </c:numCache>
            </c:numRef>
          </c:val>
        </c:ser>
        <c:axId val="131750528"/>
        <c:axId val="131803776"/>
      </c:barChart>
      <c:catAx>
        <c:axId val="131750528"/>
        <c:scaling>
          <c:orientation val="minMax"/>
        </c:scaling>
        <c:axPos val="b"/>
        <c:numFmt formatCode="General" sourceLinked="1"/>
        <c:tickLblPos val="nextTo"/>
        <c:crossAx val="131803776"/>
        <c:crosses val="autoZero"/>
        <c:auto val="1"/>
        <c:lblAlgn val="ctr"/>
        <c:lblOffset val="100"/>
      </c:catAx>
      <c:valAx>
        <c:axId val="131803776"/>
        <c:scaling>
          <c:orientation val="minMax"/>
          <c:max val="250000"/>
          <c:min val="0"/>
        </c:scaling>
        <c:axPos val="l"/>
        <c:majorGridlines>
          <c:spPr>
            <a:ln>
              <a:noFill/>
            </a:ln>
          </c:spPr>
        </c:majorGridlines>
        <c:numFmt formatCode="#,##0" sourceLinked="0"/>
        <c:tickLblPos val="nextTo"/>
        <c:crossAx val="131750528"/>
        <c:crosses val="autoZero"/>
        <c:crossBetween val="between"/>
      </c:valAx>
    </c:plotArea>
    <c:plotVisOnly val="1"/>
    <c:dispBlanksAs val="gap"/>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sz="1200">
                <a:latin typeface="Arial Narrow" pitchFamily="34" charset="0"/>
              </a:defRPr>
            </a:pPr>
            <a:r>
              <a:rPr lang="es-MX" sz="1200" b="1" i="0" baseline="0">
                <a:effectLst/>
                <a:latin typeface="Arial Narrow" pitchFamily="34" charset="0"/>
              </a:rPr>
              <a:t>ESTADO DE OAXACA: </a:t>
            </a:r>
          </a:p>
          <a:p>
            <a:pPr>
              <a:defRPr sz="1200">
                <a:latin typeface="Arial Narrow" pitchFamily="34" charset="0"/>
              </a:defRPr>
            </a:pPr>
            <a:r>
              <a:rPr lang="es-MX" sz="1200" b="1" i="0" baseline="0">
                <a:effectLst/>
                <a:latin typeface="Arial Narrow" pitchFamily="34" charset="0"/>
              </a:rPr>
              <a:t>EVOLUCIÓN DE LA IED, POR COMPONENTES (2005-2015)* </a:t>
            </a:r>
            <a:endParaRPr lang="es-MX" sz="1200">
              <a:effectLst/>
              <a:latin typeface="Arial Narrow" pitchFamily="34" charset="0"/>
            </a:endParaRPr>
          </a:p>
        </c:rich>
      </c:tx>
    </c:title>
    <c:plotArea>
      <c:layout/>
      <c:barChart>
        <c:barDir val="col"/>
        <c:grouping val="stacked"/>
        <c:ser>
          <c:idx val="0"/>
          <c:order val="0"/>
          <c:tx>
            <c:strRef>
              <c:f>'calculos oax'!$A$8</c:f>
              <c:strCache>
                <c:ptCount val="1"/>
                <c:pt idx="0">
                  <c:v>Nuevas inversiones</c:v>
                </c:pt>
              </c:strCache>
            </c:strRef>
          </c:tx>
          <c:spPr>
            <a:solidFill>
              <a:schemeClr val="accent3"/>
            </a:solidFill>
          </c:spPr>
          <c:cat>
            <c:numRef>
              <c:f>'calculos oax'!$B$7:$L$7</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'calculos oax'!$B$8:$L$8</c:f>
              <c:numCache>
                <c:formatCode>#,##0.0</c:formatCode>
                <c:ptCount val="11"/>
                <c:pt idx="0">
                  <c:v>52.473778140000213</c:v>
                </c:pt>
                <c:pt idx="1">
                  <c:v>29.894347560000003</c:v>
                </c:pt>
                <c:pt idx="2">
                  <c:v>71.103727849999558</c:v>
                </c:pt>
                <c:pt idx="3">
                  <c:v>39.966340880000011</c:v>
                </c:pt>
                <c:pt idx="4">
                  <c:v>85.821196290000003</c:v>
                </c:pt>
                <c:pt idx="5">
                  <c:v>31.153145279999986</c:v>
                </c:pt>
                <c:pt idx="6">
                  <c:v>9.859882580000102</c:v>
                </c:pt>
                <c:pt idx="7">
                  <c:v>83.480651699999996</c:v>
                </c:pt>
                <c:pt idx="8">
                  <c:v>1453.8139976399998</c:v>
                </c:pt>
                <c:pt idx="9">
                  <c:v>53.271448300000003</c:v>
                </c:pt>
                <c:pt idx="10">
                  <c:v>83.627313490000006</c:v>
                </c:pt>
              </c:numCache>
            </c:numRef>
          </c:val>
        </c:ser>
        <c:ser>
          <c:idx val="1"/>
          <c:order val="1"/>
          <c:tx>
            <c:strRef>
              <c:f>'calculos oax'!$A$9</c:f>
              <c:strCache>
                <c:ptCount val="1"/>
                <c:pt idx="0">
                  <c:v>Reinversión de utilidades</c:v>
                </c:pt>
              </c:strCache>
            </c:strRef>
          </c:tx>
          <c:cat>
            <c:numRef>
              <c:f>'calculos oax'!$B$7:$L$7</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'calculos oax'!$B$9:$L$9</c:f>
              <c:numCache>
                <c:formatCode>#,##0.0</c:formatCode>
                <c:ptCount val="11"/>
                <c:pt idx="0">
                  <c:v>51.793956700000365</c:v>
                </c:pt>
                <c:pt idx="1">
                  <c:v>73.41492325000111</c:v>
                </c:pt>
                <c:pt idx="2">
                  <c:v>87.031591129999981</c:v>
                </c:pt>
                <c:pt idx="3">
                  <c:v>107.65482759000001</c:v>
                </c:pt>
                <c:pt idx="4">
                  <c:v>69.125296400000011</c:v>
                </c:pt>
                <c:pt idx="5">
                  <c:v>47.825145270000213</c:v>
                </c:pt>
                <c:pt idx="6">
                  <c:v>75.554487069999979</c:v>
                </c:pt>
                <c:pt idx="7">
                  <c:v>72.423723530000004</c:v>
                </c:pt>
                <c:pt idx="8">
                  <c:v>103.04160816999999</c:v>
                </c:pt>
                <c:pt idx="9">
                  <c:v>181.59787144000001</c:v>
                </c:pt>
                <c:pt idx="10">
                  <c:v>109.78264360000061</c:v>
                </c:pt>
              </c:numCache>
            </c:numRef>
          </c:val>
        </c:ser>
        <c:ser>
          <c:idx val="2"/>
          <c:order val="2"/>
          <c:tx>
            <c:strRef>
              <c:f>'calculos oax'!$A$10</c:f>
              <c:strCache>
                <c:ptCount val="1"/>
                <c:pt idx="0">
                  <c:v>Cuentas entre compañías</c:v>
                </c:pt>
              </c:strCache>
            </c:strRef>
          </c:tx>
          <c:spPr>
            <a:solidFill>
              <a:schemeClr val="accent1"/>
            </a:solidFill>
          </c:spPr>
          <c:cat>
            <c:numRef>
              <c:f>'calculos oax'!$B$7:$L$7</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'calculos oax'!$B$10:$L$10</c:f>
              <c:numCache>
                <c:formatCode>#,##0.0</c:formatCode>
                <c:ptCount val="11"/>
                <c:pt idx="0">
                  <c:v>22.320451590000001</c:v>
                </c:pt>
                <c:pt idx="1">
                  <c:v>7.0079604600000005</c:v>
                </c:pt>
                <c:pt idx="2">
                  <c:v>14.577524140000001</c:v>
                </c:pt>
                <c:pt idx="3">
                  <c:v>53.102854120000003</c:v>
                </c:pt>
                <c:pt idx="4">
                  <c:v>80.941302749999991</c:v>
                </c:pt>
                <c:pt idx="5">
                  <c:v>37.630529240000314</c:v>
                </c:pt>
                <c:pt idx="6">
                  <c:v>91.250780699999979</c:v>
                </c:pt>
                <c:pt idx="7">
                  <c:v>194.33723617000157</c:v>
                </c:pt>
                <c:pt idx="8">
                  <c:v>379.80569745000003</c:v>
                </c:pt>
                <c:pt idx="9">
                  <c:v>244.93947971999998</c:v>
                </c:pt>
                <c:pt idx="10">
                  <c:v>-12.467310629999986</c:v>
                </c:pt>
              </c:numCache>
            </c:numRef>
          </c:val>
        </c:ser>
        <c:overlap val="100"/>
        <c:axId val="82217984"/>
        <c:axId val="82227968"/>
      </c:barChart>
      <c:lineChart>
        <c:grouping val="standard"/>
        <c:ser>
          <c:idx val="3"/>
          <c:order val="3"/>
          <c:tx>
            <c:strRef>
              <c:f>'calculos oax'!$A$11</c:f>
              <c:strCache>
                <c:ptCount val="1"/>
                <c:pt idx="0">
                  <c:v>Total general</c:v>
                </c:pt>
              </c:strCache>
            </c:strRef>
          </c:tx>
          <c:spPr>
            <a:ln>
              <a:noFill/>
            </a:ln>
          </c:spPr>
          <c:marker>
            <c:symbol val="none"/>
          </c:marker>
          <c:dLbls>
            <c:numFmt formatCode="#,##0" sourceLinked="0"/>
            <c:spPr>
              <a:noFill/>
              <a:ln>
                <a:noFill/>
              </a:ln>
              <a:effectLst/>
            </c:spPr>
            <c:dLblPos val="t"/>
            <c:showVal val="1"/>
            <c:extLst>
              <c:ext xmlns:c15="http://schemas.microsoft.com/office/drawing/2012/chart" uri="{CE6537A1-D6FC-4f65-9D91-7224C49458BB}">
                <c15:layout/>
                <c15:showLeaderLines val="0"/>
              </c:ext>
            </c:extLst>
          </c:dLbls>
          <c:cat>
            <c:numRef>
              <c:f>'calculos oax'!$B$7:$L$7</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'calculos oax'!$B$11:$L$11</c:f>
              <c:numCache>
                <c:formatCode>#,##0.0</c:formatCode>
                <c:ptCount val="11"/>
                <c:pt idx="0">
                  <c:v>126.58818642999998</c:v>
                </c:pt>
                <c:pt idx="1">
                  <c:v>110.31723127000002</c:v>
                </c:pt>
                <c:pt idx="2">
                  <c:v>172.71284311999997</c:v>
                </c:pt>
                <c:pt idx="3">
                  <c:v>200.72402259</c:v>
                </c:pt>
                <c:pt idx="4">
                  <c:v>235.88779544000027</c:v>
                </c:pt>
                <c:pt idx="5">
                  <c:v>116.60881979</c:v>
                </c:pt>
                <c:pt idx="6">
                  <c:v>176.66515035000003</c:v>
                </c:pt>
                <c:pt idx="7">
                  <c:v>350.2416113999999</c:v>
                </c:pt>
                <c:pt idx="8">
                  <c:v>1936.6613032599842</c:v>
                </c:pt>
                <c:pt idx="9">
                  <c:v>479.80879945999823</c:v>
                </c:pt>
                <c:pt idx="10">
                  <c:v>180.94264646000047</c:v>
                </c:pt>
              </c:numCache>
            </c:numRef>
          </c:val>
        </c:ser>
        <c:marker val="1"/>
        <c:axId val="82217984"/>
        <c:axId val="82227968"/>
      </c:lineChart>
      <c:catAx>
        <c:axId val="82217984"/>
        <c:scaling>
          <c:orientation val="minMax"/>
        </c:scaling>
        <c:axPos val="b"/>
        <c:numFmt formatCode="General" sourceLinked="1"/>
        <c:tickLblPos val="nextTo"/>
        <c:crossAx val="82227968"/>
        <c:crosses val="autoZero"/>
        <c:auto val="1"/>
        <c:lblAlgn val="ctr"/>
        <c:lblOffset val="100"/>
      </c:catAx>
      <c:valAx>
        <c:axId val="82227968"/>
        <c:scaling>
          <c:orientation val="minMax"/>
          <c:max val="2500"/>
          <c:min val="0"/>
        </c:scaling>
        <c:axPos val="l"/>
        <c:majorGridlines>
          <c:spPr>
            <a:ln>
              <a:noFill/>
            </a:ln>
          </c:spPr>
        </c:majorGridlines>
        <c:numFmt formatCode="#,##0" sourceLinked="0"/>
        <c:tickLblPos val="nextTo"/>
        <c:crossAx val="82217984"/>
        <c:crosses val="autoZero"/>
        <c:crossBetween val="between"/>
        <c:majorUnit val="500"/>
      </c:valAx>
    </c:plotArea>
    <c:legend>
      <c:legendPos val="t"/>
      <c:legendEntry>
        <c:idx val="3"/>
        <c:delete val="1"/>
      </c:legendEntry>
    </c:legend>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sz="1200">
                <a:latin typeface="Arial Narrow" pitchFamily="34" charset="0"/>
              </a:defRPr>
            </a:pPr>
            <a:r>
              <a:rPr lang="es-MX" sz="1200" b="1" i="0" baseline="0">
                <a:effectLst/>
                <a:latin typeface="Arial Narrow" pitchFamily="34" charset="0"/>
              </a:rPr>
              <a:t>VARIACIÓN ANUAL DEL INPC, TOTAL NACIONAL Y DE CIUDADES DEL ESTADO QUE LO INTEGRAN (2005-2015)</a:t>
            </a:r>
            <a:endParaRPr lang="es-MX" sz="1200">
              <a:effectLst/>
              <a:latin typeface="Arial Narrow" pitchFamily="34" charset="0"/>
            </a:endParaRPr>
          </a:p>
        </c:rich>
      </c:tx>
    </c:title>
    <c:plotArea>
      <c:layout/>
      <c:lineChart>
        <c:grouping val="standard"/>
        <c:ser>
          <c:idx val="0"/>
          <c:order val="0"/>
          <c:tx>
            <c:strRef>
              <c:f>[INP_INP20160313225829.XLS]Hoja1!$A$15</c:f>
              <c:strCache>
                <c:ptCount val="1"/>
                <c:pt idx="0">
                  <c:v>Oaxaca, Oax.</c:v>
                </c:pt>
              </c:strCache>
            </c:strRef>
          </c:tx>
          <c:marker>
            <c:symbol val="none"/>
          </c:marker>
          <c:trendline>
            <c:spPr>
              <a:ln>
                <a:solidFill>
                  <a:schemeClr val="accent1"/>
                </a:solidFill>
                <a:prstDash val="sysDash"/>
              </a:ln>
            </c:spPr>
            <c:trendlineType val="linear"/>
          </c:trendline>
          <c:cat>
            <c:strRef>
              <c:f>[INP_INP20160313225829.XLS]Hoja1!$N$9:$EO$9</c:f>
              <c:strCache>
                <c:ptCount val="132"/>
                <c:pt idx="0">
                  <c:v>Ene 2005</c:v>
                </c:pt>
                <c:pt idx="1">
                  <c:v>Feb 2005</c:v>
                </c:pt>
                <c:pt idx="2">
                  <c:v>Mar 2005</c:v>
                </c:pt>
                <c:pt idx="3">
                  <c:v>Abr 2005</c:v>
                </c:pt>
                <c:pt idx="4">
                  <c:v>May 2005</c:v>
                </c:pt>
                <c:pt idx="5">
                  <c:v>Jun 2005</c:v>
                </c:pt>
                <c:pt idx="6">
                  <c:v>Jul 2005</c:v>
                </c:pt>
                <c:pt idx="7">
                  <c:v>Ago 2005</c:v>
                </c:pt>
                <c:pt idx="8">
                  <c:v>Sep 2005</c:v>
                </c:pt>
                <c:pt idx="9">
                  <c:v>Oct 2005</c:v>
                </c:pt>
                <c:pt idx="10">
                  <c:v>Nov 2005</c:v>
                </c:pt>
                <c:pt idx="11">
                  <c:v>Dic 2005</c:v>
                </c:pt>
                <c:pt idx="12">
                  <c:v>Ene 2006</c:v>
                </c:pt>
                <c:pt idx="13">
                  <c:v>Feb 2006</c:v>
                </c:pt>
                <c:pt idx="14">
                  <c:v>Mar 2006</c:v>
                </c:pt>
                <c:pt idx="15">
                  <c:v>Abr 2006</c:v>
                </c:pt>
                <c:pt idx="16">
                  <c:v>May 2006</c:v>
                </c:pt>
                <c:pt idx="17">
                  <c:v>Jun 2006</c:v>
                </c:pt>
                <c:pt idx="18">
                  <c:v>Jul 2006</c:v>
                </c:pt>
                <c:pt idx="19">
                  <c:v>Ago 2006</c:v>
                </c:pt>
                <c:pt idx="20">
                  <c:v>Sep 2006</c:v>
                </c:pt>
                <c:pt idx="21">
                  <c:v>Oct 2006</c:v>
                </c:pt>
                <c:pt idx="22">
                  <c:v>Nov 2006</c:v>
                </c:pt>
                <c:pt idx="23">
                  <c:v>Dic 2006</c:v>
                </c:pt>
                <c:pt idx="24">
                  <c:v>Ene 2007</c:v>
                </c:pt>
                <c:pt idx="25">
                  <c:v>Feb 2007</c:v>
                </c:pt>
                <c:pt idx="26">
                  <c:v>Mar 2007</c:v>
                </c:pt>
                <c:pt idx="27">
                  <c:v>Abr 2007</c:v>
                </c:pt>
                <c:pt idx="28">
                  <c:v>May 2007</c:v>
                </c:pt>
                <c:pt idx="29">
                  <c:v>Jun 2007</c:v>
                </c:pt>
                <c:pt idx="30">
                  <c:v>Jul 2007</c:v>
                </c:pt>
                <c:pt idx="31">
                  <c:v>Ago 2007</c:v>
                </c:pt>
                <c:pt idx="32">
                  <c:v>Sep 2007</c:v>
                </c:pt>
                <c:pt idx="33">
                  <c:v>Oct 2007</c:v>
                </c:pt>
                <c:pt idx="34">
                  <c:v>Nov 2007</c:v>
                </c:pt>
                <c:pt idx="35">
                  <c:v>Dic 2007</c:v>
                </c:pt>
                <c:pt idx="36">
                  <c:v>Ene 2008</c:v>
                </c:pt>
                <c:pt idx="37">
                  <c:v>Feb 2008</c:v>
                </c:pt>
                <c:pt idx="38">
                  <c:v>Mar 2008</c:v>
                </c:pt>
                <c:pt idx="39">
                  <c:v>Abr 2008</c:v>
                </c:pt>
                <c:pt idx="40">
                  <c:v>May 2008</c:v>
                </c:pt>
                <c:pt idx="41">
                  <c:v>Jun 2008</c:v>
                </c:pt>
                <c:pt idx="42">
                  <c:v>Jul 2008</c:v>
                </c:pt>
                <c:pt idx="43">
                  <c:v>Ago 2008</c:v>
                </c:pt>
                <c:pt idx="44">
                  <c:v>Sep 2008</c:v>
                </c:pt>
                <c:pt idx="45">
                  <c:v>Oct 2008</c:v>
                </c:pt>
                <c:pt idx="46">
                  <c:v>Nov 2008</c:v>
                </c:pt>
                <c:pt idx="47">
                  <c:v>Dic 2008</c:v>
                </c:pt>
                <c:pt idx="48">
                  <c:v>Ene 2009</c:v>
                </c:pt>
                <c:pt idx="49">
                  <c:v>Feb 2009</c:v>
                </c:pt>
                <c:pt idx="50">
                  <c:v>Mar 2009</c:v>
                </c:pt>
                <c:pt idx="51">
                  <c:v>Abr 2009</c:v>
                </c:pt>
                <c:pt idx="52">
                  <c:v>May 2009</c:v>
                </c:pt>
                <c:pt idx="53">
                  <c:v>Jun 2009</c:v>
                </c:pt>
                <c:pt idx="54">
                  <c:v>Jul 2009</c:v>
                </c:pt>
                <c:pt idx="55">
                  <c:v>Ago 2009</c:v>
                </c:pt>
                <c:pt idx="56">
                  <c:v>Sep 2009</c:v>
                </c:pt>
                <c:pt idx="57">
                  <c:v>Oct 2009</c:v>
                </c:pt>
                <c:pt idx="58">
                  <c:v>Nov 2009</c:v>
                </c:pt>
                <c:pt idx="59">
                  <c:v>Dic 2009</c:v>
                </c:pt>
                <c:pt idx="60">
                  <c:v>Ene 2010</c:v>
                </c:pt>
                <c:pt idx="61">
                  <c:v>Feb 2010</c:v>
                </c:pt>
                <c:pt idx="62">
                  <c:v>Mar 2010</c:v>
                </c:pt>
                <c:pt idx="63">
                  <c:v>Abr 2010</c:v>
                </c:pt>
                <c:pt idx="64">
                  <c:v>May 2010</c:v>
                </c:pt>
                <c:pt idx="65">
                  <c:v>Jun 2010</c:v>
                </c:pt>
                <c:pt idx="66">
                  <c:v>Jul 2010</c:v>
                </c:pt>
                <c:pt idx="67">
                  <c:v>Ago 2010</c:v>
                </c:pt>
                <c:pt idx="68">
                  <c:v>Sep 2010</c:v>
                </c:pt>
                <c:pt idx="69">
                  <c:v>Oct 2010</c:v>
                </c:pt>
                <c:pt idx="70">
                  <c:v>Nov 2010</c:v>
                </c:pt>
                <c:pt idx="71">
                  <c:v>Dic 2010</c:v>
                </c:pt>
                <c:pt idx="72">
                  <c:v>Ene 2011</c:v>
                </c:pt>
                <c:pt idx="73">
                  <c:v>Feb 2011</c:v>
                </c:pt>
                <c:pt idx="74">
                  <c:v>Mar 2011</c:v>
                </c:pt>
                <c:pt idx="75">
                  <c:v>Abr 2011</c:v>
                </c:pt>
                <c:pt idx="76">
                  <c:v>May 2011</c:v>
                </c:pt>
                <c:pt idx="77">
                  <c:v>Jun 2011</c:v>
                </c:pt>
                <c:pt idx="78">
                  <c:v>Jul 2011</c:v>
                </c:pt>
                <c:pt idx="79">
                  <c:v>Ago 2011</c:v>
                </c:pt>
                <c:pt idx="80">
                  <c:v>Sep 2011</c:v>
                </c:pt>
                <c:pt idx="81">
                  <c:v>Oct 2011</c:v>
                </c:pt>
                <c:pt idx="82">
                  <c:v>Nov 2011</c:v>
                </c:pt>
                <c:pt idx="83">
                  <c:v>Dic 2011</c:v>
                </c:pt>
                <c:pt idx="84">
                  <c:v>Ene 2012</c:v>
                </c:pt>
                <c:pt idx="85">
                  <c:v>Feb 2012</c:v>
                </c:pt>
                <c:pt idx="86">
                  <c:v>Mar 2012</c:v>
                </c:pt>
                <c:pt idx="87">
                  <c:v>Abr 2012</c:v>
                </c:pt>
                <c:pt idx="88">
                  <c:v>May 2012</c:v>
                </c:pt>
                <c:pt idx="89">
                  <c:v>Jun 2012</c:v>
                </c:pt>
                <c:pt idx="90">
                  <c:v>Jul 2012</c:v>
                </c:pt>
                <c:pt idx="91">
                  <c:v>Ago 2012</c:v>
                </c:pt>
                <c:pt idx="92">
                  <c:v>Sep 2012</c:v>
                </c:pt>
                <c:pt idx="93">
                  <c:v>Oct 2012</c:v>
                </c:pt>
                <c:pt idx="94">
                  <c:v>Nov 2012</c:v>
                </c:pt>
                <c:pt idx="95">
                  <c:v>Dic 2012</c:v>
                </c:pt>
                <c:pt idx="96">
                  <c:v>Ene 2013</c:v>
                </c:pt>
                <c:pt idx="97">
                  <c:v>Feb 2013</c:v>
                </c:pt>
                <c:pt idx="98">
                  <c:v>Mar 2013</c:v>
                </c:pt>
                <c:pt idx="99">
                  <c:v>Abr 2013</c:v>
                </c:pt>
                <c:pt idx="100">
                  <c:v>May 2013</c:v>
                </c:pt>
                <c:pt idx="101">
                  <c:v>Jun 2013</c:v>
                </c:pt>
                <c:pt idx="102">
                  <c:v>Jul 2013</c:v>
                </c:pt>
                <c:pt idx="103">
                  <c:v>Ago 2013</c:v>
                </c:pt>
                <c:pt idx="104">
                  <c:v>Sep 2013</c:v>
                </c:pt>
                <c:pt idx="105">
                  <c:v>Oct 2013</c:v>
                </c:pt>
                <c:pt idx="106">
                  <c:v>Nov 2013</c:v>
                </c:pt>
                <c:pt idx="107">
                  <c:v>Dic 2013</c:v>
                </c:pt>
                <c:pt idx="108">
                  <c:v>Ene 2014</c:v>
                </c:pt>
                <c:pt idx="109">
                  <c:v>Feb 2014</c:v>
                </c:pt>
                <c:pt idx="110">
                  <c:v>Mar 2014</c:v>
                </c:pt>
                <c:pt idx="111">
                  <c:v>Abr 2014</c:v>
                </c:pt>
                <c:pt idx="112">
                  <c:v>May 2014</c:v>
                </c:pt>
                <c:pt idx="113">
                  <c:v>Jun 2014</c:v>
                </c:pt>
                <c:pt idx="114">
                  <c:v>Jul 2014</c:v>
                </c:pt>
                <c:pt idx="115">
                  <c:v>Ago 2014</c:v>
                </c:pt>
                <c:pt idx="116">
                  <c:v>Sep 2014</c:v>
                </c:pt>
                <c:pt idx="117">
                  <c:v>Oct 2014</c:v>
                </c:pt>
                <c:pt idx="118">
                  <c:v>Nov 2014</c:v>
                </c:pt>
                <c:pt idx="119">
                  <c:v>Dic 2014</c:v>
                </c:pt>
                <c:pt idx="120">
                  <c:v>Ene 2015</c:v>
                </c:pt>
                <c:pt idx="121">
                  <c:v>Feb 2015</c:v>
                </c:pt>
                <c:pt idx="122">
                  <c:v>Mar 2015</c:v>
                </c:pt>
                <c:pt idx="123">
                  <c:v>Abr 2015</c:v>
                </c:pt>
                <c:pt idx="124">
                  <c:v>May 2015</c:v>
                </c:pt>
                <c:pt idx="125">
                  <c:v>Jun 2015</c:v>
                </c:pt>
                <c:pt idx="126">
                  <c:v>Jul 2015</c:v>
                </c:pt>
                <c:pt idx="127">
                  <c:v>Ago 2015</c:v>
                </c:pt>
                <c:pt idx="128">
                  <c:v>Sep 2015</c:v>
                </c:pt>
                <c:pt idx="129">
                  <c:v>Oct 2015</c:v>
                </c:pt>
                <c:pt idx="130">
                  <c:v>Nov 2015</c:v>
                </c:pt>
                <c:pt idx="131">
                  <c:v>Dic 2015</c:v>
                </c:pt>
              </c:strCache>
            </c:strRef>
          </c:cat>
          <c:val>
            <c:numRef>
              <c:f>[INP_INP20160313225829.XLS]Hoja1!$N$15:$EO$15</c:f>
              <c:numCache>
                <c:formatCode>0.00%</c:formatCode>
                <c:ptCount val="132"/>
                <c:pt idx="0">
                  <c:v>4.2582027637118706E-2</c:v>
                </c:pt>
                <c:pt idx="1">
                  <c:v>4.2949882673039647E-2</c:v>
                </c:pt>
                <c:pt idx="2">
                  <c:v>4.4740729932329935E-2</c:v>
                </c:pt>
                <c:pt idx="3">
                  <c:v>4.910255827690263E-2</c:v>
                </c:pt>
                <c:pt idx="4">
                  <c:v>4.7050389742382043E-2</c:v>
                </c:pt>
                <c:pt idx="5">
                  <c:v>4.3856867133622413E-2</c:v>
                </c:pt>
                <c:pt idx="6">
                  <c:v>4.5015642327142918E-2</c:v>
                </c:pt>
                <c:pt idx="7">
                  <c:v>3.7633544145497716E-2</c:v>
                </c:pt>
                <c:pt idx="8">
                  <c:v>3.3858825613323852E-2</c:v>
                </c:pt>
                <c:pt idx="9">
                  <c:v>2.7491408934711192E-2</c:v>
                </c:pt>
                <c:pt idx="10">
                  <c:v>2.3625151106359283E-2</c:v>
                </c:pt>
                <c:pt idx="11">
                  <c:v>2.8617507077690056E-2</c:v>
                </c:pt>
                <c:pt idx="12">
                  <c:v>3.5827528963286434E-2</c:v>
                </c:pt>
                <c:pt idx="13">
                  <c:v>3.4755355563925852E-2</c:v>
                </c:pt>
                <c:pt idx="14">
                  <c:v>3.3938547486036606E-2</c:v>
                </c:pt>
                <c:pt idx="15">
                  <c:v>2.8552123217660413E-2</c:v>
                </c:pt>
                <c:pt idx="16">
                  <c:v>3.2612275319365738E-2</c:v>
                </c:pt>
                <c:pt idx="17">
                  <c:v>3.4462104705774516E-2</c:v>
                </c:pt>
                <c:pt idx="18">
                  <c:v>3.0282115434396652E-2</c:v>
                </c:pt>
                <c:pt idx="19">
                  <c:v>3.2506607208955055E-2</c:v>
                </c:pt>
                <c:pt idx="20">
                  <c:v>4.3792243838500403E-2</c:v>
                </c:pt>
                <c:pt idx="21">
                  <c:v>4.9226321326847094E-2</c:v>
                </c:pt>
                <c:pt idx="22">
                  <c:v>4.5209875486716865E-2</c:v>
                </c:pt>
                <c:pt idx="23">
                  <c:v>4.838269879682372E-2</c:v>
                </c:pt>
                <c:pt idx="24">
                  <c:v>4.6739591282969672E-2</c:v>
                </c:pt>
                <c:pt idx="25">
                  <c:v>4.6473260742657244E-2</c:v>
                </c:pt>
                <c:pt idx="26">
                  <c:v>4.4230379575849077E-2</c:v>
                </c:pt>
                <c:pt idx="27">
                  <c:v>4.539559014267152E-2</c:v>
                </c:pt>
                <c:pt idx="28">
                  <c:v>3.7843372583903752E-2</c:v>
                </c:pt>
                <c:pt idx="29">
                  <c:v>4.2259312405068375E-2</c:v>
                </c:pt>
                <c:pt idx="30">
                  <c:v>4.5319042036509501E-2</c:v>
                </c:pt>
                <c:pt idx="31">
                  <c:v>4.3406121547146931E-2</c:v>
                </c:pt>
                <c:pt idx="32">
                  <c:v>3.7268661003728477E-2</c:v>
                </c:pt>
                <c:pt idx="33">
                  <c:v>3.0367507989306611E-2</c:v>
                </c:pt>
                <c:pt idx="34">
                  <c:v>3.7097381650260802E-2</c:v>
                </c:pt>
                <c:pt idx="35">
                  <c:v>3.8761643123033596E-2</c:v>
                </c:pt>
                <c:pt idx="36">
                  <c:v>4.1995431052640579E-2</c:v>
                </c:pt>
                <c:pt idx="37">
                  <c:v>4.1749535128146713E-2</c:v>
                </c:pt>
                <c:pt idx="38">
                  <c:v>5.078140790867397E-2</c:v>
                </c:pt>
                <c:pt idx="39">
                  <c:v>5.1706358157974905E-2</c:v>
                </c:pt>
                <c:pt idx="40">
                  <c:v>5.7432596354465931E-2</c:v>
                </c:pt>
                <c:pt idx="41">
                  <c:v>5.8677186908746591E-2</c:v>
                </c:pt>
                <c:pt idx="42">
                  <c:v>5.6884452704436074E-2</c:v>
                </c:pt>
                <c:pt idx="43">
                  <c:v>6.0019337877476882E-2</c:v>
                </c:pt>
                <c:pt idx="44">
                  <c:v>5.3637269950795534E-2</c:v>
                </c:pt>
                <c:pt idx="45">
                  <c:v>5.6848301671818015E-2</c:v>
                </c:pt>
                <c:pt idx="46">
                  <c:v>6.1080453781118239E-2</c:v>
                </c:pt>
                <c:pt idx="47">
                  <c:v>6.3441390264711836E-2</c:v>
                </c:pt>
                <c:pt idx="48">
                  <c:v>5.5976241195396334E-2</c:v>
                </c:pt>
                <c:pt idx="49">
                  <c:v>5.3882688934764111E-2</c:v>
                </c:pt>
                <c:pt idx="50">
                  <c:v>4.8104148713526057E-2</c:v>
                </c:pt>
                <c:pt idx="51">
                  <c:v>5.4043909239934122E-2</c:v>
                </c:pt>
                <c:pt idx="52">
                  <c:v>5.2837259100639522E-2</c:v>
                </c:pt>
                <c:pt idx="53">
                  <c:v>5.1135801905801033E-2</c:v>
                </c:pt>
                <c:pt idx="54">
                  <c:v>5.1988509319118872E-2</c:v>
                </c:pt>
                <c:pt idx="55">
                  <c:v>4.5660138405172156E-2</c:v>
                </c:pt>
                <c:pt idx="56">
                  <c:v>4.7084444110690023E-2</c:v>
                </c:pt>
                <c:pt idx="57">
                  <c:v>4.6775570095976916E-2</c:v>
                </c:pt>
                <c:pt idx="58">
                  <c:v>3.7833132449441961E-2</c:v>
                </c:pt>
                <c:pt idx="59">
                  <c:v>2.9166145492262398E-2</c:v>
                </c:pt>
                <c:pt idx="60">
                  <c:v>4.2068528853099092E-2</c:v>
                </c:pt>
                <c:pt idx="61">
                  <c:v>4.6267590594778751E-2</c:v>
                </c:pt>
                <c:pt idx="62">
                  <c:v>5.2158273381293419E-2</c:v>
                </c:pt>
                <c:pt idx="63">
                  <c:v>3.9034281270671885E-2</c:v>
                </c:pt>
                <c:pt idx="64">
                  <c:v>3.4873500933392136E-2</c:v>
                </c:pt>
                <c:pt idx="65">
                  <c:v>2.8838710144196786E-2</c:v>
                </c:pt>
                <c:pt idx="66">
                  <c:v>2.8863335062539606E-2</c:v>
                </c:pt>
                <c:pt idx="67">
                  <c:v>3.3703167016316891E-2</c:v>
                </c:pt>
                <c:pt idx="68">
                  <c:v>3.5780112597257642E-2</c:v>
                </c:pt>
                <c:pt idx="69">
                  <c:v>3.8591924017680024E-2</c:v>
                </c:pt>
                <c:pt idx="70">
                  <c:v>4.5257400119003914E-2</c:v>
                </c:pt>
                <c:pt idx="71">
                  <c:v>4.8035746201974247E-2</c:v>
                </c:pt>
                <c:pt idx="72">
                  <c:v>4.0050463402569056E-2</c:v>
                </c:pt>
                <c:pt idx="73">
                  <c:v>3.9514606489304806E-2</c:v>
                </c:pt>
                <c:pt idx="74">
                  <c:v>3.1737104273503652E-2</c:v>
                </c:pt>
                <c:pt idx="75">
                  <c:v>3.661845329024347E-2</c:v>
                </c:pt>
                <c:pt idx="76">
                  <c:v>3.9921809082618546E-2</c:v>
                </c:pt>
                <c:pt idx="77">
                  <c:v>4.3653824602852276E-2</c:v>
                </c:pt>
                <c:pt idx="78">
                  <c:v>4.6331576072494086E-2</c:v>
                </c:pt>
                <c:pt idx="79">
                  <c:v>4.2317789254178326E-2</c:v>
                </c:pt>
                <c:pt idx="80">
                  <c:v>3.6588755331528826E-2</c:v>
                </c:pt>
                <c:pt idx="81">
                  <c:v>3.218742270242201E-2</c:v>
                </c:pt>
                <c:pt idx="82">
                  <c:v>3.0440429412090041E-2</c:v>
                </c:pt>
                <c:pt idx="83">
                  <c:v>3.5585528125295453E-2</c:v>
                </c:pt>
                <c:pt idx="84">
                  <c:v>3.9705779474520919E-2</c:v>
                </c:pt>
                <c:pt idx="85">
                  <c:v>3.6915659770298023E-2</c:v>
                </c:pt>
                <c:pt idx="86">
                  <c:v>3.6632077442719221E-2</c:v>
                </c:pt>
                <c:pt idx="87">
                  <c:v>3.7870891529428699E-2</c:v>
                </c:pt>
                <c:pt idx="88">
                  <c:v>3.956070144777863E-2</c:v>
                </c:pt>
                <c:pt idx="89">
                  <c:v>4.4221733182656264E-2</c:v>
                </c:pt>
                <c:pt idx="90">
                  <c:v>4.3777077589602177E-2</c:v>
                </c:pt>
                <c:pt idx="91">
                  <c:v>4.6206699676139704E-2</c:v>
                </c:pt>
                <c:pt idx="92">
                  <c:v>4.9056603773584812E-2</c:v>
                </c:pt>
                <c:pt idx="93">
                  <c:v>4.8476223192815422E-2</c:v>
                </c:pt>
                <c:pt idx="94">
                  <c:v>4.4583492455177114E-2</c:v>
                </c:pt>
                <c:pt idx="95">
                  <c:v>3.7436160831096472E-2</c:v>
                </c:pt>
                <c:pt idx="96">
                  <c:v>3.4469500355652945E-2</c:v>
                </c:pt>
                <c:pt idx="97">
                  <c:v>3.544770742672769E-2</c:v>
                </c:pt>
                <c:pt idx="98">
                  <c:v>4.1230385335188885E-2</c:v>
                </c:pt>
                <c:pt idx="99">
                  <c:v>3.9119289922717779E-2</c:v>
                </c:pt>
                <c:pt idx="100">
                  <c:v>4.3710000955202041E-2</c:v>
                </c:pt>
                <c:pt idx="101">
                  <c:v>3.8276421838065643E-2</c:v>
                </c:pt>
                <c:pt idx="102">
                  <c:v>3.2469860196583211E-2</c:v>
                </c:pt>
                <c:pt idx="103">
                  <c:v>3.2686933694639611E-2</c:v>
                </c:pt>
                <c:pt idx="104">
                  <c:v>3.0397556954436467E-2</c:v>
                </c:pt>
                <c:pt idx="105">
                  <c:v>2.9450310791582432E-2</c:v>
                </c:pt>
                <c:pt idx="106">
                  <c:v>3.4740710187858591E-2</c:v>
                </c:pt>
                <c:pt idx="107">
                  <c:v>3.7477113925933662E-2</c:v>
                </c:pt>
                <c:pt idx="108">
                  <c:v>3.8756736666047134E-2</c:v>
                </c:pt>
                <c:pt idx="109">
                  <c:v>3.6599961034261955E-2</c:v>
                </c:pt>
                <c:pt idx="110">
                  <c:v>3.1044049736835316E-2</c:v>
                </c:pt>
                <c:pt idx="111">
                  <c:v>3.1415106496567105E-2</c:v>
                </c:pt>
                <c:pt idx="112">
                  <c:v>3.0759797192173411E-2</c:v>
                </c:pt>
                <c:pt idx="113">
                  <c:v>3.1086851176271642E-2</c:v>
                </c:pt>
                <c:pt idx="114">
                  <c:v>3.4692273956591635E-2</c:v>
                </c:pt>
                <c:pt idx="115">
                  <c:v>3.6781923374789402E-2</c:v>
                </c:pt>
                <c:pt idx="116">
                  <c:v>3.7573752011418757E-2</c:v>
                </c:pt>
                <c:pt idx="117">
                  <c:v>3.9456215331454041E-2</c:v>
                </c:pt>
                <c:pt idx="118">
                  <c:v>3.6373684115163805E-2</c:v>
                </c:pt>
                <c:pt idx="119">
                  <c:v>3.6249369732776392E-2</c:v>
                </c:pt>
                <c:pt idx="120">
                  <c:v>2.9501480441180433E-2</c:v>
                </c:pt>
                <c:pt idx="121">
                  <c:v>3.0931156696380649E-2</c:v>
                </c:pt>
                <c:pt idx="122">
                  <c:v>3.3506467964142639E-2</c:v>
                </c:pt>
                <c:pt idx="123">
                  <c:v>3.3269376645397294E-2</c:v>
                </c:pt>
                <c:pt idx="124">
                  <c:v>2.7222602040363492E-2</c:v>
                </c:pt>
                <c:pt idx="125">
                  <c:v>2.6469571077670902E-2</c:v>
                </c:pt>
                <c:pt idx="126">
                  <c:v>2.5060709082078622E-2</c:v>
                </c:pt>
                <c:pt idx="127">
                  <c:v>2.1363540494938108E-2</c:v>
                </c:pt>
                <c:pt idx="128">
                  <c:v>2.1493034259178156E-2</c:v>
                </c:pt>
                <c:pt idx="129">
                  <c:v>2.3567698081515941E-2</c:v>
                </c:pt>
                <c:pt idx="130">
                  <c:v>2.6757694694790883E-2</c:v>
                </c:pt>
                <c:pt idx="131">
                  <c:v>2.577113563298284E-2</c:v>
                </c:pt>
              </c:numCache>
            </c:numRef>
          </c:val>
        </c:ser>
        <c:ser>
          <c:idx val="1"/>
          <c:order val="1"/>
          <c:tx>
            <c:strRef>
              <c:f>[INP_INP20160313225829.XLS]Hoja1!$A$16</c:f>
              <c:strCache>
                <c:ptCount val="1"/>
                <c:pt idx="0">
                  <c:v>Tehuantepec, Oax.</c:v>
                </c:pt>
              </c:strCache>
            </c:strRef>
          </c:tx>
          <c:marker>
            <c:symbol val="none"/>
          </c:marker>
          <c:cat>
            <c:strRef>
              <c:f>[INP_INP20160313225829.XLS]Hoja1!$N$9:$EO$9</c:f>
              <c:strCache>
                <c:ptCount val="132"/>
                <c:pt idx="0">
                  <c:v>Ene 2005</c:v>
                </c:pt>
                <c:pt idx="1">
                  <c:v>Feb 2005</c:v>
                </c:pt>
                <c:pt idx="2">
                  <c:v>Mar 2005</c:v>
                </c:pt>
                <c:pt idx="3">
                  <c:v>Abr 2005</c:v>
                </c:pt>
                <c:pt idx="4">
                  <c:v>May 2005</c:v>
                </c:pt>
                <c:pt idx="5">
                  <c:v>Jun 2005</c:v>
                </c:pt>
                <c:pt idx="6">
                  <c:v>Jul 2005</c:v>
                </c:pt>
                <c:pt idx="7">
                  <c:v>Ago 2005</c:v>
                </c:pt>
                <c:pt idx="8">
                  <c:v>Sep 2005</c:v>
                </c:pt>
                <c:pt idx="9">
                  <c:v>Oct 2005</c:v>
                </c:pt>
                <c:pt idx="10">
                  <c:v>Nov 2005</c:v>
                </c:pt>
                <c:pt idx="11">
                  <c:v>Dic 2005</c:v>
                </c:pt>
                <c:pt idx="12">
                  <c:v>Ene 2006</c:v>
                </c:pt>
                <c:pt idx="13">
                  <c:v>Feb 2006</c:v>
                </c:pt>
                <c:pt idx="14">
                  <c:v>Mar 2006</c:v>
                </c:pt>
                <c:pt idx="15">
                  <c:v>Abr 2006</c:v>
                </c:pt>
                <c:pt idx="16">
                  <c:v>May 2006</c:v>
                </c:pt>
                <c:pt idx="17">
                  <c:v>Jun 2006</c:v>
                </c:pt>
                <c:pt idx="18">
                  <c:v>Jul 2006</c:v>
                </c:pt>
                <c:pt idx="19">
                  <c:v>Ago 2006</c:v>
                </c:pt>
                <c:pt idx="20">
                  <c:v>Sep 2006</c:v>
                </c:pt>
                <c:pt idx="21">
                  <c:v>Oct 2006</c:v>
                </c:pt>
                <c:pt idx="22">
                  <c:v>Nov 2006</c:v>
                </c:pt>
                <c:pt idx="23">
                  <c:v>Dic 2006</c:v>
                </c:pt>
                <c:pt idx="24">
                  <c:v>Ene 2007</c:v>
                </c:pt>
                <c:pt idx="25">
                  <c:v>Feb 2007</c:v>
                </c:pt>
                <c:pt idx="26">
                  <c:v>Mar 2007</c:v>
                </c:pt>
                <c:pt idx="27">
                  <c:v>Abr 2007</c:v>
                </c:pt>
                <c:pt idx="28">
                  <c:v>May 2007</c:v>
                </c:pt>
                <c:pt idx="29">
                  <c:v>Jun 2007</c:v>
                </c:pt>
                <c:pt idx="30">
                  <c:v>Jul 2007</c:v>
                </c:pt>
                <c:pt idx="31">
                  <c:v>Ago 2007</c:v>
                </c:pt>
                <c:pt idx="32">
                  <c:v>Sep 2007</c:v>
                </c:pt>
                <c:pt idx="33">
                  <c:v>Oct 2007</c:v>
                </c:pt>
                <c:pt idx="34">
                  <c:v>Nov 2007</c:v>
                </c:pt>
                <c:pt idx="35">
                  <c:v>Dic 2007</c:v>
                </c:pt>
                <c:pt idx="36">
                  <c:v>Ene 2008</c:v>
                </c:pt>
                <c:pt idx="37">
                  <c:v>Feb 2008</c:v>
                </c:pt>
                <c:pt idx="38">
                  <c:v>Mar 2008</c:v>
                </c:pt>
                <c:pt idx="39">
                  <c:v>Abr 2008</c:v>
                </c:pt>
                <c:pt idx="40">
                  <c:v>May 2008</c:v>
                </c:pt>
                <c:pt idx="41">
                  <c:v>Jun 2008</c:v>
                </c:pt>
                <c:pt idx="42">
                  <c:v>Jul 2008</c:v>
                </c:pt>
                <c:pt idx="43">
                  <c:v>Ago 2008</c:v>
                </c:pt>
                <c:pt idx="44">
                  <c:v>Sep 2008</c:v>
                </c:pt>
                <c:pt idx="45">
                  <c:v>Oct 2008</c:v>
                </c:pt>
                <c:pt idx="46">
                  <c:v>Nov 2008</c:v>
                </c:pt>
                <c:pt idx="47">
                  <c:v>Dic 2008</c:v>
                </c:pt>
                <c:pt idx="48">
                  <c:v>Ene 2009</c:v>
                </c:pt>
                <c:pt idx="49">
                  <c:v>Feb 2009</c:v>
                </c:pt>
                <c:pt idx="50">
                  <c:v>Mar 2009</c:v>
                </c:pt>
                <c:pt idx="51">
                  <c:v>Abr 2009</c:v>
                </c:pt>
                <c:pt idx="52">
                  <c:v>May 2009</c:v>
                </c:pt>
                <c:pt idx="53">
                  <c:v>Jun 2009</c:v>
                </c:pt>
                <c:pt idx="54">
                  <c:v>Jul 2009</c:v>
                </c:pt>
                <c:pt idx="55">
                  <c:v>Ago 2009</c:v>
                </c:pt>
                <c:pt idx="56">
                  <c:v>Sep 2009</c:v>
                </c:pt>
                <c:pt idx="57">
                  <c:v>Oct 2009</c:v>
                </c:pt>
                <c:pt idx="58">
                  <c:v>Nov 2009</c:v>
                </c:pt>
                <c:pt idx="59">
                  <c:v>Dic 2009</c:v>
                </c:pt>
                <c:pt idx="60">
                  <c:v>Ene 2010</c:v>
                </c:pt>
                <c:pt idx="61">
                  <c:v>Feb 2010</c:v>
                </c:pt>
                <c:pt idx="62">
                  <c:v>Mar 2010</c:v>
                </c:pt>
                <c:pt idx="63">
                  <c:v>Abr 2010</c:v>
                </c:pt>
                <c:pt idx="64">
                  <c:v>May 2010</c:v>
                </c:pt>
                <c:pt idx="65">
                  <c:v>Jun 2010</c:v>
                </c:pt>
                <c:pt idx="66">
                  <c:v>Jul 2010</c:v>
                </c:pt>
                <c:pt idx="67">
                  <c:v>Ago 2010</c:v>
                </c:pt>
                <c:pt idx="68">
                  <c:v>Sep 2010</c:v>
                </c:pt>
                <c:pt idx="69">
                  <c:v>Oct 2010</c:v>
                </c:pt>
                <c:pt idx="70">
                  <c:v>Nov 2010</c:v>
                </c:pt>
                <c:pt idx="71">
                  <c:v>Dic 2010</c:v>
                </c:pt>
                <c:pt idx="72">
                  <c:v>Ene 2011</c:v>
                </c:pt>
                <c:pt idx="73">
                  <c:v>Feb 2011</c:v>
                </c:pt>
                <c:pt idx="74">
                  <c:v>Mar 2011</c:v>
                </c:pt>
                <c:pt idx="75">
                  <c:v>Abr 2011</c:v>
                </c:pt>
                <c:pt idx="76">
                  <c:v>May 2011</c:v>
                </c:pt>
                <c:pt idx="77">
                  <c:v>Jun 2011</c:v>
                </c:pt>
                <c:pt idx="78">
                  <c:v>Jul 2011</c:v>
                </c:pt>
                <c:pt idx="79">
                  <c:v>Ago 2011</c:v>
                </c:pt>
                <c:pt idx="80">
                  <c:v>Sep 2011</c:v>
                </c:pt>
                <c:pt idx="81">
                  <c:v>Oct 2011</c:v>
                </c:pt>
                <c:pt idx="82">
                  <c:v>Nov 2011</c:v>
                </c:pt>
                <c:pt idx="83">
                  <c:v>Dic 2011</c:v>
                </c:pt>
                <c:pt idx="84">
                  <c:v>Ene 2012</c:v>
                </c:pt>
                <c:pt idx="85">
                  <c:v>Feb 2012</c:v>
                </c:pt>
                <c:pt idx="86">
                  <c:v>Mar 2012</c:v>
                </c:pt>
                <c:pt idx="87">
                  <c:v>Abr 2012</c:v>
                </c:pt>
                <c:pt idx="88">
                  <c:v>May 2012</c:v>
                </c:pt>
                <c:pt idx="89">
                  <c:v>Jun 2012</c:v>
                </c:pt>
                <c:pt idx="90">
                  <c:v>Jul 2012</c:v>
                </c:pt>
                <c:pt idx="91">
                  <c:v>Ago 2012</c:v>
                </c:pt>
                <c:pt idx="92">
                  <c:v>Sep 2012</c:v>
                </c:pt>
                <c:pt idx="93">
                  <c:v>Oct 2012</c:v>
                </c:pt>
                <c:pt idx="94">
                  <c:v>Nov 2012</c:v>
                </c:pt>
                <c:pt idx="95">
                  <c:v>Dic 2012</c:v>
                </c:pt>
                <c:pt idx="96">
                  <c:v>Ene 2013</c:v>
                </c:pt>
                <c:pt idx="97">
                  <c:v>Feb 2013</c:v>
                </c:pt>
                <c:pt idx="98">
                  <c:v>Mar 2013</c:v>
                </c:pt>
                <c:pt idx="99">
                  <c:v>Abr 2013</c:v>
                </c:pt>
                <c:pt idx="100">
                  <c:v>May 2013</c:v>
                </c:pt>
                <c:pt idx="101">
                  <c:v>Jun 2013</c:v>
                </c:pt>
                <c:pt idx="102">
                  <c:v>Jul 2013</c:v>
                </c:pt>
                <c:pt idx="103">
                  <c:v>Ago 2013</c:v>
                </c:pt>
                <c:pt idx="104">
                  <c:v>Sep 2013</c:v>
                </c:pt>
                <c:pt idx="105">
                  <c:v>Oct 2013</c:v>
                </c:pt>
                <c:pt idx="106">
                  <c:v>Nov 2013</c:v>
                </c:pt>
                <c:pt idx="107">
                  <c:v>Dic 2013</c:v>
                </c:pt>
                <c:pt idx="108">
                  <c:v>Ene 2014</c:v>
                </c:pt>
                <c:pt idx="109">
                  <c:v>Feb 2014</c:v>
                </c:pt>
                <c:pt idx="110">
                  <c:v>Mar 2014</c:v>
                </c:pt>
                <c:pt idx="111">
                  <c:v>Abr 2014</c:v>
                </c:pt>
                <c:pt idx="112">
                  <c:v>May 2014</c:v>
                </c:pt>
                <c:pt idx="113">
                  <c:v>Jun 2014</c:v>
                </c:pt>
                <c:pt idx="114">
                  <c:v>Jul 2014</c:v>
                </c:pt>
                <c:pt idx="115">
                  <c:v>Ago 2014</c:v>
                </c:pt>
                <c:pt idx="116">
                  <c:v>Sep 2014</c:v>
                </c:pt>
                <c:pt idx="117">
                  <c:v>Oct 2014</c:v>
                </c:pt>
                <c:pt idx="118">
                  <c:v>Nov 2014</c:v>
                </c:pt>
                <c:pt idx="119">
                  <c:v>Dic 2014</c:v>
                </c:pt>
                <c:pt idx="120">
                  <c:v>Ene 2015</c:v>
                </c:pt>
                <c:pt idx="121">
                  <c:v>Feb 2015</c:v>
                </c:pt>
                <c:pt idx="122">
                  <c:v>Mar 2015</c:v>
                </c:pt>
                <c:pt idx="123">
                  <c:v>Abr 2015</c:v>
                </c:pt>
                <c:pt idx="124">
                  <c:v>May 2015</c:v>
                </c:pt>
                <c:pt idx="125">
                  <c:v>Jun 2015</c:v>
                </c:pt>
                <c:pt idx="126">
                  <c:v>Jul 2015</c:v>
                </c:pt>
                <c:pt idx="127">
                  <c:v>Ago 2015</c:v>
                </c:pt>
                <c:pt idx="128">
                  <c:v>Sep 2015</c:v>
                </c:pt>
                <c:pt idx="129">
                  <c:v>Oct 2015</c:v>
                </c:pt>
                <c:pt idx="130">
                  <c:v>Nov 2015</c:v>
                </c:pt>
                <c:pt idx="131">
                  <c:v>Dic 2015</c:v>
                </c:pt>
              </c:strCache>
            </c:strRef>
          </c:cat>
          <c:val>
            <c:numRef>
              <c:f>[INP_INP20160313225829.XLS]Hoja1!$N$16:$EO$16</c:f>
              <c:numCache>
                <c:formatCode>0.00%</c:formatCode>
                <c:ptCount val="132"/>
                <c:pt idx="0">
                  <c:v>4.7389727047597946E-2</c:v>
                </c:pt>
                <c:pt idx="1">
                  <c:v>4.8512460704358093E-2</c:v>
                </c:pt>
                <c:pt idx="2">
                  <c:v>4.9228987185988164E-2</c:v>
                </c:pt>
                <c:pt idx="3">
                  <c:v>5.0763369240463992E-2</c:v>
                </c:pt>
                <c:pt idx="4">
                  <c:v>5.6268789005739582E-2</c:v>
                </c:pt>
                <c:pt idx="5">
                  <c:v>5.5981035740326993E-2</c:v>
                </c:pt>
                <c:pt idx="6">
                  <c:v>5.7124944347012492E-2</c:v>
                </c:pt>
                <c:pt idx="7">
                  <c:v>5.1565062260113315E-2</c:v>
                </c:pt>
                <c:pt idx="8">
                  <c:v>4.1977287909152977E-2</c:v>
                </c:pt>
                <c:pt idx="9">
                  <c:v>4.0739797486586994E-2</c:v>
                </c:pt>
                <c:pt idx="10">
                  <c:v>3.7856157084711704E-2</c:v>
                </c:pt>
                <c:pt idx="11">
                  <c:v>4.0594231942145148E-2</c:v>
                </c:pt>
                <c:pt idx="12">
                  <c:v>4.9843394201655324E-2</c:v>
                </c:pt>
                <c:pt idx="13">
                  <c:v>5.4515117016746939E-2</c:v>
                </c:pt>
                <c:pt idx="14">
                  <c:v>4.3857379424546594E-2</c:v>
                </c:pt>
                <c:pt idx="15">
                  <c:v>4.1946002347724762E-2</c:v>
                </c:pt>
                <c:pt idx="16">
                  <c:v>4.1108333261242185E-2</c:v>
                </c:pt>
                <c:pt idx="17">
                  <c:v>4.0485235710594758E-2</c:v>
                </c:pt>
                <c:pt idx="18">
                  <c:v>3.9254280409818182E-2</c:v>
                </c:pt>
                <c:pt idx="19">
                  <c:v>4.3355696647209584E-2</c:v>
                </c:pt>
                <c:pt idx="20">
                  <c:v>5.4492768489074854E-2</c:v>
                </c:pt>
                <c:pt idx="21">
                  <c:v>5.6688156073847855E-2</c:v>
                </c:pt>
                <c:pt idx="22">
                  <c:v>5.1060427537443276E-2</c:v>
                </c:pt>
                <c:pt idx="23">
                  <c:v>5.3387368227144898E-2</c:v>
                </c:pt>
                <c:pt idx="24">
                  <c:v>4.6795532360476996E-2</c:v>
                </c:pt>
                <c:pt idx="25">
                  <c:v>3.6590792965333636E-2</c:v>
                </c:pt>
                <c:pt idx="26">
                  <c:v>4.8112435862476918E-2</c:v>
                </c:pt>
                <c:pt idx="27">
                  <c:v>5.1807158534244946E-2</c:v>
                </c:pt>
                <c:pt idx="28">
                  <c:v>4.8226408196160787E-2</c:v>
                </c:pt>
                <c:pt idx="29">
                  <c:v>4.3490527678428523E-2</c:v>
                </c:pt>
                <c:pt idx="30">
                  <c:v>4.3395555408526403E-2</c:v>
                </c:pt>
                <c:pt idx="31">
                  <c:v>4.1586939204560143E-2</c:v>
                </c:pt>
                <c:pt idx="32">
                  <c:v>4.0506472767365097E-2</c:v>
                </c:pt>
                <c:pt idx="33">
                  <c:v>3.4393815980708356E-2</c:v>
                </c:pt>
                <c:pt idx="34">
                  <c:v>3.9980142048421138E-2</c:v>
                </c:pt>
                <c:pt idx="35">
                  <c:v>3.8575573307895995E-2</c:v>
                </c:pt>
                <c:pt idx="36">
                  <c:v>4.0496018672150025E-2</c:v>
                </c:pt>
                <c:pt idx="37">
                  <c:v>4.1889936556898093E-2</c:v>
                </c:pt>
                <c:pt idx="38">
                  <c:v>4.2892504651092331E-2</c:v>
                </c:pt>
                <c:pt idx="39">
                  <c:v>4.5145473154710562E-2</c:v>
                </c:pt>
                <c:pt idx="40">
                  <c:v>4.7791174209100833E-2</c:v>
                </c:pt>
                <c:pt idx="41">
                  <c:v>5.5085487077535834E-2</c:v>
                </c:pt>
                <c:pt idx="42">
                  <c:v>5.9853517018348193E-2</c:v>
                </c:pt>
                <c:pt idx="43">
                  <c:v>5.7571767599920283E-2</c:v>
                </c:pt>
                <c:pt idx="44">
                  <c:v>5.0825802430660746E-2</c:v>
                </c:pt>
                <c:pt idx="45">
                  <c:v>5.6688257046466732E-2</c:v>
                </c:pt>
                <c:pt idx="46">
                  <c:v>6.1787804126875102E-2</c:v>
                </c:pt>
                <c:pt idx="47">
                  <c:v>6.994596580385766E-2</c:v>
                </c:pt>
                <c:pt idx="48">
                  <c:v>6.6967283159367091E-2</c:v>
                </c:pt>
                <c:pt idx="49">
                  <c:v>6.9324156244517571E-2</c:v>
                </c:pt>
                <c:pt idx="50">
                  <c:v>6.2648817397752368E-2</c:v>
                </c:pt>
                <c:pt idx="51">
                  <c:v>5.7558435248659084E-2</c:v>
                </c:pt>
                <c:pt idx="52">
                  <c:v>5.850267056028479E-2</c:v>
                </c:pt>
                <c:pt idx="53">
                  <c:v>5.7447786730176413E-2</c:v>
                </c:pt>
                <c:pt idx="54">
                  <c:v>5.3347194280112815E-2</c:v>
                </c:pt>
                <c:pt idx="55">
                  <c:v>4.7892049055052024E-2</c:v>
                </c:pt>
                <c:pt idx="56">
                  <c:v>4.5401975030397862E-2</c:v>
                </c:pt>
                <c:pt idx="57">
                  <c:v>3.8545837108039896E-2</c:v>
                </c:pt>
                <c:pt idx="58">
                  <c:v>3.0296218411226636E-2</c:v>
                </c:pt>
                <c:pt idx="59">
                  <c:v>2.1023340987282212E-2</c:v>
                </c:pt>
                <c:pt idx="60">
                  <c:v>3.5347287276265696E-2</c:v>
                </c:pt>
                <c:pt idx="61">
                  <c:v>3.6307586915572544E-2</c:v>
                </c:pt>
                <c:pt idx="62">
                  <c:v>3.8966858963862115E-2</c:v>
                </c:pt>
                <c:pt idx="63">
                  <c:v>3.7714720513384835E-2</c:v>
                </c:pt>
                <c:pt idx="64">
                  <c:v>2.8345781367259532E-2</c:v>
                </c:pt>
                <c:pt idx="65">
                  <c:v>2.3464172944926146E-2</c:v>
                </c:pt>
                <c:pt idx="66">
                  <c:v>2.4573635705256402E-2</c:v>
                </c:pt>
                <c:pt idx="67">
                  <c:v>3.0535220085513334E-2</c:v>
                </c:pt>
                <c:pt idx="68">
                  <c:v>3.461505730171207E-2</c:v>
                </c:pt>
                <c:pt idx="69">
                  <c:v>4.6408070234676829E-2</c:v>
                </c:pt>
                <c:pt idx="70">
                  <c:v>5.2082233624017982E-2</c:v>
                </c:pt>
                <c:pt idx="71">
                  <c:v>5.3917722228447124E-2</c:v>
                </c:pt>
                <c:pt idx="72">
                  <c:v>4.1926180448117724E-2</c:v>
                </c:pt>
                <c:pt idx="73">
                  <c:v>5.4287515906460304E-2</c:v>
                </c:pt>
                <c:pt idx="74">
                  <c:v>4.8405268213534226E-2</c:v>
                </c:pt>
                <c:pt idx="75">
                  <c:v>4.7996969003136818E-2</c:v>
                </c:pt>
                <c:pt idx="76">
                  <c:v>5.1471787449353684E-2</c:v>
                </c:pt>
                <c:pt idx="77">
                  <c:v>5.3553233071708894E-2</c:v>
                </c:pt>
                <c:pt idx="78">
                  <c:v>5.5587066034663422E-2</c:v>
                </c:pt>
                <c:pt idx="79">
                  <c:v>5.2261839752578115E-2</c:v>
                </c:pt>
                <c:pt idx="80">
                  <c:v>4.7128398851180864E-2</c:v>
                </c:pt>
                <c:pt idx="81">
                  <c:v>4.0793308929807932E-2</c:v>
                </c:pt>
                <c:pt idx="82">
                  <c:v>4.1945874915537466E-2</c:v>
                </c:pt>
                <c:pt idx="83">
                  <c:v>4.1666759466075447E-2</c:v>
                </c:pt>
                <c:pt idx="84">
                  <c:v>4.6340949879184669E-2</c:v>
                </c:pt>
                <c:pt idx="85">
                  <c:v>3.3369884124114631E-2</c:v>
                </c:pt>
                <c:pt idx="86">
                  <c:v>3.7889039242219452E-2</c:v>
                </c:pt>
                <c:pt idx="87">
                  <c:v>4.0542294368404702E-2</c:v>
                </c:pt>
                <c:pt idx="88">
                  <c:v>4.4798800299924973E-2</c:v>
                </c:pt>
                <c:pt idx="89">
                  <c:v>5.1159256556123273E-2</c:v>
                </c:pt>
                <c:pt idx="90">
                  <c:v>5.5713874353348618E-2</c:v>
                </c:pt>
                <c:pt idx="91">
                  <c:v>5.6273877449764247E-2</c:v>
                </c:pt>
                <c:pt idx="92">
                  <c:v>6.1553236569572865E-2</c:v>
                </c:pt>
                <c:pt idx="93">
                  <c:v>5.9389013179104992E-2</c:v>
                </c:pt>
                <c:pt idx="94">
                  <c:v>5.4429101361455866E-2</c:v>
                </c:pt>
                <c:pt idx="95">
                  <c:v>4.8965290915409104E-2</c:v>
                </c:pt>
                <c:pt idx="96">
                  <c:v>4.2812928201139078E-2</c:v>
                </c:pt>
                <c:pt idx="97">
                  <c:v>4.4480770885314033E-2</c:v>
                </c:pt>
                <c:pt idx="98">
                  <c:v>4.5042301506485638E-2</c:v>
                </c:pt>
                <c:pt idx="99">
                  <c:v>5.2644203093218801E-2</c:v>
                </c:pt>
                <c:pt idx="100">
                  <c:v>4.7212600233479514E-2</c:v>
                </c:pt>
                <c:pt idx="101">
                  <c:v>3.8225950655329216E-2</c:v>
                </c:pt>
                <c:pt idx="102">
                  <c:v>2.7049905005540109E-2</c:v>
                </c:pt>
                <c:pt idx="103">
                  <c:v>2.7300227345320692E-2</c:v>
                </c:pt>
                <c:pt idx="104">
                  <c:v>2.16659360747633E-2</c:v>
                </c:pt>
                <c:pt idx="105">
                  <c:v>1.5667939283277213E-2</c:v>
                </c:pt>
                <c:pt idx="106">
                  <c:v>2.0592542110643552E-2</c:v>
                </c:pt>
                <c:pt idx="107">
                  <c:v>3.2407961206142893E-2</c:v>
                </c:pt>
                <c:pt idx="108">
                  <c:v>3.2206489079207166E-2</c:v>
                </c:pt>
                <c:pt idx="109">
                  <c:v>2.6606260296540351E-2</c:v>
                </c:pt>
                <c:pt idx="110">
                  <c:v>2.3212399373474742E-2</c:v>
                </c:pt>
                <c:pt idx="111">
                  <c:v>1.9997265642801843E-2</c:v>
                </c:pt>
                <c:pt idx="112">
                  <c:v>2.6169590643274895E-2</c:v>
                </c:pt>
                <c:pt idx="113">
                  <c:v>2.760244418589745E-2</c:v>
                </c:pt>
                <c:pt idx="114">
                  <c:v>2.7995018223786416E-2</c:v>
                </c:pt>
                <c:pt idx="115">
                  <c:v>3.1476333308947196E-2</c:v>
                </c:pt>
                <c:pt idx="116">
                  <c:v>3.6077486260977516E-2</c:v>
                </c:pt>
                <c:pt idx="117">
                  <c:v>4.2428974822267033E-2</c:v>
                </c:pt>
                <c:pt idx="118">
                  <c:v>3.5156426244596924E-2</c:v>
                </c:pt>
                <c:pt idx="119">
                  <c:v>3.2085847467446901E-2</c:v>
                </c:pt>
                <c:pt idx="120">
                  <c:v>3.4041341000943949E-2</c:v>
                </c:pt>
                <c:pt idx="121">
                  <c:v>3.3771073488637691E-2</c:v>
                </c:pt>
                <c:pt idx="122">
                  <c:v>3.3908562579542743E-2</c:v>
                </c:pt>
                <c:pt idx="123">
                  <c:v>3.3143000116156826E-2</c:v>
                </c:pt>
                <c:pt idx="124">
                  <c:v>2.7478985610486062E-2</c:v>
                </c:pt>
                <c:pt idx="125">
                  <c:v>2.7315681554774002E-2</c:v>
                </c:pt>
                <c:pt idx="126">
                  <c:v>2.7081199055721695E-2</c:v>
                </c:pt>
                <c:pt idx="127">
                  <c:v>2.3813323403727212E-2</c:v>
                </c:pt>
                <c:pt idx="128">
                  <c:v>2.2767723403880408E-2</c:v>
                </c:pt>
                <c:pt idx="129">
                  <c:v>2.1374444734779192E-2</c:v>
                </c:pt>
                <c:pt idx="130">
                  <c:v>1.9352307893475123E-2</c:v>
                </c:pt>
                <c:pt idx="131">
                  <c:v>1.8368034266271687E-2</c:v>
                </c:pt>
              </c:numCache>
            </c:numRef>
          </c:val>
        </c:ser>
        <c:ser>
          <c:idx val="2"/>
          <c:order val="2"/>
          <c:tx>
            <c:strRef>
              <c:f>[INP_INP20160313225829.XLS]Hoja1!$A$17</c:f>
              <c:strCache>
                <c:ptCount val="1"/>
                <c:pt idx="0">
                  <c:v>Nacional, Total</c:v>
                </c:pt>
              </c:strCache>
            </c:strRef>
          </c:tx>
          <c:spPr>
            <a:ln>
              <a:solidFill>
                <a:schemeClr val="bg1">
                  <a:lumMod val="75000"/>
                </a:schemeClr>
              </a:solidFill>
            </a:ln>
          </c:spPr>
          <c:marker>
            <c:symbol val="none"/>
          </c:marker>
          <c:cat>
            <c:strRef>
              <c:f>[INP_INP20160313225829.XLS]Hoja1!$N$9:$EO$9</c:f>
              <c:strCache>
                <c:ptCount val="132"/>
                <c:pt idx="0">
                  <c:v>Ene 2005</c:v>
                </c:pt>
                <c:pt idx="1">
                  <c:v>Feb 2005</c:v>
                </c:pt>
                <c:pt idx="2">
                  <c:v>Mar 2005</c:v>
                </c:pt>
                <c:pt idx="3">
                  <c:v>Abr 2005</c:v>
                </c:pt>
                <c:pt idx="4">
                  <c:v>May 2005</c:v>
                </c:pt>
                <c:pt idx="5">
                  <c:v>Jun 2005</c:v>
                </c:pt>
                <c:pt idx="6">
                  <c:v>Jul 2005</c:v>
                </c:pt>
                <c:pt idx="7">
                  <c:v>Ago 2005</c:v>
                </c:pt>
                <c:pt idx="8">
                  <c:v>Sep 2005</c:v>
                </c:pt>
                <c:pt idx="9">
                  <c:v>Oct 2005</c:v>
                </c:pt>
                <c:pt idx="10">
                  <c:v>Nov 2005</c:v>
                </c:pt>
                <c:pt idx="11">
                  <c:v>Dic 2005</c:v>
                </c:pt>
                <c:pt idx="12">
                  <c:v>Ene 2006</c:v>
                </c:pt>
                <c:pt idx="13">
                  <c:v>Feb 2006</c:v>
                </c:pt>
                <c:pt idx="14">
                  <c:v>Mar 2006</c:v>
                </c:pt>
                <c:pt idx="15">
                  <c:v>Abr 2006</c:v>
                </c:pt>
                <c:pt idx="16">
                  <c:v>May 2006</c:v>
                </c:pt>
                <c:pt idx="17">
                  <c:v>Jun 2006</c:v>
                </c:pt>
                <c:pt idx="18">
                  <c:v>Jul 2006</c:v>
                </c:pt>
                <c:pt idx="19">
                  <c:v>Ago 2006</c:v>
                </c:pt>
                <c:pt idx="20">
                  <c:v>Sep 2006</c:v>
                </c:pt>
                <c:pt idx="21">
                  <c:v>Oct 2006</c:v>
                </c:pt>
                <c:pt idx="22">
                  <c:v>Nov 2006</c:v>
                </c:pt>
                <c:pt idx="23">
                  <c:v>Dic 2006</c:v>
                </c:pt>
                <c:pt idx="24">
                  <c:v>Ene 2007</c:v>
                </c:pt>
                <c:pt idx="25">
                  <c:v>Feb 2007</c:v>
                </c:pt>
                <c:pt idx="26">
                  <c:v>Mar 2007</c:v>
                </c:pt>
                <c:pt idx="27">
                  <c:v>Abr 2007</c:v>
                </c:pt>
                <c:pt idx="28">
                  <c:v>May 2007</c:v>
                </c:pt>
                <c:pt idx="29">
                  <c:v>Jun 2007</c:v>
                </c:pt>
                <c:pt idx="30">
                  <c:v>Jul 2007</c:v>
                </c:pt>
                <c:pt idx="31">
                  <c:v>Ago 2007</c:v>
                </c:pt>
                <c:pt idx="32">
                  <c:v>Sep 2007</c:v>
                </c:pt>
                <c:pt idx="33">
                  <c:v>Oct 2007</c:v>
                </c:pt>
                <c:pt idx="34">
                  <c:v>Nov 2007</c:v>
                </c:pt>
                <c:pt idx="35">
                  <c:v>Dic 2007</c:v>
                </c:pt>
                <c:pt idx="36">
                  <c:v>Ene 2008</c:v>
                </c:pt>
                <c:pt idx="37">
                  <c:v>Feb 2008</c:v>
                </c:pt>
                <c:pt idx="38">
                  <c:v>Mar 2008</c:v>
                </c:pt>
                <c:pt idx="39">
                  <c:v>Abr 2008</c:v>
                </c:pt>
                <c:pt idx="40">
                  <c:v>May 2008</c:v>
                </c:pt>
                <c:pt idx="41">
                  <c:v>Jun 2008</c:v>
                </c:pt>
                <c:pt idx="42">
                  <c:v>Jul 2008</c:v>
                </c:pt>
                <c:pt idx="43">
                  <c:v>Ago 2008</c:v>
                </c:pt>
                <c:pt idx="44">
                  <c:v>Sep 2008</c:v>
                </c:pt>
                <c:pt idx="45">
                  <c:v>Oct 2008</c:v>
                </c:pt>
                <c:pt idx="46">
                  <c:v>Nov 2008</c:v>
                </c:pt>
                <c:pt idx="47">
                  <c:v>Dic 2008</c:v>
                </c:pt>
                <c:pt idx="48">
                  <c:v>Ene 2009</c:v>
                </c:pt>
                <c:pt idx="49">
                  <c:v>Feb 2009</c:v>
                </c:pt>
                <c:pt idx="50">
                  <c:v>Mar 2009</c:v>
                </c:pt>
                <c:pt idx="51">
                  <c:v>Abr 2009</c:v>
                </c:pt>
                <c:pt idx="52">
                  <c:v>May 2009</c:v>
                </c:pt>
                <c:pt idx="53">
                  <c:v>Jun 2009</c:v>
                </c:pt>
                <c:pt idx="54">
                  <c:v>Jul 2009</c:v>
                </c:pt>
                <c:pt idx="55">
                  <c:v>Ago 2009</c:v>
                </c:pt>
                <c:pt idx="56">
                  <c:v>Sep 2009</c:v>
                </c:pt>
                <c:pt idx="57">
                  <c:v>Oct 2009</c:v>
                </c:pt>
                <c:pt idx="58">
                  <c:v>Nov 2009</c:v>
                </c:pt>
                <c:pt idx="59">
                  <c:v>Dic 2009</c:v>
                </c:pt>
                <c:pt idx="60">
                  <c:v>Ene 2010</c:v>
                </c:pt>
                <c:pt idx="61">
                  <c:v>Feb 2010</c:v>
                </c:pt>
                <c:pt idx="62">
                  <c:v>Mar 2010</c:v>
                </c:pt>
                <c:pt idx="63">
                  <c:v>Abr 2010</c:v>
                </c:pt>
                <c:pt idx="64">
                  <c:v>May 2010</c:v>
                </c:pt>
                <c:pt idx="65">
                  <c:v>Jun 2010</c:v>
                </c:pt>
                <c:pt idx="66">
                  <c:v>Jul 2010</c:v>
                </c:pt>
                <c:pt idx="67">
                  <c:v>Ago 2010</c:v>
                </c:pt>
                <c:pt idx="68">
                  <c:v>Sep 2010</c:v>
                </c:pt>
                <c:pt idx="69">
                  <c:v>Oct 2010</c:v>
                </c:pt>
                <c:pt idx="70">
                  <c:v>Nov 2010</c:v>
                </c:pt>
                <c:pt idx="71">
                  <c:v>Dic 2010</c:v>
                </c:pt>
                <c:pt idx="72">
                  <c:v>Ene 2011</c:v>
                </c:pt>
                <c:pt idx="73">
                  <c:v>Feb 2011</c:v>
                </c:pt>
                <c:pt idx="74">
                  <c:v>Mar 2011</c:v>
                </c:pt>
                <c:pt idx="75">
                  <c:v>Abr 2011</c:v>
                </c:pt>
                <c:pt idx="76">
                  <c:v>May 2011</c:v>
                </c:pt>
                <c:pt idx="77">
                  <c:v>Jun 2011</c:v>
                </c:pt>
                <c:pt idx="78">
                  <c:v>Jul 2011</c:v>
                </c:pt>
                <c:pt idx="79">
                  <c:v>Ago 2011</c:v>
                </c:pt>
                <c:pt idx="80">
                  <c:v>Sep 2011</c:v>
                </c:pt>
                <c:pt idx="81">
                  <c:v>Oct 2011</c:v>
                </c:pt>
                <c:pt idx="82">
                  <c:v>Nov 2011</c:v>
                </c:pt>
                <c:pt idx="83">
                  <c:v>Dic 2011</c:v>
                </c:pt>
                <c:pt idx="84">
                  <c:v>Ene 2012</c:v>
                </c:pt>
                <c:pt idx="85">
                  <c:v>Feb 2012</c:v>
                </c:pt>
                <c:pt idx="86">
                  <c:v>Mar 2012</c:v>
                </c:pt>
                <c:pt idx="87">
                  <c:v>Abr 2012</c:v>
                </c:pt>
                <c:pt idx="88">
                  <c:v>May 2012</c:v>
                </c:pt>
                <c:pt idx="89">
                  <c:v>Jun 2012</c:v>
                </c:pt>
                <c:pt idx="90">
                  <c:v>Jul 2012</c:v>
                </c:pt>
                <c:pt idx="91">
                  <c:v>Ago 2012</c:v>
                </c:pt>
                <c:pt idx="92">
                  <c:v>Sep 2012</c:v>
                </c:pt>
                <c:pt idx="93">
                  <c:v>Oct 2012</c:v>
                </c:pt>
                <c:pt idx="94">
                  <c:v>Nov 2012</c:v>
                </c:pt>
                <c:pt idx="95">
                  <c:v>Dic 2012</c:v>
                </c:pt>
                <c:pt idx="96">
                  <c:v>Ene 2013</c:v>
                </c:pt>
                <c:pt idx="97">
                  <c:v>Feb 2013</c:v>
                </c:pt>
                <c:pt idx="98">
                  <c:v>Mar 2013</c:v>
                </c:pt>
                <c:pt idx="99">
                  <c:v>Abr 2013</c:v>
                </c:pt>
                <c:pt idx="100">
                  <c:v>May 2013</c:v>
                </c:pt>
                <c:pt idx="101">
                  <c:v>Jun 2013</c:v>
                </c:pt>
                <c:pt idx="102">
                  <c:v>Jul 2013</c:v>
                </c:pt>
                <c:pt idx="103">
                  <c:v>Ago 2013</c:v>
                </c:pt>
                <c:pt idx="104">
                  <c:v>Sep 2013</c:v>
                </c:pt>
                <c:pt idx="105">
                  <c:v>Oct 2013</c:v>
                </c:pt>
                <c:pt idx="106">
                  <c:v>Nov 2013</c:v>
                </c:pt>
                <c:pt idx="107">
                  <c:v>Dic 2013</c:v>
                </c:pt>
                <c:pt idx="108">
                  <c:v>Ene 2014</c:v>
                </c:pt>
                <c:pt idx="109">
                  <c:v>Feb 2014</c:v>
                </c:pt>
                <c:pt idx="110">
                  <c:v>Mar 2014</c:v>
                </c:pt>
                <c:pt idx="111">
                  <c:v>Abr 2014</c:v>
                </c:pt>
                <c:pt idx="112">
                  <c:v>May 2014</c:v>
                </c:pt>
                <c:pt idx="113">
                  <c:v>Jun 2014</c:v>
                </c:pt>
                <c:pt idx="114">
                  <c:v>Jul 2014</c:v>
                </c:pt>
                <c:pt idx="115">
                  <c:v>Ago 2014</c:v>
                </c:pt>
                <c:pt idx="116">
                  <c:v>Sep 2014</c:v>
                </c:pt>
                <c:pt idx="117">
                  <c:v>Oct 2014</c:v>
                </c:pt>
                <c:pt idx="118">
                  <c:v>Nov 2014</c:v>
                </c:pt>
                <c:pt idx="119">
                  <c:v>Dic 2014</c:v>
                </c:pt>
                <c:pt idx="120">
                  <c:v>Ene 2015</c:v>
                </c:pt>
                <c:pt idx="121">
                  <c:v>Feb 2015</c:v>
                </c:pt>
                <c:pt idx="122">
                  <c:v>Mar 2015</c:v>
                </c:pt>
                <c:pt idx="123">
                  <c:v>Abr 2015</c:v>
                </c:pt>
                <c:pt idx="124">
                  <c:v>May 2015</c:v>
                </c:pt>
                <c:pt idx="125">
                  <c:v>Jun 2015</c:v>
                </c:pt>
                <c:pt idx="126">
                  <c:v>Jul 2015</c:v>
                </c:pt>
                <c:pt idx="127">
                  <c:v>Ago 2015</c:v>
                </c:pt>
                <c:pt idx="128">
                  <c:v>Sep 2015</c:v>
                </c:pt>
                <c:pt idx="129">
                  <c:v>Oct 2015</c:v>
                </c:pt>
                <c:pt idx="130">
                  <c:v>Nov 2015</c:v>
                </c:pt>
                <c:pt idx="131">
                  <c:v>Dic 2015</c:v>
                </c:pt>
              </c:strCache>
            </c:strRef>
          </c:cat>
          <c:val>
            <c:numRef>
              <c:f>[INP_INP20160313225829.XLS]Hoja1!$N$17:$EO$17</c:f>
              <c:numCache>
                <c:formatCode>0.00%</c:formatCode>
                <c:ptCount val="132"/>
                <c:pt idx="0">
                  <c:v>4.5448212444617886E-2</c:v>
                </c:pt>
                <c:pt idx="1">
                  <c:v>4.2694243109738114E-2</c:v>
                </c:pt>
                <c:pt idx="2">
                  <c:v>4.3856743227326904E-2</c:v>
                </c:pt>
                <c:pt idx="3">
                  <c:v>4.5995810209859787E-2</c:v>
                </c:pt>
                <c:pt idx="4">
                  <c:v>4.5991728305232953E-2</c:v>
                </c:pt>
                <c:pt idx="5">
                  <c:v>4.3315522775136922E-2</c:v>
                </c:pt>
                <c:pt idx="6">
                  <c:v>4.4660710682251692E-2</c:v>
                </c:pt>
                <c:pt idx="7">
                  <c:v>3.9491316833033252E-2</c:v>
                </c:pt>
                <c:pt idx="8">
                  <c:v>3.5098822806087462E-2</c:v>
                </c:pt>
                <c:pt idx="9">
                  <c:v>3.050247827023753E-2</c:v>
                </c:pt>
                <c:pt idx="10">
                  <c:v>2.9140476148085969E-2</c:v>
                </c:pt>
                <c:pt idx="11">
                  <c:v>3.332741003997533E-2</c:v>
                </c:pt>
                <c:pt idx="12">
                  <c:v>3.9350000888459552E-2</c:v>
                </c:pt>
                <c:pt idx="13">
                  <c:v>3.7483728714505705E-2</c:v>
                </c:pt>
                <c:pt idx="14">
                  <c:v>3.4124367495901781E-2</c:v>
                </c:pt>
                <c:pt idx="15">
                  <c:v>3.1965355492693602E-2</c:v>
                </c:pt>
                <c:pt idx="16">
                  <c:v>2.9958786854061267E-2</c:v>
                </c:pt>
                <c:pt idx="17">
                  <c:v>3.1838655936254311E-2</c:v>
                </c:pt>
                <c:pt idx="18">
                  <c:v>3.0634554091192027E-2</c:v>
                </c:pt>
                <c:pt idx="19">
                  <c:v>3.4658458084488857E-2</c:v>
                </c:pt>
                <c:pt idx="20">
                  <c:v>4.0931483875480033E-2</c:v>
                </c:pt>
                <c:pt idx="21">
                  <c:v>4.2922493791667703E-2</c:v>
                </c:pt>
                <c:pt idx="22">
                  <c:v>4.0902838456275764E-2</c:v>
                </c:pt>
                <c:pt idx="23">
                  <c:v>4.0532755522306313E-2</c:v>
                </c:pt>
                <c:pt idx="24">
                  <c:v>3.9809203046591801E-2</c:v>
                </c:pt>
                <c:pt idx="25">
                  <c:v>4.1122548266505646E-2</c:v>
                </c:pt>
                <c:pt idx="26">
                  <c:v>4.2068383499990564E-2</c:v>
                </c:pt>
                <c:pt idx="27">
                  <c:v>3.9921348984092296E-2</c:v>
                </c:pt>
                <c:pt idx="28">
                  <c:v>3.9475709228950856E-2</c:v>
                </c:pt>
                <c:pt idx="29">
                  <c:v>3.9826070613958819E-2</c:v>
                </c:pt>
                <c:pt idx="30">
                  <c:v>4.1386948372807805E-2</c:v>
                </c:pt>
                <c:pt idx="31">
                  <c:v>4.0320735046071123E-2</c:v>
                </c:pt>
                <c:pt idx="32">
                  <c:v>3.7920617605107891E-2</c:v>
                </c:pt>
                <c:pt idx="33">
                  <c:v>3.7429714849067201E-2</c:v>
                </c:pt>
                <c:pt idx="34">
                  <c:v>3.9295539357880625E-2</c:v>
                </c:pt>
                <c:pt idx="35">
                  <c:v>3.7590381357687559E-2</c:v>
                </c:pt>
                <c:pt idx="36">
                  <c:v>3.7043735613284723E-2</c:v>
                </c:pt>
                <c:pt idx="37">
                  <c:v>3.7227414330215682E-2</c:v>
                </c:pt>
                <c:pt idx="38">
                  <c:v>4.2488792905981933E-2</c:v>
                </c:pt>
                <c:pt idx="39">
                  <c:v>4.5485426164960263E-2</c:v>
                </c:pt>
                <c:pt idx="40">
                  <c:v>4.9475632325732433E-2</c:v>
                </c:pt>
                <c:pt idx="41">
                  <c:v>5.2554612597670684E-2</c:v>
                </c:pt>
                <c:pt idx="42">
                  <c:v>5.3943945417948516E-2</c:v>
                </c:pt>
                <c:pt idx="43">
                  <c:v>5.5729370355883573E-2</c:v>
                </c:pt>
                <c:pt idx="44">
                  <c:v>5.4734050723981922E-2</c:v>
                </c:pt>
                <c:pt idx="45">
                  <c:v>5.7799325124224504E-2</c:v>
                </c:pt>
                <c:pt idx="46">
                  <c:v>6.2328564459755584E-2</c:v>
                </c:pt>
                <c:pt idx="47">
                  <c:v>6.5281450097157079E-2</c:v>
                </c:pt>
                <c:pt idx="48">
                  <c:v>6.2824029299385284E-2</c:v>
                </c:pt>
                <c:pt idx="49">
                  <c:v>6.2013420696954522E-2</c:v>
                </c:pt>
                <c:pt idx="50">
                  <c:v>6.043723222273218E-2</c:v>
                </c:pt>
                <c:pt idx="51">
                  <c:v>6.1732744582240824E-2</c:v>
                </c:pt>
                <c:pt idx="52">
                  <c:v>5.9785249627710493E-2</c:v>
                </c:pt>
                <c:pt idx="53">
                  <c:v>5.7361182659734132E-2</c:v>
                </c:pt>
                <c:pt idx="54">
                  <c:v>5.436537506209714E-2</c:v>
                </c:pt>
                <c:pt idx="55">
                  <c:v>5.0819596221519013E-2</c:v>
                </c:pt>
                <c:pt idx="56">
                  <c:v>4.8942579661047175E-2</c:v>
                </c:pt>
                <c:pt idx="57">
                  <c:v>4.4994975180436533E-2</c:v>
                </c:pt>
                <c:pt idx="58">
                  <c:v>3.8610067674894256E-2</c:v>
                </c:pt>
                <c:pt idx="59">
                  <c:v>3.5735378772585209E-2</c:v>
                </c:pt>
                <c:pt idx="60">
                  <c:v>4.4573397677349517E-2</c:v>
                </c:pt>
                <c:pt idx="61">
                  <c:v>4.8300549986231893E-2</c:v>
                </c:pt>
                <c:pt idx="62">
                  <c:v>4.9704010655623923E-2</c:v>
                </c:pt>
                <c:pt idx="63">
                  <c:v>4.2709769712340792E-2</c:v>
                </c:pt>
                <c:pt idx="64">
                  <c:v>3.9166383173840434E-2</c:v>
                </c:pt>
                <c:pt idx="65">
                  <c:v>3.6931503613422491E-2</c:v>
                </c:pt>
                <c:pt idx="66">
                  <c:v>3.6360022379929482E-2</c:v>
                </c:pt>
                <c:pt idx="67">
                  <c:v>3.6757955655437845E-2</c:v>
                </c:pt>
                <c:pt idx="68">
                  <c:v>3.6991026278100192E-2</c:v>
                </c:pt>
                <c:pt idx="69">
                  <c:v>4.0245377318626895E-2</c:v>
                </c:pt>
                <c:pt idx="70">
                  <c:v>4.3168804812640522E-2</c:v>
                </c:pt>
                <c:pt idx="71">
                  <c:v>4.4015850903352693E-2</c:v>
                </c:pt>
                <c:pt idx="72">
                  <c:v>3.7820372017969832E-2</c:v>
                </c:pt>
                <c:pt idx="73">
                  <c:v>3.5723311727497806E-2</c:v>
                </c:pt>
                <c:pt idx="74">
                  <c:v>3.0395071163208439E-2</c:v>
                </c:pt>
                <c:pt idx="75">
                  <c:v>3.3606679891096829E-2</c:v>
                </c:pt>
                <c:pt idx="76">
                  <c:v>3.2492890245807003E-2</c:v>
                </c:pt>
                <c:pt idx="77">
                  <c:v>3.2764685199688927E-2</c:v>
                </c:pt>
                <c:pt idx="78">
                  <c:v>3.5471623015452806E-2</c:v>
                </c:pt>
                <c:pt idx="79">
                  <c:v>3.4236915404563584E-2</c:v>
                </c:pt>
                <c:pt idx="80">
                  <c:v>3.1367739982804219E-2</c:v>
                </c:pt>
                <c:pt idx="81">
                  <c:v>3.1956472384470441E-2</c:v>
                </c:pt>
                <c:pt idx="82">
                  <c:v>3.4826938218248046E-2</c:v>
                </c:pt>
                <c:pt idx="83">
                  <c:v>3.8187567875879513E-2</c:v>
                </c:pt>
                <c:pt idx="84">
                  <c:v>4.0467733567466413E-2</c:v>
                </c:pt>
                <c:pt idx="85">
                  <c:v>3.868633453938209E-2</c:v>
                </c:pt>
                <c:pt idx="86">
                  <c:v>3.7292776570731295E-2</c:v>
                </c:pt>
                <c:pt idx="87">
                  <c:v>3.4120786990643748E-2</c:v>
                </c:pt>
                <c:pt idx="88">
                  <c:v>3.8512284349199309E-2</c:v>
                </c:pt>
                <c:pt idx="89">
                  <c:v>4.3352225587509154E-2</c:v>
                </c:pt>
                <c:pt idx="90">
                  <c:v>4.4199719461605017E-2</c:v>
                </c:pt>
                <c:pt idx="91">
                  <c:v>4.5679380214541022E-2</c:v>
                </c:pt>
                <c:pt idx="92">
                  <c:v>4.771765731667485E-2</c:v>
                </c:pt>
                <c:pt idx="93">
                  <c:v>4.5960947956853834E-2</c:v>
                </c:pt>
                <c:pt idx="94">
                  <c:v>4.1798514220062963E-2</c:v>
                </c:pt>
                <c:pt idx="95">
                  <c:v>3.5682900213421492E-2</c:v>
                </c:pt>
                <c:pt idx="96">
                  <c:v>3.254574047792614E-2</c:v>
                </c:pt>
                <c:pt idx="97">
                  <c:v>3.55228908283571E-2</c:v>
                </c:pt>
                <c:pt idx="98">
                  <c:v>4.2522667278778833E-2</c:v>
                </c:pt>
                <c:pt idx="99">
                  <c:v>4.6494224200790912E-2</c:v>
                </c:pt>
                <c:pt idx="100">
                  <c:v>4.6314208991424403E-2</c:v>
                </c:pt>
                <c:pt idx="101">
                  <c:v>4.0880262124202392E-2</c:v>
                </c:pt>
                <c:pt idx="102">
                  <c:v>3.4726191837191778E-2</c:v>
                </c:pt>
                <c:pt idx="103">
                  <c:v>3.4565297922662795E-2</c:v>
                </c:pt>
                <c:pt idx="104">
                  <c:v>3.3902953386985506E-2</c:v>
                </c:pt>
                <c:pt idx="105">
                  <c:v>3.3591147744594402E-2</c:v>
                </c:pt>
                <c:pt idx="106">
                  <c:v>3.6186915887850842E-2</c:v>
                </c:pt>
                <c:pt idx="107">
                  <c:v>3.9740409898737478E-2</c:v>
                </c:pt>
                <c:pt idx="108">
                  <c:v>4.4828098590241512E-2</c:v>
                </c:pt>
                <c:pt idx="109">
                  <c:v>4.2344373798610155E-2</c:v>
                </c:pt>
                <c:pt idx="110">
                  <c:v>3.7586466303370661E-2</c:v>
                </c:pt>
                <c:pt idx="111">
                  <c:v>3.4967086565084321E-2</c:v>
                </c:pt>
                <c:pt idx="112">
                  <c:v>3.5102243563208915E-2</c:v>
                </c:pt>
                <c:pt idx="113">
                  <c:v>3.7525887063362406E-2</c:v>
                </c:pt>
                <c:pt idx="114">
                  <c:v>4.0724065224806802E-2</c:v>
                </c:pt>
                <c:pt idx="115">
                  <c:v>4.1499109421766787E-2</c:v>
                </c:pt>
                <c:pt idx="116">
                  <c:v>4.2175837845739424E-2</c:v>
                </c:pt>
                <c:pt idx="117">
                  <c:v>4.2977569004442537E-2</c:v>
                </c:pt>
                <c:pt idx="118">
                  <c:v>4.1678692546350746E-2</c:v>
                </c:pt>
                <c:pt idx="119">
                  <c:v>4.0813215195322432E-2</c:v>
                </c:pt>
                <c:pt idx="120">
                  <c:v>3.0656415270423849E-2</c:v>
                </c:pt>
                <c:pt idx="121">
                  <c:v>3.0002659810266872E-2</c:v>
                </c:pt>
                <c:pt idx="122">
                  <c:v>3.1370745983607402E-2</c:v>
                </c:pt>
                <c:pt idx="123">
                  <c:v>3.06232726241943E-2</c:v>
                </c:pt>
                <c:pt idx="124">
                  <c:v>2.8766429390279361E-2</c:v>
                </c:pt>
                <c:pt idx="125">
                  <c:v>2.8707794396843789E-2</c:v>
                </c:pt>
                <c:pt idx="126">
                  <c:v>2.7390473494231755E-2</c:v>
                </c:pt>
                <c:pt idx="127">
                  <c:v>2.5873164195419809E-2</c:v>
                </c:pt>
                <c:pt idx="128">
                  <c:v>2.5188916876583402E-2</c:v>
                </c:pt>
                <c:pt idx="129">
                  <c:v>2.4797283732946877E-2</c:v>
                </c:pt>
                <c:pt idx="130">
                  <c:v>2.2148528482254612E-2</c:v>
                </c:pt>
                <c:pt idx="131">
                  <c:v>2.1308127762603612E-2</c:v>
                </c:pt>
              </c:numCache>
            </c:numRef>
          </c:val>
        </c:ser>
        <c:marker val="1"/>
        <c:axId val="82811904"/>
        <c:axId val="82817792"/>
      </c:lineChart>
      <c:catAx>
        <c:axId val="82811904"/>
        <c:scaling>
          <c:orientation val="minMax"/>
        </c:scaling>
        <c:axPos val="b"/>
        <c:numFmt formatCode="General" sourceLinked="0"/>
        <c:tickLblPos val="nextTo"/>
        <c:crossAx val="82817792"/>
        <c:crosses val="autoZero"/>
        <c:auto val="1"/>
        <c:lblAlgn val="ctr"/>
        <c:lblOffset val="100"/>
      </c:catAx>
      <c:valAx>
        <c:axId val="82817792"/>
        <c:scaling>
          <c:orientation val="minMax"/>
        </c:scaling>
        <c:axPos val="l"/>
        <c:majorGridlines>
          <c:spPr>
            <a:ln>
              <a:noFill/>
            </a:ln>
          </c:spPr>
        </c:majorGridlines>
        <c:numFmt formatCode="0%" sourceLinked="0"/>
        <c:tickLblPos val="nextTo"/>
        <c:crossAx val="82811904"/>
        <c:crosses val="autoZero"/>
        <c:crossBetween val="between"/>
      </c:valAx>
    </c:plotArea>
    <c:legend>
      <c:legendPos val="t"/>
    </c:legend>
    <c:plotVisOnly val="1"/>
    <c:dispBlanksAs val="gap"/>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es-MX"/>
  <c:chart>
    <c:title>
      <c:tx>
        <c:rich>
          <a:bodyPr/>
          <a:lstStyle/>
          <a:p>
            <a:pPr>
              <a:defRPr/>
            </a:pPr>
            <a:r>
              <a:rPr lang="es-MX" sz="1800" b="1" i="0" baseline="0">
                <a:effectLst/>
              </a:rPr>
              <a:t>Número de actos de fiscalización</a:t>
            </a:r>
            <a:endParaRPr lang="es-MX">
              <a:effectLst/>
            </a:endParaRPr>
          </a:p>
        </c:rich>
      </c:tx>
    </c:title>
    <c:view3D>
      <c:rotY val="50"/>
      <c:rAngAx val="1"/>
    </c:view3D>
    <c:plotArea>
      <c:layout/>
      <c:bar3DChart>
        <c:barDir val="col"/>
        <c:grouping val="clustered"/>
        <c:ser>
          <c:idx val="0"/>
          <c:order val="0"/>
          <c:dPt>
            <c:idx val="0"/>
            <c:spPr>
              <a:solidFill>
                <a:srgbClr val="92D050"/>
              </a:solidFill>
            </c:spPr>
          </c:dPt>
          <c:dPt>
            <c:idx val="2"/>
            <c:spPr>
              <a:solidFill>
                <a:srgbClr val="92D050"/>
              </a:solidFill>
            </c:spPr>
          </c:dPt>
          <c:dPt>
            <c:idx val="4"/>
            <c:spPr>
              <a:solidFill>
                <a:srgbClr val="92D050"/>
              </a:solidFill>
            </c:spPr>
          </c:dPt>
          <c:dLbls>
            <c:dLbl>
              <c:idx val="0"/>
              <c:layout>
                <c:manualLayout>
                  <c:x val="8.3333333333333367E-3"/>
                  <c:y val="0.18981481481481491"/>
                </c:manualLayout>
              </c:layout>
              <c:showVal val="1"/>
              <c:extLst>
                <c:ext xmlns:c15="http://schemas.microsoft.com/office/drawing/2012/chart" uri="{CE6537A1-D6FC-4f65-9D91-7224C49458BB}">
                  <c15:layout/>
                </c:ext>
              </c:extLst>
            </c:dLbl>
            <c:dLbl>
              <c:idx val="1"/>
              <c:layout>
                <c:manualLayout>
                  <c:x val="-1.2850335903652965E-3"/>
                  <c:y val="0.15277795294939991"/>
                </c:manualLayout>
              </c:layout>
              <c:tx>
                <c:rich>
                  <a:bodyPr/>
                  <a:lstStyle/>
                  <a:p>
                    <a:r>
                      <a:rPr lang="en-US"/>
                      <a:t>1,011</a:t>
                    </a:r>
                  </a:p>
                </c:rich>
              </c:tx>
              <c:showVal val="1"/>
            </c:dLbl>
            <c:dLbl>
              <c:idx val="2"/>
              <c:layout>
                <c:manualLayout>
                  <c:x val="1.4897074243398038E-3"/>
                  <c:y val="0.20316635251049195"/>
                </c:manualLayout>
              </c:layout>
              <c:tx>
                <c:rich>
                  <a:bodyPr/>
                  <a:lstStyle/>
                  <a:p>
                    <a:r>
                      <a:rPr lang="en-US"/>
                      <a:t>1,231</a:t>
                    </a:r>
                  </a:p>
                </c:rich>
              </c:tx>
              <c:showVal val="1"/>
            </c:dLbl>
            <c:dLbl>
              <c:idx val="3"/>
              <c:layout>
                <c:manualLayout>
                  <c:x val="7.4636841214380993E-4"/>
                  <c:y val="0.22222240304454155"/>
                </c:manualLayout>
              </c:layout>
              <c:tx>
                <c:rich>
                  <a:bodyPr/>
                  <a:lstStyle/>
                  <a:p>
                    <a:r>
                      <a:rPr lang="en-US"/>
                      <a:t>1,492</a:t>
                    </a:r>
                  </a:p>
                </c:rich>
              </c:tx>
              <c:showVal val="1"/>
            </c:dLbl>
            <c:dLbl>
              <c:idx val="4"/>
              <c:layout>
                <c:manualLayout>
                  <c:x val="5.5555555555555558E-3"/>
                  <c:y val="0.12499999999999992"/>
                </c:manualLayout>
              </c:layout>
              <c:showVal val="1"/>
              <c:extLst>
                <c:ext xmlns:c15="http://schemas.microsoft.com/office/drawing/2012/chart" uri="{CE6537A1-D6FC-4f65-9D91-7224C49458BB}">
                  <c15:layout/>
                </c:ext>
              </c:extLst>
            </c:dLbl>
            <c:dLbl>
              <c:idx val="5"/>
              <c:layout>
                <c:manualLayout>
                  <c:x val="2.7777777777778351E-3"/>
                  <c:y val="9.2592592592593934E-2"/>
                </c:manualLayout>
              </c:layout>
              <c:showVal val="1"/>
              <c:extLst>
                <c:ext xmlns:c15="http://schemas.microsoft.com/office/drawing/2012/chart" uri="{CE6537A1-D6FC-4f65-9D91-7224C49458BB}">
                  <c15:layout/>
                </c:ext>
              </c:extLst>
            </c:dLbl>
            <c:spPr>
              <a:noFill/>
              <a:ln>
                <a:noFill/>
              </a:ln>
              <a:effectLst/>
            </c:spPr>
            <c:txPr>
              <a:bodyPr/>
              <a:lstStyle/>
              <a:p>
                <a:pPr>
                  <a:defRPr b="1">
                    <a:solidFill>
                      <a:schemeClr val="tx1"/>
                    </a:solidFill>
                  </a:defRPr>
                </a:pPr>
                <a:endParaRPr lang="es-MX"/>
              </a:p>
            </c:txPr>
            <c:showVal val="1"/>
            <c:extLst>
              <c:ext xmlns:c15="http://schemas.microsoft.com/office/drawing/2012/chart" uri="{CE6537A1-D6FC-4f65-9D91-7224C49458BB}">
                <c15:showLeaderLines val="0"/>
              </c:ext>
            </c:extLst>
          </c:dLbls>
          <c:cat>
            <c:numRef>
              <c:f>'metas fed'!$C$5:$C$10</c:f>
              <c:numCache>
                <c:formatCode>General</c:formatCode>
                <c:ptCount val="6"/>
                <c:pt idx="0">
                  <c:v>2010</c:v>
                </c:pt>
                <c:pt idx="1">
                  <c:v>2011</c:v>
                </c:pt>
                <c:pt idx="2">
                  <c:v>2012</c:v>
                </c:pt>
                <c:pt idx="3">
                  <c:v>2013</c:v>
                </c:pt>
                <c:pt idx="4">
                  <c:v>2014</c:v>
                </c:pt>
                <c:pt idx="5">
                  <c:v>2015</c:v>
                </c:pt>
              </c:numCache>
            </c:numRef>
          </c:cat>
          <c:val>
            <c:numRef>
              <c:f>'metas fed'!$D$5:$D$10</c:f>
              <c:numCache>
                <c:formatCode>General</c:formatCode>
                <c:ptCount val="6"/>
                <c:pt idx="0">
                  <c:v>848</c:v>
                </c:pt>
                <c:pt idx="1">
                  <c:v>1011</c:v>
                </c:pt>
                <c:pt idx="2">
                  <c:v>1231</c:v>
                </c:pt>
                <c:pt idx="3">
                  <c:v>1492</c:v>
                </c:pt>
                <c:pt idx="4">
                  <c:v>519</c:v>
                </c:pt>
                <c:pt idx="5">
                  <c:v>381</c:v>
                </c:pt>
              </c:numCache>
            </c:numRef>
          </c:val>
        </c:ser>
        <c:dLbls>
          <c:showVal val="1"/>
        </c:dLbls>
        <c:shape val="box"/>
        <c:axId val="82832768"/>
        <c:axId val="82719872"/>
        <c:axId val="0"/>
      </c:bar3DChart>
      <c:catAx>
        <c:axId val="82832768"/>
        <c:scaling>
          <c:orientation val="minMax"/>
        </c:scaling>
        <c:axPos val="b"/>
        <c:numFmt formatCode="General" sourceLinked="1"/>
        <c:majorTickMark val="none"/>
        <c:tickLblPos val="nextTo"/>
        <c:crossAx val="82719872"/>
        <c:crosses val="autoZero"/>
        <c:auto val="1"/>
        <c:lblAlgn val="ctr"/>
        <c:lblOffset val="100"/>
      </c:catAx>
      <c:valAx>
        <c:axId val="82719872"/>
        <c:scaling>
          <c:orientation val="minMax"/>
        </c:scaling>
        <c:delete val="1"/>
        <c:axPos val="l"/>
        <c:numFmt formatCode="General" sourceLinked="1"/>
        <c:majorTickMark val="none"/>
        <c:tickLblPos val="none"/>
        <c:crossAx val="82832768"/>
        <c:crosses val="autoZero"/>
        <c:crossBetween val="between"/>
      </c:valAx>
    </c:plotArea>
    <c:plotVisOnly val="1"/>
    <c:dispBlanksAs val="gap"/>
  </c:chart>
  <c:spPr>
    <a:noFill/>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s-MX" sz="1050"/>
              <a:t>Cumplimient</a:t>
            </a:r>
            <a:r>
              <a:rPr lang="es-MX" sz="1050" baseline="0"/>
              <a:t>o del POA 2015</a:t>
            </a:r>
            <a:endParaRPr lang="es-MX" sz="1050"/>
          </a:p>
        </c:rich>
      </c:tx>
    </c:title>
    <c:view3D>
      <c:rAngAx val="1"/>
    </c:view3D>
    <c:plotArea>
      <c:layout/>
      <c:bar3DChart>
        <c:barDir val="bar"/>
        <c:grouping val="clustered"/>
        <c:ser>
          <c:idx val="0"/>
          <c:order val="0"/>
          <c:dPt>
            <c:idx val="1"/>
            <c:spPr>
              <a:solidFill>
                <a:schemeClr val="bg1">
                  <a:lumMod val="75000"/>
                </a:schemeClr>
              </a:solidFill>
            </c:spPr>
          </c:dPt>
          <c:dPt>
            <c:idx val="3"/>
            <c:spPr>
              <a:solidFill>
                <a:schemeClr val="bg1">
                  <a:lumMod val="75000"/>
                </a:schemeClr>
              </a:solidFill>
            </c:spPr>
          </c:dPt>
          <c:dLbls>
            <c:dLbl>
              <c:idx val="0"/>
              <c:layout>
                <c:manualLayout>
                  <c:x val="7.0777942472208524E-3"/>
                  <c:y val="0"/>
                </c:manualLayout>
              </c:layout>
              <c:showVal val="1"/>
              <c:extLst>
                <c:ext xmlns:c15="http://schemas.microsoft.com/office/drawing/2012/chart" uri="{CE6537A1-D6FC-4f65-9D91-7224C49458BB}">
                  <c15:layout/>
                </c:ext>
              </c:extLst>
            </c:dLbl>
            <c:dLbl>
              <c:idx val="1"/>
              <c:layout>
                <c:manualLayout>
                  <c:x val="1.1796323745368263E-2"/>
                  <c:y val="-4.6296296296296823E-3"/>
                </c:manualLayout>
              </c:layout>
              <c:showVal val="1"/>
              <c:extLst>
                <c:ext xmlns:c15="http://schemas.microsoft.com/office/drawing/2012/chart" uri="{CE6537A1-D6FC-4f65-9D91-7224C49458BB}">
                  <c15:layout/>
                </c:ext>
              </c:extLst>
            </c:dLbl>
            <c:dLbl>
              <c:idx val="2"/>
              <c:layout>
                <c:manualLayout>
                  <c:x val="9.4370589962944687E-3"/>
                  <c:y val="0"/>
                </c:manualLayout>
              </c:layout>
              <c:showVal val="1"/>
              <c:extLst>
                <c:ext xmlns:c15="http://schemas.microsoft.com/office/drawing/2012/chart" uri="{CE6537A1-D6FC-4f65-9D91-7224C49458BB}">
                  <c15:layout/>
                </c:ext>
              </c:extLst>
            </c:dLbl>
            <c:dLbl>
              <c:idx val="3"/>
              <c:layout>
                <c:manualLayout>
                  <c:x val="1.6514853243515575E-2"/>
                  <c:y val="-4.6296296296296823E-3"/>
                </c:manualLayout>
              </c:layout>
              <c:showVal val="1"/>
              <c:extLst>
                <c:ext xmlns:c15="http://schemas.microsoft.com/office/drawing/2012/chart" uri="{CE6537A1-D6FC-4f65-9D91-7224C49458BB}">
                  <c15:layout/>
                </c:ext>
              </c:extLst>
            </c:dLbl>
            <c:spPr>
              <a:noFill/>
              <a:ln>
                <a:noFill/>
              </a:ln>
              <a:effectLst/>
            </c:spPr>
            <c:showVal val="1"/>
            <c:extLst>
              <c:ext xmlns:c15="http://schemas.microsoft.com/office/drawing/2012/chart" uri="{CE6537A1-D6FC-4f65-9D91-7224C49458BB}">
                <c15:showLeaderLines val="0"/>
              </c:ext>
            </c:extLst>
          </c:dLbls>
          <c:cat>
            <c:strRef>
              <c:f>Hoja4!$B$6:$B$9</c:f>
              <c:strCache>
                <c:ptCount val="4"/>
                <c:pt idx="0">
                  <c:v>Casos de Ejemplaridad Realizados</c:v>
                </c:pt>
                <c:pt idx="1">
                  <c:v>Casos de Ejemplaridad Programados</c:v>
                </c:pt>
                <c:pt idx="2">
                  <c:v>Revisiones Terminadas</c:v>
                </c:pt>
                <c:pt idx="3">
                  <c:v>Revisiones Programadas</c:v>
                </c:pt>
              </c:strCache>
            </c:strRef>
          </c:cat>
          <c:val>
            <c:numRef>
              <c:f>Hoja4!$C$6:$C$9</c:f>
              <c:numCache>
                <c:formatCode>General</c:formatCode>
                <c:ptCount val="4"/>
                <c:pt idx="0">
                  <c:v>75</c:v>
                </c:pt>
                <c:pt idx="1">
                  <c:v>63</c:v>
                </c:pt>
                <c:pt idx="2">
                  <c:v>330</c:v>
                </c:pt>
                <c:pt idx="3">
                  <c:v>318</c:v>
                </c:pt>
              </c:numCache>
            </c:numRef>
          </c:val>
        </c:ser>
        <c:dLbls>
          <c:showVal val="1"/>
        </c:dLbls>
        <c:shape val="cylinder"/>
        <c:axId val="66986752"/>
        <c:axId val="66988288"/>
        <c:axId val="0"/>
      </c:bar3DChart>
      <c:catAx>
        <c:axId val="66986752"/>
        <c:scaling>
          <c:orientation val="minMax"/>
        </c:scaling>
        <c:axPos val="l"/>
        <c:numFmt formatCode="General" sourceLinked="0"/>
        <c:majorTickMark val="none"/>
        <c:tickLblPos val="nextTo"/>
        <c:crossAx val="66988288"/>
        <c:crosses val="autoZero"/>
        <c:auto val="1"/>
        <c:lblAlgn val="ctr"/>
        <c:lblOffset val="100"/>
      </c:catAx>
      <c:valAx>
        <c:axId val="66988288"/>
        <c:scaling>
          <c:orientation val="minMax"/>
        </c:scaling>
        <c:delete val="1"/>
        <c:axPos val="b"/>
        <c:numFmt formatCode="General" sourceLinked="1"/>
        <c:tickLblPos val="none"/>
        <c:crossAx val="66986752"/>
        <c:crosses val="autoZero"/>
        <c:crossBetween val="between"/>
      </c:valAx>
    </c:plotArea>
    <c:plotVisOnly val="1"/>
    <c:dispBlanksAs val="gap"/>
  </c:chart>
  <c:spPr>
    <a:noFill/>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sz="1600"/>
            </a:pPr>
            <a:r>
              <a:rPr lang="es-MX" sz="1600"/>
              <a:t>Avance POA Estatal</a:t>
            </a:r>
          </a:p>
        </c:rich>
      </c:tx>
    </c:title>
    <c:view3D>
      <c:rAngAx val="1"/>
    </c:view3D>
    <c:plotArea>
      <c:layout/>
      <c:bar3DChart>
        <c:barDir val="col"/>
        <c:grouping val="clustered"/>
        <c:ser>
          <c:idx val="0"/>
          <c:order val="0"/>
          <c:dPt>
            <c:idx val="0"/>
            <c:spPr>
              <a:solidFill>
                <a:srgbClr val="92D050"/>
              </a:solidFill>
            </c:spPr>
          </c:dPt>
          <c:dLbls>
            <c:dLbl>
              <c:idx val="0"/>
              <c:layout>
                <c:manualLayout>
                  <c:x val="2.7777777777778351E-3"/>
                  <c:y val="0.17592592592592593"/>
                </c:manualLayout>
              </c:layout>
              <c:showVal val="1"/>
              <c:extLst>
                <c:ext xmlns:c15="http://schemas.microsoft.com/office/drawing/2012/chart" uri="{CE6537A1-D6FC-4f65-9D91-7224C49458BB}">
                  <c15:layout/>
                </c:ext>
              </c:extLst>
            </c:dLbl>
            <c:dLbl>
              <c:idx val="1"/>
              <c:layout>
                <c:manualLayout>
                  <c:x val="5.5555555555555558E-3"/>
                  <c:y val="0.125"/>
                </c:manualLayout>
              </c:layout>
              <c:showVal val="1"/>
              <c:extLst>
                <c:ext xmlns:c15="http://schemas.microsoft.com/office/drawing/2012/chart" uri="{CE6537A1-D6FC-4f65-9D91-7224C49458BB}">
                  <c15:layout/>
                </c:ext>
              </c:extLst>
            </c:dLbl>
            <c:spPr>
              <a:noFill/>
              <a:ln>
                <a:noFill/>
              </a:ln>
              <a:effectLst/>
            </c:spPr>
            <c:txPr>
              <a:bodyPr/>
              <a:lstStyle/>
              <a:p>
                <a:pPr>
                  <a:defRPr sz="1200" b="1">
                    <a:solidFill>
                      <a:schemeClr val="tx1"/>
                    </a:solidFill>
                  </a:defRPr>
                </a:pPr>
                <a:endParaRPr lang="es-MX"/>
              </a:p>
            </c:txPr>
            <c:showVal val="1"/>
            <c:extLst>
              <c:ext xmlns:c15="http://schemas.microsoft.com/office/drawing/2012/chart" uri="{CE6537A1-D6FC-4f65-9D91-7224C49458BB}">
                <c15:showLeaderLines val="0"/>
              </c:ext>
            </c:extLst>
          </c:dLbls>
          <c:cat>
            <c:strRef>
              <c:f>'poa estatal'!$C$7:$C$8</c:f>
              <c:strCache>
                <c:ptCount val="2"/>
                <c:pt idx="0">
                  <c:v>Actos Realizados 2015 </c:v>
                </c:pt>
                <c:pt idx="1">
                  <c:v>meta anual 2015</c:v>
                </c:pt>
              </c:strCache>
            </c:strRef>
          </c:cat>
          <c:val>
            <c:numRef>
              <c:f>'poa estatal'!$D$7:$D$8</c:f>
              <c:numCache>
                <c:formatCode>General</c:formatCode>
                <c:ptCount val="2"/>
                <c:pt idx="0">
                  <c:v>45</c:v>
                </c:pt>
                <c:pt idx="1">
                  <c:v>20</c:v>
                </c:pt>
              </c:numCache>
            </c:numRef>
          </c:val>
        </c:ser>
        <c:dLbls>
          <c:showVal val="1"/>
        </c:dLbls>
        <c:shape val="box"/>
        <c:axId val="82743296"/>
        <c:axId val="82744832"/>
        <c:axId val="0"/>
      </c:bar3DChart>
      <c:catAx>
        <c:axId val="82743296"/>
        <c:scaling>
          <c:orientation val="minMax"/>
        </c:scaling>
        <c:axPos val="b"/>
        <c:numFmt formatCode="General" sourceLinked="0"/>
        <c:majorTickMark val="none"/>
        <c:tickLblPos val="nextTo"/>
        <c:crossAx val="82744832"/>
        <c:crosses val="autoZero"/>
        <c:auto val="1"/>
        <c:lblAlgn val="ctr"/>
        <c:lblOffset val="100"/>
      </c:catAx>
      <c:valAx>
        <c:axId val="82744832"/>
        <c:scaling>
          <c:orientation val="minMax"/>
        </c:scaling>
        <c:delete val="1"/>
        <c:axPos val="l"/>
        <c:numFmt formatCode="General" sourceLinked="1"/>
        <c:majorTickMark val="none"/>
        <c:tickLblPos val="none"/>
        <c:crossAx val="82743296"/>
        <c:crosses val="autoZero"/>
        <c:crossBetween val="between"/>
      </c:valAx>
      <c:spPr>
        <a:noFill/>
      </c:spPr>
    </c:plotArea>
    <c:plotVisOnly val="1"/>
    <c:dispBlanksAs val="gap"/>
  </c:chart>
  <c:spPr>
    <a:noFill/>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MX"/>
  <c:chart>
    <c:view3D>
      <c:rAngAx val="1"/>
    </c:view3D>
    <c:plotArea>
      <c:layout/>
      <c:bar3DChart>
        <c:barDir val="col"/>
        <c:grouping val="clustered"/>
        <c:ser>
          <c:idx val="0"/>
          <c:order val="0"/>
          <c:dPt>
            <c:idx val="0"/>
            <c:spPr>
              <a:solidFill>
                <a:srgbClr val="92D050"/>
              </a:solidFill>
            </c:spPr>
          </c:dPt>
          <c:dLbls>
            <c:dLbl>
              <c:idx val="0"/>
              <c:layout>
                <c:manualLayout>
                  <c:x val="9.1564278402917754E-3"/>
                  <c:y val="-6.4814919381747133E-2"/>
                </c:manualLayout>
              </c:layout>
              <c:tx>
                <c:rich>
                  <a:bodyPr/>
                  <a:lstStyle/>
                  <a:p>
                    <a:pPr>
                      <a:defRPr sz="800" b="1"/>
                    </a:pPr>
                    <a:r>
                      <a:rPr lang="en-US" sz="800" b="1"/>
                      <a:t>$37,331,022.00</a:t>
                    </a:r>
                    <a:endParaRPr lang="en-US" sz="800"/>
                  </a:p>
                </c:rich>
              </c:tx>
              <c:numFmt formatCode="&quot;$&quot;#,##0.00" sourceLinked="0"/>
              <c:spPr/>
              <c:showVal val="1"/>
              <c:extLst>
                <c:ext xmlns:c15="http://schemas.microsoft.com/office/drawing/2012/chart" uri="{CE6537A1-D6FC-4f65-9D91-7224C49458BB}">
                  <c15:layout>
                    <c:manualLayout>
                      <c:w val="0.21123600833572506"/>
                      <c:h val="0.16283012716009129"/>
                    </c:manualLayout>
                  </c15:layout>
                </c:ext>
              </c:extLst>
            </c:dLbl>
            <c:dLbl>
              <c:idx val="1"/>
              <c:layout>
                <c:manualLayout>
                  <c:x val="4.7008104549479714E-2"/>
                  <c:y val="-0.10737153041950689"/>
                </c:manualLayout>
              </c:layout>
              <c:tx>
                <c:rich>
                  <a:bodyPr/>
                  <a:lstStyle/>
                  <a:p>
                    <a:pPr>
                      <a:defRPr sz="800" b="1"/>
                    </a:pPr>
                    <a:r>
                      <a:rPr lang="en-US" sz="800" b="1"/>
                      <a:t>$28,800,000.00</a:t>
                    </a:r>
                    <a:endParaRPr lang="en-US" sz="800"/>
                  </a:p>
                </c:rich>
              </c:tx>
              <c:spPr/>
              <c:showVal val="1"/>
              <c:extLst>
                <c:ext xmlns:c15="http://schemas.microsoft.com/office/drawing/2012/chart" uri="{CE6537A1-D6FC-4f65-9D91-7224C49458BB}">
                  <c15:layout>
                    <c:manualLayout>
                      <c:w val="0.20806643622795962"/>
                      <c:h val="0.16935115748288229"/>
                    </c:manualLayout>
                  </c15:layout>
                </c:ext>
              </c:extLst>
            </c:dLbl>
            <c:spPr>
              <a:noFill/>
              <a:ln>
                <a:noFill/>
              </a:ln>
              <a:effectLst/>
            </c:spPr>
            <c:txPr>
              <a:bodyPr/>
              <a:lstStyle/>
              <a:p>
                <a:pPr>
                  <a:defRPr b="1"/>
                </a:pPr>
                <a:endParaRPr lang="es-MX"/>
              </a:p>
            </c:txPr>
            <c:showVal val="1"/>
            <c:extLst>
              <c:ext xmlns:c15="http://schemas.microsoft.com/office/drawing/2012/chart" uri="{CE6537A1-D6FC-4f65-9D91-7224C49458BB}">
                <c15:showLeaderLines val="0"/>
              </c:ext>
            </c:extLst>
          </c:dLbls>
          <c:cat>
            <c:strRef>
              <c:f>'cifras federal y estatal 2015'!$C$4:$C$5</c:f>
              <c:strCache>
                <c:ptCount val="2"/>
                <c:pt idx="0">
                  <c:v>Realizado 2015</c:v>
                </c:pt>
                <c:pt idx="1">
                  <c:v>Meta POA 2015</c:v>
                </c:pt>
              </c:strCache>
            </c:strRef>
          </c:cat>
          <c:val>
            <c:numRef>
              <c:f>'cifras federal y estatal 2015'!$D$4:$D$5</c:f>
              <c:numCache>
                <c:formatCode>#,##0.00</c:formatCode>
                <c:ptCount val="2"/>
                <c:pt idx="0">
                  <c:v>37331022</c:v>
                </c:pt>
                <c:pt idx="1">
                  <c:v>28800000</c:v>
                </c:pt>
              </c:numCache>
            </c:numRef>
          </c:val>
        </c:ser>
        <c:shape val="box"/>
        <c:axId val="82762368"/>
        <c:axId val="82841984"/>
        <c:axId val="0"/>
      </c:bar3DChart>
      <c:catAx>
        <c:axId val="82762368"/>
        <c:scaling>
          <c:orientation val="minMax"/>
        </c:scaling>
        <c:axPos val="b"/>
        <c:numFmt formatCode="General" sourceLinked="0"/>
        <c:tickLblPos val="nextTo"/>
        <c:txPr>
          <a:bodyPr/>
          <a:lstStyle/>
          <a:p>
            <a:pPr>
              <a:defRPr sz="1000" b="0"/>
            </a:pPr>
            <a:endParaRPr lang="es-MX"/>
          </a:p>
        </c:txPr>
        <c:crossAx val="82841984"/>
        <c:crosses val="autoZero"/>
        <c:auto val="1"/>
        <c:lblAlgn val="ctr"/>
        <c:lblOffset val="100"/>
      </c:catAx>
      <c:valAx>
        <c:axId val="82841984"/>
        <c:scaling>
          <c:orientation val="minMax"/>
        </c:scaling>
        <c:delete val="1"/>
        <c:axPos val="l"/>
        <c:numFmt formatCode="#,##0.00" sourceLinked="1"/>
        <c:tickLblPos val="none"/>
        <c:crossAx val="82762368"/>
        <c:crosses val="autoZero"/>
        <c:crossBetween val="between"/>
      </c:valAx>
    </c:plotArea>
    <c:plotVisOnly val="1"/>
    <c:dispBlanksAs val="gap"/>
  </c:chart>
  <c:spPr>
    <a:noFill/>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MX"/>
  <c:chart>
    <c:autoTitleDeleted val="1"/>
    <c:view3D>
      <c:rotX val="0"/>
      <c:rotY val="0"/>
      <c:depthPercent val="90"/>
      <c:perspective val="0"/>
    </c:view3D>
    <c:plotArea>
      <c:layout>
        <c:manualLayout>
          <c:layoutTarget val="inner"/>
          <c:xMode val="edge"/>
          <c:yMode val="edge"/>
          <c:x val="0.10335496974469845"/>
          <c:y val="1.6057417467238922E-2"/>
          <c:w val="0.79744042394259063"/>
          <c:h val="0.87606659553256006"/>
        </c:manualLayout>
      </c:layout>
      <c:bar3DChart>
        <c:barDir val="bar"/>
        <c:grouping val="stacked"/>
        <c:ser>
          <c:idx val="0"/>
          <c:order val="0"/>
          <c:tx>
            <c:strRef>
              <c:f>'GR Global'!$C$5</c:f>
              <c:strCache>
                <c:ptCount val="1"/>
                <c:pt idx="0">
                  <c:v>Puntaje de descuento</c:v>
                </c:pt>
              </c:strCache>
            </c:strRef>
          </c:tx>
          <c:spPr>
            <a:solidFill>
              <a:srgbClr val="1C3972"/>
            </a:solidFill>
          </c:spPr>
          <c:cat>
            <c:strRef>
              <c:f>'GR Global'!$B$6:$B$37</c:f>
              <c:strCache>
                <c:ptCount val="32"/>
                <c:pt idx="0">
                  <c:v>Sinaloa</c:v>
                </c:pt>
                <c:pt idx="1">
                  <c:v>Puebla</c:v>
                </c:pt>
                <c:pt idx="2">
                  <c:v>Colima</c:v>
                </c:pt>
                <c:pt idx="3">
                  <c:v>Tamaulipas</c:v>
                </c:pt>
                <c:pt idx="4">
                  <c:v>Guerrero</c:v>
                </c:pt>
                <c:pt idx="5">
                  <c:v>Zacatecas</c:v>
                </c:pt>
                <c:pt idx="6">
                  <c:v>Veracruz</c:v>
                </c:pt>
                <c:pt idx="7">
                  <c:v>San Luis Potosí</c:v>
                </c:pt>
                <c:pt idx="8">
                  <c:v>Tabasco</c:v>
                </c:pt>
                <c:pt idx="9">
                  <c:v>Baja California Sur</c:v>
                </c:pt>
                <c:pt idx="10">
                  <c:v>Sonora</c:v>
                </c:pt>
                <c:pt idx="11">
                  <c:v>Tlaxcala</c:v>
                </c:pt>
                <c:pt idx="12">
                  <c:v>Morelos</c:v>
                </c:pt>
                <c:pt idx="13">
                  <c:v>Jalisco</c:v>
                </c:pt>
                <c:pt idx="14">
                  <c:v>Michoacán</c:v>
                </c:pt>
                <c:pt idx="15">
                  <c:v>D.F. </c:v>
                </c:pt>
                <c:pt idx="16">
                  <c:v>Nayarit</c:v>
                </c:pt>
                <c:pt idx="17">
                  <c:v>Querétaro</c:v>
                </c:pt>
                <c:pt idx="18">
                  <c:v>Campeche</c:v>
                </c:pt>
                <c:pt idx="19">
                  <c:v>Baja California</c:v>
                </c:pt>
                <c:pt idx="20">
                  <c:v>Quintana Roo</c:v>
                </c:pt>
                <c:pt idx="21">
                  <c:v>Yucatán</c:v>
                </c:pt>
                <c:pt idx="22">
                  <c:v>Chiapas</c:v>
                </c:pt>
                <c:pt idx="23">
                  <c:v>Coahuila</c:v>
                </c:pt>
                <c:pt idx="24">
                  <c:v>Durango</c:v>
                </c:pt>
                <c:pt idx="25">
                  <c:v>Aguascalientes</c:v>
                </c:pt>
                <c:pt idx="26">
                  <c:v>Guanajuato</c:v>
                </c:pt>
                <c:pt idx="27">
                  <c:v>Chihuahua</c:v>
                </c:pt>
                <c:pt idx="28">
                  <c:v>Nuevo León</c:v>
                </c:pt>
                <c:pt idx="29">
                  <c:v>México</c:v>
                </c:pt>
                <c:pt idx="30">
                  <c:v>Hidalgo</c:v>
                </c:pt>
                <c:pt idx="31">
                  <c:v>Oaxaca</c:v>
                </c:pt>
              </c:strCache>
            </c:strRef>
          </c:cat>
          <c:val>
            <c:numRef>
              <c:f>'GR Global'!$C$6:$C$37</c:f>
              <c:numCache>
                <c:formatCode>0.0</c:formatCode>
                <c:ptCount val="32"/>
                <c:pt idx="0">
                  <c:v>-0.67130025125628678</c:v>
                </c:pt>
                <c:pt idx="1">
                  <c:v>-1.504924242424224</c:v>
                </c:pt>
                <c:pt idx="2">
                  <c:v>-0.15126582278481021</c:v>
                </c:pt>
                <c:pt idx="3">
                  <c:v>-0.18218218218218407</c:v>
                </c:pt>
                <c:pt idx="4">
                  <c:v>-1.1953696558110818</c:v>
                </c:pt>
                <c:pt idx="5">
                  <c:v>-0.85427855352667981</c:v>
                </c:pt>
                <c:pt idx="6">
                  <c:v>-0.37012921967344836</c:v>
                </c:pt>
                <c:pt idx="7">
                  <c:v>-0.1227141976576947</c:v>
                </c:pt>
                <c:pt idx="8">
                  <c:v>-0.21428571428571427</c:v>
                </c:pt>
                <c:pt idx="9">
                  <c:v>-0.73725490196078469</c:v>
                </c:pt>
                <c:pt idx="10">
                  <c:v>-0.6214677916164455</c:v>
                </c:pt>
                <c:pt idx="11">
                  <c:v>-0.23643410852713437</c:v>
                </c:pt>
                <c:pt idx="12">
                  <c:v>-0.8092508710801396</c:v>
                </c:pt>
                <c:pt idx="13">
                  <c:v>-0.24479177864253021</c:v>
                </c:pt>
                <c:pt idx="14">
                  <c:v>-0.47488076311606325</c:v>
                </c:pt>
                <c:pt idx="15">
                  <c:v>-0.38418079096045893</c:v>
                </c:pt>
                <c:pt idx="16">
                  <c:v>-0.70942468699592909</c:v>
                </c:pt>
                <c:pt idx="17">
                  <c:v>-0.10953384009524712</c:v>
                </c:pt>
                <c:pt idx="18">
                  <c:v>-0.28571428571428914</c:v>
                </c:pt>
                <c:pt idx="19">
                  <c:v>-0.48852076715854326</c:v>
                </c:pt>
                <c:pt idx="20">
                  <c:v>-0.42158173624523348</c:v>
                </c:pt>
                <c:pt idx="21">
                  <c:v>-0.12140350877193094</c:v>
                </c:pt>
                <c:pt idx="22">
                  <c:v>-0.35686635944700723</c:v>
                </c:pt>
                <c:pt idx="23">
                  <c:v>-0.35575446215772488</c:v>
                </c:pt>
                <c:pt idx="24">
                  <c:v>0</c:v>
                </c:pt>
                <c:pt idx="25">
                  <c:v>-0.45092460881934987</c:v>
                </c:pt>
                <c:pt idx="26">
                  <c:v>-0.37130453896032772</c:v>
                </c:pt>
                <c:pt idx="27">
                  <c:v>-4.2372881355932895E-2</c:v>
                </c:pt>
                <c:pt idx="28">
                  <c:v>0</c:v>
                </c:pt>
                <c:pt idx="29">
                  <c:v>-4.8637691619605933E-2</c:v>
                </c:pt>
                <c:pt idx="30">
                  <c:v>-0.29405405405405438</c:v>
                </c:pt>
                <c:pt idx="31">
                  <c:v>0</c:v>
                </c:pt>
              </c:numCache>
            </c:numRef>
          </c:val>
        </c:ser>
        <c:ser>
          <c:idx val="1"/>
          <c:order val="1"/>
          <c:tx>
            <c:strRef>
              <c:f>'GR Global'!$D$5</c:f>
              <c:strCache>
                <c:ptCount val="1"/>
                <c:pt idx="0">
                  <c:v>Eficacia Recaudatoria</c:v>
                </c:pt>
              </c:strCache>
            </c:strRef>
          </c:tx>
          <c:spPr>
            <a:solidFill>
              <a:srgbClr val="943634"/>
            </a:solidFill>
          </c:spPr>
          <c:cat>
            <c:strRef>
              <c:f>'GR Global'!$B$6:$B$37</c:f>
              <c:strCache>
                <c:ptCount val="32"/>
                <c:pt idx="0">
                  <c:v>Sinaloa</c:v>
                </c:pt>
                <c:pt idx="1">
                  <c:v>Puebla</c:v>
                </c:pt>
                <c:pt idx="2">
                  <c:v>Colima</c:v>
                </c:pt>
                <c:pt idx="3">
                  <c:v>Tamaulipas</c:v>
                </c:pt>
                <c:pt idx="4">
                  <c:v>Guerrero</c:v>
                </c:pt>
                <c:pt idx="5">
                  <c:v>Zacatecas</c:v>
                </c:pt>
                <c:pt idx="6">
                  <c:v>Veracruz</c:v>
                </c:pt>
                <c:pt idx="7">
                  <c:v>San Luis Potosí</c:v>
                </c:pt>
                <c:pt idx="8">
                  <c:v>Tabasco</c:v>
                </c:pt>
                <c:pt idx="9">
                  <c:v>Baja California Sur</c:v>
                </c:pt>
                <c:pt idx="10">
                  <c:v>Sonora</c:v>
                </c:pt>
                <c:pt idx="11">
                  <c:v>Tlaxcala</c:v>
                </c:pt>
                <c:pt idx="12">
                  <c:v>Morelos</c:v>
                </c:pt>
                <c:pt idx="13">
                  <c:v>Jalisco</c:v>
                </c:pt>
                <c:pt idx="14">
                  <c:v>Michoacán</c:v>
                </c:pt>
                <c:pt idx="15">
                  <c:v>D.F. </c:v>
                </c:pt>
                <c:pt idx="16">
                  <c:v>Nayarit</c:v>
                </c:pt>
                <c:pt idx="17">
                  <c:v>Querétaro</c:v>
                </c:pt>
                <c:pt idx="18">
                  <c:v>Campeche</c:v>
                </c:pt>
                <c:pt idx="19">
                  <c:v>Baja California</c:v>
                </c:pt>
                <c:pt idx="20">
                  <c:v>Quintana Roo</c:v>
                </c:pt>
                <c:pt idx="21">
                  <c:v>Yucatán</c:v>
                </c:pt>
                <c:pt idx="22">
                  <c:v>Chiapas</c:v>
                </c:pt>
                <c:pt idx="23">
                  <c:v>Coahuila</c:v>
                </c:pt>
                <c:pt idx="24">
                  <c:v>Durango</c:v>
                </c:pt>
                <c:pt idx="25">
                  <c:v>Aguascalientes</c:v>
                </c:pt>
                <c:pt idx="26">
                  <c:v>Guanajuato</c:v>
                </c:pt>
                <c:pt idx="27">
                  <c:v>Chihuahua</c:v>
                </c:pt>
                <c:pt idx="28">
                  <c:v>Nuevo León</c:v>
                </c:pt>
                <c:pt idx="29">
                  <c:v>México</c:v>
                </c:pt>
                <c:pt idx="30">
                  <c:v>Hidalgo</c:v>
                </c:pt>
                <c:pt idx="31">
                  <c:v>Oaxaca</c:v>
                </c:pt>
              </c:strCache>
            </c:strRef>
          </c:cat>
          <c:val>
            <c:numRef>
              <c:f>'GR Global'!$D$6:$D$37</c:f>
              <c:numCache>
                <c:formatCode>0.0</c:formatCode>
                <c:ptCount val="32"/>
                <c:pt idx="0">
                  <c:v>19.985655481652927</c:v>
                </c:pt>
                <c:pt idx="1">
                  <c:v>12.481797813633356</c:v>
                </c:pt>
                <c:pt idx="2">
                  <c:v>18.608750416644735</c:v>
                </c:pt>
                <c:pt idx="3">
                  <c:v>17.237607148512943</c:v>
                </c:pt>
                <c:pt idx="4">
                  <c:v>19.612177323594391</c:v>
                </c:pt>
                <c:pt idx="5">
                  <c:v>16.425439362618029</c:v>
                </c:pt>
                <c:pt idx="6">
                  <c:v>16.660176639862549</c:v>
                </c:pt>
                <c:pt idx="7">
                  <c:v>21.094918654272991</c:v>
                </c:pt>
                <c:pt idx="8">
                  <c:v>22.521144665229887</c:v>
                </c:pt>
                <c:pt idx="9">
                  <c:v>19.76167808787477</c:v>
                </c:pt>
                <c:pt idx="10">
                  <c:v>20.455538494273629</c:v>
                </c:pt>
                <c:pt idx="11">
                  <c:v>25.352638705062173</c:v>
                </c:pt>
                <c:pt idx="12">
                  <c:v>21.26187460494209</c:v>
                </c:pt>
                <c:pt idx="13">
                  <c:v>15.954322382378708</c:v>
                </c:pt>
                <c:pt idx="14">
                  <c:v>26.432669933927269</c:v>
                </c:pt>
                <c:pt idx="15">
                  <c:v>24.60217024501425</c:v>
                </c:pt>
                <c:pt idx="16">
                  <c:v>27.290914996396491</c:v>
                </c:pt>
                <c:pt idx="17">
                  <c:v>26.864323381180089</c:v>
                </c:pt>
                <c:pt idx="18">
                  <c:v>21.507360767981591</c:v>
                </c:pt>
                <c:pt idx="19">
                  <c:v>29.265700483091621</c:v>
                </c:pt>
                <c:pt idx="20">
                  <c:v>29.731557810188125</c:v>
                </c:pt>
                <c:pt idx="21">
                  <c:v>28.21768689621069</c:v>
                </c:pt>
                <c:pt idx="22">
                  <c:v>26.665851407020735</c:v>
                </c:pt>
                <c:pt idx="23">
                  <c:v>28.64369256474501</c:v>
                </c:pt>
                <c:pt idx="24">
                  <c:v>29.983974358974329</c:v>
                </c:pt>
                <c:pt idx="25">
                  <c:v>28.819444444444535</c:v>
                </c:pt>
                <c:pt idx="26">
                  <c:v>29.761904761904791</c:v>
                </c:pt>
                <c:pt idx="27">
                  <c:v>30.000000000000007</c:v>
                </c:pt>
                <c:pt idx="28">
                  <c:v>23.338335200000003</c:v>
                </c:pt>
                <c:pt idx="29">
                  <c:v>28.565781615202773</c:v>
                </c:pt>
                <c:pt idx="30">
                  <c:v>27.115130217864927</c:v>
                </c:pt>
                <c:pt idx="31">
                  <c:v>29.512339293630689</c:v>
                </c:pt>
              </c:numCache>
            </c:numRef>
          </c:val>
        </c:ser>
        <c:ser>
          <c:idx val="2"/>
          <c:order val="2"/>
          <c:tx>
            <c:strRef>
              <c:f>'GR Global'!$E$5</c:f>
              <c:strCache>
                <c:ptCount val="1"/>
                <c:pt idx="0">
                  <c:v>Ejemplaridad</c:v>
                </c:pt>
              </c:strCache>
            </c:strRef>
          </c:tx>
          <c:spPr>
            <a:solidFill>
              <a:srgbClr val="627A32"/>
            </a:solidFill>
          </c:spPr>
          <c:cat>
            <c:strRef>
              <c:f>'GR Global'!$B$6:$B$37</c:f>
              <c:strCache>
                <c:ptCount val="32"/>
                <c:pt idx="0">
                  <c:v>Sinaloa</c:v>
                </c:pt>
                <c:pt idx="1">
                  <c:v>Puebla</c:v>
                </c:pt>
                <c:pt idx="2">
                  <c:v>Colima</c:v>
                </c:pt>
                <c:pt idx="3">
                  <c:v>Tamaulipas</c:v>
                </c:pt>
                <c:pt idx="4">
                  <c:v>Guerrero</c:v>
                </c:pt>
                <c:pt idx="5">
                  <c:v>Zacatecas</c:v>
                </c:pt>
                <c:pt idx="6">
                  <c:v>Veracruz</c:v>
                </c:pt>
                <c:pt idx="7">
                  <c:v>San Luis Potosí</c:v>
                </c:pt>
                <c:pt idx="8">
                  <c:v>Tabasco</c:v>
                </c:pt>
                <c:pt idx="9">
                  <c:v>Baja California Sur</c:v>
                </c:pt>
                <c:pt idx="10">
                  <c:v>Sonora</c:v>
                </c:pt>
                <c:pt idx="11">
                  <c:v>Tlaxcala</c:v>
                </c:pt>
                <c:pt idx="12">
                  <c:v>Morelos</c:v>
                </c:pt>
                <c:pt idx="13">
                  <c:v>Jalisco</c:v>
                </c:pt>
                <c:pt idx="14">
                  <c:v>Michoacán</c:v>
                </c:pt>
                <c:pt idx="15">
                  <c:v>D.F. </c:v>
                </c:pt>
                <c:pt idx="16">
                  <c:v>Nayarit</c:v>
                </c:pt>
                <c:pt idx="17">
                  <c:v>Querétaro</c:v>
                </c:pt>
                <c:pt idx="18">
                  <c:v>Campeche</c:v>
                </c:pt>
                <c:pt idx="19">
                  <c:v>Baja California</c:v>
                </c:pt>
                <c:pt idx="20">
                  <c:v>Quintana Roo</c:v>
                </c:pt>
                <c:pt idx="21">
                  <c:v>Yucatán</c:v>
                </c:pt>
                <c:pt idx="22">
                  <c:v>Chiapas</c:v>
                </c:pt>
                <c:pt idx="23">
                  <c:v>Coahuila</c:v>
                </c:pt>
                <c:pt idx="24">
                  <c:v>Durango</c:v>
                </c:pt>
                <c:pt idx="25">
                  <c:v>Aguascalientes</c:v>
                </c:pt>
                <c:pt idx="26">
                  <c:v>Guanajuato</c:v>
                </c:pt>
                <c:pt idx="27">
                  <c:v>Chihuahua</c:v>
                </c:pt>
                <c:pt idx="28">
                  <c:v>Nuevo León</c:v>
                </c:pt>
                <c:pt idx="29">
                  <c:v>México</c:v>
                </c:pt>
                <c:pt idx="30">
                  <c:v>Hidalgo</c:v>
                </c:pt>
                <c:pt idx="31">
                  <c:v>Oaxaca</c:v>
                </c:pt>
              </c:strCache>
            </c:strRef>
          </c:cat>
          <c:val>
            <c:numRef>
              <c:f>'GR Global'!$E$6:$E$37</c:f>
              <c:numCache>
                <c:formatCode>0.0</c:formatCode>
                <c:ptCount val="32"/>
                <c:pt idx="0">
                  <c:v>4.8</c:v>
                </c:pt>
                <c:pt idx="1">
                  <c:v>18.100000000000001</c:v>
                </c:pt>
                <c:pt idx="2">
                  <c:v>7.2</c:v>
                </c:pt>
                <c:pt idx="3">
                  <c:v>10.6</c:v>
                </c:pt>
                <c:pt idx="4">
                  <c:v>9.4</c:v>
                </c:pt>
                <c:pt idx="5">
                  <c:v>12</c:v>
                </c:pt>
                <c:pt idx="6">
                  <c:v>12.6</c:v>
                </c:pt>
                <c:pt idx="7">
                  <c:v>21</c:v>
                </c:pt>
                <c:pt idx="8">
                  <c:v>8.6</c:v>
                </c:pt>
                <c:pt idx="9">
                  <c:v>12</c:v>
                </c:pt>
                <c:pt idx="10">
                  <c:v>13.8</c:v>
                </c:pt>
                <c:pt idx="11">
                  <c:v>18</c:v>
                </c:pt>
                <c:pt idx="12">
                  <c:v>14.2</c:v>
                </c:pt>
                <c:pt idx="13">
                  <c:v>17.2</c:v>
                </c:pt>
                <c:pt idx="14">
                  <c:v>5</c:v>
                </c:pt>
                <c:pt idx="15">
                  <c:v>17.2</c:v>
                </c:pt>
                <c:pt idx="16">
                  <c:v>18.600000000000001</c:v>
                </c:pt>
                <c:pt idx="17">
                  <c:v>17.600000000000001</c:v>
                </c:pt>
                <c:pt idx="18">
                  <c:v>20</c:v>
                </c:pt>
                <c:pt idx="19">
                  <c:v>16.2</c:v>
                </c:pt>
                <c:pt idx="20">
                  <c:v>14.7</c:v>
                </c:pt>
                <c:pt idx="21">
                  <c:v>18.8</c:v>
                </c:pt>
                <c:pt idx="22">
                  <c:v>24</c:v>
                </c:pt>
                <c:pt idx="23">
                  <c:v>23</c:v>
                </c:pt>
                <c:pt idx="24">
                  <c:v>21.2</c:v>
                </c:pt>
                <c:pt idx="25">
                  <c:v>26</c:v>
                </c:pt>
                <c:pt idx="26">
                  <c:v>30.4</c:v>
                </c:pt>
                <c:pt idx="27">
                  <c:v>32</c:v>
                </c:pt>
                <c:pt idx="28">
                  <c:v>39.200000000000003</c:v>
                </c:pt>
                <c:pt idx="29">
                  <c:v>37.5</c:v>
                </c:pt>
                <c:pt idx="30">
                  <c:v>37</c:v>
                </c:pt>
                <c:pt idx="31">
                  <c:v>38.800000000000004</c:v>
                </c:pt>
              </c:numCache>
            </c:numRef>
          </c:val>
        </c:ser>
        <c:ser>
          <c:idx val="3"/>
          <c:order val="3"/>
          <c:tx>
            <c:strRef>
              <c:f>'GR Global'!$F$5</c:f>
              <c:strCache>
                <c:ptCount val="1"/>
                <c:pt idx="0">
                  <c:v>Eficiencia Operativa</c:v>
                </c:pt>
              </c:strCache>
            </c:strRef>
          </c:tx>
          <c:cat>
            <c:strRef>
              <c:f>'GR Global'!$B$6:$B$37</c:f>
              <c:strCache>
                <c:ptCount val="32"/>
                <c:pt idx="0">
                  <c:v>Sinaloa</c:v>
                </c:pt>
                <c:pt idx="1">
                  <c:v>Puebla</c:v>
                </c:pt>
                <c:pt idx="2">
                  <c:v>Colima</c:v>
                </c:pt>
                <c:pt idx="3">
                  <c:v>Tamaulipas</c:v>
                </c:pt>
                <c:pt idx="4">
                  <c:v>Guerrero</c:v>
                </c:pt>
                <c:pt idx="5">
                  <c:v>Zacatecas</c:v>
                </c:pt>
                <c:pt idx="6">
                  <c:v>Veracruz</c:v>
                </c:pt>
                <c:pt idx="7">
                  <c:v>San Luis Potosí</c:v>
                </c:pt>
                <c:pt idx="8">
                  <c:v>Tabasco</c:v>
                </c:pt>
                <c:pt idx="9">
                  <c:v>Baja California Sur</c:v>
                </c:pt>
                <c:pt idx="10">
                  <c:v>Sonora</c:v>
                </c:pt>
                <c:pt idx="11">
                  <c:v>Tlaxcala</c:v>
                </c:pt>
                <c:pt idx="12">
                  <c:v>Morelos</c:v>
                </c:pt>
                <c:pt idx="13">
                  <c:v>Jalisco</c:v>
                </c:pt>
                <c:pt idx="14">
                  <c:v>Michoacán</c:v>
                </c:pt>
                <c:pt idx="15">
                  <c:v>D.F. </c:v>
                </c:pt>
                <c:pt idx="16">
                  <c:v>Nayarit</c:v>
                </c:pt>
                <c:pt idx="17">
                  <c:v>Querétaro</c:v>
                </c:pt>
                <c:pt idx="18">
                  <c:v>Campeche</c:v>
                </c:pt>
                <c:pt idx="19">
                  <c:v>Baja California</c:v>
                </c:pt>
                <c:pt idx="20">
                  <c:v>Quintana Roo</c:v>
                </c:pt>
                <c:pt idx="21">
                  <c:v>Yucatán</c:v>
                </c:pt>
                <c:pt idx="22">
                  <c:v>Chiapas</c:v>
                </c:pt>
                <c:pt idx="23">
                  <c:v>Coahuila</c:v>
                </c:pt>
                <c:pt idx="24">
                  <c:v>Durango</c:v>
                </c:pt>
                <c:pt idx="25">
                  <c:v>Aguascalientes</c:v>
                </c:pt>
                <c:pt idx="26">
                  <c:v>Guanajuato</c:v>
                </c:pt>
                <c:pt idx="27">
                  <c:v>Chihuahua</c:v>
                </c:pt>
                <c:pt idx="28">
                  <c:v>Nuevo León</c:v>
                </c:pt>
                <c:pt idx="29">
                  <c:v>México</c:v>
                </c:pt>
                <c:pt idx="30">
                  <c:v>Hidalgo</c:v>
                </c:pt>
                <c:pt idx="31">
                  <c:v>Oaxaca</c:v>
                </c:pt>
              </c:strCache>
            </c:strRef>
          </c:cat>
          <c:val>
            <c:numRef>
              <c:f>'GR Global'!$F$6:$F$37</c:f>
              <c:numCache>
                <c:formatCode>0.0</c:formatCode>
                <c:ptCount val="32"/>
                <c:pt idx="0">
                  <c:v>3.9111899099077188</c:v>
                </c:pt>
                <c:pt idx="1">
                  <c:v>2.5825770160798931</c:v>
                </c:pt>
                <c:pt idx="2">
                  <c:v>4.0459061488673145</c:v>
                </c:pt>
                <c:pt idx="3">
                  <c:v>2.8754194410707377</c:v>
                </c:pt>
                <c:pt idx="4">
                  <c:v>3.1167748917748921</c:v>
                </c:pt>
                <c:pt idx="5">
                  <c:v>3.8171748479905339</c:v>
                </c:pt>
                <c:pt idx="6">
                  <c:v>2.5469603308933184</c:v>
                </c:pt>
                <c:pt idx="7">
                  <c:v>3.7072131561077177</c:v>
                </c:pt>
                <c:pt idx="8">
                  <c:v>3.443827751196201</c:v>
                </c:pt>
                <c:pt idx="9">
                  <c:v>4.8368589890317413</c:v>
                </c:pt>
                <c:pt idx="10">
                  <c:v>4.2999530773441794</c:v>
                </c:pt>
                <c:pt idx="11">
                  <c:v>3.6247747959172858</c:v>
                </c:pt>
                <c:pt idx="12">
                  <c:v>4.4154804392234466</c:v>
                </c:pt>
                <c:pt idx="13">
                  <c:v>7.1843188521483246</c:v>
                </c:pt>
                <c:pt idx="14">
                  <c:v>9.3662845775511219</c:v>
                </c:pt>
                <c:pt idx="15">
                  <c:v>4.1049627194274345</c:v>
                </c:pt>
                <c:pt idx="16">
                  <c:v>8.0873692022227157</c:v>
                </c:pt>
                <c:pt idx="17">
                  <c:v>4.175979092348487</c:v>
                </c:pt>
                <c:pt idx="18">
                  <c:v>3.8793706293706167</c:v>
                </c:pt>
                <c:pt idx="19">
                  <c:v>3.8174965894160997</c:v>
                </c:pt>
                <c:pt idx="20">
                  <c:v>6.953512943581889</c:v>
                </c:pt>
                <c:pt idx="21">
                  <c:v>4.2365720780329541</c:v>
                </c:pt>
                <c:pt idx="22">
                  <c:v>4.1865153278706959</c:v>
                </c:pt>
                <c:pt idx="23">
                  <c:v>4.7032669463740424</c:v>
                </c:pt>
                <c:pt idx="24">
                  <c:v>9.0148914013839789</c:v>
                </c:pt>
                <c:pt idx="25">
                  <c:v>9.281574597128424</c:v>
                </c:pt>
                <c:pt idx="26">
                  <c:v>5.0127587565405065</c:v>
                </c:pt>
                <c:pt idx="27">
                  <c:v>8.1211081717346989</c:v>
                </c:pt>
                <c:pt idx="28">
                  <c:v>7.5488078435553465</c:v>
                </c:pt>
                <c:pt idx="29">
                  <c:v>4.9011998618261394</c:v>
                </c:pt>
                <c:pt idx="30">
                  <c:v>8.2426243565965684</c:v>
                </c:pt>
                <c:pt idx="31">
                  <c:v>3.6616205011115812</c:v>
                </c:pt>
              </c:numCache>
            </c:numRef>
          </c:val>
        </c:ser>
        <c:ser>
          <c:idx val="4"/>
          <c:order val="4"/>
          <c:tx>
            <c:strRef>
              <c:f>'GR Global'!$G$5</c:f>
              <c:strCache>
                <c:ptCount val="1"/>
                <c:pt idx="0">
                  <c:v>Cumplimiento Normativo</c:v>
                </c:pt>
              </c:strCache>
            </c:strRef>
          </c:tx>
          <c:cat>
            <c:strRef>
              <c:f>'GR Global'!$B$6:$B$37</c:f>
              <c:strCache>
                <c:ptCount val="32"/>
                <c:pt idx="0">
                  <c:v>Sinaloa</c:v>
                </c:pt>
                <c:pt idx="1">
                  <c:v>Puebla</c:v>
                </c:pt>
                <c:pt idx="2">
                  <c:v>Colima</c:v>
                </c:pt>
                <c:pt idx="3">
                  <c:v>Tamaulipas</c:v>
                </c:pt>
                <c:pt idx="4">
                  <c:v>Guerrero</c:v>
                </c:pt>
                <c:pt idx="5">
                  <c:v>Zacatecas</c:v>
                </c:pt>
                <c:pt idx="6">
                  <c:v>Veracruz</c:v>
                </c:pt>
                <c:pt idx="7">
                  <c:v>San Luis Potosí</c:v>
                </c:pt>
                <c:pt idx="8">
                  <c:v>Tabasco</c:v>
                </c:pt>
                <c:pt idx="9">
                  <c:v>Baja California Sur</c:v>
                </c:pt>
                <c:pt idx="10">
                  <c:v>Sonora</c:v>
                </c:pt>
                <c:pt idx="11">
                  <c:v>Tlaxcala</c:v>
                </c:pt>
                <c:pt idx="12">
                  <c:v>Morelos</c:v>
                </c:pt>
                <c:pt idx="13">
                  <c:v>Jalisco</c:v>
                </c:pt>
                <c:pt idx="14">
                  <c:v>Michoacán</c:v>
                </c:pt>
                <c:pt idx="15">
                  <c:v>D.F. </c:v>
                </c:pt>
                <c:pt idx="16">
                  <c:v>Nayarit</c:v>
                </c:pt>
                <c:pt idx="17">
                  <c:v>Querétaro</c:v>
                </c:pt>
                <c:pt idx="18">
                  <c:v>Campeche</c:v>
                </c:pt>
                <c:pt idx="19">
                  <c:v>Baja California</c:v>
                </c:pt>
                <c:pt idx="20">
                  <c:v>Quintana Roo</c:v>
                </c:pt>
                <c:pt idx="21">
                  <c:v>Yucatán</c:v>
                </c:pt>
                <c:pt idx="22">
                  <c:v>Chiapas</c:v>
                </c:pt>
                <c:pt idx="23">
                  <c:v>Coahuila</c:v>
                </c:pt>
                <c:pt idx="24">
                  <c:v>Durango</c:v>
                </c:pt>
                <c:pt idx="25">
                  <c:v>Aguascalientes</c:v>
                </c:pt>
                <c:pt idx="26">
                  <c:v>Guanajuato</c:v>
                </c:pt>
                <c:pt idx="27">
                  <c:v>Chihuahua</c:v>
                </c:pt>
                <c:pt idx="28">
                  <c:v>Nuevo León</c:v>
                </c:pt>
                <c:pt idx="29">
                  <c:v>México</c:v>
                </c:pt>
                <c:pt idx="30">
                  <c:v>Hidalgo</c:v>
                </c:pt>
                <c:pt idx="31">
                  <c:v>Oaxaca</c:v>
                </c:pt>
              </c:strCache>
            </c:strRef>
          </c:cat>
          <c:val>
            <c:numRef>
              <c:f>'GR Global'!$G$6:$G$37</c:f>
              <c:numCache>
                <c:formatCode>0.0</c:formatCode>
                <c:ptCount val="32"/>
                <c:pt idx="0">
                  <c:v>15</c:v>
                </c:pt>
                <c:pt idx="1">
                  <c:v>11.5</c:v>
                </c:pt>
                <c:pt idx="2">
                  <c:v>15</c:v>
                </c:pt>
                <c:pt idx="3">
                  <c:v>15</c:v>
                </c:pt>
                <c:pt idx="4">
                  <c:v>15</c:v>
                </c:pt>
                <c:pt idx="5">
                  <c:v>14.75</c:v>
                </c:pt>
                <c:pt idx="6">
                  <c:v>15</c:v>
                </c:pt>
                <c:pt idx="7">
                  <c:v>3</c:v>
                </c:pt>
                <c:pt idx="8">
                  <c:v>15</c:v>
                </c:pt>
                <c:pt idx="9">
                  <c:v>15</c:v>
                </c:pt>
                <c:pt idx="10">
                  <c:v>15</c:v>
                </c:pt>
                <c:pt idx="11">
                  <c:v>6.5</c:v>
                </c:pt>
                <c:pt idx="12">
                  <c:v>15</c:v>
                </c:pt>
                <c:pt idx="13">
                  <c:v>15</c:v>
                </c:pt>
                <c:pt idx="14">
                  <c:v>15</c:v>
                </c:pt>
                <c:pt idx="15">
                  <c:v>10.5</c:v>
                </c:pt>
                <c:pt idx="16">
                  <c:v>3</c:v>
                </c:pt>
                <c:pt idx="17">
                  <c:v>11</c:v>
                </c:pt>
                <c:pt idx="18">
                  <c:v>15</c:v>
                </c:pt>
                <c:pt idx="19">
                  <c:v>15</c:v>
                </c:pt>
                <c:pt idx="20">
                  <c:v>15</c:v>
                </c:pt>
                <c:pt idx="21">
                  <c:v>15</c:v>
                </c:pt>
                <c:pt idx="22">
                  <c:v>15</c:v>
                </c:pt>
                <c:pt idx="23">
                  <c:v>14.75</c:v>
                </c:pt>
                <c:pt idx="24">
                  <c:v>15</c:v>
                </c:pt>
                <c:pt idx="25">
                  <c:v>15</c:v>
                </c:pt>
                <c:pt idx="26">
                  <c:v>14.75</c:v>
                </c:pt>
                <c:pt idx="27">
                  <c:v>15</c:v>
                </c:pt>
                <c:pt idx="28">
                  <c:v>15</c:v>
                </c:pt>
                <c:pt idx="29">
                  <c:v>15</c:v>
                </c:pt>
                <c:pt idx="30">
                  <c:v>15</c:v>
                </c:pt>
                <c:pt idx="31">
                  <c:v>15</c:v>
                </c:pt>
              </c:numCache>
            </c:numRef>
          </c:val>
        </c:ser>
        <c:ser>
          <c:idx val="5"/>
          <c:order val="5"/>
          <c:tx>
            <c:strRef>
              <c:f>'GR Global'!$H$5</c:f>
              <c:strCache>
                <c:ptCount val="1"/>
                <c:pt idx="0">
                  <c:v>Puntaje Adicional</c:v>
                </c:pt>
              </c:strCache>
            </c:strRef>
          </c:tx>
          <c:cat>
            <c:strRef>
              <c:f>'GR Global'!$B$6:$B$37</c:f>
              <c:strCache>
                <c:ptCount val="32"/>
                <c:pt idx="0">
                  <c:v>Sinaloa</c:v>
                </c:pt>
                <c:pt idx="1">
                  <c:v>Puebla</c:v>
                </c:pt>
                <c:pt idx="2">
                  <c:v>Colima</c:v>
                </c:pt>
                <c:pt idx="3">
                  <c:v>Tamaulipas</c:v>
                </c:pt>
                <c:pt idx="4">
                  <c:v>Guerrero</c:v>
                </c:pt>
                <c:pt idx="5">
                  <c:v>Zacatecas</c:v>
                </c:pt>
                <c:pt idx="6">
                  <c:v>Veracruz</c:v>
                </c:pt>
                <c:pt idx="7">
                  <c:v>San Luis Potosí</c:v>
                </c:pt>
                <c:pt idx="8">
                  <c:v>Tabasco</c:v>
                </c:pt>
                <c:pt idx="9">
                  <c:v>Baja California Sur</c:v>
                </c:pt>
                <c:pt idx="10">
                  <c:v>Sonora</c:v>
                </c:pt>
                <c:pt idx="11">
                  <c:v>Tlaxcala</c:v>
                </c:pt>
                <c:pt idx="12">
                  <c:v>Morelos</c:v>
                </c:pt>
                <c:pt idx="13">
                  <c:v>Jalisco</c:v>
                </c:pt>
                <c:pt idx="14">
                  <c:v>Michoacán</c:v>
                </c:pt>
                <c:pt idx="15">
                  <c:v>D.F. </c:v>
                </c:pt>
                <c:pt idx="16">
                  <c:v>Nayarit</c:v>
                </c:pt>
                <c:pt idx="17">
                  <c:v>Querétaro</c:v>
                </c:pt>
                <c:pt idx="18">
                  <c:v>Campeche</c:v>
                </c:pt>
                <c:pt idx="19">
                  <c:v>Baja California</c:v>
                </c:pt>
                <c:pt idx="20">
                  <c:v>Quintana Roo</c:v>
                </c:pt>
                <c:pt idx="21">
                  <c:v>Yucatán</c:v>
                </c:pt>
                <c:pt idx="22">
                  <c:v>Chiapas</c:v>
                </c:pt>
                <c:pt idx="23">
                  <c:v>Coahuila</c:v>
                </c:pt>
                <c:pt idx="24">
                  <c:v>Durango</c:v>
                </c:pt>
                <c:pt idx="25">
                  <c:v>Aguascalientes</c:v>
                </c:pt>
                <c:pt idx="26">
                  <c:v>Guanajuato</c:v>
                </c:pt>
                <c:pt idx="27">
                  <c:v>Chihuahua</c:v>
                </c:pt>
                <c:pt idx="28">
                  <c:v>Nuevo León</c:v>
                </c:pt>
                <c:pt idx="29">
                  <c:v>México</c:v>
                </c:pt>
                <c:pt idx="30">
                  <c:v>Hidalgo</c:v>
                </c:pt>
                <c:pt idx="31">
                  <c:v>Oaxaca</c:v>
                </c:pt>
              </c:strCache>
            </c:strRef>
          </c:cat>
          <c:val>
            <c:numRef>
              <c:f>'GR Global'!$H$6:$H$37</c:f>
              <c:numCache>
                <c:formatCode>0.0</c:formatCode>
                <c:ptCount val="3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2</c:v>
                </c:pt>
              </c:numCache>
            </c:numRef>
          </c:val>
        </c:ser>
        <c:gapWidth val="55"/>
        <c:gapDepth val="55"/>
        <c:shape val="cylinder"/>
        <c:axId val="82864000"/>
        <c:axId val="82865536"/>
        <c:axId val="0"/>
      </c:bar3DChart>
      <c:catAx>
        <c:axId val="82864000"/>
        <c:scaling>
          <c:orientation val="minMax"/>
        </c:scaling>
        <c:axPos val="l"/>
        <c:numFmt formatCode="General" sourceLinked="1"/>
        <c:majorTickMark val="none"/>
        <c:tickLblPos val="nextTo"/>
        <c:txPr>
          <a:bodyPr/>
          <a:lstStyle/>
          <a:p>
            <a:pPr>
              <a:defRPr sz="800" b="0"/>
            </a:pPr>
            <a:endParaRPr lang="es-MX"/>
          </a:p>
        </c:txPr>
        <c:crossAx val="82865536"/>
        <c:crosses val="autoZero"/>
        <c:auto val="1"/>
        <c:lblAlgn val="ctr"/>
        <c:lblOffset val="600"/>
      </c:catAx>
      <c:valAx>
        <c:axId val="82865536"/>
        <c:scaling>
          <c:orientation val="minMax"/>
          <c:max val="100"/>
        </c:scaling>
        <c:axPos val="b"/>
        <c:majorGridlines/>
        <c:numFmt formatCode="0" sourceLinked="0"/>
        <c:majorTickMark val="none"/>
        <c:tickLblPos val="nextTo"/>
        <c:crossAx val="82864000"/>
        <c:crosses val="autoZero"/>
        <c:crossBetween val="between"/>
        <c:majorUnit val="25"/>
      </c:valAx>
    </c:plotArea>
    <c:legend>
      <c:legendPos val="r"/>
      <c:layout>
        <c:manualLayout>
          <c:xMode val="edge"/>
          <c:yMode val="edge"/>
          <c:x val="3.0475015099861669E-2"/>
          <c:y val="0.94154185998081363"/>
          <c:w val="0.96952498490014039"/>
          <c:h val="5.4140310361011142E-2"/>
        </c:manualLayout>
      </c:layout>
      <c:txPr>
        <a:bodyPr/>
        <a:lstStyle/>
        <a:p>
          <a:pPr>
            <a:defRPr sz="800"/>
          </a:pPr>
          <a:endParaRPr lang="es-MX"/>
        </a:p>
      </c:txPr>
    </c:legend>
    <c:plotVisOnly val="1"/>
    <c:dispBlanksAs val="gap"/>
  </c:chart>
  <c:spPr>
    <a:ln>
      <a:noFill/>
    </a:ln>
  </c:spPr>
  <c:txPr>
    <a:bodyPr/>
    <a:lstStyle/>
    <a:p>
      <a:pPr>
        <a:defRPr>
          <a:latin typeface="+mn-lt"/>
        </a:defRPr>
      </a:pPr>
      <a:endParaRPr lang="es-MX"/>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n-US"/>
              <a:t>a.2 Avance en el objetivo de Recaudación</a:t>
            </a:r>
            <a:endParaRPr lang="es-MX"/>
          </a:p>
          <a:p>
            <a:pPr>
              <a:defRPr/>
            </a:pPr>
            <a:r>
              <a:rPr lang="en-US"/>
              <a:t>Cifras Virtuales (%)</a:t>
            </a:r>
            <a:endParaRPr lang="es-MX"/>
          </a:p>
        </c:rich>
      </c:tx>
      <c:layout>
        <c:manualLayout>
          <c:xMode val="edge"/>
          <c:yMode val="edge"/>
          <c:x val="0.27435758776940605"/>
          <c:y val="3.2307795753896001E-2"/>
        </c:manualLayout>
      </c:layout>
    </c:title>
    <c:view3D>
      <c:rotX val="0"/>
      <c:rotY val="0"/>
      <c:depthPercent val="90"/>
      <c:perspective val="0"/>
    </c:view3D>
    <c:plotArea>
      <c:layout>
        <c:manualLayout>
          <c:layoutTarget val="inner"/>
          <c:xMode val="edge"/>
          <c:yMode val="edge"/>
          <c:x val="0.24721620183672155"/>
          <c:y val="9.2380777132612987E-2"/>
          <c:w val="0.69421160386540981"/>
          <c:h val="0.86248111477889933"/>
        </c:manualLayout>
      </c:layout>
      <c:bar3DChart>
        <c:barDir val="bar"/>
        <c:grouping val="clustered"/>
        <c:ser>
          <c:idx val="0"/>
          <c:order val="0"/>
          <c:spPr>
            <a:solidFill>
              <a:srgbClr val="7F7F7F"/>
            </a:solidFill>
          </c:spPr>
          <c:dPt>
            <c:idx val="21"/>
            <c:spPr>
              <a:solidFill>
                <a:srgbClr val="2E5C00"/>
              </a:solidFill>
            </c:spPr>
          </c:dPt>
          <c:dPt>
            <c:idx val="22"/>
            <c:spPr>
              <a:solidFill>
                <a:srgbClr val="2E5C00"/>
              </a:solidFill>
            </c:spPr>
          </c:dPt>
          <c:dPt>
            <c:idx val="23"/>
            <c:spPr>
              <a:solidFill>
                <a:srgbClr val="2E5C00"/>
              </a:solidFill>
            </c:spPr>
          </c:dPt>
          <c:dPt>
            <c:idx val="24"/>
            <c:spPr>
              <a:solidFill>
                <a:srgbClr val="2E5C00"/>
              </a:solidFill>
            </c:spPr>
          </c:dPt>
          <c:dPt>
            <c:idx val="25"/>
            <c:spPr>
              <a:solidFill>
                <a:srgbClr val="2E5C00"/>
              </a:solidFill>
            </c:spPr>
          </c:dPt>
          <c:dPt>
            <c:idx val="26"/>
            <c:spPr>
              <a:solidFill>
                <a:srgbClr val="2E5C00"/>
              </a:solidFill>
            </c:spPr>
          </c:dPt>
          <c:dPt>
            <c:idx val="27"/>
            <c:spPr>
              <a:solidFill>
                <a:srgbClr val="2E5C00"/>
              </a:solidFill>
            </c:spPr>
          </c:dPt>
          <c:dPt>
            <c:idx val="28"/>
            <c:spPr>
              <a:solidFill>
                <a:srgbClr val="2E5C00"/>
              </a:solidFill>
            </c:spPr>
          </c:dPt>
          <c:dPt>
            <c:idx val="29"/>
            <c:spPr>
              <a:solidFill>
                <a:srgbClr val="FF0000"/>
              </a:solidFill>
            </c:spPr>
          </c:dPt>
          <c:dPt>
            <c:idx val="30"/>
            <c:spPr>
              <a:solidFill>
                <a:srgbClr val="2E5C00"/>
              </a:solidFill>
            </c:spPr>
          </c:dPt>
          <c:dPt>
            <c:idx val="31"/>
            <c:spPr>
              <a:solidFill>
                <a:srgbClr val="2E5C00"/>
              </a:solidFill>
            </c:spPr>
          </c:dPt>
          <c:cat>
            <c:strRef>
              <c:f>GRa!$G$6:$G$37</c:f>
              <c:strCache>
                <c:ptCount val="32"/>
                <c:pt idx="0">
                  <c:v>Puebla</c:v>
                </c:pt>
                <c:pt idx="1">
                  <c:v>Sinaloa</c:v>
                </c:pt>
                <c:pt idx="2">
                  <c:v>Zacatecas</c:v>
                </c:pt>
                <c:pt idx="3">
                  <c:v>Morelos</c:v>
                </c:pt>
                <c:pt idx="4">
                  <c:v>S. L. P.</c:v>
                </c:pt>
                <c:pt idx="5">
                  <c:v>Colima</c:v>
                </c:pt>
                <c:pt idx="6">
                  <c:v>Campeche</c:v>
                </c:pt>
                <c:pt idx="7">
                  <c:v>Jalisco</c:v>
                </c:pt>
                <c:pt idx="8">
                  <c:v>Tamaulipas</c:v>
                </c:pt>
                <c:pt idx="9">
                  <c:v>Veracruz</c:v>
                </c:pt>
                <c:pt idx="10">
                  <c:v>Nuevo León</c:v>
                </c:pt>
                <c:pt idx="11">
                  <c:v>Sonora</c:v>
                </c:pt>
                <c:pt idx="12">
                  <c:v>Guerrero</c:v>
                </c:pt>
                <c:pt idx="13">
                  <c:v>Tabasco</c:v>
                </c:pt>
                <c:pt idx="14">
                  <c:v>B. C. S.</c:v>
                </c:pt>
                <c:pt idx="15">
                  <c:v>D.F. </c:v>
                </c:pt>
                <c:pt idx="16">
                  <c:v>Querétaro</c:v>
                </c:pt>
                <c:pt idx="17">
                  <c:v>Hidalgo</c:v>
                </c:pt>
                <c:pt idx="18">
                  <c:v>México</c:v>
                </c:pt>
                <c:pt idx="19">
                  <c:v>Yucatán</c:v>
                </c:pt>
                <c:pt idx="20">
                  <c:v>Nayarit</c:v>
                </c:pt>
                <c:pt idx="21">
                  <c:v>Chihuahua</c:v>
                </c:pt>
                <c:pt idx="22">
                  <c:v>Durango</c:v>
                </c:pt>
                <c:pt idx="23">
                  <c:v>Chiapas</c:v>
                </c:pt>
                <c:pt idx="24">
                  <c:v>Coahuila </c:v>
                </c:pt>
                <c:pt idx="25">
                  <c:v>Michoacán</c:v>
                </c:pt>
                <c:pt idx="26">
                  <c:v>Tlaxcala</c:v>
                </c:pt>
                <c:pt idx="27">
                  <c:v>Q. Roo</c:v>
                </c:pt>
                <c:pt idx="28">
                  <c:v>Guanajuato</c:v>
                </c:pt>
                <c:pt idx="29">
                  <c:v>Oaxaca</c:v>
                </c:pt>
                <c:pt idx="30">
                  <c:v>Baja California</c:v>
                </c:pt>
                <c:pt idx="31">
                  <c:v>Aguascalientes</c:v>
                </c:pt>
              </c:strCache>
            </c:strRef>
          </c:cat>
          <c:val>
            <c:numRef>
              <c:f>GRa!$H$6:$H$37</c:f>
              <c:numCache>
                <c:formatCode>0.0</c:formatCode>
                <c:ptCount val="32"/>
                <c:pt idx="0">
                  <c:v>5.4538280318091514</c:v>
                </c:pt>
                <c:pt idx="1">
                  <c:v>13.936901731927708</c:v>
                </c:pt>
                <c:pt idx="2">
                  <c:v>14.558162692847123</c:v>
                </c:pt>
                <c:pt idx="3">
                  <c:v>16.407619918699186</c:v>
                </c:pt>
                <c:pt idx="4">
                  <c:v>17.995147102525685</c:v>
                </c:pt>
                <c:pt idx="5">
                  <c:v>18.507905660377357</c:v>
                </c:pt>
                <c:pt idx="6">
                  <c:v>22.183396039603789</c:v>
                </c:pt>
                <c:pt idx="7">
                  <c:v>22.236604588394069</c:v>
                </c:pt>
                <c:pt idx="8">
                  <c:v>30.503020408163088</c:v>
                </c:pt>
                <c:pt idx="9">
                  <c:v>30.541174418604847</c:v>
                </c:pt>
                <c:pt idx="10">
                  <c:v>33.383352000000002</c:v>
                </c:pt>
                <c:pt idx="11">
                  <c:v>36.893783444338737</c:v>
                </c:pt>
                <c:pt idx="12">
                  <c:v>41.287475728155513</c:v>
                </c:pt>
                <c:pt idx="13">
                  <c:v>41.706700000000012</c:v>
                </c:pt>
                <c:pt idx="14">
                  <c:v>43.1512131147541</c:v>
                </c:pt>
                <c:pt idx="15">
                  <c:v>49.725406153846144</c:v>
                </c:pt>
                <c:pt idx="16">
                  <c:v>72.059900478468819</c:v>
                </c:pt>
                <c:pt idx="17">
                  <c:v>73.090300000000013</c:v>
                </c:pt>
                <c:pt idx="18">
                  <c:v>86.503424444444462</c:v>
                </c:pt>
                <c:pt idx="19">
                  <c:v>95.256683636363604</c:v>
                </c:pt>
                <c:pt idx="20">
                  <c:v>97.790040000000005</c:v>
                </c:pt>
                <c:pt idx="21">
                  <c:v>101.86777326106596</c:v>
                </c:pt>
                <c:pt idx="22">
                  <c:v>103.12272799999937</c:v>
                </c:pt>
                <c:pt idx="23">
                  <c:v>107.65914000000001</c:v>
                </c:pt>
                <c:pt idx="24">
                  <c:v>109.72968293492637</c:v>
                </c:pt>
                <c:pt idx="25">
                  <c:v>114.30033333333272</c:v>
                </c:pt>
                <c:pt idx="26">
                  <c:v>121.80485863874347</c:v>
                </c:pt>
                <c:pt idx="27">
                  <c:v>123.17260368663597</c:v>
                </c:pt>
                <c:pt idx="28">
                  <c:v>128.93420592592591</c:v>
                </c:pt>
                <c:pt idx="29">
                  <c:v>138.83759375</c:v>
                </c:pt>
                <c:pt idx="30">
                  <c:v>148.44742319127838</c:v>
                </c:pt>
                <c:pt idx="31">
                  <c:v>441.9252349999972</c:v>
                </c:pt>
              </c:numCache>
            </c:numRef>
          </c:val>
        </c:ser>
        <c:gapWidth val="30"/>
        <c:shape val="cylinder"/>
        <c:axId val="128652800"/>
        <c:axId val="128654336"/>
        <c:axId val="0"/>
      </c:bar3DChart>
      <c:catAx>
        <c:axId val="128652800"/>
        <c:scaling>
          <c:orientation val="minMax"/>
        </c:scaling>
        <c:axPos val="l"/>
        <c:numFmt formatCode="General" sourceLinked="1"/>
        <c:majorTickMark val="none"/>
        <c:tickLblPos val="nextTo"/>
        <c:crossAx val="128654336"/>
        <c:crosses val="autoZero"/>
        <c:auto val="1"/>
        <c:lblAlgn val="ctr"/>
        <c:lblOffset val="100"/>
      </c:catAx>
      <c:valAx>
        <c:axId val="128654336"/>
        <c:scaling>
          <c:orientation val="minMax"/>
          <c:max val="200"/>
          <c:min val="0"/>
        </c:scaling>
        <c:axPos val="b"/>
        <c:majorGridlines/>
        <c:numFmt formatCode="0" sourceLinked="0"/>
        <c:majorTickMark val="none"/>
        <c:tickLblPos val="nextTo"/>
        <c:crossAx val="128652800"/>
        <c:crosses val="autoZero"/>
        <c:crossBetween val="between"/>
        <c:majorUnit val="50"/>
      </c:valAx>
    </c:plotArea>
    <c:plotVisOnly val="1"/>
    <c:dispBlanksAs val="gap"/>
  </c:chart>
  <c:spPr>
    <a:ln>
      <a:noFill/>
    </a:ln>
  </c:spPr>
  <c:txPr>
    <a:bodyPr/>
    <a:lstStyle/>
    <a:p>
      <a:pPr>
        <a:defRPr sz="800">
          <a:latin typeface="+mn-lt"/>
        </a:defRPr>
      </a:pPr>
      <a:endParaRPr lang="es-MX"/>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MX"/>
  <c:chart>
    <c:plotArea>
      <c:layout>
        <c:manualLayout>
          <c:layoutTarget val="inner"/>
          <c:xMode val="edge"/>
          <c:yMode val="edge"/>
          <c:x val="1.2811740241012722E-2"/>
          <c:y val="0.20463535613142098"/>
          <c:w val="0.55470518312870465"/>
          <c:h val="0.61465843796553377"/>
        </c:manualLayout>
      </c:layout>
      <c:barChart>
        <c:barDir val="col"/>
        <c:grouping val="clustered"/>
        <c:ser>
          <c:idx val="0"/>
          <c:order val="0"/>
          <c:dPt>
            <c:idx val="0"/>
            <c:spPr>
              <a:solidFill>
                <a:schemeClr val="accent3">
                  <a:lumMod val="75000"/>
                </a:schemeClr>
              </a:solidFill>
            </c:spPr>
          </c:dPt>
          <c:dPt>
            <c:idx val="1"/>
            <c:spPr>
              <a:solidFill>
                <a:srgbClr val="996600"/>
              </a:solidFill>
            </c:spPr>
          </c:dPt>
          <c:dLbls>
            <c:dLbl>
              <c:idx val="0"/>
              <c:tx>
                <c:rich>
                  <a:bodyPr/>
                  <a:lstStyle/>
                  <a:p>
                    <a:r>
                      <a:rPr lang="en-US"/>
                      <a:t>57,182</a:t>
                    </a:r>
                  </a:p>
                </c:rich>
              </c:tx>
              <c:showVal val="1"/>
              <c:extLst>
                <c:ext xmlns:c15="http://schemas.microsoft.com/office/drawing/2012/chart" uri="{CE6537A1-D6FC-4f65-9D91-7224C49458BB}">
                  <c15:layout/>
                </c:ext>
              </c:extLst>
            </c:dLbl>
            <c:dLbl>
              <c:idx val="1"/>
              <c:tx>
                <c:rich>
                  <a:bodyPr/>
                  <a:lstStyle/>
                  <a:p>
                    <a:r>
                      <a:rPr lang="en-US"/>
                      <a:t>66,802</a:t>
                    </a:r>
                  </a:p>
                </c:rich>
              </c:tx>
              <c:showVal val="1"/>
              <c:extLst>
                <c:ext xmlns:c15="http://schemas.microsoft.com/office/drawing/2012/chart" uri="{CE6537A1-D6FC-4f65-9D91-7224C49458BB}">
                  <c15:layout/>
                </c:ext>
              </c:extLst>
            </c:dLbl>
            <c:spPr>
              <a:noFill/>
              <a:ln>
                <a:noFill/>
              </a:ln>
              <a:effectLst/>
            </c:spPr>
            <c:txPr>
              <a:bodyPr/>
              <a:lstStyle/>
              <a:p>
                <a:pPr>
                  <a:defRPr sz="1200" b="1"/>
                </a:pPr>
                <a:endParaRPr lang="es-MX"/>
              </a:p>
            </c:txPr>
            <c:showVal val="1"/>
            <c:extLst>
              <c:ext xmlns:c15="http://schemas.microsoft.com/office/drawing/2012/chart" uri="{CE6537A1-D6FC-4f65-9D91-7224C49458BB}">
                <c15:showLeaderLines val="0"/>
              </c:ext>
            </c:extLst>
          </c:dLbls>
          <c:cat>
            <c:strRef>
              <c:f>'ingresos totales'!$B$4:$B$5</c:f>
              <c:strCache>
                <c:ptCount val="2"/>
                <c:pt idx="0">
                  <c:v>Programado</c:v>
                </c:pt>
                <c:pt idx="1">
                  <c:v>Observado</c:v>
                </c:pt>
              </c:strCache>
            </c:strRef>
          </c:cat>
          <c:val>
            <c:numRef>
              <c:f>'ingresos totales'!$C$4:$C$5</c:f>
              <c:numCache>
                <c:formatCode>_-* #,##0_-;\-* #,##0_-;_-* "-"??_-;_-@_-</c:formatCode>
                <c:ptCount val="2"/>
                <c:pt idx="0">
                  <c:v>51731</c:v>
                </c:pt>
                <c:pt idx="1">
                  <c:v>63257</c:v>
                </c:pt>
              </c:numCache>
            </c:numRef>
          </c:val>
        </c:ser>
        <c:axId val="128707968"/>
        <c:axId val="128709760"/>
      </c:barChart>
      <c:catAx>
        <c:axId val="128707968"/>
        <c:scaling>
          <c:orientation val="minMax"/>
        </c:scaling>
        <c:axPos val="b"/>
        <c:numFmt formatCode="General" sourceLinked="0"/>
        <c:tickLblPos val="nextTo"/>
        <c:txPr>
          <a:bodyPr/>
          <a:lstStyle/>
          <a:p>
            <a:pPr>
              <a:defRPr sz="1200" b="1"/>
            </a:pPr>
            <a:endParaRPr lang="es-MX"/>
          </a:p>
        </c:txPr>
        <c:crossAx val="128709760"/>
        <c:crosses val="autoZero"/>
        <c:auto val="1"/>
        <c:lblAlgn val="ctr"/>
        <c:lblOffset val="100"/>
      </c:catAx>
      <c:valAx>
        <c:axId val="128709760"/>
        <c:scaling>
          <c:orientation val="minMax"/>
        </c:scaling>
        <c:delete val="1"/>
        <c:axPos val="l"/>
        <c:numFmt formatCode="_-* #,##0_-;\-* #,##0_-;_-* &quot;-&quot;??_-;_-@_-" sourceLinked="1"/>
        <c:tickLblPos val="none"/>
        <c:crossAx val="128707968"/>
        <c:crosses val="autoZero"/>
        <c:crossBetween val="between"/>
      </c:valAx>
      <c:spPr>
        <a:noFill/>
        <a:ln w="25400">
          <a:noFill/>
        </a:ln>
      </c:spPr>
    </c:plotArea>
    <c:plotVisOnly val="1"/>
    <c:dispBlanksAs val="gap"/>
  </c:chart>
  <c:externalData r:id="rId1"/>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sz="1050"/>
            </a:pPr>
            <a:r>
              <a:rPr lang="en-US" sz="1600"/>
              <a:t>Ingresos de gestión, ejercicio fiscal 2015</a:t>
            </a:r>
          </a:p>
          <a:p>
            <a:pPr>
              <a:defRPr sz="1050"/>
            </a:pPr>
            <a:r>
              <a:rPr lang="en-US" sz="1050"/>
              <a:t> (millones de pesos)</a:t>
            </a:r>
          </a:p>
        </c:rich>
      </c:tx>
    </c:title>
    <c:plotArea>
      <c:layout>
        <c:manualLayout>
          <c:layoutTarget val="inner"/>
          <c:xMode val="edge"/>
          <c:yMode val="edge"/>
          <c:x val="3.1835622805920401E-2"/>
          <c:y val="0.20042299409747646"/>
          <c:w val="0.56257618466871639"/>
          <c:h val="0.49318377990144541"/>
        </c:manualLayout>
      </c:layout>
      <c:barChart>
        <c:barDir val="col"/>
        <c:grouping val="clustered"/>
        <c:ser>
          <c:idx val="0"/>
          <c:order val="0"/>
          <c:tx>
            <c:strRef>
              <c:f>gestion!$A$1:$A$2</c:f>
              <c:strCache>
                <c:ptCount val="1"/>
                <c:pt idx="0">
                  <c:v>Ingresos de gestión, ejercicio fiscal 2014 (millones de pesos)</c:v>
                </c:pt>
              </c:strCache>
            </c:strRef>
          </c:tx>
          <c:spPr>
            <a:solidFill>
              <a:schemeClr val="accent3">
                <a:lumMod val="50000"/>
              </a:schemeClr>
            </a:solidFill>
          </c:spPr>
          <c:dPt>
            <c:idx val="0"/>
            <c:spPr>
              <a:solidFill>
                <a:srgbClr val="996600"/>
              </a:solidFill>
            </c:spPr>
          </c:dPt>
          <c:dLbls>
            <c:dLbl>
              <c:idx val="0"/>
              <c:tx>
                <c:rich>
                  <a:bodyPr/>
                  <a:lstStyle/>
                  <a:p>
                    <a:r>
                      <a:rPr lang="en-US"/>
                      <a:t>2,995</a:t>
                    </a:r>
                  </a:p>
                </c:rich>
              </c:tx>
              <c:showVal val="1"/>
              <c:extLst>
                <c:ext xmlns:c15="http://schemas.microsoft.com/office/drawing/2012/chart" uri="{CE6537A1-D6FC-4f65-9D91-7224C49458BB}">
                  <c15:layout/>
                </c:ext>
              </c:extLst>
            </c:dLbl>
            <c:dLbl>
              <c:idx val="1"/>
              <c:layout>
                <c:manualLayout>
                  <c:x val="-2.2948594425696092E-3"/>
                  <c:y val="1.3888888888889051E-2"/>
                </c:manualLayout>
              </c:layout>
              <c:tx>
                <c:rich>
                  <a:bodyPr/>
                  <a:lstStyle/>
                  <a:p>
                    <a:r>
                      <a:rPr lang="en-US"/>
                      <a:t>4,502</a:t>
                    </a:r>
                  </a:p>
                </c:rich>
              </c:tx>
              <c:showVal val="1"/>
              <c:extLst>
                <c:ext xmlns:c15="http://schemas.microsoft.com/office/drawing/2012/chart" uri="{CE6537A1-D6FC-4f65-9D91-7224C49458BB}">
                  <c15:layout/>
                </c:ext>
              </c:extLst>
            </c:dLbl>
            <c:spPr>
              <a:noFill/>
              <a:ln>
                <a:noFill/>
              </a:ln>
              <a:effectLst/>
            </c:spPr>
            <c:txPr>
              <a:bodyPr/>
              <a:lstStyle/>
              <a:p>
                <a:pPr>
                  <a:defRPr sz="1200" b="1"/>
                </a:pPr>
                <a:endParaRPr lang="es-MX"/>
              </a:p>
            </c:txPr>
            <c:showVal val="1"/>
            <c:extLst>
              <c:ext xmlns:c15="http://schemas.microsoft.com/office/drawing/2012/chart" uri="{CE6537A1-D6FC-4f65-9D91-7224C49458BB}">
                <c15:showLeaderLines val="0"/>
              </c:ext>
            </c:extLst>
          </c:dLbls>
          <c:cat>
            <c:strRef>
              <c:f>gestion!$A$5:$A$6</c:f>
              <c:strCache>
                <c:ptCount val="2"/>
                <c:pt idx="0">
                  <c:v>Programado</c:v>
                </c:pt>
                <c:pt idx="1">
                  <c:v>Observado</c:v>
                </c:pt>
              </c:strCache>
            </c:strRef>
          </c:cat>
          <c:val>
            <c:numRef>
              <c:f>gestion!$B$5:$B$6</c:f>
              <c:numCache>
                <c:formatCode>_-* #,##0_-;\-* #,##0_-;_-* "-"??_-;_-@_-</c:formatCode>
                <c:ptCount val="2"/>
                <c:pt idx="0">
                  <c:v>2595</c:v>
                </c:pt>
                <c:pt idx="1">
                  <c:v>4203</c:v>
                </c:pt>
              </c:numCache>
            </c:numRef>
          </c:val>
        </c:ser>
        <c:axId val="91582848"/>
        <c:axId val="91584384"/>
      </c:barChart>
      <c:catAx>
        <c:axId val="91582848"/>
        <c:scaling>
          <c:orientation val="minMax"/>
        </c:scaling>
        <c:axPos val="b"/>
        <c:numFmt formatCode="General" sourceLinked="0"/>
        <c:tickLblPos val="nextTo"/>
        <c:txPr>
          <a:bodyPr/>
          <a:lstStyle/>
          <a:p>
            <a:pPr>
              <a:defRPr sz="1200"/>
            </a:pPr>
            <a:endParaRPr lang="es-MX"/>
          </a:p>
        </c:txPr>
        <c:crossAx val="91584384"/>
        <c:crosses val="autoZero"/>
        <c:auto val="1"/>
        <c:lblAlgn val="ctr"/>
        <c:lblOffset val="100"/>
      </c:catAx>
      <c:valAx>
        <c:axId val="91584384"/>
        <c:scaling>
          <c:orientation val="minMax"/>
        </c:scaling>
        <c:delete val="1"/>
        <c:axPos val="l"/>
        <c:numFmt formatCode="_-* #,##0_-;\-* #,##0_-;_-* &quot;-&quot;??_-;_-@_-" sourceLinked="1"/>
        <c:tickLblPos val="none"/>
        <c:crossAx val="91582848"/>
        <c:crosses val="autoZero"/>
        <c:crossBetween val="between"/>
      </c:valAx>
      <c:spPr>
        <a:noFill/>
        <a:ln w="25400">
          <a:noFill/>
        </a:ln>
      </c:spPr>
    </c:plotArea>
    <c:plotVisOnly val="1"/>
    <c:dispBlanksAs val="gap"/>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sz="1200">
                <a:latin typeface="Arial Narrow" pitchFamily="34" charset="0"/>
              </a:defRPr>
            </a:pPr>
            <a:r>
              <a:rPr lang="es-MX" sz="1200" b="1" i="0" baseline="0">
                <a:effectLst/>
                <a:latin typeface="Arial Narrow" pitchFamily="34" charset="0"/>
              </a:rPr>
              <a:t>ESTADO DE OAXACA: </a:t>
            </a:r>
          </a:p>
          <a:p>
            <a:pPr>
              <a:defRPr sz="1200">
                <a:latin typeface="Arial Narrow" pitchFamily="34" charset="0"/>
              </a:defRPr>
            </a:pPr>
            <a:r>
              <a:rPr lang="es-MX" sz="1200" b="1" i="0" baseline="0">
                <a:effectLst/>
                <a:latin typeface="Arial Narrow" pitchFamily="34" charset="0"/>
              </a:rPr>
              <a:t>VARIACIÓN ANUAL PIBE (2005-2015*)</a:t>
            </a:r>
            <a:endParaRPr lang="es-MX" sz="1200">
              <a:effectLst/>
              <a:latin typeface="Arial Narrow" pitchFamily="34" charset="0"/>
            </a:endParaRPr>
          </a:p>
        </c:rich>
      </c:tx>
    </c:title>
    <c:plotArea>
      <c:layout/>
      <c:lineChart>
        <c:grouping val="standard"/>
        <c:ser>
          <c:idx val="0"/>
          <c:order val="0"/>
          <c:tx>
            <c:strRef>
              <c:f>'[BIE_BIE20160306192905 (version 1).xls]Página 1'!$O$3</c:f>
              <c:strCache>
                <c:ptCount val="1"/>
                <c:pt idx="0">
                  <c:v>PIB Estatal </c:v>
                </c:pt>
              </c:strCache>
            </c:strRef>
          </c:tx>
          <c:dPt>
            <c:idx val="10"/>
            <c:spPr>
              <a:ln>
                <a:prstDash val="sysDash"/>
              </a:ln>
            </c:spPr>
          </c:dPt>
          <c:dLbls>
            <c:dLbl>
              <c:idx val="4"/>
              <c:layout>
                <c:manualLayout>
                  <c:x val="-6.2087696933044924E-2"/>
                  <c:y val="6.5937007187976474E-2"/>
                </c:manualLayout>
              </c:layout>
              <c:dLblPos val="r"/>
              <c:showVal val="1"/>
              <c:extLst>
                <c:ext xmlns:c15="http://schemas.microsoft.com/office/drawing/2012/chart" uri="{CE6537A1-D6FC-4f65-9D91-7224C49458BB}">
                  <c15:layout/>
                </c:ext>
              </c:extLst>
            </c:dLbl>
            <c:spPr>
              <a:noFill/>
              <a:ln>
                <a:noFill/>
              </a:ln>
              <a:effectLst/>
            </c:spPr>
            <c:txPr>
              <a:bodyPr/>
              <a:lstStyle/>
              <a:p>
                <a:pPr>
                  <a:defRPr>
                    <a:solidFill>
                      <a:schemeClr val="accent1"/>
                    </a:solidFill>
                  </a:defRPr>
                </a:pPr>
                <a:endParaRPr lang="es-MX"/>
              </a:p>
            </c:txPr>
            <c:dLblPos val="t"/>
            <c:showVal val="1"/>
            <c:extLst>
              <c:ext xmlns:c15="http://schemas.microsoft.com/office/drawing/2012/chart" uri="{CE6537A1-D6FC-4f65-9D91-7224C49458BB}">
                <c15:layout/>
                <c15:showLeaderLines val="0"/>
              </c:ext>
            </c:extLst>
          </c:dLbls>
          <c:cat>
            <c:numRef>
              <c:f>'[BIE_BIE20160306192905 (version 1).xls]Página 1'!$L$4:$L$14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'[BIE_BIE20160306192905 (version 1).xls]Página 1'!$O$4:$O$14</c:f>
              <c:numCache>
                <c:formatCode>0.00%</c:formatCode>
                <c:ptCount val="11"/>
                <c:pt idx="0">
                  <c:v>1.1740000000000129E-2</c:v>
                </c:pt>
                <c:pt idx="1">
                  <c:v>1.4254289495265363E-2</c:v>
                </c:pt>
                <c:pt idx="2">
                  <c:v>1.8553145043383599E-2</c:v>
                </c:pt>
                <c:pt idx="3">
                  <c:v>1.1955423455416347E-2</c:v>
                </c:pt>
                <c:pt idx="4">
                  <c:v>-9.7039745841180046E-3</c:v>
                </c:pt>
                <c:pt idx="5">
                  <c:v>1.9436680633025661E-2</c:v>
                </c:pt>
                <c:pt idx="6">
                  <c:v>4.5496054358618358E-2</c:v>
                </c:pt>
                <c:pt idx="7">
                  <c:v>2.7397002401605343E-2</c:v>
                </c:pt>
                <c:pt idx="8">
                  <c:v>2.7098795865922412E-2</c:v>
                </c:pt>
                <c:pt idx="9">
                  <c:v>1.962463083958051E-2</c:v>
                </c:pt>
                <c:pt idx="10">
                  <c:v>2.6886027173013714E-2</c:v>
                </c:pt>
              </c:numCache>
            </c:numRef>
          </c:val>
        </c:ser>
        <c:marker val="1"/>
        <c:axId val="143111296"/>
        <c:axId val="143112832"/>
      </c:lineChart>
      <c:catAx>
        <c:axId val="143111296"/>
        <c:scaling>
          <c:orientation val="minMax"/>
        </c:scaling>
        <c:axPos val="b"/>
        <c:numFmt formatCode="General" sourceLinked="1"/>
        <c:tickLblPos val="low"/>
        <c:crossAx val="143112832"/>
        <c:crosses val="autoZero"/>
        <c:auto val="1"/>
        <c:lblAlgn val="ctr"/>
        <c:lblOffset val="100"/>
      </c:catAx>
      <c:valAx>
        <c:axId val="143112832"/>
        <c:scaling>
          <c:orientation val="minMax"/>
        </c:scaling>
        <c:axPos val="l"/>
        <c:majorGridlines>
          <c:spPr>
            <a:ln>
              <a:noFill/>
            </a:ln>
          </c:spPr>
        </c:majorGridlines>
        <c:numFmt formatCode="0%" sourceLinked="0"/>
        <c:tickLblPos val="nextTo"/>
        <c:crossAx val="143111296"/>
        <c:crosses val="autoZero"/>
        <c:crossBetween val="between"/>
      </c:valAx>
    </c:plotArea>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lgn="ctr">
              <a:defRPr sz="1200">
                <a:latin typeface="Arial Narrow" pitchFamily="34" charset="0"/>
              </a:defRPr>
            </a:pPr>
            <a:r>
              <a:rPr lang="es-MX" sz="1200" b="1" i="0" baseline="0">
                <a:effectLst/>
                <a:latin typeface="Arial Narrow" pitchFamily="34" charset="0"/>
              </a:rPr>
              <a:t>ESTADO DE OAXACA: </a:t>
            </a:r>
          </a:p>
          <a:p>
            <a:pPr algn="ctr">
              <a:defRPr sz="1200">
                <a:latin typeface="Arial Narrow" pitchFamily="34" charset="0"/>
              </a:defRPr>
            </a:pPr>
            <a:r>
              <a:rPr lang="es-MX" sz="1200" b="1" i="0" baseline="0">
                <a:effectLst/>
                <a:latin typeface="Arial Narrow" pitchFamily="34" charset="0"/>
              </a:rPr>
              <a:t>ACT. PRIMARIAS, VARIACIÓN ANUAL (2005-2015*)</a:t>
            </a:r>
            <a:endParaRPr lang="es-MX" sz="1200">
              <a:effectLst/>
              <a:latin typeface="Arial Narrow" pitchFamily="34" charset="0"/>
            </a:endParaRPr>
          </a:p>
        </c:rich>
      </c:tx>
      <c:layout>
        <c:manualLayout>
          <c:xMode val="edge"/>
          <c:yMode val="edge"/>
          <c:x val="0.18463456240201678"/>
          <c:y val="0"/>
        </c:manualLayout>
      </c:layout>
    </c:title>
    <c:plotArea>
      <c:layout/>
      <c:lineChart>
        <c:grouping val="standard"/>
        <c:ser>
          <c:idx val="0"/>
          <c:order val="0"/>
          <c:tx>
            <c:strRef>
              <c:f>'[BIE_BIE20160306192905 (version 1).xls]Página 1'!$H$3</c:f>
              <c:strCache>
                <c:ptCount val="1"/>
                <c:pt idx="0">
                  <c:v>Act. Primarias</c:v>
                </c:pt>
              </c:strCache>
            </c:strRef>
          </c:tx>
          <c:spPr>
            <a:ln>
              <a:solidFill>
                <a:schemeClr val="accent6"/>
              </a:solidFill>
            </a:ln>
          </c:spPr>
          <c:marker>
            <c:spPr>
              <a:solidFill>
                <a:schemeClr val="accent6"/>
              </a:solidFill>
              <a:ln>
                <a:noFill/>
              </a:ln>
            </c:spPr>
          </c:marker>
          <c:dPt>
            <c:idx val="10"/>
            <c:spPr>
              <a:ln>
                <a:solidFill>
                  <a:schemeClr val="accent6"/>
                </a:solidFill>
                <a:prstDash val="sysDash"/>
              </a:ln>
            </c:spPr>
          </c:dPt>
          <c:dLbls>
            <c:dLbl>
              <c:idx val="0"/>
              <c:layout>
                <c:manualLayout>
                  <c:x val="-5.4430523228622268E-2"/>
                  <c:y val="3.3442328799809032E-2"/>
                </c:manualLayout>
              </c:layout>
              <c:dLblPos val="r"/>
              <c:showVal val="1"/>
              <c:extLst>
                <c:ext xmlns:c15="http://schemas.microsoft.com/office/drawing/2012/chart" uri="{CE6537A1-D6FC-4f65-9D91-7224C49458BB}">
                  <c15:layout/>
                </c:ext>
              </c:extLst>
            </c:dLbl>
            <c:dLbl>
              <c:idx val="4"/>
              <c:layout>
                <c:manualLayout>
                  <c:x val="-6.257266592605798E-2"/>
                  <c:y val="2.2866340106203583E-2"/>
                </c:manualLayout>
              </c:layout>
              <c:dLblPos val="r"/>
              <c:showVal val="1"/>
              <c:extLst>
                <c:ext xmlns:c15="http://schemas.microsoft.com/office/drawing/2012/chart" uri="{CE6537A1-D6FC-4f65-9D91-7224C49458BB}">
                  <c15:layout/>
                </c:ext>
              </c:extLst>
            </c:dLbl>
            <c:dLbl>
              <c:idx val="6"/>
              <c:layout>
                <c:manualLayout>
                  <c:x val="-5.9788257822159352E-2"/>
                  <c:y val="3.6873342872311116E-2"/>
                </c:manualLayout>
              </c:layout>
              <c:dLblPos val="r"/>
              <c:showVal val="1"/>
              <c:extLst>
                <c:ext xmlns:c15="http://schemas.microsoft.com/office/drawing/2012/chart" uri="{CE6537A1-D6FC-4f65-9D91-7224C49458BB}">
                  <c15:layout/>
                </c:ext>
              </c:extLst>
            </c:dLbl>
            <c:dLbl>
              <c:idx val="10"/>
              <c:layout>
                <c:manualLayout>
                  <c:x val="-1.2109982804635518E-2"/>
                  <c:y val="5.5549346560452753E-2"/>
                </c:manualLayout>
              </c:layout>
              <c:dLblPos val="r"/>
              <c:showVal val="1"/>
              <c:extLst>
                <c:ext xmlns:c15="http://schemas.microsoft.com/office/drawing/2012/chart" uri="{CE6537A1-D6FC-4f65-9D91-7224C49458BB}">
                  <c15:layout/>
                </c:ext>
              </c:extLst>
            </c:dLbl>
            <c:numFmt formatCode="0.00%" sourceLinked="0"/>
            <c:spPr>
              <a:noFill/>
              <a:ln>
                <a:noFill/>
              </a:ln>
              <a:effectLst/>
            </c:spPr>
            <c:txPr>
              <a:bodyPr/>
              <a:lstStyle/>
              <a:p>
                <a:pPr>
                  <a:defRPr>
                    <a:solidFill>
                      <a:schemeClr val="accent6"/>
                    </a:solidFill>
                  </a:defRPr>
                </a:pPr>
                <a:endParaRPr lang="es-MX"/>
              </a:p>
            </c:txPr>
            <c:dLblPos val="t"/>
            <c:showVal val="1"/>
            <c:extLst>
              <c:ext xmlns:c15="http://schemas.microsoft.com/office/drawing/2012/chart" uri="{CE6537A1-D6FC-4f65-9D91-7224C49458BB}">
                <c15:layout/>
                <c15:showLeaderLines val="0"/>
              </c:ext>
            </c:extLst>
          </c:dLbls>
          <c:cat>
            <c:numRef>
              <c:f>'[BIE_BIE20160306192905 (version 1).xls]Página 1'!$F$4:$F$14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'[BIE_BIE20160306192905 (version 1).xls]Página 1'!$H$4:$H$14</c:f>
              <c:numCache>
                <c:formatCode>0.00%</c:formatCode>
                <c:ptCount val="11"/>
                <c:pt idx="0">
                  <c:v>-3.1100000000000006E-2</c:v>
                </c:pt>
                <c:pt idx="1">
                  <c:v>2.1460043794393681E-2</c:v>
                </c:pt>
                <c:pt idx="2">
                  <c:v>8.7612441021209894E-2</c:v>
                </c:pt>
                <c:pt idx="3">
                  <c:v>1.9038091666810683E-2</c:v>
                </c:pt>
                <c:pt idx="4">
                  <c:v>-4.4019105581583576E-2</c:v>
                </c:pt>
                <c:pt idx="5">
                  <c:v>4.6377770837670432E-2</c:v>
                </c:pt>
                <c:pt idx="6">
                  <c:v>-2.3141909763845152E-2</c:v>
                </c:pt>
                <c:pt idx="7">
                  <c:v>5.6082496705842533E-2</c:v>
                </c:pt>
                <c:pt idx="8">
                  <c:v>5.0970045887392457E-2</c:v>
                </c:pt>
                <c:pt idx="9">
                  <c:v>2.586729890559725E-2</c:v>
                </c:pt>
                <c:pt idx="10">
                  <c:v>-7.0397527373934213E-3</c:v>
                </c:pt>
              </c:numCache>
            </c:numRef>
          </c:val>
        </c:ser>
        <c:marker val="1"/>
        <c:axId val="145042432"/>
        <c:axId val="145068800"/>
      </c:lineChart>
      <c:catAx>
        <c:axId val="145042432"/>
        <c:scaling>
          <c:orientation val="minMax"/>
        </c:scaling>
        <c:axPos val="b"/>
        <c:numFmt formatCode="General" sourceLinked="1"/>
        <c:tickLblPos val="low"/>
        <c:crossAx val="145068800"/>
        <c:crosses val="autoZero"/>
        <c:auto val="1"/>
        <c:lblAlgn val="ctr"/>
        <c:lblOffset val="100"/>
      </c:catAx>
      <c:valAx>
        <c:axId val="145068800"/>
        <c:scaling>
          <c:orientation val="minMax"/>
        </c:scaling>
        <c:axPos val="l"/>
        <c:majorGridlines>
          <c:spPr>
            <a:ln>
              <a:noFill/>
            </a:ln>
          </c:spPr>
        </c:majorGridlines>
        <c:numFmt formatCode="0%" sourceLinked="0"/>
        <c:tickLblPos val="nextTo"/>
        <c:crossAx val="145042432"/>
        <c:crosses val="autoZero"/>
        <c:crossBetween val="between"/>
      </c:valAx>
    </c:plotArea>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lgn="ctr">
              <a:defRPr sz="1200">
                <a:latin typeface="Arial Narrow" pitchFamily="34" charset="0"/>
              </a:defRPr>
            </a:pPr>
            <a:r>
              <a:rPr lang="es-MX" sz="1200" b="1" i="0" baseline="0">
                <a:effectLst/>
                <a:latin typeface="Arial Narrow" pitchFamily="34" charset="0"/>
              </a:rPr>
              <a:t>ESTADO DE OAXACA: </a:t>
            </a:r>
          </a:p>
          <a:p>
            <a:pPr algn="ctr">
              <a:defRPr sz="1200">
                <a:latin typeface="Arial Narrow" pitchFamily="34" charset="0"/>
              </a:defRPr>
            </a:pPr>
            <a:r>
              <a:rPr lang="es-MX" sz="1200" b="1" i="0" baseline="0">
                <a:effectLst/>
                <a:latin typeface="Arial Narrow" pitchFamily="34" charset="0"/>
              </a:rPr>
              <a:t>ACT. SECUNDARIAS, VARIACIÓN ANUAL (2005-2015*)</a:t>
            </a:r>
            <a:endParaRPr lang="es-MX" sz="1200">
              <a:effectLst/>
              <a:latin typeface="Arial Narrow" pitchFamily="34" charset="0"/>
            </a:endParaRPr>
          </a:p>
        </c:rich>
      </c:tx>
      <c:layout>
        <c:manualLayout>
          <c:xMode val="edge"/>
          <c:yMode val="edge"/>
          <c:x val="0.14013457085043679"/>
          <c:y val="0"/>
        </c:manualLayout>
      </c:layout>
    </c:title>
    <c:plotArea>
      <c:layout/>
      <c:lineChart>
        <c:grouping val="standard"/>
        <c:ser>
          <c:idx val="0"/>
          <c:order val="0"/>
          <c:tx>
            <c:strRef>
              <c:f>'[BIE_BIE20160306192905 (version 1).xls]Página 1'!$I$3</c:f>
              <c:strCache>
                <c:ptCount val="1"/>
                <c:pt idx="0">
                  <c:v>Act. Secundarias</c:v>
                </c:pt>
              </c:strCache>
            </c:strRef>
          </c:tx>
          <c:spPr>
            <a:ln>
              <a:solidFill>
                <a:schemeClr val="accent6"/>
              </a:solidFill>
            </a:ln>
          </c:spPr>
          <c:marker>
            <c:spPr>
              <a:solidFill>
                <a:schemeClr val="accent6"/>
              </a:solidFill>
              <a:ln>
                <a:noFill/>
              </a:ln>
            </c:spPr>
          </c:marker>
          <c:dPt>
            <c:idx val="10"/>
            <c:spPr>
              <a:ln>
                <a:solidFill>
                  <a:schemeClr val="accent6"/>
                </a:solidFill>
                <a:prstDash val="sysDash"/>
              </a:ln>
            </c:spPr>
          </c:dPt>
          <c:dLbls>
            <c:numFmt formatCode="0.00%" sourceLinked="0"/>
            <c:spPr>
              <a:noFill/>
              <a:ln>
                <a:noFill/>
              </a:ln>
              <a:effectLst/>
            </c:spPr>
            <c:txPr>
              <a:bodyPr/>
              <a:lstStyle/>
              <a:p>
                <a:pPr>
                  <a:defRPr>
                    <a:solidFill>
                      <a:schemeClr val="accent6"/>
                    </a:solidFill>
                  </a:defRPr>
                </a:pPr>
                <a:endParaRPr lang="es-MX"/>
              </a:p>
            </c:txPr>
            <c:dLblPos val="t"/>
            <c:showVal val="1"/>
            <c:extLst>
              <c:ext xmlns:c15="http://schemas.microsoft.com/office/drawing/2012/chart" uri="{CE6537A1-D6FC-4f65-9D91-7224C49458BB}">
                <c15:layout/>
                <c15:showLeaderLines val="0"/>
              </c:ext>
            </c:extLst>
          </c:dLbls>
          <c:cat>
            <c:numRef>
              <c:f>'[BIE_BIE20160306192905 (version 1).xls]Página 1'!$F$4:$F$14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'[BIE_BIE20160306192905 (version 1).xls]Página 1'!$I$4:$I$14</c:f>
              <c:numCache>
                <c:formatCode>0.00%</c:formatCode>
                <c:ptCount val="11"/>
                <c:pt idx="0">
                  <c:v>-4.2700000000000113E-2</c:v>
                </c:pt>
                <c:pt idx="1">
                  <c:v>-1.5046298705883195E-2</c:v>
                </c:pt>
                <c:pt idx="2">
                  <c:v>-4.0407006232092814E-3</c:v>
                </c:pt>
                <c:pt idx="3">
                  <c:v>2.1129162725512093E-3</c:v>
                </c:pt>
                <c:pt idx="4">
                  <c:v>2.0741048212033292E-2</c:v>
                </c:pt>
                <c:pt idx="5">
                  <c:v>-2.3089741335093159E-2</c:v>
                </c:pt>
                <c:pt idx="6">
                  <c:v>0.12354048901768452</c:v>
                </c:pt>
                <c:pt idx="7">
                  <c:v>4.2794299039109647E-2</c:v>
                </c:pt>
                <c:pt idx="8">
                  <c:v>4.2065200430995334E-2</c:v>
                </c:pt>
                <c:pt idx="9">
                  <c:v>4.1195953855138974E-2</c:v>
                </c:pt>
                <c:pt idx="10">
                  <c:v>2.9025520213639997E-2</c:v>
                </c:pt>
              </c:numCache>
            </c:numRef>
          </c:val>
        </c:ser>
        <c:marker val="1"/>
        <c:axId val="145499264"/>
        <c:axId val="145500800"/>
      </c:lineChart>
      <c:catAx>
        <c:axId val="145499264"/>
        <c:scaling>
          <c:orientation val="minMax"/>
        </c:scaling>
        <c:axPos val="b"/>
        <c:numFmt formatCode="General" sourceLinked="1"/>
        <c:tickLblPos val="low"/>
        <c:crossAx val="145500800"/>
        <c:crosses val="autoZero"/>
        <c:auto val="1"/>
        <c:lblAlgn val="ctr"/>
        <c:lblOffset val="100"/>
      </c:catAx>
      <c:valAx>
        <c:axId val="145500800"/>
        <c:scaling>
          <c:orientation val="minMax"/>
        </c:scaling>
        <c:axPos val="l"/>
        <c:majorGridlines>
          <c:spPr>
            <a:ln>
              <a:noFill/>
            </a:ln>
          </c:spPr>
        </c:majorGridlines>
        <c:numFmt formatCode="0%" sourceLinked="0"/>
        <c:tickLblPos val="nextTo"/>
        <c:crossAx val="145499264"/>
        <c:crosses val="autoZero"/>
        <c:crossBetween val="between"/>
      </c:valAx>
    </c:plotArea>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lgn="ctr">
              <a:defRPr sz="1200">
                <a:latin typeface="Arial Narrow" pitchFamily="34" charset="0"/>
              </a:defRPr>
            </a:pPr>
            <a:r>
              <a:rPr lang="es-MX" sz="1200" b="1" i="0" baseline="0">
                <a:effectLst/>
                <a:latin typeface="Arial Narrow" pitchFamily="34" charset="0"/>
              </a:rPr>
              <a:t>ESTADO DE OAXACA: </a:t>
            </a:r>
          </a:p>
          <a:p>
            <a:pPr algn="ctr">
              <a:defRPr sz="1200">
                <a:latin typeface="Arial Narrow" pitchFamily="34" charset="0"/>
              </a:defRPr>
            </a:pPr>
            <a:r>
              <a:rPr lang="es-MX" sz="1200" b="1" i="0" baseline="0">
                <a:effectLst/>
                <a:latin typeface="Arial Narrow" pitchFamily="34" charset="0"/>
              </a:rPr>
              <a:t>ACT. TERCIARIAS,  VARIACIÓN ANUAL (2005-2015*)</a:t>
            </a:r>
            <a:endParaRPr lang="es-MX" sz="1200">
              <a:effectLst/>
              <a:latin typeface="Arial Narrow" pitchFamily="34" charset="0"/>
            </a:endParaRPr>
          </a:p>
        </c:rich>
      </c:tx>
      <c:layout>
        <c:manualLayout>
          <c:xMode val="edge"/>
          <c:yMode val="edge"/>
          <c:x val="0.15929971038103208"/>
          <c:y val="3.6761538796587119E-3"/>
        </c:manualLayout>
      </c:layout>
    </c:title>
    <c:plotArea>
      <c:layout/>
      <c:lineChart>
        <c:grouping val="standard"/>
        <c:ser>
          <c:idx val="0"/>
          <c:order val="0"/>
          <c:tx>
            <c:strRef>
              <c:f>'[BIE_BIE20160306192905 (version 1).xls]Página 1'!$J$3</c:f>
              <c:strCache>
                <c:ptCount val="1"/>
                <c:pt idx="0">
                  <c:v>Act. Terciarias</c:v>
                </c:pt>
              </c:strCache>
            </c:strRef>
          </c:tx>
          <c:spPr>
            <a:ln>
              <a:solidFill>
                <a:schemeClr val="accent6"/>
              </a:solidFill>
            </a:ln>
          </c:spPr>
          <c:marker>
            <c:spPr>
              <a:solidFill>
                <a:schemeClr val="accent6"/>
              </a:solidFill>
              <a:ln>
                <a:noFill/>
              </a:ln>
            </c:spPr>
          </c:marker>
          <c:dPt>
            <c:idx val="10"/>
            <c:spPr>
              <a:ln>
                <a:solidFill>
                  <a:schemeClr val="accent6"/>
                </a:solidFill>
                <a:prstDash val="sysDash"/>
              </a:ln>
            </c:spPr>
          </c:dPt>
          <c:dLbls>
            <c:dLbl>
              <c:idx val="4"/>
              <c:layout>
                <c:manualLayout>
                  <c:x val="-7.0949501665366149E-2"/>
                  <c:y val="3.7318279026613922E-2"/>
                </c:manualLayout>
              </c:layout>
              <c:dLblPos val="r"/>
              <c:showVal val="1"/>
              <c:extLst>
                <c:ext xmlns:c15="http://schemas.microsoft.com/office/drawing/2012/chart" uri="{CE6537A1-D6FC-4f65-9D91-7224C49458BB}">
                  <c15:layout/>
                </c:ext>
              </c:extLst>
            </c:dLbl>
            <c:dLbl>
              <c:idx val="6"/>
              <c:layout>
                <c:manualLayout>
                  <c:x val="-5.9788257822159352E-2"/>
                  <c:y val="3.6873342872311116E-2"/>
                </c:manualLayout>
              </c:layout>
              <c:dLblPos val="r"/>
              <c:showVal val="1"/>
              <c:extLst>
                <c:ext xmlns:c15="http://schemas.microsoft.com/office/drawing/2012/chart" uri="{CE6537A1-D6FC-4f65-9D91-7224C49458BB}">
                  <c15:layout/>
                </c:ext>
              </c:extLst>
            </c:dLbl>
            <c:dLbl>
              <c:idx val="10"/>
              <c:layout>
                <c:manualLayout>
                  <c:x val="-9.4080161398375566E-4"/>
                  <c:y val="-5.0431624058063326E-2"/>
                </c:manualLayout>
              </c:layout>
              <c:dLblPos val="r"/>
              <c:showVal val="1"/>
              <c:extLst>
                <c:ext xmlns:c15="http://schemas.microsoft.com/office/drawing/2012/chart" uri="{CE6537A1-D6FC-4f65-9D91-7224C49458BB}">
                  <c15:layout/>
                </c:ext>
              </c:extLst>
            </c:dLbl>
            <c:numFmt formatCode="0.00%" sourceLinked="0"/>
            <c:spPr>
              <a:noFill/>
              <a:ln>
                <a:noFill/>
              </a:ln>
              <a:effectLst/>
            </c:spPr>
            <c:txPr>
              <a:bodyPr/>
              <a:lstStyle/>
              <a:p>
                <a:pPr>
                  <a:defRPr>
                    <a:solidFill>
                      <a:schemeClr val="accent6"/>
                    </a:solidFill>
                  </a:defRPr>
                </a:pPr>
                <a:endParaRPr lang="es-MX"/>
              </a:p>
            </c:txPr>
            <c:dLblPos val="t"/>
            <c:showVal val="1"/>
            <c:extLst>
              <c:ext xmlns:c15="http://schemas.microsoft.com/office/drawing/2012/chart" uri="{CE6537A1-D6FC-4f65-9D91-7224C49458BB}">
                <c15:layout/>
                <c15:showLeaderLines val="0"/>
              </c:ext>
            </c:extLst>
          </c:dLbls>
          <c:cat>
            <c:numRef>
              <c:f>'[BIE_BIE20160306192905 (version 1).xls]Página 1'!$F$4:$F$14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'[BIE_BIE20160306192905 (version 1).xls]Página 1'!$J$4:$J$14</c:f>
              <c:numCache>
                <c:formatCode>0.00%</c:formatCode>
                <c:ptCount val="11"/>
                <c:pt idx="1">
                  <c:v>2.8047020960597181E-2</c:v>
                </c:pt>
                <c:pt idx="2">
                  <c:v>2.297716073056396E-2</c:v>
                </c:pt>
                <c:pt idx="3">
                  <c:v>1.5801258833623349E-2</c:v>
                </c:pt>
                <c:pt idx="4">
                  <c:v>-2.0206807189769218E-2</c:v>
                </c:pt>
                <c:pt idx="5">
                  <c:v>3.7003495842590592E-2</c:v>
                </c:pt>
                <c:pt idx="6">
                  <c:v>1.7262056298630521E-2</c:v>
                </c:pt>
                <c:pt idx="7">
                  <c:v>1.7205204209491995E-2</c:v>
                </c:pt>
                <c:pt idx="8">
                  <c:v>1.7289874144023203E-2</c:v>
                </c:pt>
                <c:pt idx="9">
                  <c:v>7.871052414537295E-3</c:v>
                </c:pt>
                <c:pt idx="10">
                  <c:v>2.89221494608E-2</c:v>
                </c:pt>
              </c:numCache>
            </c:numRef>
          </c:val>
        </c:ser>
        <c:marker val="1"/>
        <c:axId val="148274176"/>
        <c:axId val="175764224"/>
      </c:lineChart>
      <c:catAx>
        <c:axId val="148274176"/>
        <c:scaling>
          <c:orientation val="minMax"/>
        </c:scaling>
        <c:axPos val="b"/>
        <c:numFmt formatCode="General" sourceLinked="1"/>
        <c:tickLblPos val="low"/>
        <c:crossAx val="175764224"/>
        <c:crosses val="autoZero"/>
        <c:auto val="1"/>
        <c:lblAlgn val="ctr"/>
        <c:lblOffset val="100"/>
      </c:catAx>
      <c:valAx>
        <c:axId val="175764224"/>
        <c:scaling>
          <c:orientation val="minMax"/>
        </c:scaling>
        <c:axPos val="l"/>
        <c:majorGridlines>
          <c:spPr>
            <a:ln>
              <a:noFill/>
            </a:ln>
          </c:spPr>
        </c:majorGridlines>
        <c:numFmt formatCode="0%" sourceLinked="0"/>
        <c:tickLblPos val="nextTo"/>
        <c:crossAx val="148274176"/>
        <c:crosses val="autoZero"/>
        <c:crossBetween val="between"/>
      </c:valAx>
    </c:plotArea>
    <c:plotVisOnly val="1"/>
    <c:dispBlanksAs val="gap"/>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Arial Narrow" pitchFamily="34" charset="0"/>
                <a:ea typeface="+mn-ea"/>
                <a:cs typeface="+mn-cs"/>
              </a:defRPr>
            </a:pPr>
            <a:r>
              <a:rPr lang="es-MX" sz="1200" b="1" i="0" baseline="0">
                <a:effectLst/>
                <a:latin typeface="Arial Narrow" pitchFamily="34" charset="0"/>
              </a:rPr>
              <a:t>ESTADO DE OAXACA: </a:t>
            </a:r>
            <a:endParaRPr lang="es-MX" sz="1200">
              <a:effectLst/>
              <a:latin typeface="Arial Narrow" pitchFamily="34"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Arial Narrow" pitchFamily="34" charset="0"/>
                <a:ea typeface="+mn-ea"/>
                <a:cs typeface="+mn-cs"/>
              </a:defRPr>
            </a:pPr>
            <a:r>
              <a:rPr lang="es-MX" sz="1200" b="1" i="0" baseline="0">
                <a:effectLst/>
                <a:latin typeface="Arial Narrow" pitchFamily="34" charset="0"/>
              </a:rPr>
              <a:t>PEA Y POBLACIÓN OCUPADA (2005-2015)</a:t>
            </a:r>
            <a:endParaRPr lang="es-MX" sz="1200">
              <a:effectLst/>
              <a:latin typeface="Arial Narrow" pitchFamily="34" charset="0"/>
            </a:endParaRPr>
          </a:p>
        </c:rich>
      </c:tx>
      <c:layout>
        <c:manualLayout>
          <c:xMode val="edge"/>
          <c:yMode val="edge"/>
          <c:x val="0.24118744531933634"/>
          <c:y val="0"/>
        </c:manualLayout>
      </c:layout>
      <c:overlay val="1"/>
    </c:title>
    <c:plotArea>
      <c:layout>
        <c:manualLayout>
          <c:layoutTarget val="inner"/>
          <c:xMode val="edge"/>
          <c:yMode val="edge"/>
          <c:x val="5.0710848643919497E-2"/>
          <c:y val="0.17969787949168226"/>
          <c:w val="0.91873359580052449"/>
          <c:h val="0.70432221152212093"/>
        </c:manualLayout>
      </c:layout>
      <c:barChart>
        <c:barDir val="col"/>
        <c:grouping val="clustered"/>
        <c:ser>
          <c:idx val="0"/>
          <c:order val="0"/>
          <c:tx>
            <c:strRef>
              <c:f>Hoja1!$A$4</c:f>
              <c:strCache>
                <c:ptCount val="1"/>
                <c:pt idx="0">
                  <c:v>Población económicamente activa</c:v>
                </c:pt>
              </c:strCache>
            </c:strRef>
          </c:tx>
          <c:dLbls>
            <c:spPr>
              <a:noFill/>
              <a:ln>
                <a:noFill/>
              </a:ln>
              <a:effectLst/>
            </c:spPr>
            <c:txPr>
              <a:bodyPr rot="-5400000" vert="horz"/>
              <a:lstStyle/>
              <a:p>
                <a:pPr>
                  <a:defRPr sz="800">
                    <a:solidFill>
                      <a:schemeClr val="bg1"/>
                    </a:solidFill>
                  </a:defRPr>
                </a:pPr>
                <a:endParaRPr lang="es-MX"/>
              </a:p>
            </c:txPr>
            <c:dLblPos val="inEnd"/>
            <c:showVal val="1"/>
            <c:extLst>
              <c:ext xmlns:c15="http://schemas.microsoft.com/office/drawing/2012/chart" uri="{CE6537A1-D6FC-4f65-9D91-7224C49458BB}">
                <c15:layout/>
                <c15:showLeaderLines val="0"/>
              </c:ext>
            </c:extLst>
          </c:dLbls>
          <c:cat>
            <c:numRef>
              <c:f>Hoja1!$B$1:$L$1</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Hoja1!$B$4:$L$4</c:f>
              <c:numCache>
                <c:formatCode>#,##0</c:formatCode>
                <c:ptCount val="11"/>
                <c:pt idx="0">
                  <c:v>1489134</c:v>
                </c:pt>
                <c:pt idx="1">
                  <c:v>1456334</c:v>
                </c:pt>
                <c:pt idx="2">
                  <c:v>1496156</c:v>
                </c:pt>
                <c:pt idx="3">
                  <c:v>1488131</c:v>
                </c:pt>
                <c:pt idx="4">
                  <c:v>1562001</c:v>
                </c:pt>
                <c:pt idx="5">
                  <c:v>1616349</c:v>
                </c:pt>
                <c:pt idx="6">
                  <c:v>1617037</c:v>
                </c:pt>
                <c:pt idx="7">
                  <c:v>1657432</c:v>
                </c:pt>
                <c:pt idx="8">
                  <c:v>1591270</c:v>
                </c:pt>
                <c:pt idx="9">
                  <c:v>1646346</c:v>
                </c:pt>
                <c:pt idx="10">
                  <c:v>1711751</c:v>
                </c:pt>
              </c:numCache>
            </c:numRef>
          </c:val>
        </c:ser>
        <c:ser>
          <c:idx val="1"/>
          <c:order val="1"/>
          <c:tx>
            <c:strRef>
              <c:f>Hoja1!$A$5</c:f>
              <c:strCache>
                <c:ptCount val="1"/>
                <c:pt idx="0">
                  <c:v>Población ocupada</c:v>
                </c:pt>
              </c:strCache>
            </c:strRef>
          </c:tx>
          <c:dLbls>
            <c:spPr>
              <a:noFill/>
              <a:ln>
                <a:noFill/>
              </a:ln>
              <a:effectLst/>
            </c:spPr>
            <c:txPr>
              <a:bodyPr rot="-5400000" vert="horz"/>
              <a:lstStyle/>
              <a:p>
                <a:pPr>
                  <a:defRPr sz="800">
                    <a:solidFill>
                      <a:schemeClr val="bg1"/>
                    </a:solidFill>
                  </a:defRPr>
                </a:pPr>
                <a:endParaRPr lang="es-MX"/>
              </a:p>
            </c:txPr>
            <c:dLblPos val="inEnd"/>
            <c:showVal val="1"/>
            <c:extLst>
              <c:ext xmlns:c15="http://schemas.microsoft.com/office/drawing/2012/chart" uri="{CE6537A1-D6FC-4f65-9D91-7224C49458BB}">
                <c15:layout/>
                <c15:showLeaderLines val="0"/>
              </c:ext>
            </c:extLst>
          </c:dLbls>
          <c:cat>
            <c:numRef>
              <c:f>Hoja1!$B$1:$L$1</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Hoja1!$B$5:$L$5</c:f>
              <c:numCache>
                <c:formatCode>#,##0</c:formatCode>
                <c:ptCount val="11"/>
                <c:pt idx="0">
                  <c:v>1466328</c:v>
                </c:pt>
                <c:pt idx="1">
                  <c:v>1432050</c:v>
                </c:pt>
                <c:pt idx="2">
                  <c:v>1472055</c:v>
                </c:pt>
                <c:pt idx="3">
                  <c:v>1459755</c:v>
                </c:pt>
                <c:pt idx="4">
                  <c:v>1526505</c:v>
                </c:pt>
                <c:pt idx="5">
                  <c:v>1582498</c:v>
                </c:pt>
                <c:pt idx="6">
                  <c:v>1572960</c:v>
                </c:pt>
                <c:pt idx="7">
                  <c:v>1617581</c:v>
                </c:pt>
                <c:pt idx="8">
                  <c:v>1549234</c:v>
                </c:pt>
                <c:pt idx="9">
                  <c:v>1603434</c:v>
                </c:pt>
                <c:pt idx="10">
                  <c:v>1665531</c:v>
                </c:pt>
              </c:numCache>
            </c:numRef>
          </c:val>
        </c:ser>
        <c:axId val="82127104"/>
        <c:axId val="82132992"/>
      </c:barChart>
      <c:catAx>
        <c:axId val="82127104"/>
        <c:scaling>
          <c:orientation val="minMax"/>
        </c:scaling>
        <c:axPos val="b"/>
        <c:numFmt formatCode="General" sourceLinked="1"/>
        <c:tickLblPos val="nextTo"/>
        <c:crossAx val="82132992"/>
        <c:crosses val="autoZero"/>
        <c:auto val="1"/>
        <c:lblAlgn val="ctr"/>
        <c:lblOffset val="100"/>
      </c:catAx>
      <c:valAx>
        <c:axId val="82132992"/>
        <c:scaling>
          <c:orientation val="minMax"/>
        </c:scaling>
        <c:delete val="1"/>
        <c:axPos val="l"/>
        <c:majorGridlines>
          <c:spPr>
            <a:ln>
              <a:noFill/>
            </a:ln>
          </c:spPr>
        </c:majorGridlines>
        <c:numFmt formatCode="#,##0" sourceLinked="1"/>
        <c:tickLblPos val="none"/>
        <c:crossAx val="82127104"/>
        <c:crosses val="autoZero"/>
        <c:crossBetween val="between"/>
      </c:valAx>
    </c:plotArea>
    <c:legend>
      <c:legendPos val="t"/>
      <c:layout>
        <c:manualLayout>
          <c:xMode val="edge"/>
          <c:yMode val="edge"/>
          <c:x val="3.0944225721784811E-2"/>
          <c:y val="0.12516663834286901"/>
          <c:w val="0.92144466316710461"/>
          <c:h val="8.3717191601050026E-2"/>
        </c:manualLayout>
      </c:layout>
    </c:legend>
    <c:plotVisOnly val="1"/>
    <c:dispBlanksAs val="gap"/>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sz="1200">
                <a:latin typeface="Arial Narrow" pitchFamily="34" charset="0"/>
              </a:defRPr>
            </a:pPr>
            <a:r>
              <a:rPr lang="es-MX" sz="1200" i="1">
                <a:latin typeface="Arial Narrow" pitchFamily="34" charset="0"/>
              </a:rPr>
              <a:t>RANKING</a:t>
            </a:r>
            <a:r>
              <a:rPr lang="es-MX" sz="1200">
                <a:latin typeface="Arial Narrow" pitchFamily="34" charset="0"/>
              </a:rPr>
              <a:t> NACIONAL POR ÍNDICE DE DESOCUPACIÓN </a:t>
            </a:r>
          </a:p>
          <a:p>
            <a:pPr>
              <a:defRPr sz="1200">
                <a:latin typeface="Arial Narrow" pitchFamily="34" charset="0"/>
              </a:defRPr>
            </a:pPr>
            <a:r>
              <a:rPr lang="es-MX" sz="1200">
                <a:latin typeface="Arial Narrow" pitchFamily="34" charset="0"/>
              </a:rPr>
              <a:t>(IV</a:t>
            </a:r>
            <a:r>
              <a:rPr lang="es-MX" sz="1200" baseline="0">
                <a:latin typeface="Arial Narrow" pitchFamily="34" charset="0"/>
              </a:rPr>
              <a:t> TRIMESTRE 2015)</a:t>
            </a:r>
            <a:endParaRPr lang="es-MX" sz="1200">
              <a:latin typeface="Arial Narrow" pitchFamily="34" charset="0"/>
            </a:endParaRPr>
          </a:p>
        </c:rich>
      </c:tx>
      <c:overlay val="1"/>
    </c:title>
    <c:plotArea>
      <c:layout>
        <c:manualLayout>
          <c:layoutTarget val="inner"/>
          <c:xMode val="edge"/>
          <c:yMode val="edge"/>
          <c:x val="3.0555555555555582E-2"/>
          <c:y val="0.1388888888888889"/>
          <c:w val="0.93888888888889355"/>
          <c:h val="0.53297681539808206"/>
        </c:manualLayout>
      </c:layout>
      <c:barChart>
        <c:barDir val="col"/>
        <c:grouping val="clustered"/>
        <c:ser>
          <c:idx val="0"/>
          <c:order val="0"/>
          <c:spPr>
            <a:solidFill>
              <a:schemeClr val="bg1">
                <a:lumMod val="75000"/>
              </a:schemeClr>
            </a:solidFill>
          </c:spPr>
          <c:dPt>
            <c:idx val="2"/>
            <c:spPr>
              <a:solidFill>
                <a:schemeClr val="accent1"/>
              </a:solidFill>
            </c:spPr>
          </c:dPt>
          <c:dPt>
            <c:idx val="19"/>
            <c:spPr>
              <a:solidFill>
                <a:schemeClr val="bg1">
                  <a:lumMod val="50000"/>
                </a:schemeClr>
              </a:solidFill>
            </c:spPr>
          </c:dPt>
          <c:dLbls>
            <c:dLbl>
              <c:idx val="2"/>
              <c:tx>
                <c:rich>
                  <a:bodyPr/>
                  <a:lstStyle/>
                  <a:p>
                    <a:pPr>
                      <a:defRPr>
                        <a:solidFill>
                          <a:schemeClr val="accent1"/>
                        </a:solidFill>
                      </a:defRPr>
                    </a:pPr>
                    <a:r>
                      <a:rPr lang="en-US">
                        <a:solidFill>
                          <a:schemeClr val="accent1"/>
                        </a:solidFill>
                      </a:rPr>
                      <a:t>2.7%</a:t>
                    </a:r>
                  </a:p>
                </c:rich>
              </c:tx>
              <c:spPr/>
              <c:showVal val="1"/>
              <c:extLst>
                <c:ext xmlns:c15="http://schemas.microsoft.com/office/drawing/2012/chart" uri="{CE6537A1-D6FC-4f65-9D91-7224C49458BB}">
                  <c15:layout/>
                </c:ext>
              </c:extLst>
            </c:dLbl>
            <c:dLbl>
              <c:idx val="19"/>
              <c:tx>
                <c:rich>
                  <a:bodyPr/>
                  <a:lstStyle/>
                  <a:p>
                    <a:pPr>
                      <a:defRPr>
                        <a:solidFill>
                          <a:schemeClr val="bg1">
                            <a:lumMod val="50000"/>
                          </a:schemeClr>
                        </a:solidFill>
                      </a:defRPr>
                    </a:pPr>
                    <a:r>
                      <a:rPr lang="en-US">
                        <a:solidFill>
                          <a:schemeClr val="bg1">
                            <a:lumMod val="50000"/>
                          </a:schemeClr>
                        </a:solidFill>
                      </a:rPr>
                      <a:t>4.2%</a:t>
                    </a:r>
                  </a:p>
                </c:rich>
              </c:tx>
              <c:sp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15:showLeaderLines val="0"/>
              </c:ext>
            </c:extLst>
          </c:dLbls>
          <c:cat>
            <c:strRef>
              <c:f>'Tasa de desocupación'!$A$2:$A$34</c:f>
              <c:strCache>
                <c:ptCount val="33"/>
                <c:pt idx="0">
                  <c:v>Guerrero</c:v>
                </c:pt>
                <c:pt idx="1">
                  <c:v>Yucatan</c:v>
                </c:pt>
                <c:pt idx="2">
                  <c:v>Oaxaca</c:v>
                </c:pt>
                <c:pt idx="3">
                  <c:v>San Luís Potosí</c:v>
                </c:pt>
                <c:pt idx="4">
                  <c:v>Campeche</c:v>
                </c:pt>
                <c:pt idx="5">
                  <c:v>Puebla</c:v>
                </c:pt>
                <c:pt idx="6">
                  <c:v>Michoacán</c:v>
                </c:pt>
                <c:pt idx="7">
                  <c:v>Morelos</c:v>
                </c:pt>
                <c:pt idx="8">
                  <c:v>Hidalgo</c:v>
                </c:pt>
                <c:pt idx="9">
                  <c:v>Chiapas</c:v>
                </c:pt>
                <c:pt idx="10">
                  <c:v>Chihuahua</c:v>
                </c:pt>
                <c:pt idx="11">
                  <c:v>Quintana Roo</c:v>
                </c:pt>
                <c:pt idx="12">
                  <c:v>Baja California</c:v>
                </c:pt>
                <c:pt idx="13">
                  <c:v>Durango</c:v>
                </c:pt>
                <c:pt idx="14">
                  <c:v>Zacatecas</c:v>
                </c:pt>
                <c:pt idx="15">
                  <c:v>Nuevo León</c:v>
                </c:pt>
                <c:pt idx="16">
                  <c:v>Aguascalientes</c:v>
                </c:pt>
                <c:pt idx="17">
                  <c:v>Veracruz</c:v>
                </c:pt>
                <c:pt idx="18">
                  <c:v>Sinaloa</c:v>
                </c:pt>
                <c:pt idx="19">
                  <c:v>Nacional</c:v>
                </c:pt>
                <c:pt idx="20">
                  <c:v>Baja California Sur</c:v>
                </c:pt>
                <c:pt idx="21">
                  <c:v>Coahuila</c:v>
                </c:pt>
                <c:pt idx="22">
                  <c:v>Colima</c:v>
                </c:pt>
                <c:pt idx="23">
                  <c:v>Jalisco</c:v>
                </c:pt>
                <c:pt idx="24">
                  <c:v>Tamaulipas</c:v>
                </c:pt>
                <c:pt idx="25">
                  <c:v>Guanajuato</c:v>
                </c:pt>
                <c:pt idx="26">
                  <c:v>Nayarit</c:v>
                </c:pt>
                <c:pt idx="27">
                  <c:v>Querétaro</c:v>
                </c:pt>
                <c:pt idx="28">
                  <c:v>Sonora</c:v>
                </c:pt>
                <c:pt idx="29">
                  <c:v>Tlaxcala</c:v>
                </c:pt>
                <c:pt idx="30">
                  <c:v>Distrito Federal</c:v>
                </c:pt>
                <c:pt idx="31">
                  <c:v>Estado de México</c:v>
                </c:pt>
                <c:pt idx="32">
                  <c:v>Tabasco</c:v>
                </c:pt>
              </c:strCache>
            </c:strRef>
          </c:cat>
          <c:val>
            <c:numRef>
              <c:f>'Tasa de desocupación'!$B$2:$B$34</c:f>
              <c:numCache>
                <c:formatCode>General</c:formatCode>
                <c:ptCount val="33"/>
                <c:pt idx="0">
                  <c:v>2.1</c:v>
                </c:pt>
                <c:pt idx="1">
                  <c:v>2.6</c:v>
                </c:pt>
                <c:pt idx="2">
                  <c:v>2.7</c:v>
                </c:pt>
                <c:pt idx="3">
                  <c:v>2.7</c:v>
                </c:pt>
                <c:pt idx="4" formatCode="0.0">
                  <c:v>3</c:v>
                </c:pt>
                <c:pt idx="5" formatCode="0.0">
                  <c:v>3</c:v>
                </c:pt>
                <c:pt idx="6">
                  <c:v>3.1</c:v>
                </c:pt>
                <c:pt idx="7">
                  <c:v>3.2</c:v>
                </c:pt>
                <c:pt idx="8">
                  <c:v>3.2</c:v>
                </c:pt>
                <c:pt idx="9">
                  <c:v>3.3</c:v>
                </c:pt>
                <c:pt idx="10">
                  <c:v>3.4</c:v>
                </c:pt>
                <c:pt idx="11">
                  <c:v>3.7</c:v>
                </c:pt>
                <c:pt idx="12">
                  <c:v>3.7</c:v>
                </c:pt>
                <c:pt idx="13">
                  <c:v>3.9</c:v>
                </c:pt>
                <c:pt idx="14">
                  <c:v>3.9</c:v>
                </c:pt>
                <c:pt idx="15" formatCode="0.0">
                  <c:v>4</c:v>
                </c:pt>
                <c:pt idx="16">
                  <c:v>4.0999999999999996</c:v>
                </c:pt>
                <c:pt idx="17">
                  <c:v>4.0999999999999996</c:v>
                </c:pt>
                <c:pt idx="18">
                  <c:v>4.0999999999999996</c:v>
                </c:pt>
                <c:pt idx="19">
                  <c:v>4.2</c:v>
                </c:pt>
                <c:pt idx="20">
                  <c:v>4.2</c:v>
                </c:pt>
                <c:pt idx="21">
                  <c:v>4.2</c:v>
                </c:pt>
                <c:pt idx="22">
                  <c:v>4.3</c:v>
                </c:pt>
                <c:pt idx="23">
                  <c:v>4.3</c:v>
                </c:pt>
                <c:pt idx="24">
                  <c:v>4.3</c:v>
                </c:pt>
                <c:pt idx="25">
                  <c:v>4.5</c:v>
                </c:pt>
                <c:pt idx="26">
                  <c:v>4.5</c:v>
                </c:pt>
                <c:pt idx="27">
                  <c:v>4.5999999999999996</c:v>
                </c:pt>
                <c:pt idx="28">
                  <c:v>4.5999999999999996</c:v>
                </c:pt>
                <c:pt idx="29">
                  <c:v>5.0999999999999996</c:v>
                </c:pt>
                <c:pt idx="30">
                  <c:v>5.2</c:v>
                </c:pt>
                <c:pt idx="31">
                  <c:v>5.5</c:v>
                </c:pt>
                <c:pt idx="32">
                  <c:v>7.5</c:v>
                </c:pt>
              </c:numCache>
            </c:numRef>
          </c:val>
        </c:ser>
        <c:axId val="82159104"/>
        <c:axId val="82160640"/>
      </c:barChart>
      <c:catAx>
        <c:axId val="82159104"/>
        <c:scaling>
          <c:orientation val="minMax"/>
        </c:scaling>
        <c:axPos val="b"/>
        <c:numFmt formatCode="General" sourceLinked="0"/>
        <c:tickLblPos val="nextTo"/>
        <c:txPr>
          <a:bodyPr/>
          <a:lstStyle/>
          <a:p>
            <a:pPr>
              <a:defRPr sz="800"/>
            </a:pPr>
            <a:endParaRPr lang="es-MX"/>
          </a:p>
        </c:txPr>
        <c:crossAx val="82160640"/>
        <c:crosses val="autoZero"/>
        <c:auto val="1"/>
        <c:lblAlgn val="ctr"/>
        <c:lblOffset val="100"/>
      </c:catAx>
      <c:valAx>
        <c:axId val="82160640"/>
        <c:scaling>
          <c:orientation val="minMax"/>
        </c:scaling>
        <c:delete val="1"/>
        <c:axPos val="l"/>
        <c:numFmt formatCode="General" sourceLinked="1"/>
        <c:tickLblPos val="none"/>
        <c:crossAx val="82159104"/>
        <c:crosses val="autoZero"/>
        <c:crossBetween val="between"/>
      </c:valAx>
    </c:plotArea>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sz="1200">
                <a:latin typeface="Arial Narrow" pitchFamily="34" charset="0"/>
              </a:defRPr>
            </a:pPr>
            <a:r>
              <a:rPr lang="es-MX" sz="1200" b="1" i="0" u="none" strike="noStrike" baseline="0">
                <a:effectLst/>
                <a:latin typeface="Arial Narrow" pitchFamily="34" charset="0"/>
              </a:rPr>
              <a:t>ESTADO DE OAXACA: </a:t>
            </a:r>
          </a:p>
          <a:p>
            <a:pPr>
              <a:defRPr sz="1200">
                <a:latin typeface="Arial Narrow" pitchFamily="34" charset="0"/>
              </a:defRPr>
            </a:pPr>
            <a:r>
              <a:rPr lang="es-MX" sz="1200" b="1" i="0" u="none" strike="noStrike" baseline="0">
                <a:effectLst/>
                <a:latin typeface="Arial Narrow" pitchFamily="34" charset="0"/>
              </a:rPr>
              <a:t>POBLACIÓN OCUPADA POR TIPO DE ACTIVIDAD (2005-2015)</a:t>
            </a:r>
            <a:endParaRPr lang="es-MX" sz="1200">
              <a:latin typeface="Arial Narrow" pitchFamily="34" charset="0"/>
            </a:endParaRPr>
          </a:p>
        </c:rich>
      </c:tx>
      <c:layout>
        <c:manualLayout>
          <c:xMode val="edge"/>
          <c:yMode val="edge"/>
          <c:x val="0.15401424284330312"/>
          <c:y val="0"/>
        </c:manualLayout>
      </c:layout>
    </c:title>
    <c:plotArea>
      <c:layout>
        <c:manualLayout>
          <c:layoutTarget val="inner"/>
          <c:xMode val="edge"/>
          <c:yMode val="edge"/>
          <c:x val="0.11634615565527427"/>
          <c:y val="0.23230769230769241"/>
          <c:w val="0.81674822905201361"/>
          <c:h val="0.5829527559055071"/>
        </c:manualLayout>
      </c:layout>
      <c:lineChart>
        <c:grouping val="standard"/>
        <c:ser>
          <c:idx val="0"/>
          <c:order val="0"/>
          <c:tx>
            <c:strRef>
              <c:f>'OAXACA prim sec terc'!$A$4</c:f>
              <c:strCache>
                <c:ptCount val="1"/>
                <c:pt idx="0">
                  <c:v>Act. Primarias</c:v>
                </c:pt>
              </c:strCache>
            </c:strRef>
          </c:tx>
          <c:marker>
            <c:symbol val="none"/>
          </c:marker>
          <c:dLbls>
            <c:dLbl>
              <c:idx val="10"/>
              <c:showVal val="1"/>
              <c:extLst>
                <c:ext xmlns:c15="http://schemas.microsoft.com/office/drawing/2012/chart" uri="{CE6537A1-D6FC-4f65-9D91-7224C49458BB}">
                  <c15:layout/>
                </c:ext>
              </c:extLst>
            </c:dLbl>
            <c:delete val="1"/>
            <c:spPr>
              <a:noFill/>
              <a:ln>
                <a:noFill/>
              </a:ln>
              <a:effectLst/>
            </c:spPr>
            <c:txPr>
              <a:bodyPr/>
              <a:lstStyle/>
              <a:p>
                <a:pPr>
                  <a:defRPr>
                    <a:solidFill>
                      <a:schemeClr val="accent1"/>
                    </a:solidFill>
                  </a:defRPr>
                </a:pPr>
                <a:endParaRPr lang="es-MX"/>
              </a:p>
            </c:txPr>
            <c:extLst>
              <c:ext xmlns:c15="http://schemas.microsoft.com/office/drawing/2012/chart" uri="{CE6537A1-D6FC-4f65-9D91-7224C49458BB}">
                <c15:showLeaderLines val="0"/>
              </c:ext>
            </c:extLst>
          </c:dLbls>
          <c:cat>
            <c:numRef>
              <c:f>'OAXACA prim sec terc'!$B$3:$L$3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'OAXACA prim sec terc'!$B$4:$L$4</c:f>
              <c:numCache>
                <c:formatCode>#,##0</c:formatCode>
                <c:ptCount val="11"/>
                <c:pt idx="0">
                  <c:v>514032</c:v>
                </c:pt>
                <c:pt idx="1">
                  <c:v>501169</c:v>
                </c:pt>
                <c:pt idx="2">
                  <c:v>509164</c:v>
                </c:pt>
                <c:pt idx="3">
                  <c:v>444702</c:v>
                </c:pt>
                <c:pt idx="4">
                  <c:v>509775</c:v>
                </c:pt>
                <c:pt idx="5">
                  <c:v>495324</c:v>
                </c:pt>
                <c:pt idx="6">
                  <c:v>528573</c:v>
                </c:pt>
                <c:pt idx="7">
                  <c:v>479407</c:v>
                </c:pt>
                <c:pt idx="8">
                  <c:v>453034</c:v>
                </c:pt>
                <c:pt idx="9">
                  <c:v>520498</c:v>
                </c:pt>
                <c:pt idx="10">
                  <c:v>548476</c:v>
                </c:pt>
              </c:numCache>
            </c:numRef>
          </c:val>
        </c:ser>
        <c:ser>
          <c:idx val="1"/>
          <c:order val="1"/>
          <c:tx>
            <c:strRef>
              <c:f>'OAXACA prim sec terc'!$A$5</c:f>
              <c:strCache>
                <c:ptCount val="1"/>
                <c:pt idx="0">
                  <c:v>Act. Secundarias</c:v>
                </c:pt>
              </c:strCache>
            </c:strRef>
          </c:tx>
          <c:marker>
            <c:symbol val="none"/>
          </c:marker>
          <c:dLbls>
            <c:dLbl>
              <c:idx val="10"/>
              <c:showVal val="1"/>
              <c:extLst>
                <c:ext xmlns:c15="http://schemas.microsoft.com/office/drawing/2012/chart" uri="{CE6537A1-D6FC-4f65-9D91-7224C49458BB}">
                  <c15:layout/>
                </c:ext>
              </c:extLst>
            </c:dLbl>
            <c:delete val="1"/>
            <c:spPr>
              <a:noFill/>
              <a:ln>
                <a:noFill/>
              </a:ln>
              <a:effectLst/>
            </c:spPr>
            <c:txPr>
              <a:bodyPr/>
              <a:lstStyle/>
              <a:p>
                <a:pPr>
                  <a:defRPr>
                    <a:solidFill>
                      <a:schemeClr val="accent2"/>
                    </a:solidFill>
                  </a:defRPr>
                </a:pPr>
                <a:endParaRPr lang="es-MX"/>
              </a:p>
            </c:txPr>
            <c:extLst>
              <c:ext xmlns:c15="http://schemas.microsoft.com/office/drawing/2012/chart" uri="{CE6537A1-D6FC-4f65-9D91-7224C49458BB}">
                <c15:showLeaderLines val="0"/>
              </c:ext>
            </c:extLst>
          </c:dLbls>
          <c:cat>
            <c:numRef>
              <c:f>'OAXACA prim sec terc'!$B$3:$L$3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'OAXACA prim sec terc'!$B$5:$L$5</c:f>
              <c:numCache>
                <c:formatCode>#,##0</c:formatCode>
                <c:ptCount val="11"/>
                <c:pt idx="0">
                  <c:v>305401</c:v>
                </c:pt>
                <c:pt idx="1">
                  <c:v>274811</c:v>
                </c:pt>
                <c:pt idx="2">
                  <c:v>287282</c:v>
                </c:pt>
                <c:pt idx="3">
                  <c:v>300320</c:v>
                </c:pt>
                <c:pt idx="4">
                  <c:v>311562</c:v>
                </c:pt>
                <c:pt idx="5">
                  <c:v>317503</c:v>
                </c:pt>
                <c:pt idx="6">
                  <c:v>290726</c:v>
                </c:pt>
                <c:pt idx="7">
                  <c:v>308224</c:v>
                </c:pt>
                <c:pt idx="8">
                  <c:v>309448</c:v>
                </c:pt>
                <c:pt idx="9">
                  <c:v>302471</c:v>
                </c:pt>
                <c:pt idx="10">
                  <c:v>313498</c:v>
                </c:pt>
              </c:numCache>
            </c:numRef>
          </c:val>
        </c:ser>
        <c:ser>
          <c:idx val="2"/>
          <c:order val="2"/>
          <c:tx>
            <c:strRef>
              <c:f>'OAXACA prim sec terc'!$A$6</c:f>
              <c:strCache>
                <c:ptCount val="1"/>
                <c:pt idx="0">
                  <c:v>Act. Terciarias</c:v>
                </c:pt>
              </c:strCache>
            </c:strRef>
          </c:tx>
          <c:marker>
            <c:symbol val="none"/>
          </c:marker>
          <c:dLbls>
            <c:dLbl>
              <c:idx val="10"/>
              <c:showVal val="1"/>
              <c:extLst>
                <c:ext xmlns:c15="http://schemas.microsoft.com/office/drawing/2012/chart" uri="{CE6537A1-D6FC-4f65-9D91-7224C49458BB}">
                  <c15:layout/>
                </c:ext>
              </c:extLst>
            </c:dLbl>
            <c:delete val="1"/>
            <c:spPr>
              <a:noFill/>
              <a:ln>
                <a:noFill/>
              </a:ln>
              <a:effectLst/>
            </c:spPr>
            <c:txPr>
              <a:bodyPr/>
              <a:lstStyle/>
              <a:p>
                <a:pPr>
                  <a:defRPr>
                    <a:solidFill>
                      <a:schemeClr val="accent3"/>
                    </a:solidFill>
                  </a:defRPr>
                </a:pPr>
                <a:endParaRPr lang="es-MX"/>
              </a:p>
            </c:txPr>
            <c:extLst>
              <c:ext xmlns:c15="http://schemas.microsoft.com/office/drawing/2012/chart" uri="{CE6537A1-D6FC-4f65-9D91-7224C49458BB}">
                <c15:showLeaderLines val="0"/>
              </c:ext>
            </c:extLst>
          </c:dLbls>
          <c:cat>
            <c:numRef>
              <c:f>'OAXACA prim sec terc'!$B$3:$L$3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'OAXACA prim sec terc'!$B$6:$L$6</c:f>
              <c:numCache>
                <c:formatCode>#,##0</c:formatCode>
                <c:ptCount val="11"/>
                <c:pt idx="0">
                  <c:v>644465</c:v>
                </c:pt>
                <c:pt idx="1">
                  <c:v>651674</c:v>
                </c:pt>
                <c:pt idx="2">
                  <c:v>672278</c:v>
                </c:pt>
                <c:pt idx="3">
                  <c:v>712539</c:v>
                </c:pt>
                <c:pt idx="4">
                  <c:v>701744</c:v>
                </c:pt>
                <c:pt idx="5">
                  <c:v>764330</c:v>
                </c:pt>
                <c:pt idx="6">
                  <c:v>752361</c:v>
                </c:pt>
                <c:pt idx="7">
                  <c:v>826496</c:v>
                </c:pt>
                <c:pt idx="8">
                  <c:v>782259</c:v>
                </c:pt>
                <c:pt idx="9">
                  <c:v>775859</c:v>
                </c:pt>
                <c:pt idx="10">
                  <c:v>798438</c:v>
                </c:pt>
              </c:numCache>
            </c:numRef>
          </c:val>
        </c:ser>
        <c:marker val="1"/>
        <c:axId val="82175104"/>
        <c:axId val="82176640"/>
      </c:lineChart>
      <c:catAx>
        <c:axId val="82175104"/>
        <c:scaling>
          <c:orientation val="minMax"/>
        </c:scaling>
        <c:axPos val="b"/>
        <c:numFmt formatCode="General" sourceLinked="1"/>
        <c:tickLblPos val="nextTo"/>
        <c:crossAx val="82176640"/>
        <c:crosses val="autoZero"/>
        <c:auto val="1"/>
        <c:lblAlgn val="ctr"/>
        <c:lblOffset val="100"/>
      </c:catAx>
      <c:valAx>
        <c:axId val="82176640"/>
        <c:scaling>
          <c:orientation val="minMax"/>
        </c:scaling>
        <c:axPos val="l"/>
        <c:majorGridlines>
          <c:spPr>
            <a:ln>
              <a:noFill/>
            </a:ln>
          </c:spPr>
        </c:majorGridlines>
        <c:numFmt formatCode="#,##0" sourceLinked="1"/>
        <c:tickLblPos val="nextTo"/>
        <c:crossAx val="82175104"/>
        <c:crosses val="autoZero"/>
        <c:crossBetween val="between"/>
      </c:valAx>
    </c:plotArea>
    <c:legend>
      <c:legendPos val="t"/>
      <c:layout>
        <c:manualLayout>
          <c:xMode val="edge"/>
          <c:yMode val="edge"/>
          <c:x val="1.1768125758473894E-2"/>
          <c:y val="0.12620869506696294"/>
          <c:w val="0.96353549892284951"/>
          <c:h val="8.3717191601050026E-2"/>
        </c:manualLayout>
      </c:layout>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sz="1100">
                <a:latin typeface="Arial Narrow" pitchFamily="34" charset="0"/>
              </a:defRPr>
            </a:pPr>
            <a:r>
              <a:rPr lang="es-MX" sz="1100">
                <a:latin typeface="Arial Narrow" pitchFamily="34" charset="0"/>
              </a:rPr>
              <a:t>ESTADO DE OAXACA: </a:t>
            </a:r>
          </a:p>
          <a:p>
            <a:pPr>
              <a:defRPr sz="1100">
                <a:latin typeface="Arial Narrow" pitchFamily="34" charset="0"/>
              </a:defRPr>
            </a:pPr>
            <a:r>
              <a:rPr lang="es-MX" sz="1100">
                <a:latin typeface="Arial Narrow" pitchFamily="34" charset="0"/>
              </a:rPr>
              <a:t>PROMEDIO</a:t>
            </a:r>
            <a:r>
              <a:rPr lang="es-MX" sz="1100" baseline="0">
                <a:latin typeface="Arial Narrow" pitchFamily="34" charset="0"/>
              </a:rPr>
              <a:t> ANUAL DE TRABAJADORES ASEGURADOS</a:t>
            </a:r>
          </a:p>
          <a:p>
            <a:pPr>
              <a:defRPr sz="1100">
                <a:latin typeface="Arial Narrow" pitchFamily="34" charset="0"/>
              </a:defRPr>
            </a:pPr>
            <a:r>
              <a:rPr lang="es-MX" sz="1100" baseline="0">
                <a:latin typeface="Arial Narrow" pitchFamily="34" charset="0"/>
              </a:rPr>
              <a:t> EN EL IMSS (2005-2015)</a:t>
            </a:r>
            <a:endParaRPr lang="es-MX" sz="1100">
              <a:latin typeface="Arial Narrow" pitchFamily="34" charset="0"/>
            </a:endParaRPr>
          </a:p>
        </c:rich>
      </c:tx>
    </c:title>
    <c:plotArea>
      <c:layout>
        <c:manualLayout>
          <c:layoutTarget val="inner"/>
          <c:xMode val="edge"/>
          <c:yMode val="edge"/>
          <c:x val="3.0555555555555582E-2"/>
          <c:y val="0.16453703703703845"/>
          <c:w val="0.93888888888889355"/>
          <c:h val="0.67250801983085462"/>
        </c:manualLayout>
      </c:layout>
      <c:barChart>
        <c:barDir val="col"/>
        <c:grouping val="clustered"/>
        <c:ser>
          <c:idx val="0"/>
          <c:order val="0"/>
          <c:cat>
            <c:numRef>
              <c:f>'Asegurados IMSS'!$L$4:$L$14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'Asegurados IMSS'!$L$4:$L$14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val>
        </c:ser>
        <c:ser>
          <c:idx val="1"/>
          <c:order val="1"/>
          <c:spPr>
            <a:solidFill>
              <a:schemeClr val="accent1">
                <a:lumMod val="75000"/>
              </a:schemeClr>
            </a:solidFill>
          </c:spPr>
          <c:dLbls>
            <c:dLbl>
              <c:idx val="0"/>
              <c:tx>
                <c:rich>
                  <a:bodyPr/>
                  <a:lstStyle/>
                  <a:p>
                    <a:r>
                      <a:rPr lang="en-US">
                        <a:solidFill>
                          <a:schemeClr val="bg1"/>
                        </a:solidFill>
                      </a:rPr>
                      <a:t> 143,699</a:t>
                    </a:r>
                    <a:endParaRPr lang="en-US"/>
                  </a:p>
                </c:rich>
              </c:tx>
              <c:dLblPos val="inEnd"/>
              <c:showVal val="1"/>
              <c:extLst>
                <c:ext xmlns:c15="http://schemas.microsoft.com/office/drawing/2012/chart" uri="{CE6537A1-D6FC-4f65-9D91-7224C49458BB}">
                  <c15:layout/>
                </c:ext>
              </c:extLst>
            </c:dLbl>
            <c:spPr>
              <a:noFill/>
              <a:ln>
                <a:noFill/>
              </a:ln>
              <a:effectLst/>
            </c:spPr>
            <c:txPr>
              <a:bodyPr rot="-5400000" vert="horz"/>
              <a:lstStyle/>
              <a:p>
                <a:pPr>
                  <a:defRPr>
                    <a:solidFill>
                      <a:schemeClr val="bg1"/>
                    </a:solidFill>
                  </a:defRPr>
                </a:pPr>
                <a:endParaRPr lang="es-MX"/>
              </a:p>
            </c:txPr>
            <c:dLblPos val="inEnd"/>
            <c:showVal val="1"/>
            <c:extLst>
              <c:ext xmlns:c15="http://schemas.microsoft.com/office/drawing/2012/chart" uri="{CE6537A1-D6FC-4f65-9D91-7224C49458BB}">
                <c15:layout/>
                <c15:showLeaderLines val="0"/>
              </c:ext>
            </c:extLst>
          </c:dLbls>
          <c:cat>
            <c:numRef>
              <c:f>'Asegurados IMSS'!$L$4:$L$14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'Asegurados IMSS'!$M$4:$M$14</c:f>
              <c:numCache>
                <c:formatCode>#,##0</c:formatCode>
                <c:ptCount val="11"/>
                <c:pt idx="0">
                  <c:v>143699.08333333328</c:v>
                </c:pt>
                <c:pt idx="1">
                  <c:v>146732.83333333328</c:v>
                </c:pt>
                <c:pt idx="2">
                  <c:v>148833.25</c:v>
                </c:pt>
                <c:pt idx="3">
                  <c:v>153091.75</c:v>
                </c:pt>
                <c:pt idx="4">
                  <c:v>157455.5</c:v>
                </c:pt>
                <c:pt idx="5">
                  <c:v>159558.16666666666</c:v>
                </c:pt>
                <c:pt idx="6">
                  <c:v>163340.75</c:v>
                </c:pt>
                <c:pt idx="7">
                  <c:v>172779.66666666666</c:v>
                </c:pt>
                <c:pt idx="8">
                  <c:v>180245.75</c:v>
                </c:pt>
                <c:pt idx="9">
                  <c:v>185592.41666666666</c:v>
                </c:pt>
                <c:pt idx="10">
                  <c:v>192440.25</c:v>
                </c:pt>
              </c:numCache>
            </c:numRef>
          </c:val>
        </c:ser>
        <c:gapWidth val="0"/>
        <c:axId val="82194432"/>
        <c:axId val="82195968"/>
      </c:barChart>
      <c:catAx>
        <c:axId val="82194432"/>
        <c:scaling>
          <c:orientation val="minMax"/>
        </c:scaling>
        <c:axPos val="b"/>
        <c:numFmt formatCode="General" sourceLinked="1"/>
        <c:tickLblPos val="nextTo"/>
        <c:txPr>
          <a:bodyPr/>
          <a:lstStyle/>
          <a:p>
            <a:pPr>
              <a:defRPr sz="900"/>
            </a:pPr>
            <a:endParaRPr lang="es-MX"/>
          </a:p>
        </c:txPr>
        <c:crossAx val="82195968"/>
        <c:crosses val="autoZero"/>
        <c:auto val="1"/>
        <c:lblAlgn val="ctr"/>
        <c:lblOffset val="100"/>
      </c:catAx>
      <c:valAx>
        <c:axId val="82195968"/>
        <c:scaling>
          <c:orientation val="minMax"/>
        </c:scaling>
        <c:delete val="1"/>
        <c:axPos val="l"/>
        <c:numFmt formatCode="General" sourceLinked="1"/>
        <c:tickLblPos val="none"/>
        <c:crossAx val="82194432"/>
        <c:crosses val="autoZero"/>
        <c:crossBetween val="between"/>
      </c:valAx>
    </c:plotArea>
    <c:plotVisOnly val="1"/>
    <c:dispBlanksAs val="gap"/>
  </c:chart>
  <c:spPr>
    <a:noFill/>
    <a:ln>
      <a:noFill/>
    </a:ln>
  </c:spPr>
  <c:externalData r:id="rId1"/>
</c:chartSpace>
</file>

<file path=word/drawings/drawing1.xml><?xml version="1.0" encoding="utf-8"?>
<c:userShapes xmlns:c="http://schemas.openxmlformats.org/drawingml/2006/chart">
  <cdr:relSizeAnchor xmlns:cdr="http://schemas.openxmlformats.org/drawingml/2006/chartDrawing">
    <cdr:from>
      <cdr:x>0.02574</cdr:x>
      <cdr:y>0.01885</cdr:y>
    </cdr:from>
    <cdr:to>
      <cdr:x>0.98162</cdr:x>
      <cdr:y>0.20506</cdr:y>
    </cdr:to>
    <cdr:sp macro="" textlink="">
      <cdr:nvSpPr>
        <cdr:cNvPr id="2" name="1 CuadroTexto"/>
        <cdr:cNvSpPr txBox="1"/>
      </cdr:nvSpPr>
      <cdr:spPr>
        <a:xfrm xmlns:a="http://schemas.openxmlformats.org/drawingml/2006/main">
          <a:off x="133350" y="70928"/>
          <a:ext cx="4952999" cy="700597"/>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s-MX" sz="1700" b="1"/>
            <a:t>Ingresos totales , ejercicio fiscal 2015</a:t>
          </a:r>
        </a:p>
        <a:p xmlns:a="http://schemas.openxmlformats.org/drawingml/2006/main">
          <a:pPr algn="ctr"/>
          <a:r>
            <a:rPr lang="es-MX" sz="900" b="1"/>
            <a:t>(Millones  de pesos)</a:t>
          </a:r>
        </a:p>
      </cdr:txBody>
    </cdr:sp>
  </cdr:relSizeAnchor>
  <cdr:relSizeAnchor xmlns:cdr="http://schemas.openxmlformats.org/drawingml/2006/chartDrawing">
    <cdr:from>
      <cdr:x>0.04539</cdr:x>
      <cdr:y>0.93555</cdr:y>
    </cdr:from>
    <cdr:to>
      <cdr:x>0.50603</cdr:x>
      <cdr:y>1</cdr:y>
    </cdr:to>
    <cdr:sp macro="" textlink="">
      <cdr:nvSpPr>
        <cdr:cNvPr id="3" name="2 CuadroTexto"/>
        <cdr:cNvSpPr txBox="1"/>
      </cdr:nvSpPr>
      <cdr:spPr>
        <a:xfrm xmlns:a="http://schemas.openxmlformats.org/drawingml/2006/main">
          <a:off x="235184" y="3519890"/>
          <a:ext cx="2386852" cy="2424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800"/>
            <a:t>Fuente: Dirección de Ingresos. Secretaría de Finanzas</a:t>
          </a:r>
        </a:p>
      </cdr:txBody>
    </cdr:sp>
  </cdr:relSizeAnchor>
  <cdr:relSizeAnchor xmlns:cdr="http://schemas.openxmlformats.org/drawingml/2006/chartDrawing">
    <cdr:from>
      <cdr:x>0.71324</cdr:x>
      <cdr:y>0.34939</cdr:y>
    </cdr:from>
    <cdr:to>
      <cdr:x>0.98112</cdr:x>
      <cdr:y>0.92111</cdr:y>
    </cdr:to>
    <cdr:sp macro="" textlink="">
      <cdr:nvSpPr>
        <cdr:cNvPr id="5" name="4 CuadroTexto"/>
        <cdr:cNvSpPr txBox="1"/>
      </cdr:nvSpPr>
      <cdr:spPr>
        <a:xfrm xmlns:a="http://schemas.openxmlformats.org/drawingml/2006/main">
          <a:off x="3695743" y="1314540"/>
          <a:ext cx="1388047" cy="2151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MX" sz="1400" b="1"/>
            <a:t>Se obtuvieron </a:t>
          </a:r>
          <a:r>
            <a:rPr lang="es-MX" sz="1400" b="1">
              <a:solidFill>
                <a:schemeClr val="tx2"/>
              </a:solidFill>
            </a:rPr>
            <a:t>9,620 </a:t>
          </a:r>
          <a:r>
            <a:rPr lang="es-MX" sz="1400" b="1"/>
            <a:t>millones de pesos adicionales , lo que significó un crecimiento del</a:t>
          </a:r>
          <a:r>
            <a:rPr lang="es-MX" sz="1400" b="1" baseline="0"/>
            <a:t> </a:t>
          </a:r>
          <a:r>
            <a:rPr lang="es-MX" sz="1400" b="1" baseline="0">
              <a:solidFill>
                <a:schemeClr val="tx2"/>
              </a:solidFill>
            </a:rPr>
            <a:t>16.82%</a:t>
          </a:r>
          <a:endParaRPr lang="es-MX" sz="1400" b="1">
            <a:solidFill>
              <a:schemeClr val="tx2"/>
            </a:solidFill>
          </a:endParaRPr>
        </a:p>
      </cdr:txBody>
    </cdr:sp>
  </cdr:relSizeAnchor>
  <cdr:relSizeAnchor xmlns:cdr="http://schemas.openxmlformats.org/drawingml/2006/chartDrawing">
    <cdr:from>
      <cdr:x>0.54255</cdr:x>
      <cdr:y>0.45114</cdr:y>
    </cdr:from>
    <cdr:to>
      <cdr:x>0.69757</cdr:x>
      <cdr:y>0.59252</cdr:y>
    </cdr:to>
    <cdr:sp macro="" textlink="">
      <cdr:nvSpPr>
        <cdr:cNvPr id="6" name="5 Flecha derecha"/>
        <cdr:cNvSpPr/>
      </cdr:nvSpPr>
      <cdr:spPr>
        <a:xfrm xmlns:a="http://schemas.openxmlformats.org/drawingml/2006/main">
          <a:off x="3400425" y="2066925"/>
          <a:ext cx="971550" cy="647700"/>
        </a:xfrm>
        <a:prstGeom xmlns:a="http://schemas.openxmlformats.org/drawingml/2006/main" prst="rightArrow">
          <a:avLst/>
        </a:prstGeom>
        <a:solidFill xmlns:a="http://schemas.openxmlformats.org/drawingml/2006/main">
          <a:schemeClr val="accent5">
            <a:lumMod val="50000"/>
          </a:schemeClr>
        </a:solidFill>
      </cdr:spPr>
      <cdr:style>
        <a:lnRef xmlns:a="http://schemas.openxmlformats.org/drawingml/2006/main" idx="1">
          <a:schemeClr val="accent5"/>
        </a:lnRef>
        <a:fillRef xmlns:a="http://schemas.openxmlformats.org/drawingml/2006/main" idx="3">
          <a:schemeClr val="accent5"/>
        </a:fillRef>
        <a:effectRef xmlns:a="http://schemas.openxmlformats.org/drawingml/2006/main" idx="2">
          <a:schemeClr val="accent5"/>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MX"/>
        </a:p>
      </cdr:txBody>
    </cdr:sp>
  </cdr:relSizeAnchor>
</c:userShapes>
</file>

<file path=word/drawings/drawing2.xml><?xml version="1.0" encoding="utf-8"?>
<c:userShapes xmlns:c="http://schemas.openxmlformats.org/drawingml/2006/chart">
  <cdr:relSizeAnchor xmlns:cdr="http://schemas.openxmlformats.org/drawingml/2006/chartDrawing">
    <cdr:from>
      <cdr:x>0.57191</cdr:x>
      <cdr:y>0.33342</cdr:y>
    </cdr:from>
    <cdr:to>
      <cdr:x>0.66532</cdr:x>
      <cdr:y>0.55652</cdr:y>
    </cdr:to>
    <cdr:sp macro="" textlink="">
      <cdr:nvSpPr>
        <cdr:cNvPr id="2" name="Freeform 38"/>
        <cdr:cNvSpPr>
          <a:spLocks xmlns:a="http://schemas.openxmlformats.org/drawingml/2006/main"/>
        </cdr:cNvSpPr>
      </cdr:nvSpPr>
      <cdr:spPr bwMode="auto">
        <a:xfrm xmlns:a="http://schemas.openxmlformats.org/drawingml/2006/main">
          <a:off x="3164618" y="1219515"/>
          <a:ext cx="516835" cy="816018"/>
        </a:xfrm>
        <a:custGeom xmlns:a="http://schemas.openxmlformats.org/drawingml/2006/main">
          <a:avLst/>
          <a:gdLst/>
          <a:ahLst/>
          <a:cxnLst>
            <a:cxn ang="0">
              <a:pos x="0" y="48"/>
            </a:cxn>
            <a:cxn ang="0">
              <a:pos x="10" y="48"/>
            </a:cxn>
            <a:cxn ang="0">
              <a:pos x="10" y="0"/>
            </a:cxn>
            <a:cxn ang="0">
              <a:pos x="20" y="95"/>
            </a:cxn>
            <a:cxn ang="0">
              <a:pos x="10" y="190"/>
            </a:cxn>
            <a:cxn ang="0">
              <a:pos x="10" y="143"/>
            </a:cxn>
            <a:cxn ang="0">
              <a:pos x="0" y="143"/>
            </a:cxn>
            <a:cxn ang="0">
              <a:pos x="0" y="48"/>
            </a:cxn>
          </a:cxnLst>
          <a:rect l="0" t="0" r="r" b="b"/>
          <a:pathLst>
            <a:path w="20" h="190">
              <a:moveTo>
                <a:pt x="0" y="48"/>
              </a:moveTo>
              <a:lnTo>
                <a:pt x="10" y="48"/>
              </a:lnTo>
              <a:lnTo>
                <a:pt x="10" y="0"/>
              </a:lnTo>
              <a:lnTo>
                <a:pt x="20" y="95"/>
              </a:lnTo>
              <a:lnTo>
                <a:pt x="10" y="190"/>
              </a:lnTo>
              <a:lnTo>
                <a:pt x="10" y="143"/>
              </a:lnTo>
              <a:lnTo>
                <a:pt x="0" y="143"/>
              </a:lnTo>
              <a:lnTo>
                <a:pt x="0" y="48"/>
              </a:lnTo>
              <a:close/>
            </a:path>
          </a:pathLst>
        </a:custGeom>
        <a:solidFill xmlns:a="http://schemas.openxmlformats.org/drawingml/2006/main">
          <a:schemeClr val="accent5">
            <a:lumMod val="50000"/>
          </a:schemeClr>
        </a:solidFill>
        <a:ln xmlns:a="http://schemas.openxmlformats.org/drawingml/2006/main" w="9525">
          <a:noFill/>
          <a:round/>
          <a:headEnd/>
          <a:tailEnd/>
        </a:ln>
      </cdr:spPr>
    </cdr:sp>
  </cdr:relSizeAnchor>
  <cdr:relSizeAnchor xmlns:cdr="http://schemas.openxmlformats.org/drawingml/2006/chartDrawing">
    <cdr:from>
      <cdr:x>0.07028</cdr:x>
      <cdr:y>0.81961</cdr:y>
    </cdr:from>
    <cdr:to>
      <cdr:x>0.69262</cdr:x>
      <cdr:y>0.89348</cdr:y>
    </cdr:to>
    <cdr:sp macro="" textlink="">
      <cdr:nvSpPr>
        <cdr:cNvPr id="3" name="2 CuadroTexto"/>
        <cdr:cNvSpPr txBox="1"/>
      </cdr:nvSpPr>
      <cdr:spPr>
        <a:xfrm xmlns:a="http://schemas.openxmlformats.org/drawingml/2006/main">
          <a:off x="388887" y="2997806"/>
          <a:ext cx="3443641" cy="27018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S" sz="800"/>
            <a:t>Fuente:  Dirección de Ingresos.</a:t>
          </a:r>
          <a:r>
            <a:rPr lang="es-ES" sz="800" baseline="0"/>
            <a:t> Secretaría de Finanzas.</a:t>
          </a:r>
          <a:endParaRPr lang="es-ES" sz="8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B088E1-0503-4E43-8F2F-4D81EBA20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1</Pages>
  <Words>127794</Words>
  <Characters>702868</Characters>
  <Application>Microsoft Office Word</Application>
  <DocSecurity>0</DocSecurity>
  <Lines>5857</Lines>
  <Paragraphs>1658</Paragraphs>
  <ScaleCrop>false</ScaleCrop>
  <HeadingPairs>
    <vt:vector size="2" baseType="variant">
      <vt:variant>
        <vt:lpstr>Título</vt:lpstr>
      </vt:variant>
      <vt:variant>
        <vt:i4>1</vt:i4>
      </vt:variant>
    </vt:vector>
  </HeadingPairs>
  <TitlesOfParts>
    <vt:vector size="1" baseType="lpstr">
      <vt:lpstr/>
    </vt:vector>
  </TitlesOfParts>
  <Company>INFORMATICA</Company>
  <LinksUpToDate>false</LinksUpToDate>
  <CharactersWithSpaces>829004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Unidad de Informatica Secretaria de Finanzas</dc:creator>
  <cp:lastModifiedBy>admin</cp:lastModifiedBy>
  <cp:revision>3</cp:revision>
  <cp:lastPrinted>2016-04-18T22:27:00Z</cp:lastPrinted>
  <dcterms:created xsi:type="dcterms:W3CDTF">2016-05-16T17:21:00Z</dcterms:created>
  <dcterms:modified xsi:type="dcterms:W3CDTF">2016-05-16T17:21:00Z</dcterms:modified>
</cp:coreProperties>
</file>