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bookmarkStart w:id="0" w:name="_GoBack"/>
      <w:bookmarkEnd w:id="0"/>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1"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FAM</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1"/>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FAM</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224"/>
              <w:gridCol w:w="7421"/>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FAM</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2016</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614994">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614994">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614994">
                  <w:pPr>
                    <w:framePr w:hSpace="141" w:wrap="around" w:vAnchor="text" w:hAnchor="text" w:y="1"/>
                    <w:suppressOverlap/>
                    <w:rPr>
                      <w:color w:val="A6A6A6" w:themeColor="background1" w:themeShade="A6"/>
                    </w:rPr>
                  </w:pPr>
                  <w:r>
                    <w:rPr>
                      <w:color w:val="A6A6A6" w:themeColor="background1" w:themeShade="A6"/>
                    </w:rPr>
                    <w:t>Específicas del desempeño</w:t>
                  </w:r>
                </w:p>
              </w:tc>
              <w:tc>
                <w:tcPr>
                  <w:tcW w:w="5191" w:type="dxa"/>
                  <w:gridSpan w:val="2"/>
                  <w:shd w:val="clear" w:color="auto" w:fill="F2F2F2" w:themeFill="background1" w:themeFillShade="F2"/>
                </w:tcPr>
                <w:p w:rsidR="00187BC8" w:rsidRPr="007B578F" w:rsidRDefault="00187BC8" w:rsidP="00614994">
                  <w:pPr>
                    <w:framePr w:hSpace="141" w:wrap="around" w:vAnchor="text" w:hAnchor="text" w:y="1"/>
                    <w:suppressOverlap/>
                    <w:rPr>
                      <w:color w:val="A6A6A6" w:themeColor="background1" w:themeShade="A6"/>
                    </w:rPr>
                  </w:pPr>
                  <w:r>
                    <w:rPr>
                      <w:color w:val="A6A6A6" w:themeColor="background1" w:themeShade="A6"/>
                    </w:rPr>
                    <w:t>400,000.00</w:t>
                  </w:r>
                </w:p>
              </w:tc>
            </w:tr>
            <w:tr w:rsidR="005D623A" w:rsidRPr="007B578F" w:rsidTr="005D623A">
              <w:trPr>
                <w:trHeight w:val="77"/>
              </w:trPr>
              <w:tc>
                <w:tcPr>
                  <w:tcW w:w="4590" w:type="dxa"/>
                  <w:shd w:val="clear" w:color="auto" w:fill="auto"/>
                </w:tcPr>
                <w:p w:rsidR="005D623A" w:rsidRDefault="005D623A" w:rsidP="00614994">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614994">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614994">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614994">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614994">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614994">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Evaluar de manera específica el desempeño del Fondo de Aportaciones Múltiples en su vertiente de Asistencia Social en su ejercicio fiscal 2015, con la finalidad de proveer información que retroalimente su desempeño y resultados, y contribuya a la toma de decisiones sustentada para su mejora continua. Evaluar de manera específica el desempeño del Fondo de Aportaciones Múltiples para la Infraestructura Educativa Básica, Media Superior y Superior (FAM-IE) en su ejercicio fiscal 2015, con la finalidad de proveer información que retroalimente su desempeño y resultados, y contribuya a la toma de decisiones sustentada para su mejora continua.</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 xml:space="preserve">Uno de los elementos más importantes que inciden directamente en la acción del gobierno, es la transparencia y la rendición de cuentas del ejercicio del gasto público, cuya orientación requiere del conocimiento de resultados concretos, confiables y verificables de su aplicación, de acuerdo con el artículo 134 de la Constitución Política de los Estados Unidos Mexicanos, la Ley Federal de Presupuesto y Responsabilidad Hacendaria, y la Ley General de Contabilidad Gubernamental. Con la finalidad de facilitar la evaluación, y con ello mejorar la gestión y la decisión presupuestal, el Gobierno del Estado de Oaxaca, a través de la Jefatura de la Gubernatura, la cual funge como Instancia Técnica de Evaluación elaboró los Términos de Referencia para la Evaluación Específica del Desempeño de los Fondos de Aportaciones Federales del Ramo General 33 y FONREGION, aplicables al Fondo de Aportaciones Múltiples FAM-Asistencia Social. El modelo de evaluación permite analizar información y datos fundamentales de puntos específicos clave del programa en seis temas, que son: Características del Fondo, Diseño, Cobertura de Atención, Administración Financiera, Ejercicio de los Recursos y Resultados. El Fondo de Aportaciones </w:t>
            </w:r>
            <w:r>
              <w:rPr>
                <w:color w:val="A6A6A6" w:themeColor="background1" w:themeShade="A6"/>
              </w:rPr>
              <w:lastRenderedPageBreak/>
              <w:t>Múltiples para la Infraestructura Educativa Básica, Media Superior y Superior (identificado por sus siglas FAM-IE de aquí en adelante para esta evaluación), tiene como objetivo atender las prioridades de las comunidades y los rezagos detectados en los diferentes niveles educativos en materia de infraestructura, en apego al artículo 40 de la Ley de Coordinación Fiscal, al Presupuesto de Egresos de la Federación 2015, al Plan Nacional de Desarrollo 2013-2018, y al Plan Estatal de Desarrollo 2011-2016 del estado de Oaxaca. Del total del Presupuesto de Egresos de la Federación aprobado anualmente para el Fondo de Aportaciones Múltiples, el 54 % se destina a la vertiente de Infraestructura Educativa Básica, Media Superior y Superior, para la construcción, equipamiento y rehabilitación de infraestructura física, según las necesidades de cada nivel educativo.</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345"/>
        <w:gridCol w:w="2970"/>
        <w:gridCol w:w="4589"/>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ResumenEjecutivoFAM.pdf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las evaluaciones de FAM (Asistencia Social e Infraestructura Educativa)</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InformeFAM.pdf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las evaluaciones del FAM (Asistencia Social e Infraestructura Educativa)</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fdr_FAM.pdf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Fichas de difusión de resultados de las evaluaciones del FAM (Asistencia Social e Infraestructura E)</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TdR2016.pdf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de las evaluaciones 2016</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7_firmado.pdf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Convenio de colaboración institucional</w:t>
            </w:r>
          </w:p>
        </w:tc>
      </w:tr>
    </w:tbl>
    <w:p w:rsidR="00BE754E" w:rsidRDefault="00BE754E" w:rsidP="00130A5F">
      <w:pPr>
        <w:ind w:right="40"/>
        <w:rPr>
          <w:b/>
        </w:rPr>
      </w:pPr>
    </w:p>
    <w:sectPr w:rsidR="00BE754E"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1" w:usb1="5000205B" w:usb2="00000000" w:usb3="00000000" w:csb0="0000009B"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s-MX" w:eastAsia="es-MX"/>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614994">
          <w:rPr>
            <w:noProof/>
            <w:lang w:val="es-MX" w:eastAsia="es-MX"/>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614994" w:rsidRPr="00614994">
                                  <w:rPr>
                                    <w:b/>
                                    <w:noProof/>
                                    <w:color w:val="808080" w:themeColor="background1" w:themeShade="80"/>
                                    <w:sz w:val="16"/>
                                    <w:szCs w:val="16"/>
                                  </w:rPr>
                                  <w:t>1</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614994" w:rsidRPr="00614994">
                            <w:rPr>
                              <w:b/>
                              <w:noProof/>
                              <w:color w:val="808080" w:themeColor="background1" w:themeShade="80"/>
                              <w:sz w:val="16"/>
                              <w:szCs w:val="16"/>
                            </w:rPr>
                            <w:t>1</w:t>
                          </w:r>
                          <w:r w:rsidRPr="00314CC3">
                            <w:rPr>
                              <w:b/>
                              <w:color w:val="808080" w:themeColor="background1" w:themeShade="80"/>
                            </w:rPr>
                            <w:fldChar w:fldCharType="end"/>
                          </w:r>
                        </w:p>
                      </w:txbxContent>
                    </v:textbox>
                  </v:rect>
                  <w10:wrap anchorx="margin" anchory="page"/>
                </v:group>
              </w:pict>
            </mc:Fallback>
          </mc:AlternateContent>
        </w:r>
        <w:r w:rsidR="00314CC3">
          <w:rPr>
            <w:noProof/>
            <w:lang w:val="es-MX" w:eastAsia="es-MX"/>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614994">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s-MX" w:eastAsia="es-MX"/>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614994">
      <w:rPr>
        <w:noProof/>
        <w:lang w:val="es-MX" w:eastAsia="es-MX"/>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614994">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25">
      <o:colormenu v:ext="edit" strokecolor="none [1612]"/>
    </o:shapedefaults>
    <o:shapelayout v:ext="edit">
      <o:idmap v:ext="edit" data="2"/>
      <o:rules v:ext="edit">
        <o:r id="V:Rule2" type="connector" idref="#_x0000_s2121"/>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14994"/>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5">
      <o:colormenu v:ext="edit" strokecolor="none [1612]"/>
    </o:shapedefaults>
    <o:shapelayout v:ext="edit">
      <o:idmap v:ext="edit" data="1"/>
    </o:shapelayout>
  </w:shapeDefaults>
  <w:decimalSymbol w:val="."/>
  <w:listSeparator w:val=","/>
  <w15:docId w15:val="{746A6BAF-9F6C-4AC8-B630-7CEFC08D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17BEE1DA-E2DF-4982-8415-CD8FD9280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600</Words>
  <Characters>3306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Carlos Ivan Almaraz</cp:lastModifiedBy>
  <cp:revision>2</cp:revision>
  <cp:lastPrinted>2012-12-11T00:42:00Z</cp:lastPrinted>
  <dcterms:created xsi:type="dcterms:W3CDTF">2017-07-27T17:57:00Z</dcterms:created>
  <dcterms:modified xsi:type="dcterms:W3CDTF">2017-07-27T17:57:00Z</dcterms:modified>
</cp:coreProperties>
</file>