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OTROS CONVENIOS</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OTROS CONVENIOS</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OTROS CONVENIOS</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7D4647">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7D4647">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7D4647">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7D4647">
                  <w:pPr>
                    <w:framePr w:hSpace="141" w:wrap="around" w:vAnchor="text" w:hAnchor="text" w:y="1"/>
                    <w:suppressOverlap/>
                    <w:rPr>
                      <w:color w:val="A6A6A6" w:themeColor="background1" w:themeShade="A6"/>
                    </w:rPr>
                  </w:pPr>
                  <w:r>
                    <w:rPr>
                      <w:color w:val="A6A6A6" w:themeColor="background1" w:themeShade="A6"/>
                    </w:rPr>
                    <w:t>200,000.00</w:t>
                  </w:r>
                </w:p>
              </w:tc>
            </w:tr>
            <w:tr w:rsidR="005D623A" w:rsidRPr="007B578F" w:rsidTr="005D623A">
              <w:trPr>
                <w:trHeight w:val="77"/>
              </w:trPr>
              <w:tc>
                <w:tcPr>
                  <w:tcW w:w="4590" w:type="dxa"/>
                  <w:shd w:val="clear" w:color="auto" w:fill="auto"/>
                </w:tcPr>
                <w:p w:rsidR="005D623A" w:rsidRDefault="005D623A" w:rsidP="007D4647">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7D4647">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7D4647">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7D4647">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7D4647">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7D4647">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de los Fondos de Aportaciones Federales del Ramo General 33 y del Fondo Regional del Ramo 23, en su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Uno de los principales problemas del país es la pobreza en la que vive gran parte de su población, y el combate a la misma define en buena medida la agenda de desarrollo social y humano. La pobreza está asociada a la desigualdad y la marginación, problemas que se deben atender desde la política pública, tanto por su importancia y características específicas como por su relación y efectos sobre la sociedad. La desigualdad se refiere al acceso y distribución diferenciada e inequitativa de los recursos y las oportunidades en una sociedad, ya sea entre individuos, hogares o regiones geográficas. Oaxaca es una de las entidades federativas con mayor porcentaje de población en situación de pobreza en el país, con niveles superiores al 50% de su población, según datos del Instituto Nacional de Estadística y Geografía (INEGI); y con una pobreza multidimensional, según el Consejo Nacional de Evaluación de la Política de Desarrollo Social (CONEVAL) (2015) de 59.7%, que suman 2.4 millones de pobres. De acuerdo con el Programa de las Naciones Unidas para el Desarrollo (PNUD) (2015), Oaxaca es una de las entidades federativas con mayor rezago social en México, con un índice de desarrollo humano o IDH del 0.681 posicionada a 15 lugares por debajo del promedio nacional (0.746), ocupando la posición número 30 de 32. Con el fin de fortalecer la movilidad social igualadora de oportunidades en la entidad e impulsar el desarrollo humano con mayores rezagos, el estado de Oaxaca cuenta con los recursos federales del Fondo Regional (FONREGIÓN de ahora </w:t>
            </w:r>
            <w:r>
              <w:rPr>
                <w:color w:val="A6A6A6" w:themeColor="background1" w:themeShade="A6"/>
              </w:rPr>
              <w:lastRenderedPageBreak/>
              <w:t>en adelante), que en el 2015 correspondieron al 18.6% del total de los recursos del Fondo a nivel nacional. De acuerdo con el artículo 10, fracción I, del Presupuesto de Egresos de la Federación para el Ejercicio Fiscal 2015, el FONREGIÓN tiene por objeto Apoyar a los 10 estados con menor índice de desarrollo humano respecto del índice nacional, a través de programas y proyectos de inversión destinados a mantener e incrementar el capital físico, o la capacidad productiva, o ambos; complementar las aportaciones de las entidades federativas relacionadas a dichos fines, así como a impulsar el desarrollo regional equilibrado mediante infraestructura pública y su equipamiento. De estos 10 estados, Oaxaca ocupa el tercer lugar en cuanto a menor índice de desarrollo humano, solamente por arriba de Guerrero y Chiapas.</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124"/>
        <w:gridCol w:w="3836"/>
        <w:gridCol w:w="3944"/>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ResumenEjecutivoFONREGION.pdf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 FONREGION</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InformeFONREGION.pdf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FONREGION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fdr_FONREGION.pdf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Ficha de difusión de resultados de la evaluación del FONREGION</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de las evaluaciones 2016</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Convenio de colaboración institucional</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7D4647">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7D4647" w:rsidRPr="007D4647">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7D4647" w:rsidRPr="007D4647">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7D4647">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7D4647">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7D4647">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464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23DEED97-AC0D-46A1-9DF1-D87F716F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509E0F31-0922-42C1-9C18-AAB972C8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584</Words>
  <Characters>3216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Carlos Ivan Almaraz</cp:lastModifiedBy>
  <cp:revision>2</cp:revision>
  <cp:lastPrinted>2012-12-11T00:42:00Z</cp:lastPrinted>
  <dcterms:created xsi:type="dcterms:W3CDTF">2017-07-27T17:42:00Z</dcterms:created>
  <dcterms:modified xsi:type="dcterms:W3CDTF">2017-07-27T17:42:00Z</dcterms:modified>
</cp:coreProperties>
</file>