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1F6" w:rsidRDefault="002B3B7E">
      <w:pPr>
        <w:rPr>
          <w:rFonts w:ascii="Arial" w:hAnsi="Arial" w:cs="Arial"/>
          <w:color w:val="E20000"/>
          <w:sz w:val="27"/>
          <w:szCs w:val="27"/>
        </w:rPr>
      </w:pPr>
      <w:r w:rsidRPr="002B3B7E">
        <w:rPr>
          <w:rFonts w:ascii="Arial" w:hAnsi="Arial" w:cs="Arial"/>
          <w:color w:val="E20000"/>
          <w:sz w:val="27"/>
          <w:szCs w:val="27"/>
        </w:rPr>
        <w:t>UNIDAD DE GIRAS Y PROTOCOLO</w:t>
      </w:r>
    </w:p>
    <w:p w:rsidR="002B3B7E" w:rsidRPr="007E7739" w:rsidRDefault="002B3B7E" w:rsidP="002B3B7E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bCs/>
          <w:sz w:val="19"/>
          <w:szCs w:val="19"/>
        </w:rPr>
        <w:t>Artículo</w:t>
      </w:r>
      <w:r w:rsidRPr="007E7739">
        <w:rPr>
          <w:rFonts w:ascii="Arial" w:hAnsi="Arial" w:cs="Arial"/>
          <w:b/>
          <w:sz w:val="19"/>
          <w:szCs w:val="19"/>
        </w:rPr>
        <w:t xml:space="preserve"> 14. </w:t>
      </w:r>
      <w:r w:rsidRPr="007E7739">
        <w:rPr>
          <w:rFonts w:ascii="Arial" w:hAnsi="Arial" w:cs="Arial"/>
          <w:sz w:val="19"/>
          <w:szCs w:val="19"/>
        </w:rPr>
        <w:t>La Unidad de Giras y Protocolo contará con un Jefe de Unidad, que dependerá directamente del Coordinador de Administración y Seguimiento, quien se auxiliará de las y los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Programar, diseñar, realizar y coordinar las giras y eventos de trabajo del Gobernador en el interior y exterior de la entidad;</w:t>
      </w:r>
    </w:p>
    <w:p w:rsidR="002B3B7E" w:rsidRPr="007E7739" w:rsidRDefault="002B3B7E" w:rsidP="002B3B7E">
      <w:pPr>
        <w:pStyle w:val="Prrafodelista"/>
        <w:tabs>
          <w:tab w:val="left" w:pos="567"/>
        </w:tabs>
        <w:ind w:left="567"/>
        <w:contextualSpacing/>
        <w:jc w:val="both"/>
        <w:rPr>
          <w:rFonts w:ascii="Arial" w:hAnsi="Arial" w:cs="Arial"/>
          <w:sz w:val="19"/>
          <w:szCs w:val="19"/>
        </w:rPr>
      </w:pP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las gestiones correspondientes ante la Secretaria de Relaciones Exteriores e instancias competentes, para las giras internacionales del Gobernador;</w:t>
      </w:r>
    </w:p>
    <w:p w:rsidR="002B3B7E" w:rsidRPr="007E7739" w:rsidRDefault="002B3B7E" w:rsidP="002B3B7E">
      <w:pPr>
        <w:pStyle w:val="Prrafodelista"/>
        <w:rPr>
          <w:rFonts w:ascii="Arial" w:hAnsi="Arial" w:cs="Arial"/>
          <w:sz w:val="19"/>
          <w:szCs w:val="19"/>
        </w:rPr>
      </w:pP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Establecer el protocolo para las giras y eventos del Gobernador y vigilar su cumplimiento;</w:t>
      </w:r>
    </w:p>
    <w:p w:rsidR="002B3B7E" w:rsidRPr="007E7739" w:rsidRDefault="002B3B7E" w:rsidP="002B3B7E">
      <w:pPr>
        <w:pStyle w:val="Prrafodelista"/>
        <w:rPr>
          <w:rFonts w:ascii="Arial" w:hAnsi="Arial" w:cs="Arial"/>
          <w:sz w:val="19"/>
          <w:szCs w:val="19"/>
        </w:rPr>
      </w:pP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Mantener enlace previo y durante las giras con el área de la Secretaría Particular del Gobernador;</w:t>
      </w:r>
    </w:p>
    <w:p w:rsidR="002B3B7E" w:rsidRPr="007E7739" w:rsidRDefault="002B3B7E" w:rsidP="002B3B7E">
      <w:pPr>
        <w:pStyle w:val="Prrafodelista"/>
        <w:rPr>
          <w:rFonts w:ascii="Arial" w:hAnsi="Arial" w:cs="Arial"/>
          <w:sz w:val="19"/>
          <w:szCs w:val="19"/>
        </w:rPr>
      </w:pP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Prever el equipo necesario y elementos que se requieran en los eventos programados y presididos por el Gobernador;</w:t>
      </w:r>
    </w:p>
    <w:p w:rsidR="002B3B7E" w:rsidRPr="007E7739" w:rsidRDefault="002B3B7E" w:rsidP="002B3B7E">
      <w:pPr>
        <w:pStyle w:val="Prrafodelista"/>
        <w:rPr>
          <w:rFonts w:ascii="Arial" w:hAnsi="Arial" w:cs="Arial"/>
          <w:sz w:val="19"/>
          <w:szCs w:val="19"/>
        </w:rPr>
      </w:pP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con las autoridades competentes el sistema de orden y disciplina que debe imperar en el transcurso de eventos en los que intervenga el Gobernador;</w:t>
      </w:r>
    </w:p>
    <w:p w:rsidR="002B3B7E" w:rsidRPr="007E7739" w:rsidRDefault="002B3B7E" w:rsidP="002B3B7E">
      <w:pPr>
        <w:pStyle w:val="Prrafodelista"/>
        <w:rPr>
          <w:rFonts w:ascii="Arial" w:hAnsi="Arial" w:cs="Arial"/>
          <w:sz w:val="19"/>
          <w:szCs w:val="19"/>
        </w:rPr>
      </w:pP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con los cuerpos de seguridad pública federal, estatal y municipal para el reconocimiento del territorio, rutas, dispositivos y operativos de seguridad en la giras y eventos en los que acuda el Gobernador;</w:t>
      </w:r>
    </w:p>
    <w:p w:rsidR="002B3B7E" w:rsidRPr="007E7739" w:rsidRDefault="002B3B7E" w:rsidP="002B3B7E">
      <w:pPr>
        <w:pStyle w:val="Prrafodelista"/>
        <w:rPr>
          <w:rFonts w:ascii="Arial" w:hAnsi="Arial" w:cs="Arial"/>
          <w:sz w:val="19"/>
          <w:szCs w:val="19"/>
        </w:rPr>
      </w:pP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Coordinar con el Estado Mayor Presidencial las actividades que realice el Gobernador conjuntamente con el Presidente de la República, los Secretarios de Estado y otras personas que por su encomienda o situación implique su participación, y</w:t>
      </w:r>
    </w:p>
    <w:p w:rsidR="002B3B7E" w:rsidRPr="007E7739" w:rsidRDefault="002B3B7E" w:rsidP="002B3B7E">
      <w:pPr>
        <w:pStyle w:val="Prrafodelista"/>
        <w:rPr>
          <w:rFonts w:ascii="Arial" w:hAnsi="Arial" w:cs="Arial"/>
          <w:sz w:val="19"/>
          <w:szCs w:val="19"/>
        </w:rPr>
      </w:pPr>
    </w:p>
    <w:p w:rsidR="002B3B7E" w:rsidRPr="007E7739" w:rsidRDefault="002B3B7E" w:rsidP="002B3B7E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contextualSpacing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 confiera las leyes, este Reglamento y demás disposiciones normativas aplicables, así como, las que expresamente le sean conferidas por el Coordinador de Administración y Seguimiento.</w:t>
      </w:r>
    </w:p>
    <w:p w:rsidR="002B3B7E" w:rsidRPr="007E7739" w:rsidRDefault="002B3B7E" w:rsidP="002B3B7E">
      <w:pPr>
        <w:jc w:val="both"/>
        <w:rPr>
          <w:rFonts w:ascii="Arial" w:hAnsi="Arial" w:cs="Arial"/>
          <w:sz w:val="19"/>
          <w:szCs w:val="19"/>
        </w:rPr>
      </w:pPr>
    </w:p>
    <w:p w:rsidR="002B3B7E" w:rsidRDefault="002B3B7E">
      <w:pPr>
        <w:rPr>
          <w:rFonts w:ascii="Arial" w:hAnsi="Arial" w:cs="Arial"/>
          <w:color w:val="E20000"/>
          <w:sz w:val="27"/>
          <w:szCs w:val="27"/>
        </w:rPr>
      </w:pPr>
    </w:p>
    <w:p w:rsidR="002B3B7E" w:rsidRDefault="002B3B7E">
      <w:pPr>
        <w:rPr>
          <w:rFonts w:ascii="Arial" w:hAnsi="Arial" w:cs="Arial"/>
          <w:color w:val="E20000"/>
          <w:sz w:val="27"/>
          <w:szCs w:val="27"/>
        </w:rPr>
      </w:pPr>
    </w:p>
    <w:p w:rsidR="002B3B7E" w:rsidRDefault="002B3B7E" w:rsidP="002B3B7E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p w:rsidR="002B3B7E" w:rsidRDefault="002B3B7E" w:rsidP="002B3B7E"/>
    <w:p w:rsidR="002B3B7E" w:rsidRDefault="002B3B7E" w:rsidP="002B3B7E"/>
    <w:p w:rsidR="002B3B7E" w:rsidRDefault="002B3B7E" w:rsidP="002B3B7E"/>
    <w:p w:rsidR="002B3B7E" w:rsidRPr="002B3B7E" w:rsidRDefault="002B3B7E">
      <w:pPr>
        <w:rPr>
          <w:color w:val="E20000"/>
          <w:sz w:val="27"/>
          <w:szCs w:val="27"/>
        </w:rPr>
      </w:pPr>
      <w:bookmarkStart w:id="0" w:name="_GoBack"/>
      <w:bookmarkEnd w:id="0"/>
    </w:p>
    <w:sectPr w:rsidR="002B3B7E" w:rsidRPr="002B3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90180"/>
    <w:multiLevelType w:val="hybridMultilevel"/>
    <w:tmpl w:val="60E45F94"/>
    <w:lvl w:ilvl="0" w:tplc="4582EAEC">
      <w:start w:val="1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7E"/>
    <w:rsid w:val="001311F6"/>
    <w:rsid w:val="002B3B7E"/>
    <w:rsid w:val="0041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B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3B7E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1</cp:revision>
  <dcterms:created xsi:type="dcterms:W3CDTF">2018-08-10T19:15:00Z</dcterms:created>
  <dcterms:modified xsi:type="dcterms:W3CDTF">2018-08-10T19:17:00Z</dcterms:modified>
</cp:coreProperties>
</file>