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73" w:rsidRPr="00E00773" w:rsidRDefault="00E00773">
      <w:pPr>
        <w:rPr>
          <w:rFonts w:ascii="Arial" w:hAnsi="Arial" w:cs="Arial"/>
          <w:color w:val="E20000"/>
          <w:sz w:val="27"/>
          <w:szCs w:val="27"/>
        </w:rPr>
      </w:pPr>
    </w:p>
    <w:p w:rsidR="001311F6" w:rsidRDefault="00E00773">
      <w:pPr>
        <w:rPr>
          <w:rFonts w:ascii="Arial" w:hAnsi="Arial" w:cs="Arial"/>
          <w:color w:val="E20000"/>
          <w:sz w:val="27"/>
          <w:szCs w:val="27"/>
        </w:rPr>
      </w:pPr>
      <w:r w:rsidRPr="00E00773">
        <w:rPr>
          <w:rFonts w:ascii="Arial" w:hAnsi="Arial" w:cs="Arial"/>
          <w:color w:val="E20000"/>
          <w:sz w:val="27"/>
          <w:szCs w:val="27"/>
        </w:rPr>
        <w:t>DIRECCIÓN DE INGRESOS Y RECAUDACIÓN</w:t>
      </w:r>
    </w:p>
    <w:p w:rsidR="00E00773" w:rsidRPr="007E7739" w:rsidRDefault="00E00773" w:rsidP="00E00773">
      <w:pPr>
        <w:jc w:val="both"/>
        <w:rPr>
          <w:rFonts w:ascii="Arial" w:hAnsi="Arial" w:cs="Arial"/>
          <w:bCs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31. </w:t>
      </w:r>
      <w:r w:rsidRPr="007E7739">
        <w:rPr>
          <w:rFonts w:ascii="Arial" w:hAnsi="Arial" w:cs="Arial"/>
          <w:sz w:val="19"/>
          <w:szCs w:val="19"/>
        </w:rPr>
        <w:t>La</w:t>
      </w:r>
      <w:r w:rsidRPr="007E7739">
        <w:rPr>
          <w:rFonts w:ascii="Arial" w:hAnsi="Arial" w:cs="Arial"/>
          <w:b/>
          <w:sz w:val="19"/>
          <w:szCs w:val="19"/>
        </w:rPr>
        <w:t xml:space="preserve"> </w:t>
      </w:r>
      <w:r w:rsidRPr="007E7739">
        <w:rPr>
          <w:rFonts w:ascii="Arial" w:hAnsi="Arial" w:cs="Arial"/>
          <w:sz w:val="19"/>
          <w:szCs w:val="19"/>
        </w:rPr>
        <w:t xml:space="preserve">Dirección de Ingresos y Recaudación </w:t>
      </w:r>
      <w:r w:rsidRPr="007E7739">
        <w:rPr>
          <w:rFonts w:ascii="Arial" w:hAnsi="Arial" w:cs="Arial"/>
          <w:bCs/>
          <w:sz w:val="19"/>
          <w:szCs w:val="19"/>
        </w:rPr>
        <w:t xml:space="preserve">contará con un Director que dependerá directamente del Subsecretario de Ingresos, quien se auxiliará de los </w:t>
      </w:r>
      <w:r w:rsidRPr="007E7739">
        <w:rPr>
          <w:rFonts w:ascii="Arial" w:hAnsi="Arial" w:cs="Arial"/>
          <w:sz w:val="19"/>
          <w:szCs w:val="19"/>
        </w:rPr>
        <w:t>Coordinadores: Técnica de Ingresos, y Cobro Coactivo; Jefes de Departamento</w:t>
      </w:r>
      <w:r w:rsidRPr="007E7739">
        <w:rPr>
          <w:rFonts w:ascii="Arial" w:hAnsi="Arial" w:cs="Arial"/>
          <w:bCs/>
          <w:sz w:val="19"/>
          <w:szCs w:val="19"/>
        </w:rPr>
        <w:t xml:space="preserve"> y demás servidores públicos que las necesidades del servicio requieran, de acuerdo con el presupuesto autorizado y cuyas funciones serán </w:t>
      </w:r>
      <w:r w:rsidRPr="007E7739">
        <w:rPr>
          <w:rFonts w:ascii="Arial" w:hAnsi="Arial" w:cs="Arial"/>
          <w:sz w:val="19"/>
          <w:szCs w:val="19"/>
        </w:rPr>
        <w:t>indicadas</w:t>
      </w:r>
      <w:r w:rsidRPr="007E7739">
        <w:rPr>
          <w:rFonts w:ascii="Arial" w:hAnsi="Arial" w:cs="Arial"/>
          <w:bCs/>
          <w:sz w:val="19"/>
          <w:szCs w:val="19"/>
        </w:rPr>
        <w:t xml:space="preserve"> en el Manual de Organización de la Secretaría, quien tendrá las facultades siguientes:</w:t>
      </w:r>
    </w:p>
    <w:p w:rsidR="00E00773" w:rsidRPr="007E7739" w:rsidRDefault="00E00773" w:rsidP="00E00773">
      <w:pPr>
        <w:jc w:val="both"/>
        <w:rPr>
          <w:rFonts w:ascii="Arial" w:hAnsi="Arial" w:cs="Arial"/>
          <w:bCs/>
          <w:sz w:val="19"/>
          <w:szCs w:val="19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Proponer al Subsecretario de Ingresos la política fiscal, así como el programa anual de mejora continua que deben seguir las áreas administrativas a su cargo;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Coordinar la operación recaudatoria, así como la calidad y cobertura de los servicios que se prestan en materia fiscal;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Proponer al Subsecretario de Ingresos la metodología y herramientas necesarias para el análisis, evaluación, coordinación, control y seguimiento de los proyectos comprendidos en el Plan Estatal, en materia de su competencia;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Proponer al Subsecretario de Ingresos el programa de atención a instituciones públicas y a los particulares en la aplicación de las disposiciones fiscales;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Someter a aprobación los criterios para la resolución de las consultas que presenten los contribuyentes en términos del Código Fiscal;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Ejercer las atribuciones derivadas de los convenios de colaboración;</w:t>
      </w:r>
    </w:p>
    <w:p w:rsidR="00E00773" w:rsidRPr="007E7739" w:rsidRDefault="00E00773" w:rsidP="00E0077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Presentar al Subsecretario de Ingresos el proyecto anual de estimaciones de ingresos y programas de estímulos y subsidios fiscales;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Imponer y suscribir las resoluciones donde se determinen las sanciones que correspondan por violación a las disposiciones fiscales;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Proponer al Subsecretario los programas para las campañas de difusión, asistencia y capacitación en materia fiscal y aduanera, así como sugerir los medios de comunicación en que se realicen;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Proponer al Subsecretario de Ingresos los modelos de información en materia de administración fiscal;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Evaluar los sistemas y procedimientos de recaudación de los ingresos que son captados por las dependencias, entidades, centros integrales de atención al contribuyente, instituciones financieras o cualquier otro ente autorizado, en coordinación con las áreas administrativas competentes de la Secretaría;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Supervisar que se realice la implementación de estrategias para fomentar y facilitar el uso de los medios electrónicos de pago y otros programas auxiliares;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Informar al Subsecretario de Ingresos en los plazos establecidos por la Federación, que se realizó la rendición de la cuenta mensual comprobada de ingresos coordinados y del sistema de compensación de fondos, de conformidad con lo establecido en el Convenio de Colaboración;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Proponer al Subsecretario de Ingresos los programas y procedimientos normativos para la actualización, integración y registro de contribuyentes en el Registro Estatal;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Solicitar a la Comisión Nacional Bancaria y de Valores información, inmovilización y transferencia de cuentas bancarias y demás bienes y así como del levantamiento de los mismos de conformidad con el Código Fiscal;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Rendir informes mensuales al Subsecretario de Ingresos sobre las determinaciones de recargos, gastos de ejecución, honorarios y gastos extraordinarios que se hayan causado en los procedimientos administrativos de ejecución, así como en el requerimiento de obligaciones incumplidas;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Verificar que se realicen los requerimientos a los contribuyentes o responsables solidarios el importe de los cheques no pagados y de las indemnizaciones correspondientes;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Informar al Subsecretario </w:t>
      </w:r>
      <w:r w:rsidRPr="007E7739">
        <w:rPr>
          <w:rFonts w:ascii="Arial" w:hAnsi="Arial" w:cs="Arial"/>
          <w:sz w:val="19"/>
          <w:szCs w:val="19"/>
          <w:lang w:val="es-ES"/>
        </w:rPr>
        <w:t>de Ingresos</w:t>
      </w:r>
      <w:r w:rsidRPr="007E7739">
        <w:rPr>
          <w:rFonts w:ascii="Arial" w:hAnsi="Arial" w:cs="Arial"/>
          <w:bCs/>
          <w:sz w:val="19"/>
          <w:szCs w:val="19"/>
        </w:rPr>
        <w:t xml:space="preserve"> sobre la efectividad de garantías para asegurar el interés fiscal, en los casos previstos por el Código Fiscal</w:t>
      </w:r>
      <w:r w:rsidRPr="007E7739">
        <w:rPr>
          <w:rFonts w:ascii="Arial" w:hAnsi="Arial" w:cs="Arial"/>
          <w:sz w:val="19"/>
          <w:szCs w:val="19"/>
          <w:lang w:val="es-ES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 xml:space="preserve">Ordenar que se realice la transferencia a la instancia competente los bienes embargados, así como realizar la donación o destrucción de dichos bienes cuando no puedan ser transferidos;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Ordenar que la dación de bienes o servicios para cubrir el pago de créditos fiscales se resuelvan en términos del Código Fiscal;</w:t>
      </w:r>
    </w:p>
    <w:p w:rsidR="00E00773" w:rsidRPr="007E7739" w:rsidRDefault="00E00773" w:rsidP="00E0077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bCs/>
          <w:sz w:val="19"/>
          <w:szCs w:val="19"/>
        </w:rPr>
        <w:t xml:space="preserve">Proponer al Subsecretario </w:t>
      </w:r>
      <w:r w:rsidRPr="007E7739">
        <w:rPr>
          <w:rFonts w:ascii="Arial" w:hAnsi="Arial" w:cs="Arial"/>
          <w:sz w:val="19"/>
          <w:szCs w:val="19"/>
          <w:lang w:val="es-ES"/>
        </w:rPr>
        <w:t>de Ingresos</w:t>
      </w:r>
      <w:r w:rsidRPr="007E7739">
        <w:rPr>
          <w:rFonts w:ascii="Arial" w:hAnsi="Arial" w:cs="Arial"/>
          <w:bCs/>
          <w:sz w:val="19"/>
          <w:szCs w:val="19"/>
        </w:rPr>
        <w:t xml:space="preserve"> las reglas generales para la cancelación de créditos fiscales</w:t>
      </w:r>
      <w:r w:rsidRPr="007E7739">
        <w:rPr>
          <w:rFonts w:ascii="Arial" w:hAnsi="Arial" w:cs="Arial"/>
          <w:sz w:val="19"/>
          <w:szCs w:val="19"/>
          <w:lang w:val="es-ES"/>
        </w:rPr>
        <w:t xml:space="preserve">;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bCs/>
          <w:sz w:val="19"/>
          <w:szCs w:val="19"/>
        </w:rPr>
        <w:t>Suscribir las estrategias para la emisión de la declaratorio de oficio de prescripción de créditos fiscales</w:t>
      </w:r>
      <w:r w:rsidRPr="007E7739">
        <w:rPr>
          <w:rFonts w:ascii="Arial" w:hAnsi="Arial" w:cs="Arial"/>
          <w:sz w:val="19"/>
          <w:szCs w:val="19"/>
          <w:lang w:val="es-ES"/>
        </w:rPr>
        <w:t>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00773" w:rsidRPr="007E7739" w:rsidRDefault="00E00773" w:rsidP="00E00773">
      <w:pPr>
        <w:pStyle w:val="Sinespaciado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  <w:tab w:val="left" w:pos="993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</w:rPr>
        <w:t xml:space="preserve">Evaluar las metas programadas para el </w:t>
      </w:r>
      <w:r w:rsidRPr="007E7739">
        <w:rPr>
          <w:rFonts w:ascii="Arial" w:hAnsi="Arial" w:cs="Arial"/>
          <w:bCs/>
          <w:sz w:val="19"/>
          <w:szCs w:val="19"/>
        </w:rPr>
        <w:t>seguimiento, control y ejecución de créditos, procedimientos administrativos de ejecución, devoluciones, entre otros, y de su resultado ordenar las medidas preventivas y correctivas necesarias;</w:t>
      </w:r>
    </w:p>
    <w:p w:rsidR="00E00773" w:rsidRPr="007E7739" w:rsidRDefault="00E00773" w:rsidP="00E00773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Subsecretario de Ingresos la expedición de los permisos para la apertura, instalación y funcionamiento de las Casas de Empeño;</w:t>
      </w:r>
    </w:p>
    <w:p w:rsidR="00E00773" w:rsidRPr="007E7739" w:rsidRDefault="00E00773" w:rsidP="00E00773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sz w:val="19"/>
          <w:szCs w:val="19"/>
          <w:lang w:val="es-ES"/>
        </w:rPr>
        <w:t>Autorizar la expedición, revalidación, modificación, cancelación y reposición de los permisos para la apertura, instalación y funcionamiento de Casas de Empeño;</w:t>
      </w:r>
    </w:p>
    <w:p w:rsidR="00E00773" w:rsidRPr="007E7739" w:rsidRDefault="00E00773" w:rsidP="00E00773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Sinespaciado"/>
        <w:numPr>
          <w:ilvl w:val="0"/>
          <w:numId w:val="1"/>
        </w:numPr>
        <w:tabs>
          <w:tab w:val="left" w:pos="567"/>
          <w:tab w:val="left" w:pos="851"/>
        </w:tabs>
        <w:ind w:left="567" w:hanging="283"/>
        <w:jc w:val="both"/>
        <w:rPr>
          <w:rFonts w:ascii="Arial" w:hAnsi="Arial" w:cs="Arial"/>
          <w:sz w:val="19"/>
          <w:szCs w:val="19"/>
          <w:lang w:val="es-ES"/>
        </w:rPr>
      </w:pPr>
      <w:r w:rsidRPr="007E7739">
        <w:rPr>
          <w:rFonts w:ascii="Arial" w:hAnsi="Arial" w:cs="Arial"/>
          <w:bCs/>
          <w:sz w:val="19"/>
          <w:szCs w:val="19"/>
        </w:rPr>
        <w:t>Imponer las sanciones a los permisionarios de Casas de Empeño por las infracciones cometidas a la Ley de la materia;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E00773" w:rsidRPr="007E7739" w:rsidRDefault="00E00773" w:rsidP="00E00773">
      <w:p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Suscribir, conjuntamente con el Coordinador de Cobro Coactivo, las resoluciones de prescripción de créditos fiscales de oficio, así como la cancelación de los mismos, cuando proceda;</w:t>
      </w:r>
    </w:p>
    <w:p w:rsidR="00E00773" w:rsidRPr="007E7739" w:rsidRDefault="00E00773" w:rsidP="00E00773">
      <w:pPr>
        <w:tabs>
          <w:tab w:val="left" w:pos="567"/>
          <w:tab w:val="left" w:pos="851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Habilitar a terceros, de conformidad con las disposiciones fiscales y normatividad aplicables, para ejercer facultades relacionadas al procedimiento económico coactivo de conformidad con el Código Fiscal y sus reglamentos correspondientes;</w:t>
      </w:r>
    </w:p>
    <w:p w:rsidR="00E00773" w:rsidRPr="007E7739" w:rsidRDefault="00E00773" w:rsidP="00E00773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Expedir a terceros las constancias de acreditación e identificación que lleven a cabo la práctica de diligencias en materia fiscal;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el cumplimiento de la homologación de imagen, adquisición, el correcto abastecimiento, control, distribución y la destrucción de las formas oficiales de la administración pública estatal;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Dirigir la administración de las FOV, FORR y FOLR para la operación de la Administración pública; 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lastRenderedPageBreak/>
        <w:t>Recibir los calendarios de cada uno de los servicios de la Administración pública;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el diseño y las medidas de seguridad que contendrán las FOV, FORR y FOLR;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Recibir las validaciones de la Administración pública de la información contenida en las FOV, FORR y FOLR;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las solicitudes de abastecimiento fuera de los plazos establecidos, siempre que se justifique y soporte el motivo del retraso;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Aprobar y ordenar la verificación física de las FOV, FORR Y FOLR en la Administración pública;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Llevar a cabo la destrucción de FOLR FOV y FORR canceladas u obsoletas, en coordinación con personal de la Procuraduría Fiscal y de la Contraloría;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 Solicitar informes a los responsables respecto de la situación de las garantías del interés fiscal, en los casos previstos por el Código Fiscal;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Proponer y participar en la celebración de convenios de colaboración administrativa en materia de ingresos con los municipios y los organismos públicos;</w:t>
      </w:r>
    </w:p>
    <w:p w:rsidR="00E00773" w:rsidRPr="007E7739" w:rsidRDefault="00E00773" w:rsidP="00E00773">
      <w:pPr>
        <w:pStyle w:val="Prrafodelista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Vigilar que se lleve a cabo la correcta declaración de abandono de bienes embargados en favor del Estado,</w:t>
      </w:r>
    </w:p>
    <w:p w:rsidR="00E00773" w:rsidRPr="007E7739" w:rsidRDefault="00E00773" w:rsidP="00E00773">
      <w:pPr>
        <w:pStyle w:val="Default"/>
        <w:jc w:val="both"/>
        <w:rPr>
          <w:color w:val="auto"/>
          <w:sz w:val="19"/>
          <w:szCs w:val="19"/>
          <w:lang w:val="es-ES"/>
        </w:rPr>
      </w:pPr>
    </w:p>
    <w:p w:rsidR="00E00773" w:rsidRPr="007E7739" w:rsidRDefault="00E00773" w:rsidP="00E00773">
      <w:pPr>
        <w:pStyle w:val="Prrafodelista"/>
        <w:numPr>
          <w:ilvl w:val="0"/>
          <w:numId w:val="1"/>
        </w:numPr>
        <w:tabs>
          <w:tab w:val="left" w:pos="567"/>
        </w:tabs>
        <w:ind w:left="567" w:hanging="20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Autorizar las solicitudes para la recuperación de incentivos económicos de impuestos federales coordinados en materia de comercio exterior, derivados de pagos efectuados por los contribuyentes a instituciones bancarias a favor de la Tesorería de la Federación</w:t>
      </w:r>
    </w:p>
    <w:p w:rsidR="00E00773" w:rsidRPr="007E7739" w:rsidRDefault="00E00773" w:rsidP="00E00773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</w:p>
    <w:p w:rsidR="00E00773" w:rsidRPr="007E7739" w:rsidRDefault="00E00773" w:rsidP="00E00773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las leyes, este Reglamento y demás disposiciones normativas aplicables, así como, las que expresamente les sean conferidas por el Subsecretario.</w:t>
      </w:r>
    </w:p>
    <w:p w:rsidR="00E00773" w:rsidRDefault="00E00773">
      <w:pPr>
        <w:rPr>
          <w:color w:val="E20000"/>
          <w:sz w:val="27"/>
          <w:szCs w:val="27"/>
        </w:rPr>
      </w:pPr>
    </w:p>
    <w:p w:rsidR="00E00773" w:rsidRDefault="00E00773">
      <w:pPr>
        <w:rPr>
          <w:color w:val="E20000"/>
          <w:sz w:val="27"/>
          <w:szCs w:val="27"/>
        </w:rPr>
      </w:pPr>
    </w:p>
    <w:p w:rsidR="00E00773" w:rsidRPr="00E00773" w:rsidRDefault="00E00773">
      <w:pPr>
        <w:rPr>
          <w:color w:val="E2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  <w:bookmarkStart w:id="0" w:name="_GoBack"/>
      <w:bookmarkEnd w:id="0"/>
    </w:p>
    <w:sectPr w:rsidR="00E00773" w:rsidRPr="00E00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5862"/>
    <w:multiLevelType w:val="hybridMultilevel"/>
    <w:tmpl w:val="6116FCC6"/>
    <w:lvl w:ilvl="0" w:tplc="C86ECAEC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19"/>
        <w:szCs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73"/>
    <w:rsid w:val="001311F6"/>
    <w:rsid w:val="0041691F"/>
    <w:rsid w:val="00E0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7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00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007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077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07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E007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E007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2018-08-10T20:49:00Z</dcterms:created>
  <dcterms:modified xsi:type="dcterms:W3CDTF">2018-08-10T20:51:00Z</dcterms:modified>
</cp:coreProperties>
</file>