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6" w:rsidRDefault="001311F6"/>
    <w:p w:rsidR="00452A6C" w:rsidRDefault="00452A6C" w:rsidP="00452A6C">
      <w:pPr>
        <w:rPr>
          <w:rFonts w:ascii="Arial" w:hAnsi="Arial" w:cs="Arial"/>
          <w:color w:val="E20000"/>
          <w:sz w:val="27"/>
          <w:szCs w:val="27"/>
        </w:rPr>
      </w:pPr>
      <w:r w:rsidRPr="00452A6C">
        <w:rPr>
          <w:rFonts w:ascii="Arial" w:hAnsi="Arial" w:cs="Arial"/>
          <w:color w:val="E20000"/>
          <w:sz w:val="27"/>
          <w:szCs w:val="27"/>
        </w:rPr>
        <w:t>SUBSECRETARÍA DE INGRESOS</w:t>
      </w:r>
    </w:p>
    <w:p w:rsidR="00452A6C" w:rsidRDefault="00452A6C" w:rsidP="00452A6C">
      <w:pPr>
        <w:rPr>
          <w:rFonts w:ascii="Arial" w:hAnsi="Arial" w:cs="Arial"/>
          <w:color w:val="E20000"/>
          <w:sz w:val="27"/>
          <w:szCs w:val="27"/>
        </w:rPr>
      </w:pPr>
    </w:p>
    <w:p w:rsidR="00452A6C" w:rsidRPr="007E7739" w:rsidRDefault="00452A6C" w:rsidP="00452A6C">
      <w:pPr>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27. </w:t>
      </w:r>
      <w:r w:rsidRPr="007E7739">
        <w:rPr>
          <w:rFonts w:ascii="Arial" w:hAnsi="Arial" w:cs="Arial"/>
          <w:sz w:val="19"/>
          <w:szCs w:val="19"/>
        </w:rPr>
        <w:t>La Tesorería contará con un Tesorero que dependerá directamente del Subsecretario de Egresos, Contabilidad y Tesorería, quien se auxiliará de los Coordinadores de: Programas Federales y Control de Fondos, y de Control Financiero, y Jefes de departamento y demás servidores públicos que las necesidades del servicio requieran, de acuerdo con el presupuesto autorizado y cuyas funciones serán indicadas en el Manual de Organización de la Secretaría, quien tendrá las siguientes facultades:</w:t>
      </w:r>
    </w:p>
    <w:p w:rsidR="00452A6C" w:rsidRPr="007E7739" w:rsidRDefault="00452A6C" w:rsidP="00452A6C">
      <w:pPr>
        <w:tabs>
          <w:tab w:val="left" w:pos="709"/>
        </w:tabs>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Administrar los ingresos y valores que por cualquier concepto reciba la Hacienda pública, en los términos de las disposiciones legales aplicables, convenios y acuerdos respectivos;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Informar al Subsecretario de Egresos, Contabilidad y Tesorería sobre el cálculo de flujo de fondos del Estado;</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Suscribir conjuntamente con el Coordinador de Control Financiero los contratos de apertura de cuentas bancarias productivas específicas para la recepción de recursos financieros, así como de cualquier otro instrumento jurídico que deba suscribirse con instituciones financieras; </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Autorizar el libramiento de cheques, contando con la documentación soporte que los valide, cumpliendo con los requisitos normativos en la entrega a los beneficiarios;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Ordenar que se utilice la banca electrónica de las cuentas bancarias a cargo de la Secretaría para atender las instrucciones de pago, así como ministrar los recursos que por disposición legal les corresponda a los Municipios;</w:t>
      </w:r>
    </w:p>
    <w:p w:rsidR="00452A6C" w:rsidRPr="007E7739" w:rsidRDefault="00452A6C" w:rsidP="00452A6C">
      <w:pPr>
        <w:tabs>
          <w:tab w:val="left" w:pos="567"/>
        </w:tabs>
        <w:ind w:left="567" w:hanging="284"/>
        <w:jc w:val="both"/>
        <w:rPr>
          <w:rFonts w:ascii="Arial" w:hAnsi="Arial" w:cs="Arial"/>
          <w:sz w:val="19"/>
          <w:szCs w:val="19"/>
        </w:rPr>
      </w:pPr>
    </w:p>
    <w:p w:rsidR="00452A6C" w:rsidRPr="007E7739" w:rsidRDefault="00452A6C" w:rsidP="00452A6C">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Operar la banca electrónica a cargo de la Secretaría;</w:t>
      </w:r>
    </w:p>
    <w:p w:rsidR="00452A6C" w:rsidRPr="007E7739" w:rsidRDefault="00452A6C" w:rsidP="00452A6C">
      <w:pPr>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inversión de fondos;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las transferencias financieras a las cuentas bancarias productivas específicas de los ejecutores de gasto e instancias que correspondan, de acuerdo a las políticas, normas, lineamientos y procedimientos establecidos por la Secretaría;</w:t>
      </w:r>
    </w:p>
    <w:p w:rsidR="00452A6C" w:rsidRPr="007E7739" w:rsidRDefault="00452A6C" w:rsidP="00452A6C">
      <w:pPr>
        <w:pStyle w:val="Prrafodelista"/>
        <w:tabs>
          <w:tab w:val="left" w:pos="567"/>
        </w:tabs>
        <w:ind w:left="567" w:hanging="284"/>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Instruir sobre la inversión de los recursos financieros en los instrumentos que ofrece el sistema financiero mexicano, procurando la mejor composición de los portafolios, en términos de seguridad, liquidez y rendimientos; </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Proponer al Subsecretario de Egresos, Contabilidad y Tesorería los montos de participaciones que les corresponda a los Municipios;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trimestrales a que alude la Ley de Coordinación;</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constitutivo de Deuda Pública Estatal y Municipal y de las Obligaciones de Pago a que alude la Ley de Deuda Pública;</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Ordenar se efectué el pago de las amortizaciones, intereses y otros conceptos, derivados de empréstitos o créditos contratados;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los informes sobre la situación de la deuda pública estatal y municipal y de las obligaciones de pago para su publicación en el órgano de difusión estatal y en diarios de mayor circulación en el Estado y del país;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Instruir el pago por devolución de recursos a la Tesorería de la Federación con cargo al Estado o, en su caso, requerir saldos a favor, a solicitud de las áreas administrativas competentes de la Secretaría;</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Determinar la liquidez, a fin de que, en su caso, se autoricen acuerdos de ministración a favor de dependencias y municipios que lo soliciten ante la Secretaría y cumplan con los requisitos establecidos, para su registro y control;</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Informar sobre la liquidez financiera al Subsecretario de Egresos, Contabilidad y Tesorería, a fin de evitar un balance presupuestario sostenible negativo;</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lang w:val="pt-BR"/>
        </w:rPr>
        <w:t xml:space="preserve">Instruir </w:t>
      </w:r>
      <w:r w:rsidRPr="007E7739">
        <w:rPr>
          <w:rFonts w:ascii="Arial" w:hAnsi="Arial" w:cs="Arial"/>
          <w:sz w:val="19"/>
          <w:szCs w:val="19"/>
        </w:rPr>
        <w:t>los</w:t>
      </w:r>
      <w:r w:rsidRPr="007E7739">
        <w:rPr>
          <w:rFonts w:ascii="Arial" w:hAnsi="Arial" w:cs="Arial"/>
          <w:sz w:val="19"/>
          <w:szCs w:val="19"/>
          <w:lang w:val="pt-BR"/>
        </w:rPr>
        <w:t xml:space="preserve"> </w:t>
      </w:r>
      <w:r w:rsidRPr="007E7739">
        <w:rPr>
          <w:rFonts w:ascii="Arial" w:hAnsi="Arial" w:cs="Arial"/>
          <w:sz w:val="19"/>
          <w:szCs w:val="19"/>
        </w:rPr>
        <w:t>descuentos</w:t>
      </w:r>
      <w:r w:rsidRPr="007E7739">
        <w:rPr>
          <w:rFonts w:ascii="Arial" w:hAnsi="Arial" w:cs="Arial"/>
          <w:sz w:val="19"/>
          <w:szCs w:val="19"/>
          <w:lang w:val="pt-BR"/>
        </w:rPr>
        <w:t xml:space="preserve"> </w:t>
      </w:r>
      <w:r w:rsidRPr="007E7739">
        <w:rPr>
          <w:rFonts w:ascii="Arial" w:hAnsi="Arial" w:cs="Arial"/>
          <w:sz w:val="19"/>
          <w:szCs w:val="19"/>
        </w:rPr>
        <w:t>de pago con cargo a las participaciones y/o aportaciones federales de los Municipios en cumplimiento de lo dispuesto en las leyes de Coordinación Fiscal y Deuda Pública;</w:t>
      </w:r>
      <w:r w:rsidRPr="007E7739">
        <w:rPr>
          <w:rFonts w:ascii="Arial" w:hAnsi="Arial" w:cs="Arial"/>
          <w:sz w:val="19"/>
          <w:szCs w:val="19"/>
          <w:vertAlign w:val="superscript"/>
        </w:rPr>
        <w:t xml:space="preserve"> </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realicen oportunamente los registros contables de los ingresos y egresos de las cuentas bancarias a cargo de la Secretaría, efectuando las conciliaciones bancarias correspondientes;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realice el registro y control del monto, estructura y características del pasivo circulante, de acuerdo a la normatividad aplicable;</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entregue a la Dirección de Contabilidad Gubernamental para resguardo y custodia la documentación comprobatoria de las operaciones financieras que se realicen;</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Presentar al Subsecretario de Egresos, Contabilidad y Tesorería las proyecciones de los productos financieros, para proponer su integración a la Ley de Ingresos;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Participar en la elaboración de los lineamientos, manuales de procedimientos y sistemas de registro del ingreso y del gasto público;</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Participar en el otorgamiento de las garantías y avales a cargo del Estado; </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 xml:space="preserve">Intervenir en representación de la Secretaría en su carácter de fideicomitente único del Gobierno del Estado; </w:t>
      </w:r>
    </w:p>
    <w:p w:rsidR="00452A6C" w:rsidRPr="007E7739" w:rsidRDefault="00452A6C" w:rsidP="00452A6C">
      <w:pPr>
        <w:pStyle w:val="Prrafodelista"/>
        <w:tabs>
          <w:tab w:val="left" w:pos="567"/>
          <w:tab w:val="left" w:pos="851"/>
        </w:tabs>
        <w:ind w:left="567" w:hanging="284"/>
        <w:jc w:val="both"/>
        <w:rPr>
          <w:rFonts w:ascii="Arial" w:hAnsi="Arial" w:cs="Arial"/>
          <w:sz w:val="19"/>
          <w:szCs w:val="19"/>
        </w:rPr>
      </w:pPr>
    </w:p>
    <w:p w:rsidR="00452A6C" w:rsidRPr="007E7739" w:rsidRDefault="00452A6C" w:rsidP="00452A6C">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el cumplimiento de objetivos de los fideicomisos públicos;</w:t>
      </w:r>
    </w:p>
    <w:p w:rsidR="00452A6C" w:rsidRPr="007E7739" w:rsidRDefault="00452A6C" w:rsidP="00452A6C">
      <w:pPr>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Vigilar que se mantenga actualizado el registro de fideicomisos públicos del Estado;</w:t>
      </w:r>
    </w:p>
    <w:p w:rsidR="00452A6C" w:rsidRPr="007E7739" w:rsidRDefault="00452A6C" w:rsidP="00452A6C">
      <w:pPr>
        <w:pStyle w:val="Prrafodelista"/>
        <w:tabs>
          <w:tab w:val="left" w:pos="567"/>
        </w:tabs>
        <w:ind w:left="567" w:hanging="284"/>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Gestionar ante las empresas calificadoras autorizadas en el país la calificación de riesgo crediticio del Estado;</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Instruir la transferencia de recursos a las cuentas bancarias de los fideicomisos de administración y/o pago;</w:t>
      </w:r>
    </w:p>
    <w:p w:rsidR="00452A6C" w:rsidRPr="007E7739" w:rsidRDefault="00452A6C" w:rsidP="00452A6C">
      <w:pPr>
        <w:pStyle w:val="Prrafodelista"/>
        <w:tabs>
          <w:tab w:val="left" w:pos="567"/>
          <w:tab w:val="left" w:pos="851"/>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Proponer en el programa operativo anual los montos a considerar en el Presupuesto de Egresos para el pago de servicios a las empresas calificadoras con las que el Estado deba contar;</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Coordinador de Control Financiero,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rsidR="00452A6C" w:rsidRPr="007E7739" w:rsidRDefault="00452A6C" w:rsidP="00452A6C">
      <w:pPr>
        <w:pStyle w:val="Prrafodelista"/>
        <w:tabs>
          <w:tab w:val="left" w:pos="567"/>
          <w:tab w:val="left" w:pos="851"/>
        </w:tabs>
        <w:ind w:left="567" w:hanging="284"/>
        <w:jc w:val="both"/>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las instrucciones irrevocables de afectación de participaciones federales y demás documentos relacionados con la deuda pública y otras obligaciones de pago;</w:t>
      </w:r>
    </w:p>
    <w:p w:rsidR="00452A6C" w:rsidRPr="007E7739" w:rsidRDefault="00452A6C" w:rsidP="00452A6C">
      <w:pPr>
        <w:pStyle w:val="Prrafodelista"/>
        <w:tabs>
          <w:tab w:val="left" w:pos="567"/>
        </w:tabs>
        <w:ind w:left="567" w:hanging="284"/>
        <w:rPr>
          <w:rFonts w:ascii="Arial" w:hAnsi="Arial" w:cs="Arial"/>
          <w:sz w:val="19"/>
          <w:szCs w:val="19"/>
        </w:rPr>
      </w:pPr>
    </w:p>
    <w:p w:rsidR="00452A6C" w:rsidRPr="007E7739" w:rsidRDefault="00452A6C" w:rsidP="00452A6C">
      <w:pPr>
        <w:pStyle w:val="Prrafodelista"/>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Suscribir, conjuntamente con el Subsecretario de Egresos, Contabilidad y Tesorería los Convenios de Apoyo Financiero que se celebren con los Municipios;</w:t>
      </w:r>
    </w:p>
    <w:p w:rsidR="00452A6C" w:rsidRPr="007E7739" w:rsidRDefault="00452A6C" w:rsidP="00452A6C">
      <w:pPr>
        <w:pStyle w:val="Prrafodelista"/>
        <w:tabs>
          <w:tab w:val="left" w:pos="567"/>
        </w:tabs>
        <w:ind w:left="567" w:hanging="284"/>
        <w:jc w:val="both"/>
        <w:rPr>
          <w:rFonts w:ascii="Arial" w:hAnsi="Arial" w:cs="Arial"/>
          <w:sz w:val="19"/>
          <w:szCs w:val="19"/>
        </w:rPr>
      </w:pPr>
    </w:p>
    <w:p w:rsidR="00452A6C" w:rsidRPr="007E7739" w:rsidRDefault="00452A6C" w:rsidP="00452A6C">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t>Efectuar los pagos correspondientes a proveedores, contratistas y prestadores de servicio del Poder Ejecutivo, de acuerdo a su disponibilidad financiera y presupuestaria, y</w:t>
      </w:r>
    </w:p>
    <w:p w:rsidR="00452A6C" w:rsidRPr="007E7739" w:rsidRDefault="00452A6C" w:rsidP="00452A6C">
      <w:pPr>
        <w:pStyle w:val="Prrafodelista"/>
        <w:rPr>
          <w:rFonts w:ascii="Arial" w:hAnsi="Arial" w:cs="Arial"/>
          <w:sz w:val="19"/>
          <w:szCs w:val="19"/>
        </w:rPr>
      </w:pPr>
    </w:p>
    <w:p w:rsidR="00452A6C" w:rsidRPr="007E7739" w:rsidRDefault="00452A6C" w:rsidP="00452A6C">
      <w:pPr>
        <w:numPr>
          <w:ilvl w:val="0"/>
          <w:numId w:val="1"/>
        </w:numPr>
        <w:tabs>
          <w:tab w:val="left" w:pos="567"/>
        </w:tabs>
        <w:ind w:left="567" w:hanging="284"/>
        <w:jc w:val="both"/>
        <w:rPr>
          <w:rFonts w:ascii="Arial" w:hAnsi="Arial" w:cs="Arial"/>
          <w:sz w:val="19"/>
          <w:szCs w:val="19"/>
        </w:rPr>
      </w:pPr>
      <w:r w:rsidRPr="007E7739">
        <w:rPr>
          <w:rFonts w:ascii="Arial" w:hAnsi="Arial" w:cs="Arial"/>
          <w:sz w:val="19"/>
          <w:szCs w:val="19"/>
        </w:rPr>
        <w:lastRenderedPageBreak/>
        <w:t>Las demás que le confiera las leyes, este Reglamento y demás disposiciones normativas aplicables, así como, las que expresamente le sean conferidas por el Subsecretario.</w:t>
      </w:r>
    </w:p>
    <w:p w:rsidR="00452A6C" w:rsidRDefault="00452A6C" w:rsidP="00452A6C">
      <w:pPr>
        <w:rPr>
          <w:rFonts w:ascii="Helvetica" w:hAnsi="Helvetica" w:cs="Helvetica"/>
          <w:color w:val="333333"/>
          <w:sz w:val="21"/>
          <w:szCs w:val="21"/>
          <w:shd w:val="clear" w:color="auto" w:fill="FFFFFF"/>
        </w:rPr>
      </w:pPr>
    </w:p>
    <w:p w:rsidR="00452A6C" w:rsidRDefault="00452A6C" w:rsidP="00452A6C">
      <w:pPr>
        <w:rPr>
          <w:rFonts w:ascii="Helvetica" w:hAnsi="Helvetica" w:cs="Helvetica"/>
          <w:color w:val="333333"/>
          <w:sz w:val="21"/>
          <w:szCs w:val="21"/>
          <w:shd w:val="clear" w:color="auto" w:fill="FFFFFF"/>
        </w:rPr>
      </w:pPr>
    </w:p>
    <w:p w:rsidR="00452A6C" w:rsidRDefault="00452A6C" w:rsidP="00452A6C">
      <w:pPr>
        <w:rPr>
          <w:rFonts w:ascii="Helvetica" w:hAnsi="Helvetica" w:cs="Helvetica"/>
          <w:color w:val="333333"/>
          <w:sz w:val="21"/>
          <w:szCs w:val="21"/>
          <w:shd w:val="clear" w:color="auto" w:fill="FFFFFF"/>
        </w:rPr>
      </w:pPr>
    </w:p>
    <w:p w:rsidR="00452A6C" w:rsidRPr="00452A6C" w:rsidRDefault="00452A6C" w:rsidP="00452A6C">
      <w:pPr>
        <w:rPr>
          <w:rFonts w:ascii="Arial" w:hAnsi="Arial" w:cs="Arial"/>
          <w:color w:val="E20000"/>
          <w:sz w:val="27"/>
          <w:szCs w:val="27"/>
        </w:rPr>
      </w:pPr>
      <w:bookmarkStart w:id="0" w:name="_GoBack"/>
      <w:bookmarkEnd w:id="0"/>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p w:rsidR="00452A6C" w:rsidRPr="00452A6C" w:rsidRDefault="00452A6C" w:rsidP="00452A6C">
      <w:pPr>
        <w:rPr>
          <w:rFonts w:ascii="Arial" w:hAnsi="Arial" w:cs="Arial"/>
          <w:color w:val="E20000"/>
          <w:sz w:val="27"/>
          <w:szCs w:val="27"/>
        </w:rPr>
      </w:pPr>
    </w:p>
    <w:p w:rsidR="00452A6C" w:rsidRPr="00452A6C" w:rsidRDefault="00452A6C" w:rsidP="00452A6C">
      <w:pPr>
        <w:rPr>
          <w:color w:val="E20000"/>
          <w:sz w:val="27"/>
          <w:szCs w:val="27"/>
        </w:rPr>
      </w:pPr>
    </w:p>
    <w:sectPr w:rsidR="00452A6C" w:rsidRPr="00452A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8D2"/>
    <w:multiLevelType w:val="hybridMultilevel"/>
    <w:tmpl w:val="46EAEA58"/>
    <w:lvl w:ilvl="0" w:tplc="F9387C0A">
      <w:start w:val="1"/>
      <w:numFmt w:val="upperRoman"/>
      <w:lvlText w:val="%1."/>
      <w:lvlJc w:val="right"/>
      <w:pPr>
        <w:ind w:left="107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6C"/>
    <w:rsid w:val="001311F6"/>
    <w:rsid w:val="0041691F"/>
    <w:rsid w:val="00452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A6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6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A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2018-08-10T20:23:00Z</dcterms:created>
  <dcterms:modified xsi:type="dcterms:W3CDTF">2018-08-10T20:25:00Z</dcterms:modified>
</cp:coreProperties>
</file>