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B3" w:rsidRPr="007E7739" w:rsidRDefault="00154EB3" w:rsidP="00154EB3">
      <w:pPr>
        <w:pStyle w:val="Sinespaciado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154EB3" w:rsidRDefault="00154EB3" w:rsidP="00154EB3">
      <w:pPr>
        <w:pStyle w:val="Prrafodelista"/>
        <w:tabs>
          <w:tab w:val="left" w:pos="567"/>
          <w:tab w:val="left" w:pos="2493"/>
        </w:tabs>
        <w:ind w:left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154EB3" w:rsidRPr="00154EB3" w:rsidRDefault="00154EB3" w:rsidP="00154EB3">
      <w:pPr>
        <w:pStyle w:val="Prrafodelista"/>
        <w:tabs>
          <w:tab w:val="left" w:pos="567"/>
          <w:tab w:val="left" w:pos="2493"/>
        </w:tabs>
        <w:ind w:left="567"/>
        <w:jc w:val="both"/>
        <w:rPr>
          <w:rFonts w:ascii="Arial" w:hAnsi="Arial" w:cs="Arial"/>
          <w:color w:val="C00000"/>
          <w:sz w:val="27"/>
          <w:szCs w:val="27"/>
        </w:rPr>
      </w:pPr>
    </w:p>
    <w:p w:rsidR="00154EB3" w:rsidRDefault="00154EB3" w:rsidP="00154EB3">
      <w:pPr>
        <w:tabs>
          <w:tab w:val="left" w:pos="567"/>
          <w:tab w:val="left" w:pos="2493"/>
        </w:tabs>
        <w:jc w:val="both"/>
        <w:rPr>
          <w:rFonts w:ascii="Arial" w:hAnsi="Arial" w:cs="Arial"/>
          <w:bCs/>
          <w:color w:val="C00000"/>
          <w:sz w:val="27"/>
          <w:szCs w:val="27"/>
        </w:rPr>
      </w:pPr>
      <w:r w:rsidRPr="00154EB3">
        <w:rPr>
          <w:rFonts w:ascii="Arial" w:hAnsi="Arial" w:cs="Arial"/>
          <w:bCs/>
          <w:color w:val="C00000"/>
          <w:sz w:val="27"/>
          <w:szCs w:val="27"/>
        </w:rPr>
        <w:t>DIRECCIÓN DE LO CONTENCIOSO</w:t>
      </w:r>
    </w:p>
    <w:p w:rsidR="00154EB3" w:rsidRPr="00154EB3" w:rsidRDefault="00154EB3" w:rsidP="00154EB3">
      <w:pPr>
        <w:tabs>
          <w:tab w:val="left" w:pos="567"/>
          <w:tab w:val="left" w:pos="2493"/>
        </w:tabs>
        <w:jc w:val="both"/>
        <w:rPr>
          <w:rFonts w:ascii="Arial" w:hAnsi="Arial" w:cs="Arial"/>
          <w:color w:val="C00000"/>
          <w:sz w:val="27"/>
          <w:szCs w:val="27"/>
        </w:rPr>
      </w:pPr>
      <w:bookmarkStart w:id="0" w:name="_GoBack"/>
      <w:bookmarkEnd w:id="0"/>
    </w:p>
    <w:p w:rsidR="00154EB3" w:rsidRPr="007E7739" w:rsidRDefault="00154EB3" w:rsidP="00154EB3">
      <w:pPr>
        <w:pStyle w:val="Prrafodelista"/>
        <w:tabs>
          <w:tab w:val="left" w:pos="1134"/>
        </w:tabs>
        <w:ind w:left="0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40.</w:t>
      </w:r>
      <w:r w:rsidRPr="007E7739">
        <w:rPr>
          <w:rFonts w:ascii="Arial" w:hAnsi="Arial" w:cs="Arial"/>
          <w:bCs/>
          <w:sz w:val="19"/>
          <w:szCs w:val="19"/>
        </w:rPr>
        <w:t xml:space="preserve"> La Dirección de lo Contencioso contará con un Director que dependerá directamente del Procurador Fiscal, quien se auxiliará de los Jefes de Departamentos de: Juicios y Recursos; Procedimientos Administrativos, y Consultas, Solicitudes y Notificaciones,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con el presupuesto autorizado y cuyas funciones serán indicadas en el Manual de Organización de la Secretaría, quien tendrá las siguientes facultades:</w:t>
      </w:r>
    </w:p>
    <w:p w:rsidR="00154EB3" w:rsidRPr="007E7739" w:rsidRDefault="00154EB3" w:rsidP="00154EB3">
      <w:pPr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  <w:lang w:val="pt-BR"/>
        </w:rPr>
        <w:t xml:space="preserve">Representar juridicamente y </w:t>
      </w:r>
      <w:r w:rsidRPr="007E7739">
        <w:rPr>
          <w:rFonts w:ascii="Arial" w:hAnsi="Arial" w:cs="Arial"/>
          <w:sz w:val="19"/>
          <w:szCs w:val="19"/>
        </w:rPr>
        <w:t>asumir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 </w:t>
      </w:r>
      <w:proofErr w:type="gramStart"/>
      <w:r w:rsidRPr="007E7739">
        <w:rPr>
          <w:rFonts w:ascii="Arial" w:hAnsi="Arial" w:cs="Arial"/>
          <w:sz w:val="19"/>
          <w:szCs w:val="19"/>
        </w:rPr>
        <w:t>la</w:t>
      </w:r>
      <w:proofErr w:type="gramEnd"/>
      <w:r w:rsidRPr="007E7739">
        <w:rPr>
          <w:rFonts w:ascii="Arial" w:hAnsi="Arial" w:cs="Arial"/>
          <w:sz w:val="19"/>
          <w:szCs w:val="19"/>
          <w:lang w:val="pt-BR"/>
        </w:rPr>
        <w:t xml:space="preserve"> defensa legal de </w:t>
      </w:r>
      <w:r w:rsidRPr="007E7739">
        <w:rPr>
          <w:rFonts w:ascii="Arial" w:hAnsi="Arial" w:cs="Arial"/>
          <w:sz w:val="19"/>
          <w:szCs w:val="19"/>
        </w:rPr>
        <w:t>la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Secretaría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 y de sus áreas administrativas </w:t>
      </w:r>
      <w:r w:rsidRPr="007E7739">
        <w:rPr>
          <w:rFonts w:ascii="Arial" w:hAnsi="Arial" w:cs="Arial"/>
          <w:sz w:val="19"/>
          <w:szCs w:val="19"/>
        </w:rPr>
        <w:t>en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los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juicios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 de </w:t>
      </w:r>
      <w:r w:rsidRPr="007E7739">
        <w:rPr>
          <w:rFonts w:ascii="Arial" w:hAnsi="Arial" w:cs="Arial"/>
          <w:sz w:val="19"/>
          <w:szCs w:val="19"/>
        </w:rPr>
        <w:t>cualquier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naturaleza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, </w:t>
      </w:r>
      <w:r w:rsidRPr="007E7739">
        <w:rPr>
          <w:rFonts w:ascii="Arial" w:hAnsi="Arial" w:cs="Arial"/>
          <w:sz w:val="19"/>
          <w:szCs w:val="19"/>
        </w:rPr>
        <w:t>ejercitando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 </w:t>
      </w:r>
      <w:proofErr w:type="spellStart"/>
      <w:r w:rsidRPr="007E7739">
        <w:rPr>
          <w:rFonts w:ascii="Arial" w:hAnsi="Arial" w:cs="Arial"/>
          <w:sz w:val="19"/>
          <w:szCs w:val="19"/>
          <w:lang w:val="pt-BR"/>
        </w:rPr>
        <w:t>las</w:t>
      </w:r>
      <w:proofErr w:type="spellEnd"/>
      <w:r w:rsidRPr="007E7739">
        <w:rPr>
          <w:rFonts w:ascii="Arial" w:hAnsi="Arial" w:cs="Arial"/>
          <w:sz w:val="19"/>
          <w:szCs w:val="19"/>
          <w:lang w:val="pt-BR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>acciones</w:t>
      </w:r>
      <w:r w:rsidRPr="007E7739">
        <w:rPr>
          <w:rFonts w:ascii="Arial" w:hAnsi="Arial" w:cs="Arial"/>
          <w:sz w:val="19"/>
          <w:szCs w:val="19"/>
          <w:lang w:val="pt-BR"/>
        </w:rPr>
        <w:t xml:space="preserve">, excepciones y defensas procedentes;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pt-BR"/>
        </w:rPr>
      </w:pPr>
    </w:p>
    <w:p w:rsidR="00154EB3" w:rsidRPr="007E7739" w:rsidRDefault="00154EB3" w:rsidP="00154EB3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Asimismo, ejercer la representación legal de la Secretaría, ante todo tipo de autoridades judiciales, administrativas y militares en los procesos y procedimientos de toda índole, ya sea en el ámbito federal, estatal o municipal; así como ante personas físicas, unidades económicas o personas morales;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Solicitar a las y los servidores y fedatarios públicos, personas físicas y morales, informes, datos y documentos que posean con motivo de sus facultades, en los casos en que deba salvaguardarse los intereses de la Hacienda pública;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Requerir informes, documentos, datos y cualquier otro medio que se necesiten con motivo de la defensa de la Hacienda pública o de los derivados de la coordinación con la federación, a las áreas administrativas;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Coordinarse con diversas instituciones de la Administración Pública Federal y Estatal para la designación de peritos;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Resolver los medios de defensa previstos en la legislación fiscal estatal, respecto de los actos competencia de la Secretaría en materia fiscal estatal;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Resolver los recursos administrativos hechos valer contra actos o resoluciones que emita la Secretaría;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Ejercer las atribuciones derivadas de los convenios de colaboración;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periódicamente al Procurador Fiscal, sobre los medios de defensa interpuestos en contra de la Secretaría;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Informar al Procurador Fiscal sobre posibles hechos, actos u omisiones que puedan constituir delitos de las y los servidores públicos de la Secretaría en el desempeño de sus funciones, allegándose de elementos probatorios del caso, dando la intervención que corresponda a la Contraloría;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Coadyuvar con la Contraloría en los procedimientos de responsabilidad administrativa; así como auxiliar al servidor público facultado en la ejecución de las sanciones administrativas impuestas a las y los servidores públicos de la Secretaría;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Presentar la denuncia o querella correspondiente cuando exista la presunción de la comisión de delitos y dar seguimiento a los procesos penales relativos a hechos delictuosos;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Coadyuvar con el Ministerio Público Federal o Estatal, según sea el caso, en representación de la Secretaría, en los procesos penales;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lastRenderedPageBreak/>
        <w:t>Suscribir la cancelación de garantías provenientes de la Administración pública de conformidad con las disposiciones aplicables;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Requerir el pago de las garantías consignadas en las pólizas de fianza, cheque certificado y/o billete de depósito, en caso de incumplimiento de los fiados, en materia de obra pública, adquisiciones y prestación de servicios; </w:t>
      </w:r>
    </w:p>
    <w:p w:rsidR="00154EB3" w:rsidRPr="007E7739" w:rsidRDefault="00154EB3" w:rsidP="00154EB3">
      <w:pPr>
        <w:pStyle w:val="Prrafodelista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Solicitar a la Administración pública, la información y documentación necesaria para formular la cancelación o efectividad de garantías otorgadas a favor de la Secretaría que garanticen obligaciones no fiscales, y devolución de la documentación en su caso;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Solicitar a la Comisión Nacional de Seguros y Fianzas, el remate de valores propiedad de las compañías afianzadoras, suficientes para cubrir las obligaciones exigibles no pagadas;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Representar a la Secretaría en las controversias relativas a los derechos humanos, en toda clase de investigaciones y procedimientos administrativos tramitados por las instancias a cargo de la defensa de los derechos humanos;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Requerir documentos, datos e informes que sean necesarios para resolver las consultas, solicitudes de condonaciones, reconsideraciones, revisiones y recursos administrativos que los contribuyentes, responsables solidarios o terceros con ellos relacionados, planteen ante la Secretaría;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las resoluciones de prescripción de los créditos fiscales a solicitud de los contribuyentes, y la caducidad de las facultades de la autoridad para comprobar el cumplimiento de las disposiciones fiscales;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la procedencia o improcedencia de condonación de créditos fiscales, multas por infracciones a las disposiciones legales estatales, reconsideraciones y revisiones administrativas que se soliciten a la Secretaría;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Resolver las consultas planteadas por personas físicas, morales o unidades económicas sobre la interpretación y aplicación de las disposiciones en materia fiscal estatal;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Supervisar la realización de las notificaciones de los actos y resoluciones y, en su caso, solicitar de las demás autoridades fiscales que las mismas se lleven a cabo en los términos de las disposiciones legales aplicables;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Resolver las solicitudes de inscripción al registro de representantes legales; </w:t>
      </w:r>
    </w:p>
    <w:p w:rsidR="00154EB3" w:rsidRPr="007E7739" w:rsidRDefault="00154EB3" w:rsidP="00154EB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54EB3" w:rsidRPr="007E7739" w:rsidRDefault="00154EB3" w:rsidP="00154EB3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a la Consejería Jurídica del Gobierno del Estado los informes relativos a controversias constitucionales y revisiones fiscales relacionados con la Hacienda pública;</w:t>
      </w:r>
    </w:p>
    <w:p w:rsidR="00154EB3" w:rsidRPr="007E7739" w:rsidRDefault="00154EB3" w:rsidP="00154EB3">
      <w:pPr>
        <w:pStyle w:val="Sinespaciado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154EB3" w:rsidRPr="007E7739" w:rsidRDefault="00154EB3" w:rsidP="00154EB3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Substanciar y resolver la rescisión administrativa de los contratos que las áreas administrativas hubieren suscrito en el ámbito de su competencia;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154EB3" w:rsidRPr="007E7739" w:rsidRDefault="00154EB3" w:rsidP="00154EB3">
      <w:pPr>
        <w:pStyle w:val="Sinespaciado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154EB3" w:rsidRPr="007E7739" w:rsidRDefault="00154EB3" w:rsidP="00154EB3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Suscribir el acuerdo por el que se ordena las notificaciones por estrados y en la página web de la Secretaría, y</w:t>
      </w:r>
    </w:p>
    <w:p w:rsidR="00154EB3" w:rsidRPr="007E7739" w:rsidRDefault="00154EB3" w:rsidP="00154EB3">
      <w:pPr>
        <w:pStyle w:val="Sinespaciado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</w:p>
    <w:p w:rsidR="001311F6" w:rsidRDefault="00154EB3" w:rsidP="00154EB3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 Las demás que le confiera este Reglamento y demás disposiciones normativas aplicables, así como, las que expresamente le sean conferidas por su superior jerárquico</w:t>
      </w:r>
      <w:r>
        <w:rPr>
          <w:rFonts w:ascii="Arial" w:hAnsi="Arial" w:cs="Arial"/>
          <w:sz w:val="19"/>
          <w:szCs w:val="19"/>
        </w:rPr>
        <w:t>.</w:t>
      </w:r>
    </w:p>
    <w:p w:rsidR="00154EB3" w:rsidRDefault="00154EB3" w:rsidP="00154EB3">
      <w:pPr>
        <w:rPr>
          <w:rFonts w:ascii="Arial" w:hAnsi="Arial" w:cs="Arial"/>
          <w:sz w:val="19"/>
          <w:szCs w:val="19"/>
        </w:rPr>
      </w:pPr>
    </w:p>
    <w:p w:rsidR="00154EB3" w:rsidRDefault="00154EB3" w:rsidP="00154EB3">
      <w:pPr>
        <w:rPr>
          <w:rFonts w:ascii="Arial" w:hAnsi="Arial" w:cs="Arial"/>
          <w:sz w:val="19"/>
          <w:szCs w:val="19"/>
        </w:rPr>
      </w:pPr>
    </w:p>
    <w:p w:rsidR="00154EB3" w:rsidRDefault="00154EB3" w:rsidP="00154EB3">
      <w:pPr>
        <w:rPr>
          <w:rFonts w:ascii="Arial" w:hAnsi="Arial" w:cs="Arial"/>
          <w:sz w:val="19"/>
          <w:szCs w:val="19"/>
        </w:rPr>
      </w:pPr>
    </w:p>
    <w:p w:rsidR="00154EB3" w:rsidRPr="00154EB3" w:rsidRDefault="00154EB3" w:rsidP="00154EB3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154EB3" w:rsidRPr="00154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108F"/>
    <w:multiLevelType w:val="hybridMultilevel"/>
    <w:tmpl w:val="5390484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0180"/>
    <w:multiLevelType w:val="hybridMultilevel"/>
    <w:tmpl w:val="5980ED80"/>
    <w:lvl w:ilvl="0" w:tplc="C61834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3"/>
    <w:rsid w:val="001311F6"/>
    <w:rsid w:val="00154EB3"/>
    <w:rsid w:val="004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54E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154EB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4E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54E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154EB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4E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2018-08-13T15:56:00Z</dcterms:created>
  <dcterms:modified xsi:type="dcterms:W3CDTF">2018-08-13T15:58:00Z</dcterms:modified>
</cp:coreProperties>
</file>