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F6" w:rsidRDefault="00146C05" w:rsidP="00146C05">
      <w:pPr>
        <w:tabs>
          <w:tab w:val="left" w:pos="8103"/>
        </w:tabs>
      </w:pPr>
      <w:r>
        <w:tab/>
      </w:r>
    </w:p>
    <w:p w:rsidR="00146C05" w:rsidRDefault="00146C05" w:rsidP="00146C05">
      <w:pPr>
        <w:tabs>
          <w:tab w:val="left" w:pos="8103"/>
        </w:tabs>
      </w:pPr>
    </w:p>
    <w:p w:rsidR="00146C05" w:rsidRDefault="00146C05"/>
    <w:p w:rsidR="00146C05" w:rsidRDefault="00146C05" w:rsidP="00146C05">
      <w:pPr>
        <w:tabs>
          <w:tab w:val="center" w:pos="4394"/>
          <w:tab w:val="left" w:pos="8001"/>
        </w:tabs>
        <w:jc w:val="center"/>
        <w:outlineLvl w:val="0"/>
        <w:rPr>
          <w:rFonts w:ascii="Arial" w:hAnsi="Arial" w:cs="Arial"/>
          <w:b/>
          <w:bCs/>
          <w:color w:val="C00000"/>
          <w:sz w:val="27"/>
          <w:szCs w:val="27"/>
        </w:rPr>
      </w:pPr>
      <w:r w:rsidRPr="00146C05">
        <w:rPr>
          <w:rFonts w:ascii="Arial" w:hAnsi="Arial" w:cs="Arial"/>
          <w:b/>
          <w:bCs/>
          <w:color w:val="C00000"/>
          <w:sz w:val="27"/>
          <w:szCs w:val="27"/>
        </w:rPr>
        <w:t>DIRECCIÓN DE PROGRAMACIÓN DE LA INVERSIÓN PÚBLICA</w:t>
      </w:r>
    </w:p>
    <w:p w:rsidR="00146C05" w:rsidRPr="00146C05" w:rsidRDefault="00146C05" w:rsidP="00146C05">
      <w:pPr>
        <w:tabs>
          <w:tab w:val="center" w:pos="4394"/>
          <w:tab w:val="left" w:pos="8001"/>
        </w:tabs>
        <w:jc w:val="center"/>
        <w:outlineLvl w:val="0"/>
        <w:rPr>
          <w:rFonts w:ascii="Arial" w:hAnsi="Arial" w:cs="Arial"/>
          <w:b/>
          <w:bCs/>
          <w:color w:val="C00000"/>
          <w:sz w:val="27"/>
          <w:szCs w:val="27"/>
        </w:rPr>
      </w:pPr>
    </w:p>
    <w:p w:rsidR="00146C05" w:rsidRPr="007E7739" w:rsidRDefault="00146C05" w:rsidP="00146C05">
      <w:pPr>
        <w:tabs>
          <w:tab w:val="center" w:pos="4394"/>
          <w:tab w:val="left" w:pos="8001"/>
        </w:tabs>
        <w:jc w:val="both"/>
        <w:outlineLvl w:val="0"/>
        <w:rPr>
          <w:rFonts w:ascii="Arial" w:hAnsi="Arial" w:cs="Arial"/>
          <w:b/>
          <w:bCs/>
          <w:sz w:val="19"/>
          <w:szCs w:val="19"/>
        </w:rPr>
      </w:pPr>
    </w:p>
    <w:p w:rsidR="00146C05" w:rsidRPr="007E7739" w:rsidRDefault="00146C05" w:rsidP="00146C05">
      <w:pPr>
        <w:jc w:val="both"/>
        <w:rPr>
          <w:rFonts w:ascii="Arial" w:hAnsi="Arial" w:cs="Arial"/>
          <w:sz w:val="19"/>
          <w:szCs w:val="19"/>
        </w:rPr>
      </w:pPr>
      <w:r w:rsidRPr="007E7739">
        <w:rPr>
          <w:rFonts w:ascii="Arial" w:hAnsi="Arial" w:cs="Arial"/>
          <w:b/>
          <w:bCs/>
          <w:sz w:val="19"/>
          <w:szCs w:val="19"/>
        </w:rPr>
        <w:t xml:space="preserve">Artículo 48. </w:t>
      </w:r>
      <w:r w:rsidRPr="007E7739">
        <w:rPr>
          <w:rFonts w:ascii="Arial" w:hAnsi="Arial" w:cs="Arial"/>
          <w:bCs/>
          <w:sz w:val="19"/>
          <w:szCs w:val="19"/>
        </w:rPr>
        <w:t>La</w:t>
      </w:r>
      <w:r w:rsidRPr="007E7739">
        <w:rPr>
          <w:rFonts w:ascii="Arial" w:hAnsi="Arial" w:cs="Arial"/>
          <w:b/>
          <w:bCs/>
          <w:sz w:val="19"/>
          <w:szCs w:val="19"/>
        </w:rPr>
        <w:t xml:space="preserve"> </w:t>
      </w:r>
      <w:r w:rsidRPr="007E7739">
        <w:rPr>
          <w:rFonts w:ascii="Arial" w:hAnsi="Arial" w:cs="Arial"/>
          <w:sz w:val="19"/>
          <w:szCs w:val="19"/>
          <w:lang w:eastAsia="es-MX"/>
        </w:rPr>
        <w:t>Dirección de Programación de la Inversión Pública, contará con un Director que dependerá directamente del Subsecretario de Planeación e Inversión Pública</w:t>
      </w:r>
      <w:r w:rsidRPr="007E7739">
        <w:rPr>
          <w:rFonts w:ascii="Arial" w:hAnsi="Arial" w:cs="Arial"/>
          <w:sz w:val="19"/>
          <w:szCs w:val="19"/>
        </w:rPr>
        <w:t>, quien para el ejercicio de sus funciones se auxiliará de</w:t>
      </w:r>
      <w:r w:rsidRPr="007E7739">
        <w:rPr>
          <w:rFonts w:ascii="Arial" w:hAnsi="Arial" w:cs="Arial"/>
          <w:sz w:val="19"/>
          <w:szCs w:val="19"/>
          <w:lang w:eastAsia="es-MX"/>
        </w:rPr>
        <w:t xml:space="preserve"> los Coordinadores de: Programación y Control Sectorial, y Programación y Control Municipal y Regional; </w:t>
      </w:r>
      <w:r w:rsidRPr="007E7739">
        <w:rPr>
          <w:rFonts w:ascii="Arial" w:hAnsi="Arial" w:cs="Arial"/>
          <w:sz w:val="19"/>
          <w:szCs w:val="19"/>
        </w:rPr>
        <w:t>Jefes de departamentos, y de  los demás servidores públicos que las necesidades del servicio requieran, de acuerdo con el presupuesto autorizado y cuyas funciones serán indicadas en el Manual de Organización de la Secretaría, quien tendrá las siguientes facultades:</w:t>
      </w:r>
    </w:p>
    <w:p w:rsidR="00146C05" w:rsidRPr="007E7739" w:rsidRDefault="00146C05" w:rsidP="00146C05">
      <w:pPr>
        <w:jc w:val="both"/>
        <w:rPr>
          <w:rFonts w:ascii="Arial" w:hAnsi="Arial" w:cs="Arial"/>
          <w:sz w:val="19"/>
          <w:szCs w:val="19"/>
        </w:rPr>
      </w:pPr>
    </w:p>
    <w:p w:rsidR="00146C05" w:rsidRPr="007E7739" w:rsidRDefault="00146C05" w:rsidP="00146C05">
      <w:pPr>
        <w:numPr>
          <w:ilvl w:val="0"/>
          <w:numId w:val="1"/>
        </w:numPr>
        <w:tabs>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Participar en el diseño, desarrollo y actualización de la normatividad aplicable en materia de programación del gasto de inversión;</w:t>
      </w:r>
    </w:p>
    <w:p w:rsidR="00146C05" w:rsidRPr="007E7739" w:rsidRDefault="00146C05" w:rsidP="00146C05">
      <w:pPr>
        <w:tabs>
          <w:tab w:val="left" w:pos="567"/>
        </w:tabs>
        <w:ind w:left="567" w:hanging="294"/>
        <w:jc w:val="both"/>
        <w:rPr>
          <w:rFonts w:ascii="Arial" w:hAnsi="Arial" w:cs="Arial"/>
          <w:sz w:val="19"/>
          <w:szCs w:val="19"/>
          <w:lang w:eastAsia="es-MX"/>
        </w:rPr>
      </w:pPr>
    </w:p>
    <w:p w:rsidR="00146C05" w:rsidRPr="007E7739" w:rsidRDefault="00146C05" w:rsidP="00146C05">
      <w:pPr>
        <w:numPr>
          <w:ilvl w:val="0"/>
          <w:numId w:val="1"/>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 xml:space="preserve">Proponer al Subsecretario </w:t>
      </w:r>
      <w:r w:rsidRPr="007E7739">
        <w:rPr>
          <w:rFonts w:ascii="Arial" w:hAnsi="Arial" w:cs="Arial"/>
          <w:sz w:val="19"/>
          <w:szCs w:val="19"/>
          <w:lang w:eastAsia="es-MX"/>
        </w:rPr>
        <w:t>de Planeación e Inversión Pública</w:t>
      </w:r>
      <w:r w:rsidRPr="007E7739">
        <w:rPr>
          <w:rFonts w:ascii="Arial" w:hAnsi="Arial" w:cs="Arial"/>
          <w:bCs/>
          <w:sz w:val="19"/>
          <w:szCs w:val="19"/>
        </w:rPr>
        <w:t xml:space="preserve"> el plan anual y/o plurianual de inversión pública con PIP registrados en el BPIP, para su integración al proyecto de Presupuesto de Egresos</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146C05" w:rsidRPr="007E7739" w:rsidRDefault="00146C05" w:rsidP="00146C05">
      <w:pPr>
        <w:tabs>
          <w:tab w:val="left" w:pos="567"/>
        </w:tabs>
        <w:ind w:left="567"/>
        <w:jc w:val="both"/>
        <w:rPr>
          <w:rFonts w:ascii="Arial" w:hAnsi="Arial" w:cs="Arial"/>
          <w:sz w:val="19"/>
          <w:szCs w:val="19"/>
          <w:lang w:eastAsia="es-MX"/>
        </w:rPr>
      </w:pPr>
    </w:p>
    <w:p w:rsidR="00146C05" w:rsidRPr="007E7739" w:rsidRDefault="00146C05" w:rsidP="00146C05">
      <w:pPr>
        <w:numPr>
          <w:ilvl w:val="0"/>
          <w:numId w:val="1"/>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Supervisar la difusión y asesoría a dependencias, entidades y municipios respecto a los procesos de programación, autorización y adecuaciones presupuestarias relacionadas con los PIP;</w:t>
      </w:r>
    </w:p>
    <w:p w:rsidR="00146C05" w:rsidRPr="007E7739" w:rsidRDefault="00146C05" w:rsidP="00146C05">
      <w:pPr>
        <w:tabs>
          <w:tab w:val="left" w:pos="567"/>
        </w:tabs>
        <w:ind w:left="567" w:hanging="294"/>
        <w:jc w:val="both"/>
        <w:rPr>
          <w:rFonts w:ascii="Arial" w:hAnsi="Arial" w:cs="Arial"/>
          <w:sz w:val="19"/>
          <w:szCs w:val="19"/>
          <w:lang w:eastAsia="es-MX"/>
        </w:rPr>
      </w:pPr>
    </w:p>
    <w:p w:rsidR="00146C05" w:rsidRPr="007E7739" w:rsidRDefault="00146C05" w:rsidP="00146C05">
      <w:pPr>
        <w:numPr>
          <w:ilvl w:val="0"/>
          <w:numId w:val="1"/>
        </w:numPr>
        <w:tabs>
          <w:tab w:val="left" w:pos="567"/>
        </w:tabs>
        <w:ind w:left="567" w:hanging="294"/>
        <w:jc w:val="both"/>
        <w:rPr>
          <w:rFonts w:ascii="Arial" w:hAnsi="Arial" w:cs="Arial"/>
          <w:sz w:val="19"/>
          <w:szCs w:val="19"/>
          <w:lang w:val="es-ES_tradnl"/>
        </w:rPr>
      </w:pPr>
      <w:r w:rsidRPr="007E7739">
        <w:rPr>
          <w:rFonts w:ascii="Arial" w:hAnsi="Arial" w:cs="Arial"/>
          <w:sz w:val="19"/>
          <w:szCs w:val="19"/>
          <w:lang w:val="es-ES_tradnl"/>
        </w:rPr>
        <w:t xml:space="preserve">Supervisar que se lleve a cabo el control de las asignaciones presupuestales de las fuentes de financiamiento federal y estatal y afectaciones conforme a los proyectos de inversión autorizados; </w:t>
      </w:r>
    </w:p>
    <w:p w:rsidR="00146C05" w:rsidRPr="007E7739" w:rsidRDefault="00146C05" w:rsidP="00146C05">
      <w:pPr>
        <w:tabs>
          <w:tab w:val="left" w:pos="567"/>
        </w:tabs>
        <w:ind w:left="567" w:hanging="294"/>
        <w:jc w:val="both"/>
        <w:rPr>
          <w:rFonts w:ascii="Arial" w:hAnsi="Arial" w:cs="Arial"/>
          <w:sz w:val="19"/>
          <w:szCs w:val="19"/>
          <w:lang w:val="es-ES_tradnl"/>
        </w:rPr>
      </w:pPr>
    </w:p>
    <w:p w:rsidR="00146C05" w:rsidRPr="007E7739" w:rsidRDefault="00146C05" w:rsidP="00146C05">
      <w:pPr>
        <w:numPr>
          <w:ilvl w:val="0"/>
          <w:numId w:val="1"/>
        </w:numPr>
        <w:tabs>
          <w:tab w:val="left" w:pos="567"/>
        </w:tabs>
        <w:ind w:left="567" w:hanging="294"/>
        <w:jc w:val="both"/>
        <w:rPr>
          <w:rFonts w:ascii="Arial" w:hAnsi="Arial" w:cs="Arial"/>
          <w:sz w:val="19"/>
          <w:szCs w:val="19"/>
          <w:lang w:eastAsia="es-MX"/>
        </w:rPr>
      </w:pPr>
      <w:r w:rsidRPr="007E7739">
        <w:rPr>
          <w:rFonts w:ascii="Arial" w:hAnsi="Arial" w:cs="Arial"/>
          <w:sz w:val="19"/>
          <w:szCs w:val="19"/>
          <w:lang w:val="es-ES_tradnl"/>
        </w:rPr>
        <w:t xml:space="preserve">Proponer al Subsecretario </w:t>
      </w:r>
      <w:r w:rsidRPr="007E7739">
        <w:rPr>
          <w:rFonts w:ascii="Arial" w:hAnsi="Arial" w:cs="Arial"/>
          <w:bCs/>
          <w:sz w:val="19"/>
          <w:szCs w:val="19"/>
        </w:rPr>
        <w:t>de Planeación e Inversión Pública</w:t>
      </w:r>
      <w:r w:rsidRPr="007E7739">
        <w:rPr>
          <w:rFonts w:ascii="Arial" w:hAnsi="Arial" w:cs="Arial"/>
          <w:sz w:val="19"/>
          <w:szCs w:val="19"/>
          <w:lang w:val="es-ES_tradnl"/>
        </w:rPr>
        <w:t xml:space="preserve"> el financiamiento de los PIP de acuerdo a la disponibilidad financiera y presupuestaria;</w:t>
      </w:r>
    </w:p>
    <w:p w:rsidR="00146C05" w:rsidRPr="007E7739" w:rsidRDefault="00146C05" w:rsidP="00146C05">
      <w:pPr>
        <w:shd w:val="clear" w:color="auto" w:fill="FFFFFF"/>
        <w:tabs>
          <w:tab w:val="left" w:pos="567"/>
        </w:tabs>
        <w:ind w:left="567" w:hanging="294"/>
        <w:jc w:val="both"/>
        <w:rPr>
          <w:rFonts w:ascii="Arial" w:hAnsi="Arial" w:cs="Arial"/>
          <w:sz w:val="19"/>
          <w:szCs w:val="19"/>
          <w:lang w:val="es-ES_tradnl"/>
        </w:rPr>
      </w:pPr>
    </w:p>
    <w:p w:rsidR="00146C05" w:rsidRPr="007E7739" w:rsidRDefault="00146C05" w:rsidP="00146C05">
      <w:pPr>
        <w:numPr>
          <w:ilvl w:val="0"/>
          <w:numId w:val="1"/>
        </w:numPr>
        <w:tabs>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 xml:space="preserve">Presentar para suscripción del Subsecretario </w:t>
      </w:r>
      <w:r w:rsidRPr="007E7739">
        <w:rPr>
          <w:rFonts w:ascii="Arial" w:hAnsi="Arial" w:cs="Arial"/>
          <w:bCs/>
          <w:sz w:val="19"/>
          <w:szCs w:val="19"/>
        </w:rPr>
        <w:t>de Planeación e Inversión Pública</w:t>
      </w:r>
      <w:r w:rsidRPr="007E7739">
        <w:rPr>
          <w:rFonts w:ascii="Arial" w:hAnsi="Arial" w:cs="Arial"/>
          <w:sz w:val="19"/>
          <w:szCs w:val="19"/>
          <w:lang w:eastAsia="es-MX"/>
        </w:rPr>
        <w:t xml:space="preserve"> las autorizaciones de los PIP;</w:t>
      </w:r>
    </w:p>
    <w:p w:rsidR="00146C05" w:rsidRPr="007E7739" w:rsidRDefault="00146C05" w:rsidP="00146C05">
      <w:pPr>
        <w:pStyle w:val="Prrafodelista"/>
        <w:rPr>
          <w:rFonts w:ascii="Arial" w:hAnsi="Arial" w:cs="Arial"/>
          <w:sz w:val="19"/>
          <w:szCs w:val="19"/>
          <w:lang w:eastAsia="es-MX"/>
        </w:rPr>
      </w:pPr>
    </w:p>
    <w:p w:rsidR="00146C05" w:rsidRPr="007E7739" w:rsidRDefault="00146C05" w:rsidP="00146C05">
      <w:pPr>
        <w:numPr>
          <w:ilvl w:val="0"/>
          <w:numId w:val="1"/>
        </w:numPr>
        <w:tabs>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Suscribir los trámites de adecuaciones presupuestarias de los PIP autorizados;</w:t>
      </w:r>
    </w:p>
    <w:p w:rsidR="00146C05" w:rsidRPr="007E7739" w:rsidRDefault="00146C05" w:rsidP="00146C05">
      <w:pPr>
        <w:tabs>
          <w:tab w:val="left" w:pos="567"/>
        </w:tabs>
        <w:ind w:left="567" w:hanging="294"/>
        <w:jc w:val="both"/>
        <w:rPr>
          <w:rFonts w:ascii="Arial" w:hAnsi="Arial" w:cs="Arial"/>
          <w:sz w:val="19"/>
          <w:szCs w:val="19"/>
          <w:lang w:eastAsia="es-MX"/>
        </w:rPr>
      </w:pPr>
    </w:p>
    <w:p w:rsidR="00146C05" w:rsidRPr="007E7739" w:rsidRDefault="00146C05" w:rsidP="00146C05">
      <w:pPr>
        <w:numPr>
          <w:ilvl w:val="0"/>
          <w:numId w:val="1"/>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Vigilar que se realicen los reportes de la situación de la inversión pública autorizada</w:t>
      </w:r>
      <w:r w:rsidRPr="007E7739">
        <w:rPr>
          <w:rFonts w:ascii="Arial" w:hAnsi="Arial" w:cs="Arial"/>
          <w:sz w:val="19"/>
          <w:szCs w:val="19"/>
          <w:lang w:eastAsia="es-MX"/>
        </w:rPr>
        <w:t>;</w:t>
      </w:r>
    </w:p>
    <w:p w:rsidR="00146C05" w:rsidRPr="007E7739" w:rsidRDefault="00146C05" w:rsidP="00146C05">
      <w:pPr>
        <w:tabs>
          <w:tab w:val="left" w:pos="567"/>
          <w:tab w:val="left" w:pos="1134"/>
        </w:tabs>
        <w:ind w:left="567" w:hanging="294"/>
        <w:jc w:val="both"/>
        <w:rPr>
          <w:rFonts w:ascii="Arial" w:hAnsi="Arial" w:cs="Arial"/>
          <w:sz w:val="19"/>
          <w:szCs w:val="19"/>
          <w:lang w:eastAsia="es-MX"/>
        </w:rPr>
      </w:pPr>
    </w:p>
    <w:p w:rsidR="00146C05" w:rsidRPr="007E7739" w:rsidRDefault="00146C05" w:rsidP="00146C05">
      <w:pPr>
        <w:numPr>
          <w:ilvl w:val="0"/>
          <w:numId w:val="1"/>
        </w:numPr>
        <w:tabs>
          <w:tab w:val="left" w:pos="567"/>
        </w:tabs>
        <w:autoSpaceDE w:val="0"/>
        <w:autoSpaceDN w:val="0"/>
        <w:adjustRightInd w:val="0"/>
        <w:ind w:left="567" w:hanging="294"/>
        <w:jc w:val="both"/>
        <w:rPr>
          <w:rFonts w:ascii="Arial" w:hAnsi="Arial" w:cs="Arial"/>
          <w:b/>
          <w:bCs/>
          <w:sz w:val="19"/>
          <w:szCs w:val="19"/>
        </w:rPr>
      </w:pPr>
      <w:r w:rsidRPr="007E7739">
        <w:rPr>
          <w:rFonts w:ascii="Arial" w:hAnsi="Arial" w:cs="Arial"/>
          <w:sz w:val="19"/>
          <w:szCs w:val="19"/>
        </w:rPr>
        <w:t>Realizar el cierre presupuestario con las áreas administrativas competentes de la Secretaría y los ejecutores de gasto de inversión para dar cumplimiento a la normatividad aplicable;</w:t>
      </w:r>
    </w:p>
    <w:p w:rsidR="00146C05" w:rsidRPr="007E7739" w:rsidRDefault="00146C05" w:rsidP="00146C05">
      <w:pPr>
        <w:tabs>
          <w:tab w:val="left" w:pos="567"/>
        </w:tabs>
        <w:autoSpaceDE w:val="0"/>
        <w:autoSpaceDN w:val="0"/>
        <w:adjustRightInd w:val="0"/>
        <w:ind w:left="567" w:hanging="294"/>
        <w:jc w:val="both"/>
        <w:rPr>
          <w:rFonts w:ascii="Arial" w:hAnsi="Arial" w:cs="Arial"/>
          <w:b/>
          <w:bCs/>
          <w:sz w:val="19"/>
          <w:szCs w:val="19"/>
        </w:rPr>
      </w:pPr>
    </w:p>
    <w:p w:rsidR="00146C05" w:rsidRPr="007E7739" w:rsidRDefault="00146C05" w:rsidP="00146C05">
      <w:pPr>
        <w:numPr>
          <w:ilvl w:val="0"/>
          <w:numId w:val="1"/>
        </w:numPr>
        <w:tabs>
          <w:tab w:val="left" w:pos="567"/>
        </w:tabs>
        <w:autoSpaceDE w:val="0"/>
        <w:autoSpaceDN w:val="0"/>
        <w:adjustRightInd w:val="0"/>
        <w:ind w:left="567" w:hanging="294"/>
        <w:jc w:val="both"/>
        <w:rPr>
          <w:rFonts w:ascii="Arial" w:hAnsi="Arial" w:cs="Arial"/>
          <w:bCs/>
          <w:sz w:val="19"/>
          <w:szCs w:val="19"/>
        </w:rPr>
      </w:pPr>
      <w:r w:rsidRPr="007E7739">
        <w:rPr>
          <w:rFonts w:ascii="Arial" w:hAnsi="Arial" w:cs="Arial"/>
          <w:bCs/>
          <w:sz w:val="19"/>
          <w:szCs w:val="19"/>
        </w:rPr>
        <w:t>Suscribir los oficios de reducción por economías presupuestarias de los PIP;</w:t>
      </w:r>
    </w:p>
    <w:p w:rsidR="00146C05" w:rsidRPr="007E7739" w:rsidRDefault="00146C05" w:rsidP="00146C05">
      <w:pPr>
        <w:tabs>
          <w:tab w:val="left" w:pos="567"/>
        </w:tabs>
        <w:autoSpaceDE w:val="0"/>
        <w:autoSpaceDN w:val="0"/>
        <w:adjustRightInd w:val="0"/>
        <w:ind w:left="567" w:hanging="294"/>
        <w:jc w:val="both"/>
        <w:rPr>
          <w:rFonts w:ascii="Arial" w:hAnsi="Arial" w:cs="Arial"/>
          <w:bCs/>
          <w:sz w:val="19"/>
          <w:szCs w:val="19"/>
        </w:rPr>
      </w:pPr>
    </w:p>
    <w:p w:rsidR="00146C05" w:rsidRPr="007E7739" w:rsidRDefault="00146C05" w:rsidP="00146C05">
      <w:pPr>
        <w:pStyle w:val="Prrafodelista"/>
        <w:numPr>
          <w:ilvl w:val="0"/>
          <w:numId w:val="1"/>
        </w:numPr>
        <w:tabs>
          <w:tab w:val="left" w:pos="567"/>
        </w:tabs>
        <w:ind w:left="567" w:hanging="294"/>
        <w:jc w:val="both"/>
        <w:rPr>
          <w:rFonts w:ascii="Arial" w:hAnsi="Arial" w:cs="Arial"/>
          <w:sz w:val="19"/>
          <w:szCs w:val="19"/>
        </w:rPr>
      </w:pPr>
      <w:r w:rsidRPr="007E7739">
        <w:rPr>
          <w:rFonts w:ascii="Arial" w:hAnsi="Arial" w:cs="Arial"/>
          <w:bCs/>
          <w:sz w:val="19"/>
          <w:szCs w:val="19"/>
        </w:rPr>
        <w:t>Realizar las gestiones ante las instancias competentes para la radicación de recursos públicos autorizados en el Presupuesto de Egresos de la Federación, así como realizar los trámites correspondientes para la firma de convenios adicionales para PIP;</w:t>
      </w:r>
    </w:p>
    <w:p w:rsidR="00146C05" w:rsidRPr="007E7739" w:rsidRDefault="00146C05" w:rsidP="00146C05">
      <w:pPr>
        <w:pStyle w:val="Prrafodelista"/>
        <w:tabs>
          <w:tab w:val="left" w:pos="567"/>
        </w:tabs>
        <w:ind w:left="567"/>
        <w:rPr>
          <w:rFonts w:ascii="Arial" w:hAnsi="Arial" w:cs="Arial"/>
          <w:sz w:val="19"/>
          <w:szCs w:val="19"/>
        </w:rPr>
      </w:pPr>
    </w:p>
    <w:p w:rsidR="00146C05" w:rsidRPr="007E7739" w:rsidRDefault="00146C05" w:rsidP="00146C05">
      <w:pPr>
        <w:pStyle w:val="Prrafodelista"/>
        <w:numPr>
          <w:ilvl w:val="0"/>
          <w:numId w:val="1"/>
        </w:numPr>
        <w:tabs>
          <w:tab w:val="left" w:pos="567"/>
        </w:tabs>
        <w:ind w:left="567" w:hanging="294"/>
        <w:jc w:val="both"/>
        <w:rPr>
          <w:rFonts w:ascii="Arial" w:hAnsi="Arial" w:cs="Arial"/>
          <w:sz w:val="19"/>
          <w:szCs w:val="19"/>
        </w:rPr>
      </w:pPr>
      <w:r w:rsidRPr="007E7739">
        <w:rPr>
          <w:rFonts w:ascii="Arial" w:hAnsi="Arial" w:cs="Arial"/>
          <w:sz w:val="19"/>
          <w:szCs w:val="19"/>
        </w:rPr>
        <w:t>Informar a los ejecutores de gasto de inversión las asignaciones presupuestarias dentro del Presupuesto de Egresos de la Federación publicado en el Diario Oficial de la Federación, y</w:t>
      </w:r>
    </w:p>
    <w:p w:rsidR="00146C05" w:rsidRPr="007E7739" w:rsidRDefault="00146C05" w:rsidP="00146C05">
      <w:pPr>
        <w:pStyle w:val="Prrafodelista"/>
        <w:tabs>
          <w:tab w:val="left" w:pos="567"/>
        </w:tabs>
        <w:ind w:left="567"/>
        <w:rPr>
          <w:rFonts w:ascii="Arial" w:hAnsi="Arial" w:cs="Arial"/>
          <w:bCs/>
          <w:sz w:val="19"/>
          <w:szCs w:val="19"/>
        </w:rPr>
      </w:pPr>
    </w:p>
    <w:p w:rsidR="00146C05" w:rsidRPr="00146C05" w:rsidRDefault="00146C05" w:rsidP="00146C05">
      <w:pPr>
        <w:pStyle w:val="Prrafodelista"/>
        <w:numPr>
          <w:ilvl w:val="0"/>
          <w:numId w:val="1"/>
        </w:numPr>
        <w:tabs>
          <w:tab w:val="left" w:pos="567"/>
        </w:tabs>
        <w:ind w:left="567" w:hanging="294"/>
        <w:jc w:val="both"/>
        <w:rPr>
          <w:rFonts w:ascii="Arial" w:hAnsi="Arial" w:cs="Arial"/>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p>
    <w:p w:rsidR="00146C05" w:rsidRPr="00146C05" w:rsidRDefault="00146C05" w:rsidP="00146C05">
      <w:pPr>
        <w:pStyle w:val="Prrafodelista"/>
        <w:rPr>
          <w:rFonts w:ascii="Arial" w:hAnsi="Arial" w:cs="Arial"/>
          <w:sz w:val="19"/>
          <w:szCs w:val="19"/>
        </w:rPr>
      </w:pPr>
    </w:p>
    <w:p w:rsidR="00146C05" w:rsidRPr="007E7739" w:rsidRDefault="00146C05" w:rsidP="00146C05">
      <w:pPr>
        <w:pStyle w:val="Prrafodelista"/>
        <w:tabs>
          <w:tab w:val="left" w:pos="567"/>
        </w:tabs>
        <w:ind w:left="567"/>
        <w:jc w:val="both"/>
        <w:rPr>
          <w:rFonts w:ascii="Arial" w:hAnsi="Arial" w:cs="Arial"/>
          <w:sz w:val="19"/>
          <w:szCs w:val="19"/>
        </w:rPr>
      </w:pPr>
      <w:bookmarkStart w:id="0" w:name="_GoBack"/>
      <w:bookmarkEnd w:id="0"/>
    </w:p>
    <w:p w:rsidR="00146C05" w:rsidRDefault="00146C05"/>
    <w:p w:rsidR="00146C05" w:rsidRDefault="00146C05">
      <w:r>
        <w:rPr>
          <w:rFonts w:ascii="Helvetica" w:hAnsi="Helvetica" w:cs="Helvetica"/>
          <w:color w:val="333333"/>
          <w:sz w:val="21"/>
          <w:szCs w:val="21"/>
          <w:shd w:val="clear" w:color="auto" w:fill="FFFFFF"/>
        </w:rPr>
        <w:t xml:space="preserve">Mayores informes a los teléfonos 501 6995 </w:t>
      </w:r>
      <w:proofErr w:type="spellStart"/>
      <w:r>
        <w:rPr>
          <w:rFonts w:ascii="Helvetica" w:hAnsi="Helvetica" w:cs="Helvetica"/>
          <w:color w:val="333333"/>
          <w:sz w:val="21"/>
          <w:szCs w:val="21"/>
          <w:shd w:val="clear" w:color="auto" w:fill="FFFFFF"/>
        </w:rPr>
        <w:t>ó</w:t>
      </w:r>
      <w:proofErr w:type="spellEnd"/>
      <w:r>
        <w:rPr>
          <w:rFonts w:ascii="Helvetica" w:hAnsi="Helvetica" w:cs="Helvetica"/>
          <w:color w:val="333333"/>
          <w:sz w:val="21"/>
          <w:szCs w:val="21"/>
          <w:shd w:val="clear" w:color="auto" w:fill="FFFFFF"/>
        </w:rPr>
        <w:t xml:space="preserve"> al 01 800 310 70 70</w:t>
      </w:r>
    </w:p>
    <w:sectPr w:rsidR="00146C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0A6B"/>
    <w:multiLevelType w:val="hybridMultilevel"/>
    <w:tmpl w:val="A418CA96"/>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05"/>
    <w:rsid w:val="001311F6"/>
    <w:rsid w:val="00146C05"/>
    <w:rsid w:val="004169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0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6C0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0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6C0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1</cp:revision>
  <dcterms:created xsi:type="dcterms:W3CDTF">2018-08-13T17:17:00Z</dcterms:created>
  <dcterms:modified xsi:type="dcterms:W3CDTF">2018-08-13T17:18:00Z</dcterms:modified>
</cp:coreProperties>
</file>