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0A1" w:rsidRPr="00520C8E" w:rsidRDefault="008130A1" w:rsidP="008130A1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18. </w:t>
      </w:r>
      <w:r w:rsidRPr="00520C8E">
        <w:rPr>
          <w:rFonts w:ascii="Arial" w:hAnsi="Arial" w:cs="Arial"/>
          <w:sz w:val="19"/>
          <w:szCs w:val="19"/>
          <w:lang w:val="es-MX"/>
        </w:rPr>
        <w:t>La Subsecretaría de Egresos, Contabilidad y Tesorería contará con una Subsecretaria o Subsecretario que dependerá directamente de la Secretaria o Secretario, quien se auxiliará de las y los Directores de Contabilidad Gubernamental; Presupuesto y Tesorería; Coordinadoras o Coordinadores; Jefas o Jefes de departamento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8130A1" w:rsidRPr="00520C8E" w:rsidRDefault="008130A1" w:rsidP="008130A1">
      <w:pPr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Implementar y vigilar el cumplimiento de la política presupuestaria, conforme a los requerimientos del gasto público, procurando un balance presupuestario sostenible;</w:t>
      </w:r>
      <w:r w:rsidRPr="00520C8E">
        <w:rPr>
          <w:rFonts w:ascii="Arial" w:hAnsi="Arial" w:cs="Arial"/>
          <w:sz w:val="19"/>
          <w:szCs w:val="19"/>
          <w:vertAlign w:val="superscript"/>
          <w:lang w:val="es-MX"/>
        </w:rPr>
        <w:t xml:space="preserve"> </w:t>
      </w:r>
    </w:p>
    <w:p w:rsidR="008130A1" w:rsidRPr="00520C8E" w:rsidRDefault="008130A1" w:rsidP="008130A1">
      <w:p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 elaboración del anteproyecto de Presupuesto de Egresos del ejercicio fiscal correspondiente; así como las reformas a la legislación en materia de egresos estatales;</w:t>
      </w:r>
    </w:p>
    <w:p w:rsidR="008130A1" w:rsidRPr="00520C8E" w:rsidRDefault="008130A1" w:rsidP="008130A1">
      <w:pPr>
        <w:tabs>
          <w:tab w:val="left" w:pos="576"/>
          <w:tab w:val="left" w:pos="1134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Implementar los procedimientos de operación y seguimiento del ejercicio presupuestal y de la contabilidad gubernamental del Estado;</w:t>
      </w:r>
    </w:p>
    <w:p w:rsidR="008130A1" w:rsidRPr="00520C8E" w:rsidRDefault="008130A1" w:rsidP="008130A1">
      <w:pPr>
        <w:tabs>
          <w:tab w:val="left" w:pos="576"/>
        </w:tabs>
        <w:ind w:left="284" w:hanging="292"/>
        <w:jc w:val="both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Presentar a la Secretaria o Secretario los techos financieros de cada ejecutor de gasto con base en el desempeño institucional y al comportamiento del gasto mostrado en el ejercicio anterior;</w:t>
      </w:r>
      <w:r w:rsidRPr="00520C8E">
        <w:rPr>
          <w:rFonts w:ascii="Arial" w:hAnsi="Arial" w:cs="Arial"/>
          <w:sz w:val="19"/>
          <w:szCs w:val="19"/>
          <w:vertAlign w:val="superscript"/>
          <w:lang w:val="es-MX"/>
        </w:rPr>
        <w:t xml:space="preserve"> </w:t>
      </w:r>
    </w:p>
    <w:p w:rsidR="008130A1" w:rsidRPr="00520C8E" w:rsidRDefault="008130A1" w:rsidP="008130A1">
      <w:pPr>
        <w:tabs>
          <w:tab w:val="left" w:pos="576"/>
        </w:tabs>
        <w:ind w:left="576" w:hanging="292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las autorizaciones de suficiencia y disponibilidad presupuestal, suscritas por la o el titular de la Dirección de Presupuesto;</w:t>
      </w:r>
    </w:p>
    <w:p w:rsidR="008130A1" w:rsidRPr="00520C8E" w:rsidRDefault="008130A1" w:rsidP="008130A1">
      <w:pPr>
        <w:tabs>
          <w:tab w:val="left" w:pos="576"/>
        </w:tabs>
        <w:ind w:left="576" w:hanging="292"/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Analizar los reportes de operación de los sistemas, a fin de adoptar las medidas necesarias para el funcionamiento eficiente y eficaz;</w:t>
      </w:r>
    </w:p>
    <w:p w:rsidR="008130A1" w:rsidRPr="00520C8E" w:rsidRDefault="008130A1" w:rsidP="008130A1">
      <w:pPr>
        <w:tabs>
          <w:tab w:val="left" w:pos="576"/>
        </w:tabs>
        <w:ind w:left="708" w:hanging="292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outlineLvl w:val="0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Autorizar los sistemas electrónicos para la realización la planeación estratégica del gasto, el seguimiento, ejercicio presupuestal, contabilidad gubernamental y la administración de recursos financieros;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</w:t>
      </w:r>
    </w:p>
    <w:p w:rsidR="008130A1" w:rsidRPr="00520C8E" w:rsidRDefault="008130A1" w:rsidP="008130A1">
      <w:pPr>
        <w:tabs>
          <w:tab w:val="left" w:pos="576"/>
        </w:tabs>
        <w:ind w:left="284" w:hanging="292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las adecuaciones presupuestarias externas que soliciten las dependencias y entidades a su presupuesto autorizado considerando la existencia de liquidez financiera;</w:t>
      </w:r>
    </w:p>
    <w:p w:rsidR="008130A1" w:rsidRPr="00520C8E" w:rsidRDefault="008130A1" w:rsidP="008130A1">
      <w:pPr>
        <w:tabs>
          <w:tab w:val="left" w:pos="576"/>
        </w:tabs>
        <w:ind w:left="284" w:hanging="292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Aprobar las adecuaciones presupuestarias derivadas de las contingencias que disminuyan los ingresos estimados en la Ley de Ingresos; por erogaciones extraordinarias de carácter social, o en su caso, en cumplimiento de los criterios de racionalidad y austeridad aprobados en el Presupuesto de Egresos;</w:t>
      </w:r>
    </w:p>
    <w:p w:rsidR="008130A1" w:rsidRPr="00520C8E" w:rsidRDefault="008130A1" w:rsidP="008130A1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Secretaria o Secretario los montos de participaciones que les corresponda a los Municipios;</w:t>
      </w:r>
    </w:p>
    <w:p w:rsidR="008130A1" w:rsidRPr="00520C8E" w:rsidRDefault="008130A1" w:rsidP="008130A1">
      <w:pPr>
        <w:tabs>
          <w:tab w:val="left" w:pos="576"/>
        </w:tabs>
        <w:ind w:left="284" w:hanging="292"/>
        <w:jc w:val="both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Aprobar el marco conceptual, plan de cuentas, instructivos, las normas contables y de emisión de información financiera y las relativas al registro y valuación del patrimonio del Estado;</w:t>
      </w:r>
    </w:p>
    <w:p w:rsidR="008130A1" w:rsidRPr="00520C8E" w:rsidRDefault="008130A1" w:rsidP="008130A1">
      <w:pPr>
        <w:tabs>
          <w:tab w:val="left" w:pos="576"/>
        </w:tabs>
        <w:ind w:left="284" w:hanging="292"/>
        <w:jc w:val="both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 estadística básica de la información financiera del Estado, derivado de los requerimientos de información de organismos externos;</w:t>
      </w:r>
    </w:p>
    <w:p w:rsidR="008130A1" w:rsidRPr="00520C8E" w:rsidRDefault="008130A1" w:rsidP="008130A1">
      <w:p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Aprobar los programas de capacitación a los ejecutores de gasto en materia de programación, </w:t>
      </w:r>
      <w:proofErr w:type="spellStart"/>
      <w:r w:rsidRPr="00520C8E">
        <w:rPr>
          <w:rFonts w:ascii="Arial" w:hAnsi="Arial" w:cs="Arial"/>
          <w:sz w:val="19"/>
          <w:szCs w:val="19"/>
          <w:lang w:val="es-MX"/>
        </w:rPr>
        <w:t>presupuestación</w:t>
      </w:r>
      <w:proofErr w:type="spellEnd"/>
      <w:r w:rsidRPr="00520C8E">
        <w:rPr>
          <w:rFonts w:ascii="Arial" w:hAnsi="Arial" w:cs="Arial"/>
          <w:sz w:val="19"/>
          <w:szCs w:val="19"/>
          <w:lang w:val="es-MX"/>
        </w:rPr>
        <w:t xml:space="preserve"> y contabilidad gubernamental;</w:t>
      </w:r>
    </w:p>
    <w:p w:rsidR="008130A1" w:rsidRPr="00520C8E" w:rsidRDefault="008130A1" w:rsidP="008130A1">
      <w:pPr>
        <w:tabs>
          <w:tab w:val="left" w:pos="576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  <w:tab w:val="left" w:pos="851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Presentar a la Secretaria o Secretario el anteproyecto de Presupuesto de Egresos, los informes trimestrales de avance de gestión, y la Cuenta pública;</w:t>
      </w:r>
    </w:p>
    <w:p w:rsidR="008130A1" w:rsidRPr="00520C8E" w:rsidRDefault="008130A1" w:rsidP="008130A1">
      <w:pPr>
        <w:tabs>
          <w:tab w:val="left" w:pos="576"/>
        </w:tabs>
        <w:ind w:left="576" w:hanging="292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  <w:tab w:val="left" w:pos="851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Secretaria o Secretario la política interna, directrices, lineamientos y criterios sobre aspectos financieros para la planeación, organización y funcionamiento de la Hacienda pública;</w:t>
      </w:r>
    </w:p>
    <w:p w:rsidR="008130A1" w:rsidRPr="00520C8E" w:rsidRDefault="008130A1" w:rsidP="008130A1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  <w:tab w:val="left" w:pos="851"/>
        </w:tabs>
        <w:ind w:left="576" w:hanging="292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Autorizar y suscribir conjuntamente con la Directora o Director de Presupuesto y la Tesorera o Tesorero, los Acuerdos de voluntades para el otorgamiento de apoyos financieros que se celebren con los Municipios;</w:t>
      </w:r>
    </w:p>
    <w:p w:rsidR="008130A1" w:rsidRPr="00520C8E" w:rsidRDefault="008130A1" w:rsidP="008130A1">
      <w:pPr>
        <w:tabs>
          <w:tab w:val="left" w:pos="576"/>
        </w:tabs>
        <w:ind w:hanging="292"/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67" w:hanging="292"/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520C8E">
        <w:rPr>
          <w:rFonts w:ascii="Arial" w:hAnsi="Arial" w:cs="Arial"/>
          <w:iCs/>
          <w:sz w:val="19"/>
          <w:szCs w:val="19"/>
          <w:lang w:val="es-MX"/>
        </w:rPr>
        <w:lastRenderedPageBreak/>
        <w:t>Supervisar el resultado de los contratos de inversión de fondos;</w:t>
      </w:r>
    </w:p>
    <w:p w:rsidR="008130A1" w:rsidRPr="00520C8E" w:rsidRDefault="008130A1" w:rsidP="008130A1">
      <w:pPr>
        <w:pStyle w:val="Prrafodelista"/>
        <w:rPr>
          <w:rFonts w:ascii="Arial" w:hAnsi="Arial" w:cs="Arial"/>
          <w:iCs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67" w:hanging="292"/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520C8E">
        <w:rPr>
          <w:rFonts w:ascii="Arial" w:hAnsi="Arial" w:cs="Arial"/>
          <w:iCs/>
          <w:sz w:val="19"/>
          <w:szCs w:val="19"/>
          <w:lang w:val="es-MX"/>
        </w:rPr>
        <w:t>Suscribir los convenios de colaboración previstos en la Ley General de Contabilidad Gubernamental con Municipios, Poderes y Órganos autónomos;</w:t>
      </w:r>
    </w:p>
    <w:p w:rsidR="008130A1" w:rsidRPr="00520C8E" w:rsidRDefault="008130A1" w:rsidP="008130A1">
      <w:pPr>
        <w:pStyle w:val="Prrafodelista"/>
        <w:rPr>
          <w:rFonts w:ascii="Arial" w:hAnsi="Arial" w:cs="Arial"/>
          <w:iCs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67" w:hanging="292"/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520C8E">
        <w:rPr>
          <w:rFonts w:ascii="Arial" w:hAnsi="Arial" w:cs="Arial"/>
          <w:iCs/>
          <w:sz w:val="19"/>
          <w:szCs w:val="19"/>
          <w:lang w:val="es-MX"/>
        </w:rPr>
        <w:t>Autorizar el fondo rotatorio para las dependencias y entidades del Estado, destinado para cubrir compromisos derivados del ejercicio de sus funciones, lo anterior en términos de lo establecido en la normatividad aplicable:</w:t>
      </w:r>
    </w:p>
    <w:p w:rsidR="008130A1" w:rsidRPr="00520C8E" w:rsidRDefault="008130A1" w:rsidP="008130A1">
      <w:pPr>
        <w:tabs>
          <w:tab w:val="left" w:pos="576"/>
        </w:tabs>
        <w:ind w:left="708" w:hanging="292"/>
        <w:rPr>
          <w:rFonts w:ascii="Arial" w:hAnsi="Arial" w:cs="Arial"/>
          <w:iCs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76"/>
        </w:tabs>
        <w:ind w:left="576" w:hanging="292"/>
        <w:jc w:val="both"/>
        <w:rPr>
          <w:rFonts w:ascii="Arial" w:hAnsi="Arial" w:cs="Arial"/>
          <w:iCs/>
          <w:sz w:val="19"/>
          <w:szCs w:val="19"/>
          <w:lang w:val="es-MX"/>
        </w:rPr>
      </w:pPr>
      <w:r w:rsidRPr="00520C8E">
        <w:rPr>
          <w:rFonts w:ascii="Arial" w:hAnsi="Arial" w:cs="Arial"/>
          <w:iCs/>
          <w:sz w:val="19"/>
          <w:szCs w:val="19"/>
          <w:lang w:val="es-MX"/>
        </w:rPr>
        <w:t xml:space="preserve"> Coordinar el otorgamiento de Apoyos financieros; y</w:t>
      </w:r>
    </w:p>
    <w:p w:rsidR="008130A1" w:rsidRPr="00520C8E" w:rsidRDefault="008130A1" w:rsidP="008130A1">
      <w:pPr>
        <w:tabs>
          <w:tab w:val="left" w:pos="576"/>
        </w:tabs>
        <w:jc w:val="both"/>
        <w:rPr>
          <w:rFonts w:ascii="Arial" w:hAnsi="Arial" w:cs="Arial"/>
          <w:iCs/>
          <w:sz w:val="19"/>
          <w:szCs w:val="19"/>
          <w:lang w:val="es-MX"/>
        </w:rPr>
      </w:pPr>
    </w:p>
    <w:p w:rsidR="008130A1" w:rsidRPr="00520C8E" w:rsidRDefault="008130A1" w:rsidP="008130A1">
      <w:pPr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iCs/>
          <w:sz w:val="19"/>
          <w:szCs w:val="19"/>
          <w:lang w:val="es-MX"/>
        </w:rPr>
        <w:t>Las demás que le confieran las leyes, este Reglamento y demás disposiciones normativas aplicables, así como las que expresamente le sean conferidas por la Secretaria o Secretario.</w:t>
      </w:r>
    </w:p>
    <w:p w:rsidR="00B24EC1" w:rsidRPr="008130A1" w:rsidRDefault="00B24EC1">
      <w:pPr>
        <w:rPr>
          <w:lang w:val="es-MX"/>
        </w:rPr>
      </w:pPr>
    </w:p>
    <w:sectPr w:rsidR="00B24EC1" w:rsidRPr="008130A1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4762F"/>
    <w:multiLevelType w:val="hybridMultilevel"/>
    <w:tmpl w:val="BB6A49D2"/>
    <w:lvl w:ilvl="0" w:tplc="5B380E70">
      <w:start w:val="1"/>
      <w:numFmt w:val="upperRoman"/>
      <w:lvlText w:val="%1."/>
      <w:lvlJc w:val="right"/>
      <w:pPr>
        <w:ind w:left="2345" w:hanging="360"/>
      </w:pPr>
      <w:rPr>
        <w:rFonts w:hint="default"/>
        <w:b w:val="0"/>
        <w:sz w:val="19"/>
        <w:szCs w:val="19"/>
      </w:rPr>
    </w:lvl>
    <w:lvl w:ilvl="1" w:tplc="5BE4AABA">
      <w:start w:val="1"/>
      <w:numFmt w:val="lowerLetter"/>
      <w:lvlText w:val="%2)"/>
      <w:lvlJc w:val="left"/>
      <w:pPr>
        <w:ind w:left="3065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3785" w:hanging="180"/>
      </w:pPr>
    </w:lvl>
    <w:lvl w:ilvl="3" w:tplc="080A000F" w:tentative="1">
      <w:start w:val="1"/>
      <w:numFmt w:val="decimal"/>
      <w:lvlText w:val="%4."/>
      <w:lvlJc w:val="left"/>
      <w:pPr>
        <w:ind w:left="4505" w:hanging="360"/>
      </w:pPr>
    </w:lvl>
    <w:lvl w:ilvl="4" w:tplc="080A0019" w:tentative="1">
      <w:start w:val="1"/>
      <w:numFmt w:val="lowerLetter"/>
      <w:lvlText w:val="%5."/>
      <w:lvlJc w:val="left"/>
      <w:pPr>
        <w:ind w:left="5225" w:hanging="360"/>
      </w:pPr>
    </w:lvl>
    <w:lvl w:ilvl="5" w:tplc="080A001B" w:tentative="1">
      <w:start w:val="1"/>
      <w:numFmt w:val="lowerRoman"/>
      <w:lvlText w:val="%6."/>
      <w:lvlJc w:val="right"/>
      <w:pPr>
        <w:ind w:left="5945" w:hanging="180"/>
      </w:pPr>
    </w:lvl>
    <w:lvl w:ilvl="6" w:tplc="080A000F" w:tentative="1">
      <w:start w:val="1"/>
      <w:numFmt w:val="decimal"/>
      <w:lvlText w:val="%7."/>
      <w:lvlJc w:val="left"/>
      <w:pPr>
        <w:ind w:left="6665" w:hanging="360"/>
      </w:pPr>
    </w:lvl>
    <w:lvl w:ilvl="7" w:tplc="080A0019" w:tentative="1">
      <w:start w:val="1"/>
      <w:numFmt w:val="lowerLetter"/>
      <w:lvlText w:val="%8."/>
      <w:lvlJc w:val="left"/>
      <w:pPr>
        <w:ind w:left="7385" w:hanging="360"/>
      </w:pPr>
    </w:lvl>
    <w:lvl w:ilvl="8" w:tplc="080A001B" w:tentative="1">
      <w:start w:val="1"/>
      <w:numFmt w:val="lowerRoman"/>
      <w:lvlText w:val="%9."/>
      <w:lvlJc w:val="right"/>
      <w:pPr>
        <w:ind w:left="81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130A1"/>
    <w:rsid w:val="008130A1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0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30A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3399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2022-08-27T10:44:00Z</dcterms:created>
  <dcterms:modified xsi:type="dcterms:W3CDTF">2022-08-27T10:44:00Z</dcterms:modified>
</cp:coreProperties>
</file>