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CD" w:rsidRPr="00520C8E" w:rsidRDefault="00DC66CD" w:rsidP="00DC66CD">
      <w:pPr>
        <w:spacing w:line="276" w:lineRule="auto"/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  <w:r w:rsidRPr="00520C8E">
        <w:rPr>
          <w:rFonts w:ascii="Arial" w:hAnsi="Arial" w:cs="Arial"/>
          <w:b/>
          <w:bCs/>
          <w:sz w:val="19"/>
          <w:szCs w:val="19"/>
          <w:lang w:val="es-MX"/>
        </w:rPr>
        <w:t xml:space="preserve">Artículo 25. </w:t>
      </w:r>
      <w:r w:rsidRPr="00520C8E">
        <w:rPr>
          <w:rFonts w:ascii="Arial" w:eastAsiaTheme="minorHAnsi" w:hAnsi="Arial" w:cs="Arial"/>
          <w:bCs/>
          <w:sz w:val="19"/>
          <w:szCs w:val="19"/>
          <w:lang w:val="es-MX" w:eastAsia="en-US"/>
        </w:rPr>
        <w:t>El Departamento de Revisión Financiera</w:t>
      </w:r>
      <w:r w:rsidRPr="00520C8E">
        <w:rPr>
          <w:rFonts w:ascii="Arial" w:eastAsiaTheme="minorHAnsi" w:hAnsi="Arial" w:cs="Arial"/>
          <w:sz w:val="19"/>
          <w:szCs w:val="19"/>
          <w:lang w:val="es-MX" w:eastAsia="en-US"/>
        </w:rPr>
        <w:t xml:space="preserve"> contará con 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una Jefa o </w:t>
      </w:r>
      <w:r w:rsidRPr="00520C8E">
        <w:rPr>
          <w:rFonts w:ascii="Arial" w:eastAsiaTheme="minorHAnsi" w:hAnsi="Arial" w:cs="Arial"/>
          <w:sz w:val="19"/>
          <w:szCs w:val="19"/>
          <w:lang w:val="es-MX" w:eastAsia="en-US"/>
        </w:rPr>
        <w:t xml:space="preserve">Jefe de Departamento que dependerá directamente de la Coordinación </w:t>
      </w:r>
      <w:r w:rsidRPr="00520C8E">
        <w:rPr>
          <w:rFonts w:ascii="Arial" w:hAnsi="Arial" w:cs="Arial"/>
          <w:bCs/>
          <w:sz w:val="19"/>
          <w:szCs w:val="19"/>
          <w:lang w:val="es-MX"/>
        </w:rPr>
        <w:t>del Sector Paraestatal</w:t>
      </w:r>
      <w:r w:rsidRPr="00520C8E">
        <w:rPr>
          <w:rFonts w:ascii="Arial" w:eastAsiaTheme="minorHAnsi" w:hAnsi="Arial" w:cs="Arial"/>
          <w:sz w:val="19"/>
          <w:szCs w:val="19"/>
          <w:lang w:val="es-MX" w:eastAsia="en-US"/>
        </w:rPr>
        <w:t xml:space="preserve">, quien se auxiliará de las y los demás servidores públicos que las necesidades del servicio requieran, de acuerdo con el presupuesto autorizado, </w:t>
      </w:r>
      <w:r w:rsidRPr="00520C8E">
        <w:rPr>
          <w:rFonts w:ascii="Arial" w:hAnsi="Arial" w:cs="Arial"/>
          <w:sz w:val="19"/>
          <w:szCs w:val="19"/>
          <w:lang w:val="es-MX"/>
        </w:rPr>
        <w:t>y cuyas funciones serán indicadas en el Manual de Organización de la Secretaría, y tendrá las siguientes facultades</w:t>
      </w:r>
      <w:r w:rsidRPr="00520C8E">
        <w:rPr>
          <w:rFonts w:ascii="Arial" w:eastAsiaTheme="minorHAnsi" w:hAnsi="Arial" w:cs="Arial"/>
          <w:sz w:val="19"/>
          <w:szCs w:val="19"/>
          <w:lang w:val="es-MX" w:eastAsia="en-US"/>
        </w:rPr>
        <w:t>:</w:t>
      </w:r>
    </w:p>
    <w:p w:rsidR="00DC66CD" w:rsidRPr="00520C8E" w:rsidRDefault="00DC66CD" w:rsidP="00DC66CD">
      <w:pPr>
        <w:spacing w:line="276" w:lineRule="auto"/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</w:p>
    <w:p w:rsidR="00DC66CD" w:rsidRPr="00520C8E" w:rsidRDefault="00DC66CD" w:rsidP="00DC66CD">
      <w:pPr>
        <w:pStyle w:val="Prrafodelista"/>
        <w:numPr>
          <w:ilvl w:val="2"/>
          <w:numId w:val="1"/>
        </w:numPr>
        <w:spacing w:line="276" w:lineRule="auto"/>
        <w:ind w:left="567" w:hanging="283"/>
        <w:jc w:val="both"/>
        <w:rPr>
          <w:rFonts w:ascii="Arial" w:eastAsiaTheme="minorHAnsi" w:hAnsi="Arial" w:cs="Arial"/>
          <w:bCs/>
          <w:sz w:val="19"/>
          <w:szCs w:val="19"/>
          <w:lang w:val="es-MX" w:eastAsia="en-US"/>
        </w:rPr>
      </w:pPr>
      <w:r w:rsidRPr="00520C8E">
        <w:rPr>
          <w:rFonts w:ascii="Arial" w:eastAsiaTheme="minorHAnsi" w:hAnsi="Arial" w:cs="Arial"/>
          <w:bCs/>
          <w:sz w:val="19"/>
          <w:szCs w:val="19"/>
          <w:lang w:val="es-MX" w:eastAsia="en-US"/>
        </w:rPr>
        <w:t>Proponer y actualizar los lineamientos legales y políticas a aplicar en materia de control presupuestal y financiero en la Administración Pública Estatal;</w:t>
      </w:r>
    </w:p>
    <w:p w:rsidR="00DC66CD" w:rsidRPr="00520C8E" w:rsidRDefault="00DC66CD" w:rsidP="00DC66CD">
      <w:pPr>
        <w:pStyle w:val="Prrafodelista"/>
        <w:spacing w:line="276" w:lineRule="auto"/>
        <w:ind w:left="567"/>
        <w:jc w:val="both"/>
        <w:rPr>
          <w:rFonts w:ascii="Arial" w:eastAsiaTheme="minorHAnsi" w:hAnsi="Arial" w:cs="Arial"/>
          <w:bCs/>
          <w:sz w:val="19"/>
          <w:szCs w:val="19"/>
          <w:lang w:val="es-MX" w:eastAsia="en-US"/>
        </w:rPr>
      </w:pPr>
    </w:p>
    <w:p w:rsidR="00DC66CD" w:rsidRPr="00520C8E" w:rsidRDefault="00DC66CD" w:rsidP="00DC66CD">
      <w:pPr>
        <w:pStyle w:val="Prrafodelista"/>
        <w:numPr>
          <w:ilvl w:val="2"/>
          <w:numId w:val="1"/>
        </w:numPr>
        <w:spacing w:line="276" w:lineRule="auto"/>
        <w:ind w:left="567" w:hanging="283"/>
        <w:jc w:val="both"/>
        <w:rPr>
          <w:rFonts w:ascii="Arial" w:eastAsiaTheme="minorHAnsi" w:hAnsi="Arial" w:cs="Arial"/>
          <w:bCs/>
          <w:sz w:val="19"/>
          <w:szCs w:val="19"/>
          <w:lang w:val="es-MX" w:eastAsia="en-US"/>
        </w:rPr>
      </w:pPr>
      <w:r w:rsidRPr="00520C8E">
        <w:rPr>
          <w:rFonts w:ascii="Arial" w:eastAsiaTheme="minorHAnsi" w:hAnsi="Arial" w:cs="Arial"/>
          <w:bCs/>
          <w:sz w:val="19"/>
          <w:szCs w:val="19"/>
          <w:lang w:val="es-MX" w:eastAsia="en-US"/>
        </w:rPr>
        <w:t>Revisar y solicitar las actualizaciones del sistema electrónico de contabilidad gubernamental, en el ámbito de su competencia:</w:t>
      </w:r>
    </w:p>
    <w:p w:rsidR="00DC66CD" w:rsidRPr="00520C8E" w:rsidRDefault="00DC66CD" w:rsidP="00DC66CD">
      <w:pPr>
        <w:spacing w:line="276" w:lineRule="auto"/>
        <w:ind w:left="567" w:hanging="283"/>
        <w:jc w:val="both"/>
        <w:rPr>
          <w:rFonts w:ascii="Arial" w:eastAsiaTheme="minorHAnsi" w:hAnsi="Arial" w:cs="Arial"/>
          <w:bCs/>
          <w:sz w:val="19"/>
          <w:szCs w:val="19"/>
          <w:lang w:val="es-MX" w:eastAsia="en-US"/>
        </w:rPr>
      </w:pPr>
    </w:p>
    <w:p w:rsidR="00DC66CD" w:rsidRPr="00520C8E" w:rsidRDefault="00DC66CD" w:rsidP="00DC66CD">
      <w:pPr>
        <w:pStyle w:val="Prrafodelista"/>
        <w:numPr>
          <w:ilvl w:val="2"/>
          <w:numId w:val="1"/>
        </w:numPr>
        <w:spacing w:line="276" w:lineRule="auto"/>
        <w:ind w:left="567" w:hanging="283"/>
        <w:jc w:val="both"/>
        <w:rPr>
          <w:rFonts w:ascii="Arial" w:eastAsiaTheme="minorHAnsi" w:hAnsi="Arial" w:cs="Arial"/>
          <w:bCs/>
          <w:sz w:val="19"/>
          <w:szCs w:val="19"/>
          <w:lang w:val="es-MX" w:eastAsia="en-US"/>
        </w:rPr>
      </w:pPr>
      <w:r w:rsidRPr="00520C8E">
        <w:rPr>
          <w:rFonts w:ascii="Arial" w:eastAsiaTheme="minorHAnsi" w:hAnsi="Arial" w:cs="Arial"/>
          <w:bCs/>
          <w:sz w:val="19"/>
          <w:szCs w:val="19"/>
          <w:lang w:val="es-MX" w:eastAsia="en-US"/>
        </w:rPr>
        <w:t>Atender y comprobar las actualizaciones del sistema electrónico de contabilidad gubernamental en coordinación con la Dirección General de Tecnologías e Innovación Digital, en el ámbito de su competencia;</w:t>
      </w:r>
    </w:p>
    <w:p w:rsidR="00DC66CD" w:rsidRPr="00520C8E" w:rsidRDefault="00DC66CD" w:rsidP="00DC66CD">
      <w:pPr>
        <w:spacing w:line="276" w:lineRule="auto"/>
        <w:ind w:left="567" w:hanging="283"/>
        <w:jc w:val="both"/>
        <w:rPr>
          <w:rFonts w:ascii="Arial" w:eastAsiaTheme="minorHAnsi" w:hAnsi="Arial" w:cs="Arial"/>
          <w:bCs/>
          <w:sz w:val="19"/>
          <w:szCs w:val="19"/>
          <w:lang w:val="es-MX" w:eastAsia="en-US"/>
        </w:rPr>
      </w:pPr>
    </w:p>
    <w:p w:rsidR="00DC66CD" w:rsidRPr="00520C8E" w:rsidRDefault="00DC66CD" w:rsidP="00DC66CD">
      <w:pPr>
        <w:pStyle w:val="Prrafodelista"/>
        <w:numPr>
          <w:ilvl w:val="2"/>
          <w:numId w:val="1"/>
        </w:numPr>
        <w:spacing w:line="276" w:lineRule="auto"/>
        <w:ind w:left="567" w:hanging="283"/>
        <w:jc w:val="both"/>
        <w:rPr>
          <w:rFonts w:ascii="Arial" w:eastAsiaTheme="minorHAnsi" w:hAnsi="Arial" w:cs="Arial"/>
          <w:bCs/>
          <w:sz w:val="19"/>
          <w:szCs w:val="19"/>
          <w:lang w:val="es-MX" w:eastAsia="en-US"/>
        </w:rPr>
      </w:pPr>
      <w:r w:rsidRPr="00520C8E">
        <w:rPr>
          <w:rFonts w:ascii="Arial" w:eastAsiaTheme="minorHAnsi" w:hAnsi="Arial" w:cs="Arial"/>
          <w:bCs/>
          <w:sz w:val="19"/>
          <w:szCs w:val="19"/>
          <w:lang w:val="es-MX" w:eastAsia="en-US"/>
        </w:rPr>
        <w:t>Elaborar los procedimientos contables para registrar los créditos solicitados por el Gobierno del Estado, a través de Fideicomisos de corto y largo plazo;</w:t>
      </w:r>
    </w:p>
    <w:p w:rsidR="00DC66CD" w:rsidRPr="00520C8E" w:rsidRDefault="00DC66CD" w:rsidP="00DC66CD">
      <w:pPr>
        <w:spacing w:line="276" w:lineRule="auto"/>
        <w:ind w:left="567" w:hanging="283"/>
        <w:jc w:val="both"/>
        <w:rPr>
          <w:rFonts w:ascii="Arial" w:eastAsiaTheme="minorHAnsi" w:hAnsi="Arial" w:cs="Arial"/>
          <w:bCs/>
          <w:sz w:val="19"/>
          <w:szCs w:val="19"/>
          <w:lang w:val="es-MX" w:eastAsia="en-US"/>
        </w:rPr>
      </w:pPr>
    </w:p>
    <w:p w:rsidR="00DC66CD" w:rsidRPr="00520C8E" w:rsidRDefault="00DC66CD" w:rsidP="00DC66CD">
      <w:pPr>
        <w:pStyle w:val="Prrafodelista"/>
        <w:numPr>
          <w:ilvl w:val="2"/>
          <w:numId w:val="1"/>
        </w:numPr>
        <w:spacing w:line="276" w:lineRule="auto"/>
        <w:ind w:left="567" w:hanging="283"/>
        <w:jc w:val="both"/>
        <w:rPr>
          <w:rFonts w:ascii="Arial" w:eastAsiaTheme="minorHAnsi" w:hAnsi="Arial" w:cs="Arial"/>
          <w:bCs/>
          <w:sz w:val="19"/>
          <w:szCs w:val="19"/>
          <w:lang w:val="es-MX" w:eastAsia="en-US"/>
        </w:rPr>
      </w:pPr>
      <w:r w:rsidRPr="00520C8E">
        <w:rPr>
          <w:rFonts w:ascii="Arial" w:eastAsiaTheme="minorHAnsi" w:hAnsi="Arial" w:cs="Arial"/>
          <w:bCs/>
          <w:sz w:val="19"/>
          <w:szCs w:val="19"/>
          <w:lang w:val="es-MX" w:eastAsia="en-US"/>
        </w:rPr>
        <w:t>Resguardar los estados financieros que se reciben de las Coordinaciones de la Tesorería;</w:t>
      </w:r>
    </w:p>
    <w:p w:rsidR="00DC66CD" w:rsidRPr="00520C8E" w:rsidRDefault="00DC66CD" w:rsidP="00DC66CD">
      <w:pPr>
        <w:spacing w:line="276" w:lineRule="auto"/>
        <w:ind w:left="567" w:hanging="283"/>
        <w:jc w:val="both"/>
        <w:rPr>
          <w:rFonts w:ascii="Arial" w:eastAsiaTheme="minorHAnsi" w:hAnsi="Arial" w:cs="Arial"/>
          <w:bCs/>
          <w:sz w:val="19"/>
          <w:szCs w:val="19"/>
          <w:lang w:val="es-MX" w:eastAsia="en-US"/>
        </w:rPr>
      </w:pPr>
    </w:p>
    <w:p w:rsidR="00DC66CD" w:rsidRPr="00520C8E" w:rsidRDefault="00DC66CD" w:rsidP="00DC66CD">
      <w:pPr>
        <w:pStyle w:val="Prrafodelista"/>
        <w:numPr>
          <w:ilvl w:val="2"/>
          <w:numId w:val="1"/>
        </w:numPr>
        <w:spacing w:line="276" w:lineRule="auto"/>
        <w:ind w:left="567" w:hanging="283"/>
        <w:jc w:val="both"/>
        <w:rPr>
          <w:rFonts w:ascii="Arial" w:eastAsiaTheme="minorHAnsi" w:hAnsi="Arial" w:cs="Arial"/>
          <w:bCs/>
          <w:sz w:val="19"/>
          <w:szCs w:val="19"/>
          <w:lang w:val="es-MX" w:eastAsia="en-US"/>
        </w:rPr>
      </w:pPr>
      <w:r w:rsidRPr="00520C8E">
        <w:rPr>
          <w:rFonts w:ascii="Arial" w:eastAsiaTheme="minorHAnsi" w:hAnsi="Arial" w:cs="Arial"/>
          <w:bCs/>
          <w:sz w:val="19"/>
          <w:szCs w:val="19"/>
          <w:lang w:val="es-MX" w:eastAsia="en-US"/>
        </w:rPr>
        <w:t xml:space="preserve">Analizar los registros contables de las cuentas deudoras y acreedoras que reflejan variaciones en la contabilidad de la Tesorería y elaborar las observaciones; </w:t>
      </w:r>
    </w:p>
    <w:p w:rsidR="00DC66CD" w:rsidRPr="00520C8E" w:rsidRDefault="00DC66CD" w:rsidP="00DC66CD">
      <w:pPr>
        <w:spacing w:line="276" w:lineRule="auto"/>
        <w:ind w:left="567" w:hanging="283"/>
        <w:jc w:val="both"/>
        <w:rPr>
          <w:rFonts w:ascii="Arial" w:eastAsiaTheme="minorHAnsi" w:hAnsi="Arial" w:cs="Arial"/>
          <w:bCs/>
          <w:sz w:val="19"/>
          <w:szCs w:val="19"/>
          <w:lang w:val="es-MX" w:eastAsia="en-US"/>
        </w:rPr>
      </w:pPr>
    </w:p>
    <w:p w:rsidR="00DC66CD" w:rsidRPr="00520C8E" w:rsidRDefault="00DC66CD" w:rsidP="00DC66CD">
      <w:pPr>
        <w:pStyle w:val="Prrafodelista"/>
        <w:numPr>
          <w:ilvl w:val="2"/>
          <w:numId w:val="1"/>
        </w:numPr>
        <w:spacing w:line="276" w:lineRule="auto"/>
        <w:ind w:left="567" w:hanging="283"/>
        <w:jc w:val="both"/>
        <w:rPr>
          <w:rFonts w:ascii="Arial" w:eastAsiaTheme="minorHAnsi" w:hAnsi="Arial" w:cs="Arial"/>
          <w:bCs/>
          <w:sz w:val="19"/>
          <w:szCs w:val="19"/>
          <w:lang w:val="es-MX" w:eastAsia="en-US"/>
        </w:rPr>
      </w:pPr>
      <w:r w:rsidRPr="00520C8E">
        <w:rPr>
          <w:rFonts w:ascii="Arial" w:eastAsiaTheme="minorHAnsi" w:hAnsi="Arial" w:cs="Arial"/>
          <w:bCs/>
          <w:sz w:val="19"/>
          <w:szCs w:val="19"/>
          <w:lang w:val="es-MX" w:eastAsia="en-US"/>
        </w:rPr>
        <w:t xml:space="preserve">Atender el seguimiento de las observaciones realizadas a los registros contables, hasta su </w:t>
      </w:r>
      <w:proofErr w:type="spellStart"/>
      <w:r w:rsidRPr="00520C8E">
        <w:rPr>
          <w:rFonts w:ascii="Arial" w:eastAsiaTheme="minorHAnsi" w:hAnsi="Arial" w:cs="Arial"/>
          <w:bCs/>
          <w:sz w:val="19"/>
          <w:szCs w:val="19"/>
          <w:lang w:val="es-MX" w:eastAsia="en-US"/>
        </w:rPr>
        <w:t>solventación</w:t>
      </w:r>
      <w:proofErr w:type="spellEnd"/>
      <w:r w:rsidRPr="00520C8E">
        <w:rPr>
          <w:rFonts w:ascii="Arial" w:eastAsiaTheme="minorHAnsi" w:hAnsi="Arial" w:cs="Arial"/>
          <w:bCs/>
          <w:sz w:val="19"/>
          <w:szCs w:val="19"/>
          <w:lang w:val="es-MX" w:eastAsia="en-US"/>
        </w:rPr>
        <w:t>;</w:t>
      </w:r>
    </w:p>
    <w:p w:rsidR="00DC66CD" w:rsidRPr="00520C8E" w:rsidRDefault="00DC66CD" w:rsidP="00DC66CD">
      <w:pPr>
        <w:spacing w:line="276" w:lineRule="auto"/>
        <w:ind w:left="567" w:hanging="283"/>
        <w:jc w:val="both"/>
        <w:rPr>
          <w:rFonts w:ascii="Arial" w:eastAsiaTheme="minorHAnsi" w:hAnsi="Arial" w:cs="Arial"/>
          <w:bCs/>
          <w:sz w:val="19"/>
          <w:szCs w:val="19"/>
          <w:lang w:val="es-MX" w:eastAsia="en-US"/>
        </w:rPr>
      </w:pPr>
    </w:p>
    <w:p w:rsidR="00DC66CD" w:rsidRPr="00520C8E" w:rsidRDefault="00DC66CD" w:rsidP="00DC66CD">
      <w:pPr>
        <w:pStyle w:val="Prrafodelista"/>
        <w:numPr>
          <w:ilvl w:val="2"/>
          <w:numId w:val="1"/>
        </w:numPr>
        <w:spacing w:line="276" w:lineRule="auto"/>
        <w:ind w:left="567" w:hanging="283"/>
        <w:jc w:val="both"/>
        <w:rPr>
          <w:rFonts w:ascii="Arial" w:eastAsiaTheme="minorHAnsi" w:hAnsi="Arial" w:cs="Arial"/>
          <w:bCs/>
          <w:sz w:val="19"/>
          <w:szCs w:val="19"/>
          <w:lang w:val="es-MX" w:eastAsia="en-US"/>
        </w:rPr>
      </w:pPr>
      <w:r w:rsidRPr="00520C8E">
        <w:rPr>
          <w:rFonts w:ascii="Arial" w:eastAsiaTheme="minorHAnsi" w:hAnsi="Arial" w:cs="Arial"/>
          <w:bCs/>
          <w:sz w:val="19"/>
          <w:szCs w:val="19"/>
          <w:lang w:val="es-MX" w:eastAsia="en-US"/>
        </w:rPr>
        <w:t>Analizar la cuenta de ingresos donde se registran los recursos estatales y federales transferidos por la Tesorería a las unidades responsables;</w:t>
      </w:r>
    </w:p>
    <w:p w:rsidR="00DC66CD" w:rsidRPr="00520C8E" w:rsidRDefault="00DC66CD" w:rsidP="00DC66CD">
      <w:pPr>
        <w:spacing w:line="276" w:lineRule="auto"/>
        <w:ind w:left="567" w:hanging="283"/>
        <w:jc w:val="both"/>
        <w:rPr>
          <w:rFonts w:ascii="Arial" w:eastAsiaTheme="minorHAnsi" w:hAnsi="Arial" w:cs="Arial"/>
          <w:bCs/>
          <w:sz w:val="19"/>
          <w:szCs w:val="19"/>
          <w:lang w:val="es-MX" w:eastAsia="en-US"/>
        </w:rPr>
      </w:pPr>
    </w:p>
    <w:p w:rsidR="00DC66CD" w:rsidRPr="00520C8E" w:rsidRDefault="00DC66CD" w:rsidP="00DC66CD">
      <w:pPr>
        <w:pStyle w:val="Prrafodelista"/>
        <w:numPr>
          <w:ilvl w:val="2"/>
          <w:numId w:val="1"/>
        </w:numPr>
        <w:spacing w:line="276" w:lineRule="auto"/>
        <w:ind w:left="567" w:hanging="283"/>
        <w:jc w:val="both"/>
        <w:rPr>
          <w:rFonts w:ascii="Arial" w:eastAsiaTheme="minorHAnsi" w:hAnsi="Arial" w:cs="Arial"/>
          <w:bCs/>
          <w:sz w:val="19"/>
          <w:szCs w:val="19"/>
          <w:lang w:val="es-MX" w:eastAsia="en-US"/>
        </w:rPr>
      </w:pPr>
      <w:r w:rsidRPr="00520C8E">
        <w:rPr>
          <w:rFonts w:ascii="Arial" w:eastAsiaTheme="minorHAnsi" w:hAnsi="Arial" w:cs="Arial"/>
          <w:bCs/>
          <w:sz w:val="19"/>
          <w:szCs w:val="19"/>
          <w:lang w:val="es-MX" w:eastAsia="en-US"/>
        </w:rPr>
        <w:t xml:space="preserve">Elaborar la conciliación de las cuentas de ingresos con los departamentos de: Revisión y Análisis del Sector Paraestatal y Revisión y Análisis del Sector Central de cada una de las unidades responsables para comprobación con el reporte presupuestal que emite la Dirección de Presupuesto; </w:t>
      </w:r>
    </w:p>
    <w:p w:rsidR="00DC66CD" w:rsidRPr="00520C8E" w:rsidRDefault="00DC66CD" w:rsidP="00DC66CD">
      <w:pPr>
        <w:pStyle w:val="Prrafodelista"/>
        <w:rPr>
          <w:rFonts w:ascii="Arial" w:eastAsiaTheme="minorHAnsi" w:hAnsi="Arial" w:cs="Arial"/>
          <w:bCs/>
          <w:sz w:val="19"/>
          <w:szCs w:val="19"/>
          <w:lang w:val="es-MX" w:eastAsia="en-US"/>
        </w:rPr>
      </w:pPr>
    </w:p>
    <w:p w:rsidR="00DC66CD" w:rsidRPr="00520C8E" w:rsidRDefault="00DC66CD" w:rsidP="00DC66CD">
      <w:pPr>
        <w:pStyle w:val="Prrafodelista"/>
        <w:numPr>
          <w:ilvl w:val="2"/>
          <w:numId w:val="1"/>
        </w:numPr>
        <w:spacing w:line="276" w:lineRule="auto"/>
        <w:ind w:left="567" w:hanging="283"/>
        <w:jc w:val="both"/>
        <w:rPr>
          <w:rFonts w:ascii="Arial" w:eastAsiaTheme="minorHAnsi" w:hAnsi="Arial" w:cs="Arial"/>
          <w:bCs/>
          <w:sz w:val="19"/>
          <w:szCs w:val="19"/>
          <w:lang w:val="es-MX" w:eastAsia="en-US"/>
        </w:rPr>
      </w:pPr>
      <w:r w:rsidRPr="00520C8E">
        <w:rPr>
          <w:rFonts w:ascii="Arial" w:eastAsiaTheme="minorHAnsi" w:hAnsi="Arial" w:cs="Arial"/>
          <w:bCs/>
          <w:sz w:val="19"/>
          <w:szCs w:val="19"/>
          <w:lang w:val="es-MX" w:eastAsia="en-US"/>
        </w:rPr>
        <w:t>Informar el resultado de la conciliación de la cuenta de transferencias;</w:t>
      </w:r>
    </w:p>
    <w:p w:rsidR="00DC66CD" w:rsidRPr="00520C8E" w:rsidRDefault="00DC66CD" w:rsidP="00DC66CD">
      <w:pPr>
        <w:spacing w:line="276" w:lineRule="auto"/>
        <w:ind w:left="567" w:hanging="283"/>
        <w:jc w:val="both"/>
        <w:rPr>
          <w:rFonts w:ascii="Arial" w:eastAsiaTheme="minorHAnsi" w:hAnsi="Arial" w:cs="Arial"/>
          <w:bCs/>
          <w:sz w:val="19"/>
          <w:szCs w:val="19"/>
          <w:lang w:val="es-MX" w:eastAsia="en-US"/>
        </w:rPr>
      </w:pPr>
    </w:p>
    <w:p w:rsidR="00DC66CD" w:rsidRPr="00520C8E" w:rsidRDefault="00DC66CD" w:rsidP="00DC66CD">
      <w:pPr>
        <w:pStyle w:val="Prrafodelista"/>
        <w:numPr>
          <w:ilvl w:val="2"/>
          <w:numId w:val="1"/>
        </w:numPr>
        <w:spacing w:line="276" w:lineRule="auto"/>
        <w:ind w:left="567" w:hanging="283"/>
        <w:jc w:val="both"/>
        <w:rPr>
          <w:rFonts w:ascii="Arial" w:eastAsiaTheme="minorHAnsi" w:hAnsi="Arial" w:cs="Arial"/>
          <w:bCs/>
          <w:sz w:val="19"/>
          <w:szCs w:val="19"/>
          <w:lang w:val="es-MX" w:eastAsia="en-US"/>
        </w:rPr>
      </w:pPr>
      <w:r w:rsidRPr="00520C8E">
        <w:rPr>
          <w:rFonts w:ascii="Arial" w:eastAsiaTheme="minorHAnsi" w:hAnsi="Arial" w:cs="Arial"/>
          <w:bCs/>
          <w:sz w:val="19"/>
          <w:szCs w:val="19"/>
          <w:lang w:val="es-MX" w:eastAsia="en-US"/>
        </w:rPr>
        <w:t>Elaborar las observaciones e informar a la unidad de planeación Financiera-Pagos, las diferencias detectadas para su análisis y registro;</w:t>
      </w:r>
    </w:p>
    <w:p w:rsidR="00DC66CD" w:rsidRPr="00520C8E" w:rsidRDefault="00DC66CD" w:rsidP="00DC66CD">
      <w:pPr>
        <w:spacing w:line="276" w:lineRule="auto"/>
        <w:ind w:left="567" w:hanging="283"/>
        <w:jc w:val="both"/>
        <w:rPr>
          <w:rFonts w:ascii="Arial" w:eastAsiaTheme="minorHAnsi" w:hAnsi="Arial" w:cs="Arial"/>
          <w:bCs/>
          <w:sz w:val="19"/>
          <w:szCs w:val="19"/>
          <w:lang w:val="es-MX" w:eastAsia="en-US"/>
        </w:rPr>
      </w:pPr>
    </w:p>
    <w:p w:rsidR="00DC66CD" w:rsidRPr="00520C8E" w:rsidRDefault="00DC66CD" w:rsidP="00DC66CD">
      <w:pPr>
        <w:pStyle w:val="Prrafodelista"/>
        <w:numPr>
          <w:ilvl w:val="2"/>
          <w:numId w:val="1"/>
        </w:numPr>
        <w:spacing w:line="276" w:lineRule="auto"/>
        <w:ind w:left="567" w:hanging="283"/>
        <w:jc w:val="both"/>
        <w:rPr>
          <w:rFonts w:ascii="Arial" w:eastAsiaTheme="minorHAnsi" w:hAnsi="Arial" w:cs="Arial"/>
          <w:bCs/>
          <w:sz w:val="19"/>
          <w:szCs w:val="19"/>
          <w:lang w:val="es-MX" w:eastAsia="en-US"/>
        </w:rPr>
      </w:pPr>
      <w:r w:rsidRPr="00520C8E">
        <w:rPr>
          <w:rFonts w:ascii="Arial" w:eastAsiaTheme="minorHAnsi" w:hAnsi="Arial" w:cs="Arial"/>
          <w:bCs/>
          <w:sz w:val="19"/>
          <w:szCs w:val="19"/>
          <w:lang w:val="es-MX" w:eastAsia="en-US"/>
        </w:rPr>
        <w:t xml:space="preserve">Recabar la información y documentación proporcionada por los departamentos de Revisión y Análisis del Sector Paraestatal y Revisión y Análisis del Sector Central, para la </w:t>
      </w:r>
      <w:proofErr w:type="spellStart"/>
      <w:r w:rsidRPr="00520C8E">
        <w:rPr>
          <w:rFonts w:ascii="Arial" w:eastAsiaTheme="minorHAnsi" w:hAnsi="Arial" w:cs="Arial"/>
          <w:bCs/>
          <w:sz w:val="19"/>
          <w:szCs w:val="19"/>
          <w:lang w:val="es-MX" w:eastAsia="en-US"/>
        </w:rPr>
        <w:t>solventación</w:t>
      </w:r>
      <w:proofErr w:type="spellEnd"/>
      <w:r w:rsidRPr="00520C8E">
        <w:rPr>
          <w:rFonts w:ascii="Arial" w:eastAsiaTheme="minorHAnsi" w:hAnsi="Arial" w:cs="Arial"/>
          <w:bCs/>
          <w:sz w:val="19"/>
          <w:szCs w:val="19"/>
          <w:lang w:val="es-MX" w:eastAsia="en-US"/>
        </w:rPr>
        <w:t xml:space="preserve"> de las observaciones, como resultados de la conciliación de la cuenta de ingresos y enviar al Departamento de Revisión y Análisis Contable de los Ingresos para su análisis y registro;</w:t>
      </w:r>
    </w:p>
    <w:p w:rsidR="00DC66CD" w:rsidRPr="00520C8E" w:rsidRDefault="00DC66CD" w:rsidP="00DC66CD">
      <w:pPr>
        <w:pStyle w:val="Prrafodelista"/>
        <w:rPr>
          <w:rFonts w:ascii="Arial" w:eastAsiaTheme="minorHAnsi" w:hAnsi="Arial" w:cs="Arial"/>
          <w:bCs/>
          <w:sz w:val="19"/>
          <w:szCs w:val="19"/>
          <w:lang w:val="es-MX" w:eastAsia="en-US"/>
        </w:rPr>
      </w:pPr>
    </w:p>
    <w:p w:rsidR="00DC66CD" w:rsidRPr="00520C8E" w:rsidRDefault="00DC66CD" w:rsidP="00DC66CD">
      <w:pPr>
        <w:pStyle w:val="Prrafodelista"/>
        <w:numPr>
          <w:ilvl w:val="2"/>
          <w:numId w:val="1"/>
        </w:numPr>
        <w:spacing w:line="276" w:lineRule="auto"/>
        <w:ind w:left="567" w:hanging="283"/>
        <w:jc w:val="both"/>
        <w:rPr>
          <w:rFonts w:ascii="Arial" w:eastAsiaTheme="minorHAnsi" w:hAnsi="Arial" w:cs="Arial"/>
          <w:bCs/>
          <w:sz w:val="19"/>
          <w:szCs w:val="19"/>
          <w:lang w:val="es-MX" w:eastAsia="en-US"/>
        </w:rPr>
      </w:pPr>
      <w:r w:rsidRPr="00520C8E">
        <w:rPr>
          <w:rFonts w:ascii="Arial" w:eastAsiaTheme="minorHAnsi" w:hAnsi="Arial" w:cs="Arial"/>
          <w:bCs/>
          <w:sz w:val="19"/>
          <w:szCs w:val="19"/>
          <w:lang w:val="es-MX" w:eastAsia="en-US"/>
        </w:rPr>
        <w:t>Brindar asesoría a las diferentes unidades responsables orientación y capacitación en materia contable y uso de los sistemas de contabilidad gubernamental, y</w:t>
      </w:r>
    </w:p>
    <w:p w:rsidR="00DC66CD" w:rsidRPr="00520C8E" w:rsidRDefault="00DC66CD" w:rsidP="00DC66CD">
      <w:pPr>
        <w:pStyle w:val="Prrafodelista"/>
        <w:rPr>
          <w:rFonts w:ascii="Arial" w:eastAsiaTheme="minorHAnsi" w:hAnsi="Arial" w:cs="Arial"/>
          <w:bCs/>
          <w:sz w:val="19"/>
          <w:szCs w:val="19"/>
          <w:lang w:val="es-MX" w:eastAsia="en-US"/>
        </w:rPr>
      </w:pPr>
    </w:p>
    <w:p w:rsidR="00B24EC1" w:rsidRDefault="00DC66CD" w:rsidP="00DC66CD">
      <w:r w:rsidRPr="00520C8E">
        <w:rPr>
          <w:rFonts w:ascii="Arial" w:eastAsiaTheme="minorHAnsi" w:hAnsi="Arial" w:cs="Arial"/>
          <w:bCs/>
          <w:sz w:val="19"/>
          <w:szCs w:val="19"/>
          <w:lang w:val="es-MX" w:eastAsia="en-US"/>
        </w:rPr>
        <w:t>Las demás que le confieran el Reglamento y demás disposiciones normativas aplicables, así como, las que expresamente le sean conferidas por su superior jerárquico</w:t>
      </w:r>
      <w:r>
        <w:rPr>
          <w:rFonts w:ascii="Arial" w:eastAsiaTheme="minorHAnsi" w:hAnsi="Arial" w:cs="Arial"/>
          <w:bCs/>
          <w:sz w:val="19"/>
          <w:szCs w:val="19"/>
          <w:lang w:val="es-MX" w:eastAsia="en-US"/>
        </w:rPr>
        <w:t>.</w:t>
      </w:r>
    </w:p>
    <w:sectPr w:rsidR="00B24EC1" w:rsidSect="00B24E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35855"/>
    <w:multiLevelType w:val="hybridMultilevel"/>
    <w:tmpl w:val="2734631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3">
      <w:start w:val="1"/>
      <w:numFmt w:val="upp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DC66CD"/>
    <w:rsid w:val="00B24EC1"/>
    <w:rsid w:val="00DC6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66C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2345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</cp:revision>
  <dcterms:created xsi:type="dcterms:W3CDTF">2022-08-27T10:56:00Z</dcterms:created>
  <dcterms:modified xsi:type="dcterms:W3CDTF">2022-08-27T10:56:00Z</dcterms:modified>
</cp:coreProperties>
</file>