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51" w:rsidRPr="00520C8E" w:rsidRDefault="00424B51" w:rsidP="00424B51">
      <w:pPr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28.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La Dirección de Presupuesto contará con una Directora o Director, que dependerá directamente de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>, quien se auxiliará de las Coordinadoras o Coordinadores de: Política e Integración Presupuestaria; de Seguimiento Presupuestario a Gasto de Operación, y de Gestión Presupuestaria; Jefas o Jefes de departamento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424B51" w:rsidRPr="00520C8E" w:rsidRDefault="00424B51" w:rsidP="00424B51">
      <w:pPr>
        <w:rPr>
          <w:rFonts w:ascii="Arial" w:hAnsi="Arial" w:cs="Arial"/>
          <w:b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Proponer a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plan de trabajo para la formulación del anteproyecto de Presupuesto de Egresos;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Aprobar, previa autorización de su superior jerárquico los procesos de actualización y funcionalidad en coordinación con las áreas competentes, que conformarán el sistema electrónico en el que los ejecutores de gasto integrarán sus programas operativos anuales y anteproyectos de Presupuesto de Egresos;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Presentar a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los criterios para la formulación del anteproyecto de Presupuesto de Egresos, y vigilar su cumplimiento;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Presentar para aprobación a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el Manual de Planeación – Programación – </w:t>
      </w:r>
      <w:proofErr w:type="spellStart"/>
      <w:r w:rsidRPr="00520C8E">
        <w:rPr>
          <w:rFonts w:ascii="Arial" w:hAnsi="Arial" w:cs="Arial"/>
          <w:bCs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para la formulación del anteproyecto de Presupuesto de Egresos; 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Presentar la propuesta de techos financieros por ejecutor de gasto, para revisión de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y aprobación de la Secretaria o Secretario;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  <w:u w:val="single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el anteproyecto de Presupuesto de Egresos, así como las acciones y proyectos de inversión que integrarán el gasto de capital, con base en la propuesta que realice la Subsecretaría de Planeación e Inversión Pública</w:t>
      </w:r>
      <w:r w:rsidRPr="00520C8E">
        <w:rPr>
          <w:rFonts w:ascii="Arial" w:hAnsi="Arial" w:cs="Arial"/>
          <w:bCs/>
          <w:color w:val="000000" w:themeColor="text1"/>
          <w:sz w:val="19"/>
          <w:szCs w:val="19"/>
          <w:lang w:val="es-MX"/>
        </w:rPr>
        <w:t>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color w:val="000000" w:themeColor="text1"/>
          <w:sz w:val="19"/>
          <w:szCs w:val="19"/>
          <w:lang w:val="es-MX"/>
        </w:rPr>
      </w:pPr>
      <w:r w:rsidRPr="00520C8E">
        <w:rPr>
          <w:rFonts w:ascii="Arial" w:hAnsi="Arial" w:cs="Arial"/>
          <w:bCs/>
          <w:color w:val="000000" w:themeColor="text1"/>
          <w:sz w:val="19"/>
          <w:szCs w:val="19"/>
          <w:lang w:val="es-MX"/>
        </w:rPr>
        <w:t xml:space="preserve">Presentar periódicamente a la Subsecretaria o Subsecretario </w:t>
      </w:r>
      <w:r w:rsidRPr="00520C8E">
        <w:rPr>
          <w:rFonts w:ascii="Arial" w:hAnsi="Arial" w:cs="Arial"/>
          <w:color w:val="000000" w:themeColor="text1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color w:val="000000" w:themeColor="text1"/>
          <w:sz w:val="19"/>
          <w:szCs w:val="19"/>
          <w:lang w:val="es-MX"/>
        </w:rPr>
        <w:t xml:space="preserve"> informes del estado que guarda el ejercicio del Presupuesto de Egresos;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color w:val="000000" w:themeColor="text1"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Revisar los dictámenes sobre la disponibilidad presupuestal, tratándose de gasto operativo, incluyendo los de carácter plurianual, así como los dictámenes de impacto presupuestal a que se refieren las Leyes de Disciplina Financiera de las Entidades Federativas y los Municipios, y Estatal de Presupuesto y Responsabilidad Hacendaria;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Autorizar </w:t>
      </w:r>
      <w:r w:rsidRPr="00520C8E">
        <w:rPr>
          <w:rFonts w:ascii="Arial" w:hAnsi="Arial" w:cs="Arial"/>
          <w:sz w:val="19"/>
          <w:szCs w:val="19"/>
          <w:lang w:val="es-MX"/>
        </w:rPr>
        <w:t>las adecuaciones presupuestarias externas que soliciten los Ejecutores de gasto a su presupuesto autorizado;</w:t>
      </w:r>
    </w:p>
    <w:p w:rsidR="00424B51" w:rsidRPr="00520C8E" w:rsidRDefault="00424B51" w:rsidP="00424B51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Instruir que se lleven a cabo en el sistema electrónico las adecuaciones presupuestarias;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Informar la procedencia o improcedencia de las solicitudes de trámite de los ejecutores de gasto;</w:t>
      </w:r>
    </w:p>
    <w:p w:rsidR="00424B51" w:rsidRPr="00520C8E" w:rsidRDefault="00424B51" w:rsidP="00424B51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Determinar la procedencia o improcedencia de las solicitudes de trámite de los ejecutores de gasto;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Informar a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de la procedencia o improcedencia de las solicitudes de dictámenes de disponibilidad e impacto presupuestario; 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Vigilar que se entregue la información presupuestaria a la Dirección de Contabilidad Gubernamental para la elaboración de los informes trimestrales de avance de gestión y Cuenta pública;</w:t>
      </w:r>
    </w:p>
    <w:p w:rsidR="00424B51" w:rsidRPr="00520C8E" w:rsidRDefault="00424B51" w:rsidP="00424B51">
      <w:pPr>
        <w:ind w:left="567" w:hanging="283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Organizar la formulación del calendario de cierre de ejercicio presupuestario;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lastRenderedPageBreak/>
        <w:t>Supervisar que se proporcione orientación y asesoría técnica en materia de ejercicio presupuestario a los ejecutores de gasto;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 xml:space="preserve">Proponer a la Subsecretaria o Subsecretario </w:t>
      </w:r>
      <w:r w:rsidRPr="00520C8E">
        <w:rPr>
          <w:rFonts w:ascii="Arial" w:hAnsi="Arial" w:cs="Arial"/>
          <w:iCs/>
          <w:sz w:val="19"/>
          <w:szCs w:val="19"/>
          <w:lang w:val="es-MX"/>
        </w:rPr>
        <w:t>de Egresos, Contabilidad y Tesorería</w:t>
      </w: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 xml:space="preserve"> los procedimientos administrativos para la mejora de la gestión presupuestaria;  </w:t>
      </w:r>
    </w:p>
    <w:p w:rsidR="00424B51" w:rsidRPr="00520C8E" w:rsidRDefault="00424B51" w:rsidP="00424B51">
      <w:p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Verificar la suficiencia presupuestaria para la celebración de los acuerdos de voluntades para el otorgamiento de apoyos financieros que se celebren con los Municipios;</w:t>
      </w:r>
    </w:p>
    <w:p w:rsidR="00424B51" w:rsidRPr="00520C8E" w:rsidRDefault="00424B51" w:rsidP="00424B51">
      <w:pPr>
        <w:pStyle w:val="Prrafodelista"/>
        <w:ind w:left="567" w:hanging="283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Suscribir las solicitudes realizadas para la entrega de las Cuentas por Liquidar Certificadas, a la Dirección de Contabilidad Gubernamental;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 xml:space="preserve">Dar seguimiento a las actividades de programación, </w:t>
      </w:r>
      <w:proofErr w:type="spellStart"/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presupuestación</w:t>
      </w:r>
      <w:proofErr w:type="spellEnd"/>
      <w:r w:rsidRPr="00520C8E">
        <w:rPr>
          <w:rFonts w:ascii="Arial" w:hAnsi="Arial" w:cs="Arial"/>
          <w:bCs/>
          <w:iCs/>
          <w:sz w:val="19"/>
          <w:szCs w:val="19"/>
          <w:lang w:val="es-MX"/>
        </w:rPr>
        <w:t xml:space="preserve"> y control del gasto público de las entidades no sectorizadas;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Proponer a la Subsecretaria o Subsecretario de Egresos, Contabilidad y Tesorería los ajustes al Presupuesto de Egresos Estatal en el caso de disminución de ingresos durante el ejercicio;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Proponer la procedencia de todo gasto adicional que soliciten los ejecutores de gasto, con cargo a ingresos excedentes generados, en los términos de las disposiciones aplicables;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Proponer la procedencia de aquellos acuerdos de ministración solicitados por las dependencias y entidades del Estado, para solventar contingencias o gastos urgentes de operación, con cargo a sus presupuestos;</w:t>
      </w:r>
    </w:p>
    <w:p w:rsidR="00424B51" w:rsidRPr="00520C8E" w:rsidRDefault="00424B51" w:rsidP="00424B51">
      <w:pPr>
        <w:pStyle w:val="Prrafodelista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Suscribir con la Subsecretaria o Subsecretario de Egresos, Contabilidad y Tesorería, conjuntamente con la Tesorera o Tesorero, los Acuerdos de voluntades para el otorgamiento de apoyos financieros que se celebren con los Municipios;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 xml:space="preserve">Analizar las prórrogas que soliciten las dependencias y entidades del Estado, para el reintegro o amortización de los acuerdos de ministración que les hayan sido otorgados, en los términos permitidos por las disposiciones aplicables, y </w:t>
      </w:r>
    </w:p>
    <w:p w:rsidR="00424B51" w:rsidRPr="00520C8E" w:rsidRDefault="00424B51" w:rsidP="00424B51">
      <w:pPr>
        <w:ind w:left="567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</w:p>
    <w:p w:rsidR="00424B51" w:rsidRPr="00520C8E" w:rsidRDefault="00424B51" w:rsidP="00424B51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iCs/>
          <w:sz w:val="19"/>
          <w:szCs w:val="19"/>
          <w:lang w:val="es-MX"/>
        </w:rPr>
      </w:pPr>
      <w:r w:rsidRPr="00520C8E">
        <w:rPr>
          <w:rFonts w:ascii="Arial" w:hAnsi="Arial" w:cs="Arial"/>
          <w:bCs/>
          <w:iCs/>
          <w:sz w:val="19"/>
          <w:szCs w:val="19"/>
          <w:lang w:val="es-MX"/>
        </w:rPr>
        <w:t>Las demás que le confiera este Reglamento y demás disposiciones normativas aplicables, así como las que expresamente le sean conferidas por su superior jerárquico.</w:t>
      </w:r>
    </w:p>
    <w:p w:rsidR="0038456A" w:rsidRPr="00424B51" w:rsidRDefault="0038456A">
      <w:pPr>
        <w:rPr>
          <w:lang w:val="es-MX"/>
        </w:rPr>
      </w:pPr>
    </w:p>
    <w:sectPr w:rsidR="0038456A" w:rsidRPr="00424B51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0214F"/>
    <w:multiLevelType w:val="hybridMultilevel"/>
    <w:tmpl w:val="FA0C4574"/>
    <w:lvl w:ilvl="0" w:tplc="D85E194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i w:val="0"/>
        <w:iCs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24B51"/>
    <w:rsid w:val="0038456A"/>
    <w:rsid w:val="00424B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4B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4455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2022-08-27T11:01:00Z</dcterms:created>
  <dcterms:modified xsi:type="dcterms:W3CDTF">2022-08-27T11:02:00Z</dcterms:modified>
</cp:coreProperties>
</file>