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4C" w:rsidRPr="00520C8E" w:rsidRDefault="00EF454C" w:rsidP="00EF454C">
      <w:pPr>
        <w:pStyle w:val="Sinespaciado"/>
        <w:ind w:left="720"/>
        <w:jc w:val="both"/>
        <w:rPr>
          <w:rFonts w:ascii="Arial" w:hAnsi="Arial" w:cs="Arial"/>
          <w:bCs/>
          <w:sz w:val="19"/>
          <w:szCs w:val="19"/>
        </w:rPr>
      </w:pPr>
    </w:p>
    <w:p w:rsidR="00EF454C" w:rsidRPr="00520C8E" w:rsidRDefault="00EF454C" w:rsidP="00EF454C">
      <w:pPr>
        <w:pStyle w:val="Prrafodelista"/>
        <w:ind w:left="0"/>
        <w:jc w:val="both"/>
        <w:rPr>
          <w:rFonts w:ascii="Arial" w:hAnsi="Arial" w:cs="Arial"/>
          <w:sz w:val="19"/>
          <w:szCs w:val="19"/>
          <w:lang w:val="es-MX"/>
        </w:rPr>
      </w:pPr>
      <w:r w:rsidRPr="00520C8E">
        <w:rPr>
          <w:rFonts w:ascii="Arial" w:hAnsi="Arial" w:cs="Arial"/>
          <w:b/>
          <w:sz w:val="19"/>
          <w:szCs w:val="19"/>
          <w:lang w:val="es-MX"/>
        </w:rPr>
        <w:t>Artículo 48.</w:t>
      </w:r>
      <w:r w:rsidRPr="00520C8E">
        <w:rPr>
          <w:rFonts w:ascii="Arial" w:hAnsi="Arial" w:cs="Arial"/>
          <w:sz w:val="19"/>
          <w:szCs w:val="19"/>
          <w:lang w:val="es-MX"/>
        </w:rPr>
        <w:t xml:space="preserve"> La Subsecretaría de Ingresos contará con una Subsecretaria o Subsecretario que dependerá directamente de la Secretaria o Secretario, quien se auxiliará de las o los Directores de Ingresos y Recaudación; de Auditoría e Inspección Fiscal, y de la Coordinadora o Coordinador de Centros Integrales de Atención al Contribuyente; así como de las y los Directores, Coordinadores, Jefes de Departamento y de las y los demás servidores públicos que las necesidades del servicio requieran, de acuerdo con el presupuesto autorizado y cuyas funciones serán indicadas en el Manual de Organización de la Secretaría, y tendrá las siguientes facultades:</w:t>
      </w:r>
    </w:p>
    <w:p w:rsidR="00EF454C" w:rsidRPr="00520C8E" w:rsidRDefault="00EF454C" w:rsidP="00EF454C">
      <w:pPr>
        <w:tabs>
          <w:tab w:val="left" w:pos="709"/>
        </w:tabs>
        <w:jc w:val="both"/>
        <w:rPr>
          <w:rFonts w:ascii="Arial" w:hAnsi="Arial" w:cs="Arial"/>
          <w:sz w:val="19"/>
          <w:szCs w:val="19"/>
          <w:lang w:val="es-MX"/>
        </w:rPr>
      </w:pP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Presentar a la Secretaria o Secretario, la política fiscal, así como el programa anual de mejora continua que deben seguir las áreas administrativas a su cargo;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Evaluar la operación recaudatoria, así como la calidad y cobertura de los servicios que se presten en materia fiscal;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Presentar a la Secretaria o Secretario la estimación de las metas de recaudación, señalando los objetivos que se deben alcanzar, en congruencia con la política económica del Estado;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Proponer a la Secretaria o Secretario la metodología y herramientas necesarias para el análisis, evaluación, coordinación, control y seguimiento de los proyectos comprendidos en el Plan Estatal, en materia de su competencia;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Participar en los convenios de colaboración con autoridades federales, estatales y municipales;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Suscribir los convenios de intercambio de información con autoridades y organismos públicos y privados, de conformidad con las disposiciones legales aplicables, previa determinación de la viabilidad y características técnicas;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Suscribir Convenios, Acuerdos, Anexos y demás documentos con la Administración Pública Estatal y Municipal en materia de ingresos; </w:t>
      </w:r>
    </w:p>
    <w:p w:rsidR="00EF454C" w:rsidRPr="00520C8E" w:rsidRDefault="00EF454C" w:rsidP="00EF454C">
      <w:pPr>
        <w:pStyle w:val="Prrafodelista"/>
        <w:rPr>
          <w:rFonts w:ascii="Arial" w:eastAsia="Arial" w:hAnsi="Arial" w:cs="Arial"/>
          <w:sz w:val="19"/>
          <w:szCs w:val="19"/>
          <w:lang w:val="es-MX" w:eastAsia="es-MX"/>
        </w:rPr>
      </w:pP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Presentar a la Secretaria o Secretario el proyecto anual de estimaciones de ingresos y programas de estímulos y subsidios fiscales;</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Suscribir los programas para el fomento al pago de contribuciones, así como la implementación de estímulos y subsidios fiscales;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Establecer el calendario de días inhábiles del ejercicio fiscal que corresponda a la Secretaría como autoridad fiscal;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Autorizar los modelos de información en materia de administración fiscal;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Vigilar la implementación de estrategias para fomentar y facilitar el uso de los medios electrónicos de pago y otros programas auxiliares;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Vigilar que se cumpla con los plazos establecidos por la Federación para la rendición de la cuenta mensual comprobada de ingresos coordinados y del sistema de compensación de fondos, de conformidad con lo establecido en el Convenio de Colaboración y de sus anexos;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Autorizar los programas y procedimientos normativos para la actualización, integración y registro de contribuyentes en el Registro Estatal;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Requerir informes a los responsables de las áreas administrativas respecto a las determinaciones de recargos, multas, gastos de ejecución, honorarios y gastos extraordinarios que se hayan causado en los procedimientos administrativos de ejecución, así como en el requerimiento de obligaciones incumplidas;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lastRenderedPageBreak/>
        <w:t xml:space="preserve">Participar en el ámbito de su competencia, en la instrumentación y actualización del Sistema Estatal de Coordinación Fiscal entre el Estado y sus Municipios;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Solicitar informes a los responsables de las áreas administrativas respecto de la situación de las garantías del interés fiscal, en los casos previstos por el Código Fiscal;</w:t>
      </w:r>
      <w:r w:rsidRPr="00520C8E">
        <w:rPr>
          <w:rFonts w:ascii="Arial" w:eastAsia="Arial" w:hAnsi="Arial" w:cs="Arial"/>
          <w:sz w:val="19"/>
          <w:szCs w:val="19"/>
          <w:vertAlign w:val="superscript"/>
          <w:lang w:val="es-MX" w:eastAsia="es-MX"/>
        </w:rPr>
        <w:t xml:space="preserve"> </w:t>
      </w:r>
      <w:r w:rsidRPr="00520C8E">
        <w:rPr>
          <w:rFonts w:ascii="Arial" w:eastAsia="Arial" w:hAnsi="Arial" w:cs="Arial"/>
          <w:sz w:val="19"/>
          <w:szCs w:val="19"/>
          <w:lang w:val="es-MX" w:eastAsia="es-MX"/>
        </w:rPr>
        <w:t xml:space="preserve">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Participar en el ámbito de su competencia, en los organismos de coordinación fiscal federal, estatal y municipal;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Emitir las constancias o documentos de identificación que acrediten a las y los servidores públicos que lleven a cabo facultades de recaudación, auditorías, notificaciones, visitas, verificaciones, emisión de dictámenes, servicios de inspección y vigilancia fiscal y actos de fiscalización en materia de comercio exterior, económica coactiva y demás relacionada con la Hacienda pública, así como de las previstas en el Convenio de Colaboración y sus anexos;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Coordinar la emisión de las reglas de carácter general para la cancelación de créditos fiscales;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Coordinar que se emitan las estrategias para la emisión de la declaración de oficio de prescripción de créditos fiscales;</w:t>
      </w:r>
      <w:r w:rsidRPr="00520C8E">
        <w:rPr>
          <w:rFonts w:ascii="Arial" w:eastAsia="Arial" w:hAnsi="Arial" w:cs="Arial"/>
          <w:sz w:val="19"/>
          <w:szCs w:val="19"/>
          <w:vertAlign w:val="superscript"/>
          <w:lang w:val="es-MX" w:eastAsia="es-MX"/>
        </w:rPr>
        <w:t xml:space="preserve"> </w:t>
      </w:r>
      <w:r w:rsidRPr="00520C8E">
        <w:rPr>
          <w:rFonts w:ascii="Arial" w:eastAsia="Arial" w:hAnsi="Arial" w:cs="Arial"/>
          <w:sz w:val="19"/>
          <w:szCs w:val="19"/>
          <w:lang w:val="es-MX" w:eastAsia="es-MX"/>
        </w:rPr>
        <w:t xml:space="preserve">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Suscribir reglas de carácter general que faciliten el cumplimiento de las obligaciones fiscales a cargo de los contribuyentes de la hacienda pública estatal, criterios normativos y demás disposiciones en materia de ingresos;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Evaluar las metas programadas para el seguimiento, control y ejecución de créditos, procedimientos administrativos de ejecución, devoluciones, entre otros, y de su resultado ordenar las medidas preventivas y correctivas necesarias;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Coordinar para que la expedición de los permisos para la apertura, instalación y funcionamiento de las Casas de Empeño se realicen conforme a la ley de la materia;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7"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Autorizar el programa operativo anual de fiscalización, recaudación y contribuciones federales coordinadas en materia de comercio exterior;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5"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Coordinar la implementación de los sistemas, métodos y procedimientos para el cumplimiento de metas fijadas en los programas operativos de fiscalización, recaudación y contribuciones en materia estatal y de comercio exterior;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Requerir informes sobre las facultades de comprobación, que se realicen para verificar el cumplimiento de las obligaciones fiscales;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Autorizar la normatividad en materia estatal para la cancelación y depuración de créditos fiscales, las reglas de carácter general y las demás que se requiera para el mejor desempeño de las facultades de las autoridades fiscales;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Proponer a la Secretaria o Secretario los proyectos de iniciativas de leyes, decretos, reglamentos, acuerdos, órdenes y disposiciones de observancia general, así como, los proyectos de decretos, acuerdos y demás instrumentos jurídicos vinculados a la creación y funcionamiento de fideicomisos públicos, en los que tenga la Secretaría el carácter de fideicomitente único del Gobierno del Estado;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Proponer a la Secretaria o Secretario, la creación o extinción de los Centros Integrales de Atención al Contribuyente y de los Módulos de Atención al Contribuyente;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Establecer mediante acuerdo la circunscripción territorial de competencia de los Centros Integrales de Atención al Contribuyente y de los Módulos de Atención al Contribuyente;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lastRenderedPageBreak/>
        <w:t xml:space="preserve">Autorizar el programa anual de actividades de los Centros Integrales de Atención al Contribuyente y de los Módulos de Atención al Contribuyente; </w:t>
      </w:r>
    </w:p>
    <w:p w:rsidR="00EF454C" w:rsidRPr="00520C8E" w:rsidRDefault="00EF454C" w:rsidP="00EF454C">
      <w:pPr>
        <w:spacing w:line="259" w:lineRule="auto"/>
        <w:ind w:left="567" w:hanging="283"/>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 </w:t>
      </w: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Establecer en las áreas administrativas de su adscripción, las medidas correctivas con base en los fallos emitidos por las autoridades en materia contenciosa administrativa, así como por autoridades judiciales, para perfeccionar los procedimientos de fiscalización y recaudación;</w:t>
      </w:r>
    </w:p>
    <w:p w:rsidR="00EF454C" w:rsidRPr="00520C8E" w:rsidRDefault="00EF454C" w:rsidP="00EF454C">
      <w:pPr>
        <w:spacing w:line="248" w:lineRule="auto"/>
        <w:ind w:left="567" w:right="1"/>
        <w:jc w:val="both"/>
        <w:rPr>
          <w:rFonts w:ascii="Arial" w:eastAsia="Arial" w:hAnsi="Arial" w:cs="Arial"/>
          <w:sz w:val="19"/>
          <w:szCs w:val="19"/>
          <w:u w:val="single"/>
          <w:lang w:val="es-MX" w:eastAsia="es-MX"/>
        </w:rPr>
      </w:pPr>
    </w:p>
    <w:p w:rsidR="00EF454C" w:rsidRPr="00520C8E" w:rsidRDefault="00EF454C" w:rsidP="00EF454C">
      <w:pPr>
        <w:numPr>
          <w:ilvl w:val="0"/>
          <w:numId w:val="1"/>
        </w:numPr>
        <w:spacing w:line="248" w:lineRule="auto"/>
        <w:ind w:left="567" w:right="1" w:hanging="283"/>
        <w:jc w:val="both"/>
        <w:rPr>
          <w:rFonts w:ascii="Arial" w:eastAsia="Arial" w:hAnsi="Arial" w:cs="Arial"/>
          <w:sz w:val="19"/>
          <w:szCs w:val="19"/>
          <w:lang w:val="es-MX" w:eastAsia="es-MX"/>
        </w:rPr>
      </w:pPr>
      <w:r w:rsidRPr="00520C8E">
        <w:rPr>
          <w:rFonts w:ascii="Arial" w:eastAsia="Arial" w:hAnsi="Arial" w:cs="Arial"/>
          <w:sz w:val="19"/>
          <w:szCs w:val="19"/>
          <w:lang w:val="es-MX" w:eastAsia="es-MX"/>
        </w:rPr>
        <w:t xml:space="preserve">Comprobar, determinar, liquidar y ejecutar las contribuciones tanto federales en el marco de la coordinación fiscal con la Federación, como locales, y </w:t>
      </w:r>
    </w:p>
    <w:p w:rsidR="00EF454C" w:rsidRPr="00520C8E" w:rsidRDefault="00EF454C" w:rsidP="00EF454C">
      <w:pPr>
        <w:ind w:left="567" w:hanging="283"/>
        <w:rPr>
          <w:rFonts w:ascii="Arial" w:eastAsia="Arial" w:hAnsi="Arial" w:cs="Arial"/>
          <w:sz w:val="19"/>
          <w:szCs w:val="19"/>
          <w:lang w:val="es-MX" w:eastAsia="es-MX"/>
        </w:rPr>
      </w:pPr>
    </w:p>
    <w:p w:rsidR="00EF454C" w:rsidRPr="00520C8E" w:rsidRDefault="00EF454C" w:rsidP="00EF454C">
      <w:pPr>
        <w:numPr>
          <w:ilvl w:val="0"/>
          <w:numId w:val="1"/>
        </w:numPr>
        <w:spacing w:line="248" w:lineRule="auto"/>
        <w:ind w:left="567" w:right="1" w:hanging="283"/>
        <w:jc w:val="both"/>
        <w:rPr>
          <w:rFonts w:ascii="Arial" w:hAnsi="Arial" w:cs="Arial"/>
          <w:b/>
          <w:sz w:val="19"/>
          <w:szCs w:val="19"/>
          <w:lang w:val="es-MX"/>
        </w:rPr>
      </w:pPr>
      <w:r w:rsidRPr="00520C8E">
        <w:rPr>
          <w:rFonts w:ascii="Arial" w:eastAsia="Arial" w:hAnsi="Arial" w:cs="Arial"/>
          <w:sz w:val="19"/>
          <w:szCs w:val="19"/>
          <w:lang w:val="es-MX" w:eastAsia="es-MX"/>
        </w:rPr>
        <w:t>Las demás que le confiera las leyes, este Reglamento y demás disposiciones normativas aplicables, así como, las que expresamente les sean conferidas por la Secretaria o Secretario.</w:t>
      </w:r>
    </w:p>
    <w:p w:rsidR="0038456A" w:rsidRPr="00EF454C" w:rsidRDefault="0038456A">
      <w:pPr>
        <w:rPr>
          <w:lang w:val="es-MX"/>
        </w:rPr>
      </w:pPr>
    </w:p>
    <w:sectPr w:rsidR="0038456A" w:rsidRPr="00EF454C" w:rsidSect="003845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37B1B"/>
    <w:multiLevelType w:val="hybridMultilevel"/>
    <w:tmpl w:val="C3BEF616"/>
    <w:lvl w:ilvl="0" w:tplc="0C0A0013">
      <w:start w:val="1"/>
      <w:numFmt w:val="upperRoman"/>
      <w:lvlText w:val="%1."/>
      <w:lvlJc w:val="right"/>
      <w:pPr>
        <w:ind w:left="1134"/>
      </w:pPr>
      <w:rPr>
        <w:b w:val="0"/>
        <w:i w:val="0"/>
        <w:strike w:val="0"/>
        <w:dstrike w:val="0"/>
        <w:color w:val="000000"/>
        <w:sz w:val="19"/>
        <w:szCs w:val="19"/>
        <w:u w:val="none" w:color="000000"/>
        <w:bdr w:val="none" w:sz="0" w:space="0" w:color="auto"/>
        <w:shd w:val="clear" w:color="auto" w:fill="auto"/>
        <w:vertAlign w:val="baseline"/>
      </w:rPr>
    </w:lvl>
    <w:lvl w:ilvl="1" w:tplc="0A747CB6">
      <w:start w:val="1"/>
      <w:numFmt w:val="lowerLetter"/>
      <w:lvlText w:val="%2"/>
      <w:lvlJc w:val="left"/>
      <w:pPr>
        <w:ind w:left="12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EB87060">
      <w:start w:val="1"/>
      <w:numFmt w:val="lowerRoman"/>
      <w:lvlText w:val="%3"/>
      <w:lvlJc w:val="left"/>
      <w:pPr>
        <w:ind w:left="1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DE45E26">
      <w:start w:val="1"/>
      <w:numFmt w:val="decimal"/>
      <w:lvlText w:val="%4"/>
      <w:lvlJc w:val="left"/>
      <w:pPr>
        <w:ind w:left="26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5EBE9A">
      <w:start w:val="1"/>
      <w:numFmt w:val="lowerLetter"/>
      <w:lvlText w:val="%5"/>
      <w:lvlJc w:val="left"/>
      <w:pPr>
        <w:ind w:left="33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DE7BB4">
      <w:start w:val="1"/>
      <w:numFmt w:val="lowerRoman"/>
      <w:lvlText w:val="%6"/>
      <w:lvlJc w:val="left"/>
      <w:pPr>
        <w:ind w:left="40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E06E3C4">
      <w:start w:val="1"/>
      <w:numFmt w:val="decimal"/>
      <w:lvlText w:val="%7"/>
      <w:lvlJc w:val="left"/>
      <w:pPr>
        <w:ind w:left="48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EC25F0">
      <w:start w:val="1"/>
      <w:numFmt w:val="lowerLetter"/>
      <w:lvlText w:val="%8"/>
      <w:lvlJc w:val="left"/>
      <w:pPr>
        <w:ind w:left="55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688666">
      <w:start w:val="1"/>
      <w:numFmt w:val="lowerRoman"/>
      <w:lvlText w:val="%9"/>
      <w:lvlJc w:val="left"/>
      <w:pPr>
        <w:ind w:left="62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EF454C"/>
    <w:rsid w:val="0038456A"/>
    <w:rsid w:val="00EF454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454C"/>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F454C"/>
    <w:pPr>
      <w:ind w:left="708"/>
    </w:pPr>
  </w:style>
  <w:style w:type="paragraph" w:styleId="Sinespaciado">
    <w:name w:val="No Spacing"/>
    <w:link w:val="SinespaciadoCar"/>
    <w:uiPriority w:val="1"/>
    <w:qFormat/>
    <w:rsid w:val="00EF454C"/>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EF454C"/>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1102</Words>
  <Characters>6066</Characters>
  <Application>Microsoft Office Word</Application>
  <DocSecurity>0</DocSecurity>
  <Lines>50</Lines>
  <Paragraphs>14</Paragraphs>
  <ScaleCrop>false</ScaleCrop>
  <Company>Hewlett-Packard Company</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2022-08-27T11:21:00Z</dcterms:created>
  <dcterms:modified xsi:type="dcterms:W3CDTF">2022-08-27T11:22:00Z</dcterms:modified>
</cp:coreProperties>
</file>