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BF7" w:rsidRPr="00520C8E" w:rsidRDefault="00AB1BF7" w:rsidP="00AB1BF7">
      <w:pPr>
        <w:pStyle w:val="Prrafodelista"/>
        <w:ind w:left="0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</w:t>
      </w:r>
      <w:r w:rsidRPr="00520C8E">
        <w:rPr>
          <w:rFonts w:ascii="Arial" w:hAnsi="Arial" w:cs="Arial"/>
          <w:b/>
          <w:sz w:val="19"/>
          <w:szCs w:val="19"/>
          <w:lang w:val="es-MX"/>
        </w:rPr>
        <w:t xml:space="preserve"> 60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. La Dirección de Auditoría e Inspección Fiscal, contará con una Directora o Director que dependerá directamente de la Subsecretaria o Subsecretario de Ingresos, quien se auxiliará de las Coordinadoras o Coordinadores de: Visitas Domiciliarias; Programación y Dictámenes;  Revisión de Gabinete y Masiva, </w:t>
      </w:r>
      <w:r w:rsidRPr="00520C8E">
        <w:rPr>
          <w:rFonts w:ascii="Arial" w:hAnsi="Arial" w:cs="Arial"/>
          <w:sz w:val="19"/>
          <w:szCs w:val="19"/>
          <w:lang w:val="es-MX"/>
        </w:rPr>
        <w:t>Jefas o Jefes de departamento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y de las y los demás servidores públicos que las necesidades del servicio requieran, de acuerdo con el presupuesto autorizado y cuyas funciones serán indicadas en el Manual de Organización de la Secretaría, y tendrá las siguientes facultades:</w:t>
      </w:r>
    </w:p>
    <w:p w:rsidR="00AB1BF7" w:rsidRPr="00520C8E" w:rsidRDefault="00AB1BF7" w:rsidP="00AB1BF7">
      <w:pPr>
        <w:ind w:left="605" w:hanging="142"/>
        <w:rPr>
          <w:rFonts w:ascii="Arial" w:hAnsi="Arial" w:cs="Arial"/>
          <w:bCs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Presentar a la subsecretaria o Subsecretario de Ingresos, el programa operativo anual de fiscalización en materia de contribuciones estatales para su autorización;</w:t>
      </w:r>
    </w:p>
    <w:p w:rsidR="00AB1BF7" w:rsidRPr="00520C8E" w:rsidRDefault="00AB1BF7" w:rsidP="00AB1BF7">
      <w:pPr>
        <w:pStyle w:val="Prrafodelista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a la subsecretaria o Subsecretario de Ingresos del cumplimiento de metas fijadas en los programas operativos de fiscalización;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Apercibir y aplicar las medidas de apremio establecidas en las disposiciones fiscales a todos aquellos contribuyentes, responsables solidarios o terceros con ellos relacionados, que se opongan u obstaculicen el ejercicio de las facultades de comprobación que se lleven a cabo mediante actos de fiscalización, así como imponer las multas publicadas por infracciones a las disposiciones fiscales en materia de contribuciones estatales, así como las que deriven de los actos de fiscalización que se originen de los convenios de colaboración y sus anexos, iniciados por esta autoridad;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Ordenar, suscribir, suspender o levantar el embargo precautorio, en los casos que proceda, de conformidad con las disposiciones fiscales en materia de contribuciones estatales; 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numPr>
          <w:ilvl w:val="0"/>
          <w:numId w:val="1"/>
        </w:numPr>
        <w:tabs>
          <w:tab w:val="left" w:pos="0"/>
          <w:tab w:val="left" w:pos="567"/>
        </w:tabs>
        <w:ind w:left="567" w:hanging="283"/>
        <w:jc w:val="both"/>
        <w:rPr>
          <w:rFonts w:ascii="Arial" w:eastAsia="Calibri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 los documentos en los cuales se determina la responsabilidad solidaria respecto de créditos fiscales en el ejercicio de las atribuciones, de conformidad con las disposiciones jurídicas aplicables;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Solicitar de las y los servidores públicos y de los fedatarios con motivo del ejercicio de las facultades de verificación, fiscalización y comprobación de obligaciones fiscales estatales, los informes, datos o documentos que tenga en su poder;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Suscribir las resoluciones que contengan determinaciones de contribuciones omitidas, actualización y accesorios a cargo de los contribuyentes, responsables solidarios y terceros obligados, así como la suscripción de resoluciones para imponer las multas a que se hagan acreedores, con base en los hechos que conozca, derivados del ejercicio de sus facultades de comprobación, de acuerdo a la legislación fiscal estatal; 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Texto"/>
        <w:numPr>
          <w:ilvl w:val="0"/>
          <w:numId w:val="1"/>
        </w:numPr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Solicitar a las autoridades fiscales de otra entidad que se continúen con los actos de fiscalización estatales, así como los que deriven de los convenios de colaboración y sus anexos iniciados por esta autoridad, en el caso de que el contribuyente auditado cambie su domicilio fiscal fuera de la circunscripción territorial del Estado;</w:t>
      </w:r>
    </w:p>
    <w:p w:rsidR="00AB1BF7" w:rsidRPr="00520C8E" w:rsidRDefault="00AB1BF7" w:rsidP="00AB1BF7">
      <w:pPr>
        <w:pStyle w:val="Texto"/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Ejercer las atribuciones derivadas de los convenios de colaboración y sus Anexos;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Vigilar que se apliquen los programas de fiscalización, reglas generales y los criterios establecidos por la Secretaría en materia de su competencia estatal; </w:t>
      </w:r>
    </w:p>
    <w:p w:rsidR="00AB1BF7" w:rsidRPr="00520C8E" w:rsidRDefault="00AB1BF7" w:rsidP="00AB1BF7">
      <w:pPr>
        <w:pStyle w:val="Prrafodelista"/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Coordinarse con las áreas administrativas de la Secretaría, para el ejercicio de las facultades de comprobación, a realizar a los contribuyentes, responsables solidarios y terceros con ellos relacionados; 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widowControl w:val="0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 las órdenes de visitas domiciliarias, revisiones de gabinete y revisiones electrónicas para comprobar el cumplimiento de las obligaciones fiscales, así como emitir la resolución provisional a los contribuyentes, responsables solidarios y demás obligados en materia de contribuciones estatales;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numPr>
          <w:ilvl w:val="0"/>
          <w:numId w:val="1"/>
        </w:numPr>
        <w:tabs>
          <w:tab w:val="left" w:pos="0"/>
          <w:tab w:val="left" w:pos="567"/>
        </w:tabs>
        <w:ind w:left="567" w:hanging="283"/>
        <w:jc w:val="both"/>
        <w:rPr>
          <w:rFonts w:ascii="Arial" w:eastAsia="Calibri" w:hAnsi="Arial" w:cs="Arial"/>
          <w:sz w:val="19"/>
          <w:szCs w:val="19"/>
          <w:lang w:val="es-MX" w:eastAsia="en-US"/>
        </w:rPr>
      </w:pPr>
      <w:r w:rsidRPr="00520C8E">
        <w:rPr>
          <w:rFonts w:ascii="Arial" w:eastAsia="Calibri" w:hAnsi="Arial" w:cs="Arial"/>
          <w:sz w:val="19"/>
          <w:szCs w:val="19"/>
          <w:lang w:val="es-MX" w:eastAsia="en-US"/>
        </w:rPr>
        <w:lastRenderedPageBreak/>
        <w:t>Certificar las copias de documentos que obran en los archivos de la Dirección de Auditoría e Inspección Fiscal, tratándose de solicitudes de particulares, verificar que se realice el pago de los derechos correspondientes;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widowControl w:val="0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 las órdenes de visitas de inspección a los contribuyentes, a fin de verificar el cumplimiento de las obligaciones fiscales estatales;</w:t>
      </w:r>
    </w:p>
    <w:p w:rsidR="00AB1BF7" w:rsidRPr="00520C8E" w:rsidRDefault="00AB1BF7" w:rsidP="00AB1BF7">
      <w:pPr>
        <w:widowControl w:val="0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widowControl w:val="0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Emitir las órdenes de visita domiciliaria para verificar el cumplimiento de obligaciones fiscales relacionadas con la expedición de comprobantes fiscales digitales por internet;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widowControl w:val="0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 los requerimientos a los contribuyentes, responsables solidarios o terceros con ellos relacionados, para que exhiban en su domicilio, establecimientos o en las oficinas de las propias autoridades, la contabilidad, declaraciones, avisos, datos u otros documentos, para comprobar el cumplimiento de sus obligaciones fiscales en los plazos y formalidades previstos en la legislación fiscal estatal;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Texto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2957"/>
        </w:tabs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 xml:space="preserve">Aprobar y otorgar el Registro a los contadores públicos para formular dictámenes en materia estatal; 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Texto"/>
        <w:numPr>
          <w:ilvl w:val="0"/>
          <w:numId w:val="1"/>
        </w:numPr>
        <w:tabs>
          <w:tab w:val="left" w:pos="567"/>
          <w:tab w:val="left" w:pos="851"/>
          <w:tab w:val="left" w:pos="993"/>
          <w:tab w:val="left" w:pos="2957"/>
        </w:tabs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Suscribir los requerimientos a los contadores públicos registrados que hayan formulado dictamen para efectos fiscales y terceros relacionados con los contribuyentes, la contabilidad, declaraciones, avisos, datos, informes, papeles de trabajo y otros documentos en materia estatal;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Vigilar que se mantenga actualizado el registro de contadores públicos y despachos de contadores públicos, cuyos socios o integrantes sean contadores públicos que hayan obtenido registro para formular dictámenes de contribuciones estatales; 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>Suscribir el documento a fin que se realicen las notificaciones a los contribuyentes cuando no surte efectos el aviso para presentar dictamen fiscal y el propio dictamen;</w:t>
      </w:r>
    </w:p>
    <w:p w:rsidR="00AB1BF7" w:rsidRPr="00520C8E" w:rsidRDefault="00AB1BF7" w:rsidP="00AB1BF7">
      <w:pPr>
        <w:tabs>
          <w:tab w:val="left" w:pos="1215"/>
        </w:tabs>
        <w:ind w:left="567" w:hanging="283"/>
        <w:jc w:val="both"/>
        <w:rPr>
          <w:rFonts w:ascii="Arial" w:hAnsi="Arial" w:cs="Arial"/>
          <w:sz w:val="19"/>
          <w:szCs w:val="19"/>
          <w:lang w:val="es-MX" w:eastAsia="es-MX"/>
        </w:rPr>
      </w:pPr>
      <w:r w:rsidRPr="00520C8E">
        <w:rPr>
          <w:rFonts w:ascii="Arial" w:hAnsi="Arial" w:cs="Arial"/>
          <w:sz w:val="19"/>
          <w:szCs w:val="19"/>
          <w:lang w:val="es-MX" w:eastAsia="es-MX"/>
        </w:rPr>
        <w:tab/>
      </w:r>
      <w:r w:rsidRPr="00520C8E">
        <w:rPr>
          <w:rFonts w:ascii="Arial" w:hAnsi="Arial" w:cs="Arial"/>
          <w:sz w:val="19"/>
          <w:szCs w:val="19"/>
          <w:lang w:val="es-MX" w:eastAsia="es-MX"/>
        </w:rPr>
        <w:tab/>
      </w:r>
    </w:p>
    <w:p w:rsidR="00AB1BF7" w:rsidRPr="00520C8E" w:rsidRDefault="00AB1BF7" w:rsidP="00AB1BF7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 el documento a fin que se notifique a los contadores públicos registrados las irregularidades detectadas en su actuación profesional con motivo de la revisión de los dictámenes que formulen de contribuciones estatales o las derivadas del incumplimiento a las disposiciones fiscales estatales;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 los exhortos o amonestaciones por irregularidades detectadas en dictámenes fiscales;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Ordenar la cancelación de registro de contadores públicos;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Texto"/>
        <w:numPr>
          <w:ilvl w:val="0"/>
          <w:numId w:val="1"/>
        </w:numPr>
        <w:tabs>
          <w:tab w:val="left" w:pos="605"/>
          <w:tab w:val="left" w:pos="2957"/>
        </w:tabs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  <w:r w:rsidRPr="00520C8E">
        <w:rPr>
          <w:rFonts w:cs="Arial"/>
          <w:sz w:val="19"/>
          <w:szCs w:val="19"/>
          <w:lang w:val="es-MX"/>
        </w:rPr>
        <w:t>Suscribir y emitir los oficios de observaciones y de conclusión derivados de los resultados de los actos de fiscalización que se practiquen;</w:t>
      </w:r>
    </w:p>
    <w:p w:rsidR="00AB1BF7" w:rsidRPr="00520C8E" w:rsidRDefault="00AB1BF7" w:rsidP="00AB1BF7">
      <w:pPr>
        <w:pStyle w:val="Texto"/>
        <w:tabs>
          <w:tab w:val="left" w:pos="2957"/>
        </w:tabs>
        <w:spacing w:after="0" w:line="240" w:lineRule="auto"/>
        <w:ind w:left="567" w:hanging="283"/>
        <w:rPr>
          <w:rFonts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Default"/>
        <w:numPr>
          <w:ilvl w:val="0"/>
          <w:numId w:val="1"/>
        </w:numPr>
        <w:autoSpaceDE/>
        <w:autoSpaceDN/>
        <w:adjustRightInd/>
        <w:ind w:left="567" w:hanging="283"/>
        <w:jc w:val="both"/>
        <w:rPr>
          <w:color w:val="auto"/>
          <w:sz w:val="19"/>
          <w:szCs w:val="19"/>
        </w:rPr>
      </w:pPr>
      <w:r w:rsidRPr="00520C8E">
        <w:rPr>
          <w:bCs/>
          <w:color w:val="auto"/>
          <w:sz w:val="19"/>
          <w:szCs w:val="19"/>
        </w:rPr>
        <w:t>Suscribir el Acuerdo por el que se ordena las notificaciones por estrados y en la página web de la Secretaría;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Default"/>
        <w:numPr>
          <w:ilvl w:val="0"/>
          <w:numId w:val="1"/>
        </w:numPr>
        <w:autoSpaceDE/>
        <w:autoSpaceDN/>
        <w:adjustRightInd/>
        <w:ind w:left="567" w:hanging="283"/>
        <w:jc w:val="both"/>
        <w:rPr>
          <w:color w:val="auto"/>
          <w:sz w:val="19"/>
          <w:szCs w:val="19"/>
        </w:rPr>
      </w:pPr>
      <w:r w:rsidRPr="00520C8E">
        <w:rPr>
          <w:color w:val="auto"/>
          <w:sz w:val="19"/>
          <w:szCs w:val="19"/>
        </w:rPr>
        <w:t>Suscribir el oficio para informar al contribuyente, a su representante legal, y en el caso de las personas morales a sus órganos de dirección por conducto de aquél, el derecho que tienen para acudir a las oficinas que estén llevando a cabo el procedimiento de que se trate, para conocer los hechos u omisiones detectados en el procedimiento de fiscalización;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AB1BF7" w:rsidRPr="00520C8E" w:rsidRDefault="00AB1BF7" w:rsidP="00AB1BF7">
      <w:pPr>
        <w:pStyle w:val="Default"/>
        <w:numPr>
          <w:ilvl w:val="0"/>
          <w:numId w:val="1"/>
        </w:numPr>
        <w:autoSpaceDE/>
        <w:autoSpaceDN/>
        <w:adjustRightInd/>
        <w:ind w:left="567" w:hanging="283"/>
        <w:jc w:val="both"/>
        <w:rPr>
          <w:bCs/>
          <w:color w:val="auto"/>
          <w:sz w:val="19"/>
          <w:szCs w:val="19"/>
        </w:rPr>
      </w:pPr>
      <w:r w:rsidRPr="00520C8E">
        <w:rPr>
          <w:bCs/>
          <w:color w:val="auto"/>
          <w:sz w:val="19"/>
          <w:szCs w:val="19"/>
        </w:rPr>
        <w:t xml:space="preserve">Suscribir la autorización o improcedencia para la ampliación del plazo para la presentación de la información, datos o documentos; 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AB1BF7" w:rsidRPr="00520C8E" w:rsidRDefault="00AB1BF7" w:rsidP="00AB1BF7">
      <w:pPr>
        <w:pStyle w:val="Default"/>
        <w:numPr>
          <w:ilvl w:val="0"/>
          <w:numId w:val="1"/>
        </w:numPr>
        <w:autoSpaceDE/>
        <w:autoSpaceDN/>
        <w:adjustRightInd/>
        <w:ind w:left="567" w:hanging="283"/>
        <w:jc w:val="both"/>
        <w:rPr>
          <w:color w:val="auto"/>
          <w:sz w:val="19"/>
          <w:szCs w:val="19"/>
        </w:rPr>
      </w:pPr>
      <w:r w:rsidRPr="00520C8E">
        <w:rPr>
          <w:bCs/>
          <w:color w:val="auto"/>
          <w:sz w:val="19"/>
          <w:szCs w:val="19"/>
        </w:rPr>
        <w:t>Determinar la existencia de créditos fiscales, precisar las bases de su liquidación y fijarlos en cantidad líquida;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AB1BF7" w:rsidRPr="00520C8E" w:rsidRDefault="00AB1BF7" w:rsidP="00AB1BF7">
      <w:pPr>
        <w:numPr>
          <w:ilvl w:val="0"/>
          <w:numId w:val="1"/>
        </w:numPr>
        <w:tabs>
          <w:tab w:val="left" w:pos="0"/>
          <w:tab w:val="left" w:pos="567"/>
        </w:tabs>
        <w:ind w:left="567" w:hanging="283"/>
        <w:jc w:val="both"/>
        <w:rPr>
          <w:rFonts w:ascii="Arial" w:eastAsia="Calibr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="Calibri" w:hAnsi="Arial" w:cs="Arial"/>
          <w:bCs/>
          <w:sz w:val="19"/>
          <w:szCs w:val="19"/>
          <w:lang w:val="es-MX" w:eastAsia="en-US"/>
        </w:rPr>
        <w:t xml:space="preserve">Ordenar la clausura o suspensión temporal, preventiva o definitiva de los establecimientos de los contribuyentes por incumplimiento a las obligaciones fiscales señaladas en el Código Fiscal Estatal, y demás disposiciones jurídicas aplicables; </w:t>
      </w:r>
    </w:p>
    <w:p w:rsidR="00AB1BF7" w:rsidRPr="00520C8E" w:rsidRDefault="00AB1BF7" w:rsidP="00AB1BF7">
      <w:pPr>
        <w:tabs>
          <w:tab w:val="left" w:pos="0"/>
          <w:tab w:val="left" w:pos="567"/>
        </w:tabs>
        <w:jc w:val="both"/>
        <w:rPr>
          <w:rFonts w:ascii="Arial" w:eastAsia="Calibri" w:hAnsi="Arial" w:cs="Arial"/>
          <w:bCs/>
          <w:sz w:val="19"/>
          <w:szCs w:val="19"/>
          <w:lang w:val="es-MX" w:eastAsia="en-US"/>
        </w:rPr>
      </w:pPr>
    </w:p>
    <w:p w:rsidR="00AB1BF7" w:rsidRPr="00520C8E" w:rsidRDefault="00AB1BF7" w:rsidP="00AB1BF7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Ordenar se determine en su caso, los impuestos, su actualización y accesorios, cuotas compensatorias que resulten a cargo de los contribuyentes, responsables solidarios y demás obligados, con motivo de la práctica de los actos de fiscalización;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numPr>
          <w:ilvl w:val="0"/>
          <w:numId w:val="1"/>
        </w:numPr>
        <w:tabs>
          <w:tab w:val="left" w:pos="0"/>
          <w:tab w:val="left" w:pos="567"/>
        </w:tabs>
        <w:ind w:left="567" w:hanging="283"/>
        <w:jc w:val="both"/>
        <w:rPr>
          <w:rFonts w:ascii="Arial" w:eastAsia="Calibr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a la Dirección de Ingresos y Recaudación los oficios, resoluciones y documentos determinantes de créditos fiscales, debidamente notificados para su control y cobro, o en su caso la aplicación del Procedimiento Administrativo de Ejecución;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numPr>
          <w:ilvl w:val="0"/>
          <w:numId w:val="1"/>
        </w:numPr>
        <w:tabs>
          <w:tab w:val="left" w:pos="0"/>
          <w:tab w:val="left" w:pos="567"/>
        </w:tabs>
        <w:ind w:left="567" w:hanging="283"/>
        <w:jc w:val="both"/>
        <w:rPr>
          <w:rFonts w:ascii="Arial" w:eastAsia="Calibri" w:hAnsi="Arial" w:cs="Arial"/>
          <w:sz w:val="19"/>
          <w:szCs w:val="19"/>
          <w:lang w:val="es-MX" w:eastAsia="en-US"/>
        </w:rPr>
      </w:pPr>
      <w:r w:rsidRPr="00520C8E">
        <w:rPr>
          <w:rFonts w:ascii="Arial" w:eastAsia="Calibri" w:hAnsi="Arial" w:cs="Arial"/>
          <w:sz w:val="19"/>
          <w:szCs w:val="19"/>
          <w:lang w:val="es-MX" w:eastAsia="en-US"/>
        </w:rPr>
        <w:t>Dejar sin efectos las órdenes de visita domiciliaria, los requerimientos de información que se formulen a los contribuyentes, así como la revisión que se haga a los contadores públicos;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eastAsia="Calibri" w:hAnsi="Arial" w:cs="Arial"/>
          <w:sz w:val="19"/>
          <w:szCs w:val="19"/>
          <w:lang w:val="es-MX" w:eastAsia="en-US"/>
        </w:rPr>
      </w:pPr>
    </w:p>
    <w:p w:rsidR="00AB1BF7" w:rsidRPr="00520C8E" w:rsidRDefault="00AB1BF7" w:rsidP="00AB1BF7">
      <w:pPr>
        <w:numPr>
          <w:ilvl w:val="0"/>
          <w:numId w:val="1"/>
        </w:numPr>
        <w:tabs>
          <w:tab w:val="left" w:pos="0"/>
          <w:tab w:val="left" w:pos="567"/>
        </w:tabs>
        <w:ind w:left="567" w:hanging="283"/>
        <w:jc w:val="both"/>
        <w:rPr>
          <w:rFonts w:ascii="Arial" w:eastAsia="Calibri" w:hAnsi="Arial" w:cs="Arial"/>
          <w:sz w:val="19"/>
          <w:szCs w:val="19"/>
          <w:lang w:val="es-MX" w:eastAsia="en-US"/>
        </w:rPr>
      </w:pPr>
      <w:r w:rsidRPr="00520C8E">
        <w:rPr>
          <w:rFonts w:ascii="Arial" w:eastAsia="Calibri" w:hAnsi="Arial" w:cs="Arial"/>
          <w:sz w:val="19"/>
          <w:szCs w:val="19"/>
          <w:lang w:val="es-MX" w:eastAsia="en-US"/>
        </w:rPr>
        <w:t xml:space="preserve">Suscribir acuerdos conclusivos en términos de las disposiciones fiscales aplicables;  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eastAsia="Calibri" w:hAnsi="Arial" w:cs="Arial"/>
          <w:sz w:val="19"/>
          <w:szCs w:val="19"/>
          <w:lang w:val="es-MX" w:eastAsia="en-US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Presentar a la Subsecretaria o Subsecretario de Ingresos, el programa operativo anual de fiscalización en materia de comercio exterior;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 a la Subsecretaria o Subsecretario de Ingresos del cumplimiento de metas fijadas en los programas operativos de fiscalización en materia de comercio exterior;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Ordenar, suscribir, suspender o levantar el embargo precautorio de las mercancías y de los vehículos, en términos del artículo 151 de la Ley Aduanera;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Solicitar de las y los servidores públicos y de los fedatarios con motivo del ejercicio de las facultades de verificación, fiscalización y comprobación de obligaciones aduaneras, los informes, datos o documentos que tenga en su poder y podrá en su caso </w:t>
      </w:r>
      <w:r w:rsidRPr="00520C8E">
        <w:rPr>
          <w:rFonts w:ascii="Arial" w:hAnsi="Arial" w:cs="Arial"/>
          <w:sz w:val="19"/>
          <w:szCs w:val="19"/>
          <w:lang w:val="es-MX" w:eastAsia="es-MX"/>
        </w:rPr>
        <w:t>autorizar prórrogas para su presentación;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Vigilar que se apliquen los programas de fiscalización, reglas generales y los criterios establecidos por la Secretaría en materia de comercio exterior;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Suscribir, ordenar y practicar visitas domiciliarias y facultades de comprobación en materia de comercio exterior en el domicilio fiscal, sucursales, centros de almacenamiento, distribución o comercialización, tianguis o lotes en donde se realice la exhibición para la venta de mercancías, mercados sobre ruedas, puestos fijos o semifijos en vía pública, a fin de comprobar su legal importación, almacenaje, estancia o tenencia, transporte o manejo en el territorio del Estado, y en su caso, realizar el embargo precautorio;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widowControl w:val="0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 xml:space="preserve">Suscribir, ordenar y practicar revisiones de gabinete, y emitir el oficio de observaciones y el de conclusión, revisiones electrónicas, emitir la resolución provisional a los contribuyentes, responsables solidarios o terceros con ellos relacionados, así como levantar actas circunstanciadas con todas las formalidades establecidas en la Ley Aduanera y demás disposiciones jurídicas aplicables. 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widowControl w:val="0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Suscribir, ordenar y practicar la verificación de mercancías en transporte y de vehículos en circulación aun cuando no se encuentren en movimiento, a fin de comprobar su legal importación, almacenaje, estancia o tenencia, transporte o manejo en el territorio del Estado, y en su caso, realizar el embargo precautorio;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widowControl w:val="0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 los requerimientos a los contribuyentes, responsables solidarios o terceros con ellos relacionados, para que exhiban en su domicilio, establecimientos o en las oficinas de las propias autoridades, la contabilidad, declaraciones, avisos, datos u otros documentos, para comprobar el cumplimiento de sus obligaciones aduaneras en los plazos y formalidades previstos en la legislación aduanera;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Imponer las multas y sanciones aduaneras que correspondan,</w:t>
      </w:r>
      <w:r w:rsidRPr="00520C8E">
        <w:rPr>
          <w:rFonts w:ascii="Arial" w:hAnsi="Arial" w:cs="Arial"/>
          <w:bCs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relacionadas con el incumplimiento de las obligaciones fiscales y aduaneras, así como, reducir dichas multas y aplicar la tasa de recargos que corresponda en términos de la legislación aplicable;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lastRenderedPageBreak/>
        <w:t>Informar a la Dirección de Ingresos y Recaudación a fin de que procedan a</w:t>
      </w:r>
      <w:r w:rsidRPr="00520C8E">
        <w:rPr>
          <w:rFonts w:ascii="Arial" w:hAnsi="Arial" w:cs="Arial"/>
          <w:b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la destrucción, donación, asignación o venta, de las mercancías de procedencia extranjera que hayan sido embargadas precautoriamente;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AB1BF7" w:rsidRPr="00520C8E" w:rsidRDefault="00AB1BF7" w:rsidP="00AB1BF7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Ordenar y practicar el</w:t>
      </w:r>
      <w:r w:rsidRPr="00520C8E">
        <w:rPr>
          <w:rFonts w:ascii="Arial" w:hAnsi="Arial" w:cs="Arial"/>
          <w:sz w:val="19"/>
          <w:szCs w:val="19"/>
          <w:lang w:val="es-MX" w:eastAsia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inicio del procedimiento administrativo en materia aduanera o el procedimiento establecido en el artículo 152 de la Ley Aduanera y notificar dicho inicio al interesado, así como tramitar y resolver los citados procedimientos hasta su conclusión, de conformidad con las disposiciones jurídicas aplicables;  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AB1BF7" w:rsidRPr="00520C8E" w:rsidRDefault="00AB1BF7" w:rsidP="00AB1BF7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  <w:r w:rsidRPr="00520C8E">
        <w:rPr>
          <w:rFonts w:ascii="Arial" w:hAnsi="Arial" w:cs="Arial"/>
          <w:bCs/>
          <w:sz w:val="19"/>
          <w:szCs w:val="19"/>
          <w:lang w:val="es-MX"/>
        </w:rPr>
        <w:t>Ordenar y practicar las notificaciones personales o a través de medios electrónicos, los actos administrativos y las resoluciones emitidas en las que se determinen los créditos fiscales, la actualización y sus accesorios en materia aduanera o comercio exterior;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bCs/>
          <w:sz w:val="19"/>
          <w:szCs w:val="19"/>
          <w:lang w:val="es-MX"/>
        </w:rPr>
      </w:pPr>
    </w:p>
    <w:p w:rsidR="00AB1BF7" w:rsidRPr="00520C8E" w:rsidRDefault="00AB1BF7" w:rsidP="00AB1BF7">
      <w:pPr>
        <w:numPr>
          <w:ilvl w:val="0"/>
          <w:numId w:val="1"/>
        </w:numPr>
        <w:spacing w:before="33"/>
        <w:ind w:left="567" w:right="83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pacing w:val="4"/>
          <w:sz w:val="19"/>
          <w:szCs w:val="19"/>
          <w:lang w:val="es-MX"/>
        </w:rPr>
        <w:t xml:space="preserve">Designar </w:t>
      </w:r>
      <w:r w:rsidRPr="00520C8E"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per</w:t>
      </w:r>
      <w:r w:rsidRPr="00520C8E">
        <w:rPr>
          <w:rFonts w:ascii="Arial" w:hAnsi="Arial" w:cs="Arial"/>
          <w:sz w:val="19"/>
          <w:szCs w:val="19"/>
          <w:lang w:val="es-MX"/>
        </w:rPr>
        <w:t>it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520C8E">
        <w:rPr>
          <w:rFonts w:ascii="Arial" w:hAnsi="Arial" w:cs="Arial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520C8E">
        <w:rPr>
          <w:rFonts w:ascii="Arial" w:hAnsi="Arial" w:cs="Arial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req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520C8E">
        <w:rPr>
          <w:rFonts w:ascii="Arial" w:hAnsi="Arial" w:cs="Arial"/>
          <w:sz w:val="19"/>
          <w:szCs w:val="19"/>
          <w:lang w:val="es-MX"/>
        </w:rPr>
        <w:t>i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era</w:t>
      </w:r>
      <w:r w:rsidRPr="00520C8E">
        <w:rPr>
          <w:rFonts w:ascii="Arial" w:hAnsi="Arial" w:cs="Arial"/>
          <w:sz w:val="19"/>
          <w:szCs w:val="19"/>
          <w:lang w:val="es-MX"/>
        </w:rPr>
        <w:t>n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 xml:space="preserve"> par</w:t>
      </w:r>
      <w:r w:rsidRPr="00520C8E"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la</w:t>
      </w:r>
      <w:r w:rsidRPr="00520C8E">
        <w:rPr>
          <w:rFonts w:ascii="Arial" w:hAnsi="Arial" w:cs="Arial"/>
          <w:spacing w:val="10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f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>r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mu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520C8E">
        <w:rPr>
          <w:rFonts w:ascii="Arial" w:hAnsi="Arial" w:cs="Arial"/>
          <w:sz w:val="19"/>
          <w:szCs w:val="19"/>
          <w:lang w:val="es-MX"/>
        </w:rPr>
        <w:t>i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ó</w:t>
      </w:r>
      <w:r w:rsidRPr="00520C8E">
        <w:rPr>
          <w:rFonts w:ascii="Arial" w:hAnsi="Arial" w:cs="Arial"/>
          <w:sz w:val="19"/>
          <w:szCs w:val="19"/>
          <w:lang w:val="es-MX"/>
        </w:rPr>
        <w:t>n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hAnsi="Arial" w:cs="Arial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9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hAnsi="Arial" w:cs="Arial"/>
          <w:sz w:val="19"/>
          <w:szCs w:val="19"/>
          <w:lang w:val="es-MX"/>
        </w:rPr>
        <w:t>i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520C8E">
        <w:rPr>
          <w:rFonts w:ascii="Arial" w:hAnsi="Arial" w:cs="Arial"/>
          <w:sz w:val="19"/>
          <w:szCs w:val="19"/>
          <w:lang w:val="es-MX"/>
        </w:rPr>
        <w:t>t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>á</w:t>
      </w:r>
      <w:r w:rsidRPr="00520C8E">
        <w:rPr>
          <w:rFonts w:ascii="Arial" w:hAnsi="Arial" w:cs="Arial"/>
          <w:spacing w:val="-3"/>
          <w:sz w:val="19"/>
          <w:szCs w:val="19"/>
          <w:lang w:val="es-MX"/>
        </w:rPr>
        <w:t>m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hAnsi="Arial" w:cs="Arial"/>
          <w:sz w:val="19"/>
          <w:szCs w:val="19"/>
          <w:lang w:val="es-MX"/>
        </w:rPr>
        <w:t>s t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é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520C8E">
        <w:rPr>
          <w:rFonts w:ascii="Arial" w:hAnsi="Arial" w:cs="Arial"/>
          <w:sz w:val="19"/>
          <w:szCs w:val="19"/>
          <w:lang w:val="es-MX"/>
        </w:rPr>
        <w:t>i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520C8E">
        <w:rPr>
          <w:rFonts w:ascii="Arial" w:hAnsi="Arial" w:cs="Arial"/>
          <w:spacing w:val="4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re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520C8E">
        <w:rPr>
          <w:rFonts w:ascii="Arial" w:hAnsi="Arial" w:cs="Arial"/>
          <w:sz w:val="19"/>
          <w:szCs w:val="19"/>
          <w:lang w:val="es-MX"/>
        </w:rPr>
        <w:t>i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ado</w:t>
      </w:r>
      <w:r w:rsidRPr="00520C8E"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520C8E">
        <w:rPr>
          <w:rFonts w:ascii="Arial" w:hAnsi="Arial" w:cs="Arial"/>
          <w:sz w:val="19"/>
          <w:szCs w:val="19"/>
          <w:lang w:val="es-MX"/>
        </w:rPr>
        <w:t>n</w:t>
      </w:r>
      <w:r w:rsidRPr="00520C8E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s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u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520C8E">
        <w:rPr>
          <w:rFonts w:ascii="Arial" w:hAnsi="Arial" w:cs="Arial"/>
          <w:sz w:val="19"/>
          <w:szCs w:val="19"/>
          <w:lang w:val="es-MX"/>
        </w:rPr>
        <w:t>t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-6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hAnsi="Arial" w:cs="Arial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 xml:space="preserve"> s</w:t>
      </w:r>
      <w:r w:rsidRPr="00520C8E">
        <w:rPr>
          <w:rFonts w:ascii="Arial" w:hAnsi="Arial" w:cs="Arial"/>
          <w:sz w:val="19"/>
          <w:szCs w:val="19"/>
          <w:lang w:val="es-MX"/>
        </w:rPr>
        <w:t>u</w:t>
      </w:r>
      <w:r w:rsidRPr="00520C8E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520C8E">
        <w:rPr>
          <w:rFonts w:ascii="Arial" w:hAnsi="Arial" w:cs="Arial"/>
          <w:spacing w:val="4"/>
          <w:sz w:val="19"/>
          <w:szCs w:val="19"/>
          <w:lang w:val="es-MX"/>
        </w:rPr>
        <w:t>o</w:t>
      </w:r>
      <w:r w:rsidRPr="00520C8E">
        <w:rPr>
          <w:rFonts w:ascii="Arial" w:hAnsi="Arial" w:cs="Arial"/>
          <w:spacing w:val="-3"/>
          <w:sz w:val="19"/>
          <w:szCs w:val="19"/>
          <w:lang w:val="es-MX"/>
        </w:rPr>
        <w:t>m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p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>e</w:t>
      </w:r>
      <w:r w:rsidRPr="00520C8E">
        <w:rPr>
          <w:rFonts w:ascii="Arial" w:hAnsi="Arial" w:cs="Arial"/>
          <w:sz w:val="19"/>
          <w:szCs w:val="19"/>
          <w:lang w:val="es-MX"/>
        </w:rPr>
        <w:t>t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520C8E">
        <w:rPr>
          <w:rFonts w:ascii="Arial" w:hAnsi="Arial" w:cs="Arial"/>
          <w:sz w:val="19"/>
          <w:szCs w:val="19"/>
          <w:lang w:val="es-MX"/>
        </w:rPr>
        <w:t>i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 xml:space="preserve">a en materia de comercio exterior; 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numPr>
          <w:ilvl w:val="0"/>
          <w:numId w:val="1"/>
        </w:numPr>
        <w:spacing w:before="33"/>
        <w:ind w:left="567" w:right="83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Vigilar que los peritos designados verifiquen y determinen la naturaleza, características, origen, el valor en aduana y el valor comercial de las mercancías y vehículos de procedencia extranjera, así como su correcta clasificación arancelaria, de conformidad con las disposiciones legales aplicables;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Ordenar se determine en su caso, las contribuciones omitidas, su actualización y accesorios, cuotas compensatorias, derecho de trámite aduanero, así como las demás regulaciones y restricciones no arancelarias que correspondan, que resulten a cargo de los contribuyentes, responsables solidarios y demás obligados, con motivo de la práctica de los actos de fiscalización;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Informar</w:t>
      </w:r>
      <w:r w:rsidRPr="00520C8E">
        <w:rPr>
          <w:rFonts w:ascii="Arial" w:hAnsi="Arial" w:cs="Arial"/>
          <w:spacing w:val="4"/>
          <w:sz w:val="19"/>
          <w:szCs w:val="19"/>
          <w:lang w:val="es-MX"/>
        </w:rPr>
        <w:t xml:space="preserve"> a la Dirección de Ingresos y Recaudación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-3"/>
          <w:sz w:val="19"/>
          <w:szCs w:val="19"/>
          <w:lang w:val="es-MX"/>
        </w:rPr>
        <w:t>m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erca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520C8E">
        <w:rPr>
          <w:rFonts w:ascii="Arial" w:hAnsi="Arial" w:cs="Arial"/>
          <w:sz w:val="19"/>
          <w:szCs w:val="19"/>
          <w:lang w:val="es-MX"/>
        </w:rPr>
        <w:t>í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>s o vehículos embargados precautoriamente que han causado abandono, o han pasado a propiedad, a favor del Fisco Federal o Estatal;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pacing w:val="1"/>
          <w:sz w:val="19"/>
          <w:szCs w:val="19"/>
          <w:lang w:val="es-MX"/>
        </w:rPr>
        <w:t>Ordenar y propo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hAnsi="Arial" w:cs="Arial"/>
          <w:sz w:val="19"/>
          <w:szCs w:val="19"/>
          <w:lang w:val="es-MX"/>
        </w:rPr>
        <w:t>r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 xml:space="preserve"> a la autoridad competente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hAnsi="Arial" w:cs="Arial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con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f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>r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m</w:t>
      </w:r>
      <w:r w:rsidRPr="00520C8E">
        <w:rPr>
          <w:rFonts w:ascii="Arial" w:hAnsi="Arial" w:cs="Arial"/>
          <w:sz w:val="19"/>
          <w:szCs w:val="19"/>
          <w:lang w:val="es-MX"/>
        </w:rPr>
        <w:t>i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da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d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520C8E">
        <w:rPr>
          <w:rFonts w:ascii="Arial" w:hAnsi="Arial" w:cs="Arial"/>
          <w:sz w:val="19"/>
          <w:szCs w:val="19"/>
          <w:lang w:val="es-MX"/>
        </w:rPr>
        <w:t>n</w:t>
      </w:r>
      <w:r w:rsidRPr="00520C8E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la</w:t>
      </w:r>
      <w:r w:rsidRPr="00520C8E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>r</w:t>
      </w:r>
      <w:r w:rsidRPr="00520C8E">
        <w:rPr>
          <w:rFonts w:ascii="Arial" w:hAnsi="Arial" w:cs="Arial"/>
          <w:spacing w:val="-3"/>
          <w:sz w:val="19"/>
          <w:szCs w:val="19"/>
          <w:lang w:val="es-MX"/>
        </w:rPr>
        <w:t>m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>t</w:t>
      </w:r>
      <w:r w:rsidRPr="00520C8E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520C8E">
        <w:rPr>
          <w:rFonts w:ascii="Arial" w:hAnsi="Arial" w:cs="Arial"/>
          <w:sz w:val="19"/>
          <w:szCs w:val="19"/>
          <w:lang w:val="es-MX"/>
        </w:rPr>
        <w:t>i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da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d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520C8E">
        <w:rPr>
          <w:rFonts w:ascii="Arial" w:hAnsi="Arial" w:cs="Arial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 w:rsidRPr="00520C8E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f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ec</w:t>
      </w:r>
      <w:r w:rsidRPr="00520C8E">
        <w:rPr>
          <w:rFonts w:ascii="Arial" w:hAnsi="Arial" w:cs="Arial"/>
          <w:sz w:val="19"/>
          <w:szCs w:val="19"/>
          <w:lang w:val="es-MX"/>
        </w:rPr>
        <w:t>to</w:t>
      </w:r>
      <w:r w:rsidRPr="00520C8E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-3"/>
          <w:sz w:val="19"/>
          <w:szCs w:val="19"/>
          <w:lang w:val="es-MX"/>
        </w:rPr>
        <w:t>m</w:t>
      </w:r>
      <w:r w:rsidRPr="00520C8E">
        <w:rPr>
          <w:rFonts w:ascii="Arial" w:hAnsi="Arial" w:cs="Arial"/>
          <w:sz w:val="19"/>
          <w:szCs w:val="19"/>
          <w:lang w:val="es-MX"/>
        </w:rPr>
        <w:t>ita</w:t>
      </w:r>
      <w:r w:rsidRPr="00520C8E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la</w:t>
      </w:r>
      <w:r w:rsidRPr="00520C8E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ecre</w:t>
      </w:r>
      <w:r w:rsidRPr="00520C8E">
        <w:rPr>
          <w:rFonts w:ascii="Arial" w:hAnsi="Arial" w:cs="Arial"/>
          <w:sz w:val="19"/>
          <w:szCs w:val="19"/>
          <w:lang w:val="es-MX"/>
        </w:rPr>
        <w:t>t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ar</w:t>
      </w:r>
      <w:r w:rsidRPr="00520C8E">
        <w:rPr>
          <w:rFonts w:ascii="Arial" w:hAnsi="Arial" w:cs="Arial"/>
          <w:sz w:val="19"/>
          <w:szCs w:val="19"/>
          <w:lang w:val="es-MX"/>
        </w:rPr>
        <w:t>ía</w:t>
      </w:r>
      <w:r w:rsidRPr="00520C8E">
        <w:rPr>
          <w:rFonts w:ascii="Arial" w:hAnsi="Arial" w:cs="Arial"/>
          <w:spacing w:val="2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hAnsi="Arial" w:cs="Arial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8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H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ac</w:t>
      </w:r>
      <w:r w:rsidRPr="00520C8E">
        <w:rPr>
          <w:rFonts w:ascii="Arial" w:hAnsi="Arial" w:cs="Arial"/>
          <w:sz w:val="19"/>
          <w:szCs w:val="19"/>
          <w:lang w:val="es-MX"/>
        </w:rPr>
        <w:t>i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y</w:t>
      </w:r>
      <w:r w:rsidRPr="00520C8E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C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réd</w:t>
      </w:r>
      <w:r w:rsidRPr="00520C8E">
        <w:rPr>
          <w:rFonts w:ascii="Arial" w:hAnsi="Arial" w:cs="Arial"/>
          <w:sz w:val="19"/>
          <w:szCs w:val="19"/>
          <w:lang w:val="es-MX"/>
        </w:rPr>
        <w:t>ito</w:t>
      </w:r>
      <w:r w:rsidRPr="00520C8E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2"/>
          <w:sz w:val="19"/>
          <w:szCs w:val="19"/>
          <w:lang w:val="es-MX"/>
        </w:rPr>
        <w:t>P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ú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520C8E">
        <w:rPr>
          <w:rFonts w:ascii="Arial" w:hAnsi="Arial" w:cs="Arial"/>
          <w:sz w:val="19"/>
          <w:szCs w:val="19"/>
          <w:lang w:val="es-MX"/>
        </w:rPr>
        <w:t>li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co</w:t>
      </w:r>
      <w:r w:rsidRPr="00520C8E">
        <w:rPr>
          <w:rFonts w:ascii="Arial" w:hAnsi="Arial" w:cs="Arial"/>
          <w:sz w:val="19"/>
          <w:szCs w:val="19"/>
          <w:lang w:val="es-MX"/>
        </w:rPr>
        <w:t>,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 w:rsidRPr="00520C8E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i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520C8E">
        <w:rPr>
          <w:rFonts w:ascii="Arial" w:hAnsi="Arial" w:cs="Arial"/>
          <w:sz w:val="19"/>
          <w:szCs w:val="19"/>
          <w:lang w:val="es-MX"/>
        </w:rPr>
        <w:t>t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erc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>a</w:t>
      </w:r>
      <w:r w:rsidRPr="00520C8E">
        <w:rPr>
          <w:rFonts w:ascii="Arial" w:hAnsi="Arial" w:cs="Arial"/>
          <w:spacing w:val="-3"/>
          <w:sz w:val="19"/>
          <w:szCs w:val="19"/>
          <w:lang w:val="es-MX"/>
        </w:rPr>
        <w:t>m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b</w:t>
      </w:r>
      <w:r w:rsidRPr="00520C8E">
        <w:rPr>
          <w:rFonts w:ascii="Arial" w:hAnsi="Arial" w:cs="Arial"/>
          <w:sz w:val="19"/>
          <w:szCs w:val="19"/>
          <w:lang w:val="es-MX"/>
        </w:rPr>
        <w:t>io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 xml:space="preserve"> co</w:t>
      </w:r>
      <w:r w:rsidRPr="00520C8E">
        <w:rPr>
          <w:rFonts w:ascii="Arial" w:hAnsi="Arial" w:cs="Arial"/>
          <w:sz w:val="19"/>
          <w:szCs w:val="19"/>
          <w:lang w:val="es-MX"/>
        </w:rPr>
        <w:t>n</w:t>
      </w:r>
      <w:r w:rsidRPr="00520C8E">
        <w:rPr>
          <w:rFonts w:ascii="Arial" w:hAnsi="Arial" w:cs="Arial"/>
          <w:spacing w:val="5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>t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s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520C8E">
        <w:rPr>
          <w:rFonts w:ascii="Arial" w:hAnsi="Arial" w:cs="Arial"/>
          <w:sz w:val="19"/>
          <w:szCs w:val="19"/>
          <w:lang w:val="es-MX"/>
        </w:rPr>
        <w:t>ti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dade</w:t>
      </w:r>
      <w:r w:rsidRPr="00520C8E"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-8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F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edera</w:t>
      </w:r>
      <w:r w:rsidRPr="00520C8E">
        <w:rPr>
          <w:rFonts w:ascii="Arial" w:hAnsi="Arial" w:cs="Arial"/>
          <w:sz w:val="19"/>
          <w:szCs w:val="19"/>
          <w:lang w:val="es-MX"/>
        </w:rPr>
        <w:t>ti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>a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520C8E">
        <w:rPr>
          <w:rFonts w:ascii="Arial" w:hAnsi="Arial" w:cs="Arial"/>
          <w:sz w:val="19"/>
          <w:szCs w:val="19"/>
          <w:lang w:val="es-MX"/>
        </w:rPr>
        <w:t>,</w:t>
      </w:r>
      <w:r w:rsidRPr="00520C8E">
        <w:rPr>
          <w:rFonts w:ascii="Arial" w:hAnsi="Arial" w:cs="Arial"/>
          <w:spacing w:val="-9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hAnsi="Arial" w:cs="Arial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h</w:t>
      </w:r>
      <w:r w:rsidRPr="00520C8E">
        <w:rPr>
          <w:rFonts w:ascii="Arial" w:hAnsi="Arial" w:cs="Arial"/>
          <w:sz w:val="19"/>
          <w:szCs w:val="19"/>
          <w:lang w:val="es-MX"/>
        </w:rPr>
        <w:t>í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-8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4"/>
          <w:sz w:val="19"/>
          <w:szCs w:val="19"/>
          <w:lang w:val="es-MX"/>
        </w:rPr>
        <w:t>q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520C8E">
        <w:rPr>
          <w:rFonts w:ascii="Arial" w:hAnsi="Arial" w:cs="Arial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h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>a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y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>n</w:t>
      </w:r>
      <w:r w:rsidRPr="00520C8E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520C8E">
        <w:rPr>
          <w:rFonts w:ascii="Arial" w:hAnsi="Arial" w:cs="Arial"/>
          <w:sz w:val="19"/>
          <w:szCs w:val="19"/>
          <w:lang w:val="es-MX"/>
        </w:rPr>
        <w:t>i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hAnsi="Arial" w:cs="Arial"/>
          <w:sz w:val="19"/>
          <w:szCs w:val="19"/>
          <w:lang w:val="es-MX"/>
        </w:rPr>
        <w:t>o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ad</w:t>
      </w:r>
      <w:r w:rsidRPr="00520C8E">
        <w:rPr>
          <w:rFonts w:ascii="Arial" w:hAnsi="Arial" w:cs="Arial"/>
          <w:spacing w:val="2"/>
          <w:sz w:val="19"/>
          <w:szCs w:val="19"/>
          <w:lang w:val="es-MX"/>
        </w:rPr>
        <w:t>j</w:t>
      </w:r>
      <w:r w:rsidRPr="00520C8E">
        <w:rPr>
          <w:rFonts w:ascii="Arial" w:hAnsi="Arial" w:cs="Arial"/>
          <w:spacing w:val="-3"/>
          <w:sz w:val="19"/>
          <w:szCs w:val="19"/>
          <w:lang w:val="es-MX"/>
        </w:rPr>
        <w:t>u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hAnsi="Arial" w:cs="Arial"/>
          <w:sz w:val="19"/>
          <w:szCs w:val="19"/>
          <w:lang w:val="es-MX"/>
        </w:rPr>
        <w:t>i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cado</w:t>
      </w:r>
      <w:r w:rsidRPr="00520C8E"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-10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a 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f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>r</w:t>
      </w:r>
      <w:r w:rsidRPr="00520C8E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de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 w:rsidRPr="00520C8E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f</w:t>
      </w:r>
      <w:r w:rsidRPr="00520C8E">
        <w:rPr>
          <w:rFonts w:ascii="Arial" w:hAnsi="Arial" w:cs="Arial"/>
          <w:sz w:val="19"/>
          <w:szCs w:val="19"/>
          <w:lang w:val="es-MX"/>
        </w:rPr>
        <w:t>i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520C8E">
        <w:rPr>
          <w:rFonts w:ascii="Arial" w:hAnsi="Arial" w:cs="Arial"/>
          <w:sz w:val="19"/>
          <w:szCs w:val="19"/>
          <w:lang w:val="es-MX"/>
        </w:rPr>
        <w:t>o</w:t>
      </w:r>
      <w:r w:rsidRPr="00520C8E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520C8E">
        <w:rPr>
          <w:rFonts w:ascii="Arial" w:hAnsi="Arial" w:cs="Arial"/>
          <w:sz w:val="19"/>
          <w:szCs w:val="19"/>
          <w:lang w:val="es-MX"/>
        </w:rPr>
        <w:t>t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hAnsi="Arial" w:cs="Arial"/>
          <w:spacing w:val="2"/>
          <w:sz w:val="19"/>
          <w:szCs w:val="19"/>
          <w:lang w:val="es-MX"/>
        </w:rPr>
        <w:t>t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>l;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pacing w:val="7"/>
          <w:sz w:val="19"/>
          <w:szCs w:val="19"/>
          <w:lang w:val="es-MX"/>
        </w:rPr>
        <w:t xml:space="preserve">Ordenar la supervisión y vigilancia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 xml:space="preserve">de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rec</w:t>
      </w:r>
      <w:r w:rsidRPr="00520C8E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520C8E">
        <w:rPr>
          <w:rFonts w:ascii="Arial" w:hAnsi="Arial" w:cs="Arial"/>
          <w:sz w:val="19"/>
          <w:szCs w:val="19"/>
          <w:lang w:val="es-MX"/>
        </w:rPr>
        <w:t>t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f</w:t>
      </w:r>
      <w:r w:rsidRPr="00520C8E">
        <w:rPr>
          <w:rFonts w:ascii="Arial" w:hAnsi="Arial" w:cs="Arial"/>
          <w:spacing w:val="2"/>
          <w:sz w:val="19"/>
          <w:szCs w:val="19"/>
          <w:lang w:val="es-MX"/>
        </w:rPr>
        <w:t>i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ca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s 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>e</w:t>
      </w:r>
      <w:r w:rsidRPr="00520C8E">
        <w:rPr>
          <w:rFonts w:ascii="Arial" w:hAnsi="Arial" w:cs="Arial"/>
          <w:sz w:val="19"/>
          <w:szCs w:val="19"/>
          <w:lang w:val="es-MX"/>
        </w:rPr>
        <w:t>n</w:t>
      </w:r>
      <w:r w:rsidRPr="00520C8E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4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520C8E">
        <w:rPr>
          <w:rFonts w:ascii="Arial" w:hAnsi="Arial" w:cs="Arial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7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h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ab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>r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á</w:t>
      </w:r>
      <w:r w:rsidRPr="00520C8E">
        <w:rPr>
          <w:rFonts w:ascii="Arial" w:hAnsi="Arial" w:cs="Arial"/>
          <w:sz w:val="19"/>
          <w:szCs w:val="19"/>
          <w:lang w:val="es-MX"/>
        </w:rPr>
        <w:t>n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 xml:space="preserve"> d</w:t>
      </w:r>
      <w:r w:rsidRPr="00520C8E">
        <w:rPr>
          <w:rFonts w:ascii="Arial" w:hAnsi="Arial" w:cs="Arial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e</w:t>
      </w:r>
      <w:r w:rsidRPr="00520C8E">
        <w:rPr>
          <w:rFonts w:ascii="Arial" w:hAnsi="Arial" w:cs="Arial"/>
          <w:sz w:val="19"/>
          <w:szCs w:val="19"/>
          <w:lang w:val="es-MX"/>
        </w:rPr>
        <w:t>r</w:t>
      </w:r>
      <w:r w:rsidRPr="00520C8E">
        <w:rPr>
          <w:rFonts w:ascii="Arial" w:hAnsi="Arial" w:cs="Arial"/>
          <w:spacing w:val="6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depo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520C8E">
        <w:rPr>
          <w:rFonts w:ascii="Arial" w:hAnsi="Arial" w:cs="Arial"/>
          <w:sz w:val="19"/>
          <w:szCs w:val="19"/>
          <w:lang w:val="es-MX"/>
        </w:rPr>
        <w:t>it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ada</w:t>
      </w:r>
      <w:r w:rsidRPr="00520C8E">
        <w:rPr>
          <w:rFonts w:ascii="Arial" w:hAnsi="Arial" w:cs="Arial"/>
          <w:sz w:val="19"/>
          <w:szCs w:val="19"/>
          <w:lang w:val="es-MX"/>
        </w:rPr>
        <w:t>s l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s 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m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erca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n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c</w:t>
      </w:r>
      <w:r w:rsidRPr="00520C8E">
        <w:rPr>
          <w:rFonts w:ascii="Arial" w:hAnsi="Arial" w:cs="Arial"/>
          <w:sz w:val="19"/>
          <w:szCs w:val="19"/>
          <w:lang w:val="es-MX"/>
        </w:rPr>
        <w:t>í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-7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y</w:t>
      </w:r>
      <w:r w:rsidRPr="00520C8E">
        <w:rPr>
          <w:rFonts w:ascii="Arial" w:hAnsi="Arial" w:cs="Arial"/>
          <w:spacing w:val="-4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s 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v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h</w:t>
      </w:r>
      <w:r w:rsidRPr="00520C8E">
        <w:rPr>
          <w:rFonts w:ascii="Arial" w:hAnsi="Arial" w:cs="Arial"/>
          <w:sz w:val="19"/>
          <w:szCs w:val="19"/>
          <w:lang w:val="es-MX"/>
        </w:rPr>
        <w:t>í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cu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>s</w:t>
      </w:r>
      <w:r w:rsidRPr="00520C8E">
        <w:rPr>
          <w:rFonts w:ascii="Arial" w:hAnsi="Arial" w:cs="Arial"/>
          <w:spacing w:val="-8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d</w:t>
      </w:r>
      <w:r w:rsidRPr="00520C8E">
        <w:rPr>
          <w:rFonts w:ascii="Arial" w:hAnsi="Arial" w:cs="Arial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q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520C8E">
        <w:rPr>
          <w:rFonts w:ascii="Arial" w:hAnsi="Arial" w:cs="Arial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520C8E">
        <w:rPr>
          <w:rFonts w:ascii="Arial" w:hAnsi="Arial" w:cs="Arial"/>
          <w:sz w:val="19"/>
          <w:szCs w:val="19"/>
          <w:lang w:val="es-MX"/>
        </w:rPr>
        <w:t>e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t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ra</w:t>
      </w:r>
      <w:r w:rsidRPr="00520C8E">
        <w:rPr>
          <w:rFonts w:ascii="Arial" w:hAnsi="Arial" w:cs="Arial"/>
          <w:sz w:val="19"/>
          <w:szCs w:val="19"/>
          <w:lang w:val="es-MX"/>
        </w:rPr>
        <w:t>te</w:t>
      </w:r>
      <w:r w:rsidRPr="00520C8E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par</w:t>
      </w:r>
      <w:r w:rsidRPr="00520C8E"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s</w:t>
      </w:r>
      <w:r w:rsidRPr="00520C8E">
        <w:rPr>
          <w:rFonts w:ascii="Arial" w:hAnsi="Arial" w:cs="Arial"/>
          <w:sz w:val="19"/>
          <w:szCs w:val="19"/>
          <w:lang w:val="es-MX"/>
        </w:rPr>
        <w:t>u</w:t>
      </w:r>
      <w:r w:rsidRPr="00520C8E">
        <w:rPr>
          <w:rFonts w:ascii="Arial" w:hAnsi="Arial" w:cs="Arial"/>
          <w:spacing w:val="-3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g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u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ard</w:t>
      </w:r>
      <w:r w:rsidRPr="00520C8E"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pacing w:val="-2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y</w:t>
      </w:r>
      <w:r w:rsidRPr="00520C8E">
        <w:rPr>
          <w:rFonts w:ascii="Arial" w:hAnsi="Arial" w:cs="Arial"/>
          <w:spacing w:val="-4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pacing w:val="3"/>
          <w:sz w:val="19"/>
          <w:szCs w:val="19"/>
          <w:lang w:val="es-MX"/>
        </w:rPr>
        <w:t>c</w:t>
      </w:r>
      <w:r w:rsidRPr="00520C8E">
        <w:rPr>
          <w:rFonts w:ascii="Arial" w:hAnsi="Arial" w:cs="Arial"/>
          <w:spacing w:val="-1"/>
          <w:sz w:val="19"/>
          <w:szCs w:val="19"/>
          <w:lang w:val="es-MX"/>
        </w:rPr>
        <w:t>us</w:t>
      </w:r>
      <w:r w:rsidRPr="00520C8E">
        <w:rPr>
          <w:rFonts w:ascii="Arial" w:hAnsi="Arial" w:cs="Arial"/>
          <w:sz w:val="19"/>
          <w:szCs w:val="19"/>
          <w:lang w:val="es-MX"/>
        </w:rPr>
        <w:t>t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od</w:t>
      </w:r>
      <w:r w:rsidRPr="00520C8E">
        <w:rPr>
          <w:rFonts w:ascii="Arial" w:hAnsi="Arial" w:cs="Arial"/>
          <w:sz w:val="19"/>
          <w:szCs w:val="19"/>
          <w:lang w:val="es-MX"/>
        </w:rPr>
        <w:t>i</w:t>
      </w:r>
      <w:r w:rsidRPr="00520C8E">
        <w:rPr>
          <w:rFonts w:ascii="Arial" w:hAnsi="Arial" w:cs="Arial"/>
          <w:spacing w:val="1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>, hasta que quede firme la resolución dictada en el procedimiento administrativo en materia aduanera o se resuelva la legal devolución de la mercancía o vehículo de que se trate;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Default"/>
        <w:numPr>
          <w:ilvl w:val="0"/>
          <w:numId w:val="1"/>
        </w:numPr>
        <w:ind w:left="567" w:hanging="283"/>
        <w:jc w:val="both"/>
        <w:rPr>
          <w:color w:val="auto"/>
          <w:sz w:val="19"/>
          <w:szCs w:val="19"/>
        </w:rPr>
      </w:pPr>
      <w:r w:rsidRPr="00520C8E">
        <w:rPr>
          <w:color w:val="auto"/>
          <w:sz w:val="19"/>
          <w:szCs w:val="19"/>
        </w:rPr>
        <w:t>Fungir como enlace con las aduanas del país, autoridades federales y estatales para el ejercicio de sus funciones;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Default"/>
        <w:numPr>
          <w:ilvl w:val="0"/>
          <w:numId w:val="1"/>
        </w:numPr>
        <w:ind w:left="567" w:hanging="283"/>
        <w:jc w:val="both"/>
        <w:rPr>
          <w:color w:val="auto"/>
          <w:sz w:val="19"/>
          <w:szCs w:val="19"/>
        </w:rPr>
      </w:pPr>
      <w:r w:rsidRPr="00520C8E">
        <w:rPr>
          <w:color w:val="auto"/>
          <w:sz w:val="19"/>
          <w:szCs w:val="19"/>
        </w:rPr>
        <w:t xml:space="preserve">Implementar estrategias que permitan crear e instrumentar mecanismos y sistemas basados en principios de inteligencia tributaria, para la programación eficaz de los actos administrativos en materia de comercio exterior; </w:t>
      </w:r>
    </w:p>
    <w:p w:rsidR="00AB1BF7" w:rsidRPr="00520C8E" w:rsidRDefault="00AB1BF7" w:rsidP="00AB1BF7">
      <w:pPr>
        <w:pStyle w:val="Prrafodelista"/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Nombrar, vigilar y remover a los depositarios relacionados con los asuntos de su competencia en materia de comercio exterior y con el procedimiento administrativo en materia aduanera;</w:t>
      </w:r>
    </w:p>
    <w:p w:rsidR="00AB1BF7" w:rsidRPr="00520C8E" w:rsidRDefault="00AB1BF7" w:rsidP="00AB1BF7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Notificar oportunamente las resoluciones que determinen créditos fiscales y demás actos que deriven del ejercicio de sus facultades;</w:t>
      </w:r>
    </w:p>
    <w:p w:rsidR="00AB1BF7" w:rsidRPr="00520C8E" w:rsidRDefault="00AB1BF7" w:rsidP="00AB1BF7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Solicitar a las autoridades fiscales de otra entidad que se continúen con los actos de fiscalización en materia de comercio exterior, así como los que deriven de los convenios de colaboración y sus anexos iniciados por esta autoridad, en el caso de que el contribuyente auditado cambie su domicilio fiscal fuera de la circunscripción territorial del Estado; y</w:t>
      </w:r>
    </w:p>
    <w:p w:rsidR="00AB1BF7" w:rsidRPr="00520C8E" w:rsidRDefault="00AB1BF7" w:rsidP="00AB1BF7">
      <w:pPr>
        <w:pStyle w:val="Prrafodelista"/>
        <w:rPr>
          <w:rFonts w:ascii="Arial" w:hAnsi="Arial" w:cs="Arial"/>
          <w:sz w:val="19"/>
          <w:szCs w:val="19"/>
          <w:lang w:val="es-MX"/>
        </w:rPr>
      </w:pPr>
    </w:p>
    <w:p w:rsidR="00AB1BF7" w:rsidRPr="00520C8E" w:rsidRDefault="00AB1BF7" w:rsidP="00AB1BF7">
      <w:pPr>
        <w:numPr>
          <w:ilvl w:val="0"/>
          <w:numId w:val="1"/>
        </w:numPr>
        <w:tabs>
          <w:tab w:val="left" w:pos="0"/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lastRenderedPageBreak/>
        <w:t>Las demás que le confiera este Reglamento y demás disposiciones normativas aplicables, así como, las que expresamente le sean conferidas por su superior jerárquico.</w:t>
      </w:r>
    </w:p>
    <w:p w:rsidR="0038456A" w:rsidRPr="00AB1BF7" w:rsidRDefault="0038456A">
      <w:pPr>
        <w:rPr>
          <w:lang w:val="es-MX"/>
        </w:rPr>
      </w:pPr>
    </w:p>
    <w:sectPr w:rsidR="0038456A" w:rsidRPr="00AB1BF7" w:rsidSect="0038456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24DB9"/>
    <w:multiLevelType w:val="hybridMultilevel"/>
    <w:tmpl w:val="0310DB52"/>
    <w:lvl w:ilvl="0" w:tplc="9484190E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B1BF7"/>
    <w:rsid w:val="0038456A"/>
    <w:rsid w:val="00AB1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1BF7"/>
    <w:pPr>
      <w:ind w:left="708"/>
    </w:pPr>
  </w:style>
  <w:style w:type="paragraph" w:customStyle="1" w:styleId="Texto">
    <w:name w:val="Texto"/>
    <w:basedOn w:val="Normal"/>
    <w:link w:val="TextoCar"/>
    <w:rsid w:val="00AB1BF7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AB1BF7"/>
    <w:rPr>
      <w:rFonts w:ascii="Arial" w:eastAsia="Times New Roman" w:hAnsi="Arial" w:cs="Times New Roman"/>
      <w:sz w:val="18"/>
      <w:szCs w:val="20"/>
      <w:lang w:val="es-ES" w:eastAsia="es-ES"/>
    </w:rPr>
  </w:style>
  <w:style w:type="paragraph" w:customStyle="1" w:styleId="Default">
    <w:name w:val="Default"/>
    <w:rsid w:val="00AB1BF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2178</Words>
  <Characters>11983</Characters>
  <Application>Microsoft Office Word</Application>
  <DocSecurity>0</DocSecurity>
  <Lines>99</Lines>
  <Paragraphs>28</Paragraphs>
  <ScaleCrop>false</ScaleCrop>
  <Company>Hewlett-Packard Company</Company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2022-08-27T11:30:00Z</dcterms:created>
  <dcterms:modified xsi:type="dcterms:W3CDTF">2022-08-27T11:31:00Z</dcterms:modified>
</cp:coreProperties>
</file>