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23" w:rsidRPr="00FB6102" w:rsidRDefault="00C74F23" w:rsidP="00C74F23">
      <w:pPr>
        <w:tabs>
          <w:tab w:val="left" w:pos="2552"/>
        </w:tabs>
        <w:jc w:val="center"/>
        <w:rPr>
          <w:rFonts w:ascii="Arial" w:hAnsi="Arial" w:cs="Arial"/>
          <w:b/>
          <w:color w:val="76923C"/>
          <w:sz w:val="16"/>
          <w:szCs w:val="16"/>
        </w:rPr>
      </w:pPr>
      <w:r w:rsidRPr="00FB6102">
        <w:rPr>
          <w:rFonts w:ascii="Arial" w:hAnsi="Arial" w:cs="Arial"/>
          <w:b/>
          <w:color w:val="76923C"/>
          <w:sz w:val="16"/>
          <w:szCs w:val="16"/>
        </w:rPr>
        <w:t>Acuerdo publicado el 27-02-2016</w:t>
      </w:r>
    </w:p>
    <w:p w:rsidR="00C74F23" w:rsidRDefault="00C74F23" w:rsidP="00C74F23">
      <w:pPr>
        <w:tabs>
          <w:tab w:val="left" w:pos="2552"/>
        </w:tabs>
        <w:jc w:val="center"/>
        <w:rPr>
          <w:rFonts w:ascii="Arial" w:hAnsi="Arial" w:cs="Arial"/>
          <w:b/>
          <w:sz w:val="16"/>
          <w:szCs w:val="16"/>
        </w:rPr>
      </w:pPr>
    </w:p>
    <w:p w:rsidR="00C74F23" w:rsidRDefault="00C74F23" w:rsidP="00C74F23">
      <w:pPr>
        <w:tabs>
          <w:tab w:val="left" w:pos="2552"/>
        </w:tabs>
        <w:jc w:val="center"/>
        <w:rPr>
          <w:rFonts w:ascii="Arial" w:hAnsi="Arial" w:cs="Arial"/>
          <w:b/>
          <w:sz w:val="16"/>
          <w:szCs w:val="16"/>
        </w:rPr>
      </w:pPr>
      <w:r>
        <w:rPr>
          <w:rFonts w:ascii="Arial" w:hAnsi="Arial" w:cs="Arial"/>
          <w:b/>
          <w:sz w:val="16"/>
          <w:szCs w:val="16"/>
        </w:rPr>
        <w:t>TEXTO VIGENTE</w:t>
      </w:r>
    </w:p>
    <w:p w:rsidR="00C74F23" w:rsidRDefault="00C74F23" w:rsidP="00C74F23">
      <w:pPr>
        <w:tabs>
          <w:tab w:val="left" w:pos="2552"/>
        </w:tabs>
        <w:jc w:val="center"/>
        <w:rPr>
          <w:rFonts w:ascii="Arial" w:hAnsi="Arial" w:cs="Arial"/>
          <w:b/>
          <w:color w:val="FF0000"/>
          <w:sz w:val="16"/>
          <w:szCs w:val="16"/>
        </w:rPr>
      </w:pPr>
      <w:r w:rsidRPr="00C74F23">
        <w:rPr>
          <w:rFonts w:ascii="Arial" w:hAnsi="Arial" w:cs="Arial"/>
          <w:b/>
          <w:color w:val="FF0000"/>
          <w:sz w:val="16"/>
          <w:szCs w:val="16"/>
        </w:rPr>
        <w:t>Sin reformas</w:t>
      </w:r>
    </w:p>
    <w:p w:rsidR="00C74F23" w:rsidRPr="00C74F23" w:rsidRDefault="00C74F23" w:rsidP="00C74F23">
      <w:pPr>
        <w:tabs>
          <w:tab w:val="left" w:pos="2552"/>
        </w:tabs>
        <w:jc w:val="center"/>
        <w:rPr>
          <w:rFonts w:ascii="Arial" w:hAnsi="Arial" w:cs="Arial"/>
          <w:b/>
          <w:color w:val="FF0000"/>
          <w:sz w:val="16"/>
          <w:szCs w:val="16"/>
        </w:rPr>
      </w:pPr>
    </w:p>
    <w:p w:rsidR="00491707" w:rsidRPr="00A97392" w:rsidRDefault="00491707" w:rsidP="00491707">
      <w:pPr>
        <w:tabs>
          <w:tab w:val="left" w:pos="2552"/>
        </w:tabs>
        <w:jc w:val="both"/>
        <w:rPr>
          <w:rFonts w:ascii="Arial" w:hAnsi="Arial" w:cs="Arial"/>
          <w:sz w:val="19"/>
          <w:szCs w:val="19"/>
        </w:rPr>
      </w:pPr>
      <w:r w:rsidRPr="00A97392">
        <w:rPr>
          <w:rFonts w:ascii="Arial" w:hAnsi="Arial" w:cs="Arial"/>
          <w:sz w:val="19"/>
          <w:szCs w:val="19"/>
        </w:rPr>
        <w:t xml:space="preserve">Con fundamento en lo dispuesto por los artículos 1, 2, y 82 de la Constitución Política del Estado Libre y Soberano de Oaxaca vigente; 1, 2, 3 fracción I, 6 primer y segundo párrafos, 12 párrafo primero, 16, 24, 26, 27 fracción XII y 45 fracción VII primer párrafo, VIII, XV, XVI, de la Ley Orgánica del Poder Ejecutivo del Estado de Oaxaca vigente; 1, 2, 4 </w:t>
      </w:r>
      <w:bookmarkStart w:id="0" w:name="_GoBack"/>
      <w:bookmarkEnd w:id="0"/>
      <w:r w:rsidRPr="00A97392">
        <w:rPr>
          <w:rFonts w:ascii="Arial" w:hAnsi="Arial" w:cs="Arial"/>
          <w:sz w:val="19"/>
          <w:szCs w:val="19"/>
        </w:rPr>
        <w:t>fracción I, 5, 6 fracción III del Reglamento Interno de la Secretaría de Finanzas del Poder Ejecutivo del Estado vigente, y</w:t>
      </w:r>
    </w:p>
    <w:p w:rsidR="00491707" w:rsidRPr="00A97392" w:rsidRDefault="00491707" w:rsidP="00491707">
      <w:pPr>
        <w:tabs>
          <w:tab w:val="left" w:pos="2552"/>
        </w:tabs>
        <w:jc w:val="both"/>
        <w:rPr>
          <w:rFonts w:ascii="Arial" w:hAnsi="Arial" w:cs="Arial"/>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C O N S I D E R A N D O</w:t>
      </w:r>
    </w:p>
    <w:p w:rsidR="00A97392" w:rsidRPr="00A97392" w:rsidRDefault="00A97392" w:rsidP="00491707">
      <w:pPr>
        <w:jc w:val="center"/>
        <w:rPr>
          <w:rFonts w:ascii="Arial" w:hAnsi="Arial" w:cs="Arial"/>
          <w:sz w:val="19"/>
          <w:szCs w:val="19"/>
        </w:rPr>
      </w:pPr>
    </w:p>
    <w:p w:rsidR="00491707" w:rsidRDefault="00491707" w:rsidP="00491707">
      <w:pPr>
        <w:jc w:val="both"/>
        <w:rPr>
          <w:rFonts w:ascii="Arial" w:hAnsi="Arial" w:cs="Arial"/>
          <w:sz w:val="19"/>
          <w:szCs w:val="19"/>
        </w:rPr>
      </w:pPr>
      <w:r w:rsidRPr="00A97392">
        <w:rPr>
          <w:rFonts w:ascii="Arial" w:hAnsi="Arial" w:cs="Arial"/>
          <w:sz w:val="19"/>
          <w:szCs w:val="19"/>
        </w:rPr>
        <w:t>Que corresponde a la Secretaría de Finanzas en términos de lo señalado en la Ley Orgánica del Poder Ejecutivo del Estado de Oaxaca, le compete planear, programar y autorizar la inversión pública en el Estado, bajo los principios de economía, eficiencia, eficacia, transparencia, equidad de género y de rendición de cuentas.</w:t>
      </w:r>
    </w:p>
    <w:p w:rsidR="00A97392" w:rsidRPr="00A97392" w:rsidRDefault="00A97392" w:rsidP="00491707">
      <w:pPr>
        <w:jc w:val="both"/>
        <w:rPr>
          <w:rFonts w:ascii="Arial" w:hAnsi="Arial" w:cs="Arial"/>
          <w:sz w:val="19"/>
          <w:szCs w:val="19"/>
        </w:rPr>
      </w:pPr>
    </w:p>
    <w:p w:rsidR="00491707" w:rsidRPr="00A97392" w:rsidRDefault="00491707" w:rsidP="00491707">
      <w:pPr>
        <w:jc w:val="both"/>
        <w:rPr>
          <w:rFonts w:ascii="Arial" w:hAnsi="Arial" w:cs="Arial"/>
          <w:sz w:val="19"/>
          <w:szCs w:val="19"/>
        </w:rPr>
      </w:pPr>
      <w:r w:rsidRPr="00A97392">
        <w:rPr>
          <w:rFonts w:ascii="Arial" w:hAnsi="Arial" w:cs="Arial"/>
          <w:sz w:val="19"/>
          <w:szCs w:val="19"/>
        </w:rPr>
        <w:t xml:space="preserve">Como prioridad del Gobierno del Estado continuar orientando el gasto público hacia resultados buscando la generación de mayores niveles de competitividad, empleo, educación y salud. Razón por la cual la inversión pública requiere de esfuerzos coordinados con todas las dependencias y entidades ejecutores de gasto de capital para fortalecer las capacidades de planeación así como de impulsar que la toma de decisiones de financiamiento </w:t>
      </w:r>
      <w:proofErr w:type="gramStart"/>
      <w:r w:rsidRPr="00A97392">
        <w:rPr>
          <w:rFonts w:ascii="Arial" w:hAnsi="Arial" w:cs="Arial"/>
          <w:sz w:val="19"/>
          <w:szCs w:val="19"/>
        </w:rPr>
        <w:t>sean</w:t>
      </w:r>
      <w:proofErr w:type="gramEnd"/>
      <w:r w:rsidRPr="00A97392">
        <w:rPr>
          <w:rFonts w:ascii="Arial" w:hAnsi="Arial" w:cs="Arial"/>
          <w:sz w:val="19"/>
          <w:szCs w:val="19"/>
        </w:rPr>
        <w:t xml:space="preserve"> las propicias para lograr mejorar la calidad de vida de los oaxaqueños. </w:t>
      </w:r>
    </w:p>
    <w:p w:rsidR="00A97392" w:rsidRPr="00A97392" w:rsidRDefault="00A97392" w:rsidP="00491707">
      <w:pPr>
        <w:jc w:val="both"/>
        <w:rPr>
          <w:rFonts w:ascii="Arial" w:hAnsi="Arial" w:cs="Arial"/>
          <w:sz w:val="19"/>
          <w:szCs w:val="19"/>
        </w:rPr>
      </w:pPr>
    </w:p>
    <w:p w:rsidR="00491707" w:rsidRPr="00A97392" w:rsidRDefault="00491707" w:rsidP="00491707">
      <w:pPr>
        <w:jc w:val="both"/>
        <w:rPr>
          <w:rFonts w:ascii="Arial" w:hAnsi="Arial" w:cs="Arial"/>
          <w:sz w:val="19"/>
          <w:szCs w:val="19"/>
        </w:rPr>
      </w:pPr>
      <w:r w:rsidRPr="00A97392">
        <w:rPr>
          <w:rFonts w:ascii="Arial" w:hAnsi="Arial" w:cs="Arial"/>
          <w:sz w:val="19"/>
          <w:szCs w:val="19"/>
        </w:rPr>
        <w:t>Es necesario emitir lineamientos que señalen los trámites relacionados con la planeación, formulación, validación, programación, presupuestación, control de la inversión pública financiada con recursos públicos que sean ejercidos por la Administración Pública centralizada y paraestatal; así como, aquellos ejercidos por los Ayuntamientos de la Entidad, que con cargo al Presupuesto de Egresos se realicen, así como de aquellos recursos que se allegue el Gobierno del Estado para la ejecución de programas federales en el estado.</w:t>
      </w:r>
    </w:p>
    <w:p w:rsidR="00A97392" w:rsidRPr="00A97392" w:rsidRDefault="00A97392" w:rsidP="00491707">
      <w:pPr>
        <w:jc w:val="both"/>
        <w:rPr>
          <w:rFonts w:ascii="Arial" w:hAnsi="Arial" w:cs="Arial"/>
          <w:sz w:val="19"/>
          <w:szCs w:val="19"/>
        </w:rPr>
      </w:pPr>
    </w:p>
    <w:p w:rsidR="00491707" w:rsidRPr="00A97392" w:rsidRDefault="00491707" w:rsidP="00491707">
      <w:pPr>
        <w:jc w:val="both"/>
        <w:rPr>
          <w:rFonts w:ascii="Arial" w:hAnsi="Arial" w:cs="Arial"/>
          <w:sz w:val="19"/>
          <w:szCs w:val="19"/>
        </w:rPr>
      </w:pPr>
      <w:r w:rsidRPr="00A97392">
        <w:rPr>
          <w:rFonts w:ascii="Arial" w:hAnsi="Arial" w:cs="Arial"/>
          <w:sz w:val="19"/>
          <w:szCs w:val="19"/>
        </w:rPr>
        <w:t xml:space="preserve">Por lo anterior, tengo a bien expedir el siguiente: </w:t>
      </w:r>
    </w:p>
    <w:p w:rsidR="00A97392" w:rsidRPr="00A97392" w:rsidRDefault="00A97392" w:rsidP="00491707">
      <w:pPr>
        <w:jc w:val="both"/>
        <w:rPr>
          <w:rFonts w:ascii="Arial" w:hAnsi="Arial" w:cs="Arial"/>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ACUERDO POR EL QUE SE EMITEN LOS LINEAMIENTOS PARA LA OPERACIÓN DEL SISTEMA ESTATAL DE INVERSIÓN PÚBLICA</w:t>
      </w:r>
    </w:p>
    <w:p w:rsidR="00491707" w:rsidRPr="00A97392" w:rsidRDefault="00491707" w:rsidP="00491707">
      <w:pPr>
        <w:jc w:val="center"/>
        <w:rPr>
          <w:rFonts w:ascii="Arial" w:hAnsi="Arial" w:cs="Arial"/>
          <w:sz w:val="19"/>
          <w:szCs w:val="19"/>
        </w:rPr>
      </w:pPr>
    </w:p>
    <w:p w:rsidR="00491707" w:rsidRPr="00A97392" w:rsidRDefault="00491707" w:rsidP="00491707">
      <w:pPr>
        <w:jc w:val="center"/>
        <w:rPr>
          <w:rFonts w:ascii="Arial" w:hAnsi="Arial" w:cs="Arial"/>
          <w:sz w:val="19"/>
          <w:szCs w:val="19"/>
        </w:rPr>
      </w:pPr>
      <w:r w:rsidRPr="00A97392">
        <w:rPr>
          <w:rFonts w:ascii="Arial" w:hAnsi="Arial" w:cs="Arial"/>
          <w:b/>
          <w:sz w:val="19"/>
          <w:szCs w:val="19"/>
        </w:rPr>
        <w:t>Título Primero</w:t>
      </w:r>
    </w:p>
    <w:p w:rsidR="00491707" w:rsidRPr="00A97392" w:rsidRDefault="00491707" w:rsidP="00491707">
      <w:pPr>
        <w:jc w:val="center"/>
        <w:rPr>
          <w:rFonts w:ascii="Arial" w:hAnsi="Arial" w:cs="Arial"/>
          <w:sz w:val="19"/>
          <w:szCs w:val="19"/>
        </w:rPr>
      </w:pPr>
      <w:r w:rsidRPr="00A97392">
        <w:rPr>
          <w:rFonts w:ascii="Arial" w:hAnsi="Arial" w:cs="Arial"/>
          <w:b/>
          <w:sz w:val="19"/>
          <w:szCs w:val="19"/>
        </w:rPr>
        <w:t>De las Disposiciones Generales</w:t>
      </w:r>
    </w:p>
    <w:p w:rsidR="00491707" w:rsidRPr="00A97392" w:rsidRDefault="00491707" w:rsidP="00491707">
      <w:pPr>
        <w:jc w:val="center"/>
        <w:rPr>
          <w:rFonts w:ascii="Arial" w:hAnsi="Arial" w:cs="Arial"/>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Capítulo Único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lastRenderedPageBreak/>
        <w:t>Disposiciones Generales</w:t>
      </w:r>
    </w:p>
    <w:p w:rsidR="00A97392" w:rsidRPr="00A97392" w:rsidRDefault="00A97392" w:rsidP="00A97392">
      <w:pPr>
        <w:jc w:val="center"/>
        <w:rPr>
          <w:rFonts w:ascii="Arial" w:hAnsi="Arial" w:cs="Arial"/>
          <w:sz w:val="19"/>
          <w:szCs w:val="19"/>
        </w:rPr>
      </w:pPr>
    </w:p>
    <w:p w:rsidR="00A97392" w:rsidRPr="00A97392" w:rsidRDefault="00A97392" w:rsidP="00A97392">
      <w:pPr>
        <w:numPr>
          <w:ilvl w:val="0"/>
          <w:numId w:val="24"/>
        </w:numPr>
        <w:ind w:left="709" w:hanging="425"/>
        <w:contextualSpacing/>
        <w:jc w:val="both"/>
        <w:rPr>
          <w:rFonts w:ascii="Arial" w:hAnsi="Arial" w:cs="Arial"/>
          <w:sz w:val="19"/>
          <w:szCs w:val="19"/>
        </w:rPr>
      </w:pPr>
      <w:r w:rsidRPr="00A97392">
        <w:rPr>
          <w:rFonts w:ascii="Arial" w:hAnsi="Arial" w:cs="Arial"/>
          <w:sz w:val="19"/>
          <w:szCs w:val="19"/>
        </w:rPr>
        <w:t>El presente Acuerdo tiene por objeto regular la operación del Sistema Estatal de Inversión Pública, como instrumento de apoyo al Sistema Estatal de Planeación para el logro de sus objetivos.</w:t>
      </w:r>
    </w:p>
    <w:p w:rsidR="00A97392" w:rsidRPr="00A97392" w:rsidRDefault="00A97392" w:rsidP="00A97392">
      <w:pPr>
        <w:ind w:left="241"/>
        <w:contextualSpacing/>
        <w:jc w:val="both"/>
        <w:rPr>
          <w:rFonts w:ascii="Arial" w:hAnsi="Arial" w:cs="Arial"/>
          <w:sz w:val="19"/>
          <w:szCs w:val="19"/>
        </w:rPr>
      </w:pPr>
    </w:p>
    <w:p w:rsidR="00A97392" w:rsidRPr="00A97392" w:rsidRDefault="00A97392" w:rsidP="00A97392">
      <w:pPr>
        <w:ind w:left="709"/>
        <w:contextualSpacing/>
        <w:jc w:val="both"/>
        <w:rPr>
          <w:rFonts w:ascii="Arial" w:hAnsi="Arial" w:cs="Arial"/>
          <w:sz w:val="19"/>
          <w:szCs w:val="19"/>
        </w:rPr>
      </w:pPr>
      <w:r w:rsidRPr="00A97392">
        <w:rPr>
          <w:rFonts w:ascii="Arial" w:hAnsi="Arial" w:cs="Arial"/>
          <w:sz w:val="19"/>
          <w:szCs w:val="19"/>
        </w:rPr>
        <w:t>Los Ejecutores de gasto deberán observar lo dispuesto en las Leyes: Estatal de Planeación, Estatal de Presupuesto y Responsabilidad Hacendaria, sus Reglamentos, así como a las Reglas de Operación de los Programas, Lineamientos de los Fondos de Aportaciones y a las cláusulas contenidas en los Convenios suscritos con la Federación.</w:t>
      </w:r>
    </w:p>
    <w:p w:rsidR="00A97392" w:rsidRPr="00A97392" w:rsidRDefault="00A97392" w:rsidP="00A97392">
      <w:pPr>
        <w:ind w:left="241"/>
        <w:contextualSpacing/>
        <w:jc w:val="both"/>
        <w:rPr>
          <w:rFonts w:ascii="Arial" w:hAnsi="Arial" w:cs="Arial"/>
          <w:sz w:val="19"/>
          <w:szCs w:val="19"/>
        </w:rPr>
      </w:pPr>
      <w:r w:rsidRPr="00A97392">
        <w:rPr>
          <w:rFonts w:ascii="Arial" w:hAnsi="Arial" w:cs="Arial"/>
          <w:sz w:val="19"/>
          <w:szCs w:val="19"/>
        </w:rPr>
        <w:t xml:space="preserve">      </w:t>
      </w:r>
    </w:p>
    <w:p w:rsidR="00A97392" w:rsidRPr="00A97392" w:rsidRDefault="00A97392" w:rsidP="00A97392">
      <w:pPr>
        <w:numPr>
          <w:ilvl w:val="0"/>
          <w:numId w:val="22"/>
        </w:numPr>
        <w:ind w:left="709" w:hanging="425"/>
        <w:contextualSpacing/>
        <w:jc w:val="both"/>
        <w:rPr>
          <w:rFonts w:ascii="Arial" w:hAnsi="Arial" w:cs="Arial"/>
          <w:sz w:val="19"/>
          <w:szCs w:val="19"/>
        </w:rPr>
      </w:pPr>
      <w:r w:rsidRPr="00A97392">
        <w:rPr>
          <w:rFonts w:ascii="Arial" w:hAnsi="Arial" w:cs="Arial"/>
          <w:sz w:val="19"/>
          <w:szCs w:val="19"/>
        </w:rPr>
        <w:t>La interpretación del presente Acuerdo y la resolución de los casos no previstos en los mismos es competencia exclusiva de la Secretaría.</w:t>
      </w:r>
    </w:p>
    <w:p w:rsidR="00A97392" w:rsidRPr="00A97392" w:rsidRDefault="00A97392" w:rsidP="00A97392">
      <w:pPr>
        <w:ind w:left="709" w:hanging="425"/>
        <w:jc w:val="both"/>
        <w:rPr>
          <w:rFonts w:ascii="Arial" w:hAnsi="Arial" w:cs="Arial"/>
          <w:sz w:val="19"/>
          <w:szCs w:val="19"/>
        </w:rPr>
      </w:pPr>
    </w:p>
    <w:p w:rsidR="00A97392" w:rsidRPr="00A97392" w:rsidRDefault="00A97392" w:rsidP="00A97392">
      <w:pPr>
        <w:numPr>
          <w:ilvl w:val="0"/>
          <w:numId w:val="22"/>
        </w:numPr>
        <w:ind w:left="709" w:hanging="425"/>
        <w:contextualSpacing/>
        <w:jc w:val="both"/>
        <w:rPr>
          <w:rFonts w:ascii="Arial" w:hAnsi="Arial" w:cs="Arial"/>
          <w:sz w:val="19"/>
          <w:szCs w:val="19"/>
        </w:rPr>
      </w:pPr>
      <w:r w:rsidRPr="00A97392">
        <w:rPr>
          <w:rFonts w:ascii="Arial" w:eastAsia="Arial" w:hAnsi="Arial" w:cs="Arial"/>
          <w:sz w:val="19"/>
          <w:szCs w:val="19"/>
        </w:rPr>
        <w:t xml:space="preserve">Para efectos del presente Acuerdo, resultarán aplicables los glosarios contenidos en las Leyes: Estatal de Planeación, Estatal de Presupuesto y Responsabilidad </w:t>
      </w:r>
      <w:proofErr w:type="spellStart"/>
      <w:r w:rsidRPr="00A97392">
        <w:rPr>
          <w:rFonts w:ascii="Arial" w:eastAsia="Arial" w:hAnsi="Arial" w:cs="Arial"/>
          <w:sz w:val="19"/>
          <w:szCs w:val="19"/>
        </w:rPr>
        <w:t>Hacendaría</w:t>
      </w:r>
      <w:proofErr w:type="spellEnd"/>
      <w:r w:rsidRPr="00A97392">
        <w:rPr>
          <w:rFonts w:ascii="Arial" w:eastAsia="Arial" w:hAnsi="Arial" w:cs="Arial"/>
          <w:sz w:val="19"/>
          <w:szCs w:val="19"/>
        </w:rPr>
        <w:t xml:space="preserve"> y su Reglamento, adicionalmente </w:t>
      </w:r>
      <w:r w:rsidRPr="00A97392">
        <w:rPr>
          <w:rFonts w:ascii="Arial" w:hAnsi="Arial" w:cs="Arial"/>
          <w:sz w:val="19"/>
          <w:szCs w:val="19"/>
        </w:rPr>
        <w:t>se entenderá por:</w:t>
      </w:r>
    </w:p>
    <w:p w:rsidR="00A97392" w:rsidRPr="00A97392" w:rsidRDefault="00A97392" w:rsidP="00A97392">
      <w:pPr>
        <w:ind w:left="1134"/>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Acuerdo: Acuerdo por el que se emiten los Lineamientos para la Operación del Sistema Estatal de Inversión Pública;</w:t>
      </w:r>
    </w:p>
    <w:p w:rsidR="00A97392" w:rsidRPr="00A97392" w:rsidRDefault="00A97392" w:rsidP="00A97392">
      <w:pPr>
        <w:ind w:left="349"/>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BPIP: Banco de Proyectos de Inversión Pública;</w:t>
      </w:r>
    </w:p>
    <w:p w:rsidR="00A97392" w:rsidRPr="00A97392" w:rsidRDefault="00A97392" w:rsidP="00A97392">
      <w:pPr>
        <w:ind w:left="349"/>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 xml:space="preserve">CDSM: Concejo de Desarrollo Social Municipal; </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Coinversión: Financiamiento entre dos o más órdenes de gobierno y los sectores privado o social;</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color w:val="FF0000"/>
          <w:sz w:val="19"/>
          <w:szCs w:val="19"/>
        </w:rPr>
      </w:pPr>
      <w:r w:rsidRPr="00A97392">
        <w:rPr>
          <w:rFonts w:ascii="Arial" w:hAnsi="Arial" w:cs="Arial"/>
          <w:color w:val="000000"/>
          <w:sz w:val="19"/>
          <w:szCs w:val="19"/>
        </w:rPr>
        <w:t>CR-COPLADE: Coordinaciones Regionales de la CG-COPLADE;</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tabs>
          <w:tab w:val="left" w:pos="1134"/>
        </w:tabs>
        <w:ind w:left="1134" w:hanging="425"/>
        <w:contextualSpacing/>
        <w:jc w:val="both"/>
        <w:rPr>
          <w:rFonts w:ascii="Arial" w:hAnsi="Arial" w:cs="Arial"/>
          <w:sz w:val="19"/>
          <w:szCs w:val="19"/>
        </w:rPr>
      </w:pPr>
      <w:r w:rsidRPr="00A97392">
        <w:rPr>
          <w:rFonts w:ascii="Arial" w:hAnsi="Arial" w:cs="Arial"/>
          <w:sz w:val="19"/>
          <w:szCs w:val="19"/>
        </w:rPr>
        <w:t>FISM-DF: Fondo para la Infraestructura Social Municipal y de las Demarcaciones Territoriales del Distrito Federal;</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Matriz de indicadores de resultados (MIR): Resumen la estructura lógica de un programa o proyecto en una matriz de cuatro filas por cuatro columnas mediante la cual se describen los objetivos de: el fin, el propósito, los componentes y las actividades, así como sus respectivos indicadores, los medios de verificación y supuestos para cada uno de los objetivos;</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MDR: Módulos de Desarrollo Regional dependientes de la CG-COPLADE;</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tabs>
          <w:tab w:val="left" w:pos="1134"/>
        </w:tabs>
        <w:ind w:left="1134" w:hanging="425"/>
        <w:contextualSpacing/>
        <w:jc w:val="both"/>
        <w:rPr>
          <w:rFonts w:ascii="Arial" w:hAnsi="Arial" w:cs="Arial"/>
          <w:sz w:val="19"/>
          <w:szCs w:val="19"/>
        </w:rPr>
      </w:pPr>
      <w:r w:rsidRPr="00A97392">
        <w:rPr>
          <w:rFonts w:ascii="Arial" w:hAnsi="Arial" w:cs="Arial"/>
          <w:sz w:val="19"/>
          <w:szCs w:val="19"/>
        </w:rPr>
        <w:t>Normativa: Dependencia o Entidad de la Administración Pública estatal o federal responsable de interpretar, validar y vigilar los aspectos técnicos, económicos y jurídicos relacionados con los estudios de preinversión de los proyectos de inversión;</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tabs>
          <w:tab w:val="left" w:pos="1134"/>
        </w:tabs>
        <w:ind w:left="1134" w:hanging="425"/>
        <w:contextualSpacing/>
        <w:jc w:val="both"/>
        <w:rPr>
          <w:rFonts w:ascii="Arial" w:hAnsi="Arial" w:cs="Arial"/>
          <w:sz w:val="19"/>
          <w:szCs w:val="19"/>
        </w:rPr>
      </w:pPr>
      <w:r w:rsidRPr="00A97392">
        <w:rPr>
          <w:rFonts w:ascii="Arial" w:hAnsi="Arial" w:cs="Arial"/>
          <w:sz w:val="19"/>
          <w:szCs w:val="19"/>
        </w:rPr>
        <w:t>Propuestas de proyectos: Proyectos propuestos por un Ejecutor de gasto de capital que ha completado un proceso de análisis de prioridades, los cuales se registran en el Sistema electrónico para ser considerados en el proceso de inversión, y</w:t>
      </w:r>
    </w:p>
    <w:p w:rsidR="00A97392" w:rsidRPr="00A97392" w:rsidRDefault="00A97392" w:rsidP="00A97392">
      <w:pPr>
        <w:ind w:left="1134" w:hanging="425"/>
        <w:contextualSpacing/>
        <w:jc w:val="both"/>
        <w:rPr>
          <w:rFonts w:ascii="Arial" w:hAnsi="Arial" w:cs="Arial"/>
          <w:sz w:val="19"/>
          <w:szCs w:val="19"/>
        </w:rPr>
      </w:pPr>
    </w:p>
    <w:p w:rsidR="00A97392" w:rsidRPr="00A97392" w:rsidRDefault="00A97392" w:rsidP="00A97392">
      <w:pPr>
        <w:numPr>
          <w:ilvl w:val="0"/>
          <w:numId w:val="29"/>
        </w:numPr>
        <w:ind w:left="1134" w:hanging="425"/>
        <w:contextualSpacing/>
        <w:jc w:val="both"/>
        <w:rPr>
          <w:rFonts w:ascii="Arial" w:hAnsi="Arial" w:cs="Arial"/>
          <w:sz w:val="19"/>
          <w:szCs w:val="19"/>
        </w:rPr>
      </w:pPr>
      <w:r w:rsidRPr="00A97392">
        <w:rPr>
          <w:rFonts w:ascii="Arial" w:hAnsi="Arial" w:cs="Arial"/>
          <w:sz w:val="19"/>
          <w:szCs w:val="19"/>
        </w:rPr>
        <w:t>Sistema electrónico: Sistema informático determinado por la Secretaría para que las Dependencias y Entidades realicen los registros financieros, presupuestarios y contables.</w:t>
      </w:r>
    </w:p>
    <w:p w:rsidR="00A97392" w:rsidRPr="00A97392" w:rsidRDefault="00A97392" w:rsidP="00A97392">
      <w:pPr>
        <w:jc w:val="both"/>
        <w:rPr>
          <w:rFonts w:ascii="Arial" w:hAnsi="Arial" w:cs="Arial"/>
          <w:sz w:val="19"/>
          <w:szCs w:val="19"/>
        </w:rPr>
      </w:pPr>
    </w:p>
    <w:p w:rsidR="00A97392" w:rsidRPr="00A97392" w:rsidRDefault="00A97392" w:rsidP="00765C76">
      <w:pPr>
        <w:numPr>
          <w:ilvl w:val="0"/>
          <w:numId w:val="23"/>
        </w:numPr>
        <w:tabs>
          <w:tab w:val="left" w:pos="709"/>
        </w:tabs>
        <w:ind w:left="709" w:hanging="425"/>
        <w:jc w:val="both"/>
        <w:rPr>
          <w:rFonts w:ascii="Arial" w:hAnsi="Arial" w:cs="Arial"/>
          <w:sz w:val="19"/>
          <w:szCs w:val="19"/>
        </w:rPr>
      </w:pPr>
      <w:r w:rsidRPr="00A97392">
        <w:rPr>
          <w:rFonts w:ascii="Arial" w:hAnsi="Arial" w:cs="Arial"/>
          <w:sz w:val="19"/>
          <w:szCs w:val="19"/>
        </w:rPr>
        <w:t>Los proyectos de inversión se clasifican en:</w:t>
      </w:r>
    </w:p>
    <w:p w:rsidR="00A97392" w:rsidRPr="00A97392" w:rsidRDefault="00A97392" w:rsidP="00A97392">
      <w:pPr>
        <w:ind w:left="567"/>
        <w:jc w:val="both"/>
        <w:rPr>
          <w:rFonts w:ascii="Arial" w:hAnsi="Arial" w:cs="Arial"/>
          <w:sz w:val="19"/>
          <w:szCs w:val="19"/>
        </w:rPr>
      </w:pPr>
    </w:p>
    <w:p w:rsidR="00A97392" w:rsidRPr="00A97392" w:rsidRDefault="00A97392" w:rsidP="00765C76">
      <w:pPr>
        <w:numPr>
          <w:ilvl w:val="0"/>
          <w:numId w:val="26"/>
        </w:numPr>
        <w:spacing w:before="2" w:after="2"/>
        <w:ind w:left="1276" w:hanging="425"/>
        <w:jc w:val="both"/>
        <w:rPr>
          <w:rFonts w:ascii="Arial" w:hAnsi="Arial" w:cs="Arial"/>
          <w:sz w:val="19"/>
          <w:szCs w:val="19"/>
        </w:rPr>
      </w:pPr>
      <w:r w:rsidRPr="00A97392">
        <w:rPr>
          <w:rFonts w:ascii="Arial" w:hAnsi="Arial" w:cs="Arial"/>
          <w:sz w:val="19"/>
          <w:szCs w:val="19"/>
        </w:rPr>
        <w:t>Inversión real o física: Producción autosuficiente generada a través de una inversión dirigida a la formación bruta de capital físico;</w:t>
      </w:r>
    </w:p>
    <w:p w:rsidR="00A97392" w:rsidRPr="00A97392" w:rsidRDefault="00A97392" w:rsidP="00A97392">
      <w:pPr>
        <w:spacing w:before="2" w:after="2"/>
        <w:ind w:left="1276"/>
        <w:jc w:val="both"/>
        <w:rPr>
          <w:rFonts w:ascii="Arial" w:hAnsi="Arial" w:cs="Arial"/>
          <w:sz w:val="19"/>
          <w:szCs w:val="19"/>
        </w:rPr>
      </w:pPr>
    </w:p>
    <w:p w:rsidR="00A97392" w:rsidRPr="00A97392" w:rsidRDefault="00A97392" w:rsidP="00765C76">
      <w:pPr>
        <w:numPr>
          <w:ilvl w:val="0"/>
          <w:numId w:val="26"/>
        </w:numPr>
        <w:spacing w:before="2" w:after="2"/>
        <w:ind w:left="1276" w:hanging="425"/>
        <w:jc w:val="both"/>
        <w:rPr>
          <w:rFonts w:ascii="Arial" w:hAnsi="Arial" w:cs="Arial"/>
          <w:sz w:val="19"/>
          <w:szCs w:val="19"/>
        </w:rPr>
      </w:pPr>
      <w:r w:rsidRPr="00A97392">
        <w:rPr>
          <w:rFonts w:ascii="Arial" w:hAnsi="Arial" w:cs="Arial"/>
          <w:sz w:val="19"/>
          <w:szCs w:val="19"/>
        </w:rPr>
        <w:t xml:space="preserve">Desarrollo Humano: Aquellos cuyo propósito central genere o propicie condiciones para desarrollar potencialidades de los habitantes, principalmente en condiciones de vulnerabilidad, de tal forma que éstos puedan llevar una vida creativa y productiva conforme a sus propias necesidades o intereses, sus efectos tienen permanencia en el tiempo además de contar con recursos preestablecidos. Se centran en las personas y sus oportunidades, no en la riqueza que poseen, el ingreso que devengan o las mercancías y servicios que consumen, y </w:t>
      </w:r>
    </w:p>
    <w:p w:rsidR="00A97392" w:rsidRPr="00A97392" w:rsidRDefault="00A97392" w:rsidP="00A97392">
      <w:pPr>
        <w:spacing w:before="2" w:after="2"/>
        <w:jc w:val="both"/>
        <w:rPr>
          <w:rFonts w:ascii="Arial" w:hAnsi="Arial" w:cs="Arial"/>
          <w:sz w:val="19"/>
          <w:szCs w:val="19"/>
        </w:rPr>
      </w:pPr>
    </w:p>
    <w:p w:rsidR="00A97392" w:rsidRPr="00A97392" w:rsidRDefault="00A97392" w:rsidP="00765C76">
      <w:pPr>
        <w:numPr>
          <w:ilvl w:val="0"/>
          <w:numId w:val="26"/>
        </w:numPr>
        <w:spacing w:before="2" w:after="2"/>
        <w:ind w:left="1276" w:hanging="425"/>
        <w:jc w:val="both"/>
        <w:rPr>
          <w:rFonts w:ascii="Arial" w:hAnsi="Arial" w:cs="Arial"/>
          <w:sz w:val="19"/>
          <w:szCs w:val="19"/>
        </w:rPr>
      </w:pPr>
      <w:r w:rsidRPr="00A97392">
        <w:rPr>
          <w:rFonts w:ascii="Arial" w:hAnsi="Arial" w:cs="Arial"/>
          <w:sz w:val="19"/>
          <w:szCs w:val="19"/>
        </w:rPr>
        <w:t>Mixtos: Los que combinan actividades y acciones con características de las clasificaciones anteriormente mencionadas.</w:t>
      </w:r>
    </w:p>
    <w:p w:rsidR="00A97392" w:rsidRPr="00A97392" w:rsidRDefault="00A97392" w:rsidP="00A97392">
      <w:pPr>
        <w:tabs>
          <w:tab w:val="left" w:pos="851"/>
        </w:tabs>
        <w:jc w:val="center"/>
        <w:rPr>
          <w:rFonts w:ascii="Arial" w:hAnsi="Arial" w:cs="Arial"/>
          <w:b/>
          <w:sz w:val="19"/>
          <w:szCs w:val="19"/>
        </w:rPr>
      </w:pPr>
    </w:p>
    <w:p w:rsidR="00A97392" w:rsidRPr="00A97392" w:rsidRDefault="00A97392" w:rsidP="00765C76">
      <w:pPr>
        <w:numPr>
          <w:ilvl w:val="0"/>
          <w:numId w:val="43"/>
        </w:numPr>
        <w:tabs>
          <w:tab w:val="left" w:pos="709"/>
        </w:tabs>
        <w:ind w:left="709" w:hanging="425"/>
        <w:contextualSpacing/>
        <w:jc w:val="both"/>
        <w:rPr>
          <w:rFonts w:ascii="Arial" w:hAnsi="Arial" w:cs="Arial"/>
          <w:sz w:val="19"/>
          <w:szCs w:val="19"/>
        </w:rPr>
      </w:pPr>
      <w:r w:rsidRPr="00A97392">
        <w:rPr>
          <w:rFonts w:ascii="Arial" w:hAnsi="Arial" w:cs="Arial"/>
          <w:sz w:val="19"/>
          <w:szCs w:val="19"/>
        </w:rPr>
        <w:t>Los recursos susceptibles para su aplicación y erogación no ejercidos en el año de calendario, podrán aplicarse en el siguiente ejercicio fiscal, de acuerdo al proceso establecido por la Secretaría, y a las disposiciones legales y administrativas de la fuente de financiamiento de que se trate, verificando que dichos recursos cuenten con vigencia o prórroga para su aplicación y ejercicio.</w:t>
      </w:r>
    </w:p>
    <w:p w:rsidR="00491707" w:rsidRPr="00A97392" w:rsidRDefault="00491707" w:rsidP="00491707">
      <w:pPr>
        <w:tabs>
          <w:tab w:val="left" w:pos="851"/>
        </w:tabs>
        <w:jc w:val="center"/>
        <w:rPr>
          <w:rFonts w:ascii="Arial" w:hAnsi="Arial" w:cs="Arial"/>
          <w:b/>
          <w:sz w:val="19"/>
          <w:szCs w:val="19"/>
        </w:rPr>
      </w:pPr>
    </w:p>
    <w:p w:rsidR="00491707" w:rsidRPr="00A97392" w:rsidRDefault="00491707" w:rsidP="00491707">
      <w:pPr>
        <w:tabs>
          <w:tab w:val="left" w:pos="851"/>
        </w:tabs>
        <w:jc w:val="center"/>
        <w:rPr>
          <w:rFonts w:ascii="Arial" w:hAnsi="Arial" w:cs="Arial"/>
          <w:sz w:val="19"/>
          <w:szCs w:val="19"/>
        </w:rPr>
      </w:pPr>
      <w:r w:rsidRPr="00A97392">
        <w:rPr>
          <w:rFonts w:ascii="Arial" w:hAnsi="Arial" w:cs="Arial"/>
          <w:b/>
          <w:sz w:val="19"/>
          <w:szCs w:val="19"/>
        </w:rPr>
        <w:t>Título Segundo</w:t>
      </w:r>
    </w:p>
    <w:p w:rsidR="00491707" w:rsidRPr="00A97392" w:rsidRDefault="00491707" w:rsidP="00491707">
      <w:pPr>
        <w:tabs>
          <w:tab w:val="left" w:pos="851"/>
        </w:tabs>
        <w:jc w:val="center"/>
        <w:rPr>
          <w:rFonts w:ascii="Arial" w:hAnsi="Arial" w:cs="Arial"/>
          <w:b/>
          <w:sz w:val="19"/>
          <w:szCs w:val="19"/>
        </w:rPr>
      </w:pPr>
      <w:r w:rsidRPr="00A97392">
        <w:rPr>
          <w:rFonts w:ascii="Arial" w:hAnsi="Arial" w:cs="Arial"/>
          <w:b/>
          <w:sz w:val="19"/>
          <w:szCs w:val="19"/>
        </w:rPr>
        <w:t>Del Proceso de Inversión Pública</w:t>
      </w:r>
    </w:p>
    <w:p w:rsidR="00491707" w:rsidRPr="00A97392" w:rsidRDefault="00491707" w:rsidP="00491707">
      <w:pPr>
        <w:tabs>
          <w:tab w:val="left" w:pos="851"/>
        </w:tabs>
        <w:jc w:val="center"/>
        <w:rPr>
          <w:rFonts w:ascii="Arial" w:hAnsi="Arial" w:cs="Arial"/>
          <w:sz w:val="19"/>
          <w:szCs w:val="19"/>
        </w:rPr>
      </w:pPr>
    </w:p>
    <w:p w:rsidR="00491707" w:rsidRPr="00A97392" w:rsidRDefault="00491707" w:rsidP="00491707">
      <w:pPr>
        <w:tabs>
          <w:tab w:val="left" w:pos="851"/>
        </w:tabs>
        <w:jc w:val="center"/>
        <w:rPr>
          <w:rFonts w:ascii="Arial" w:hAnsi="Arial" w:cs="Arial"/>
          <w:sz w:val="19"/>
          <w:szCs w:val="19"/>
        </w:rPr>
      </w:pPr>
      <w:r w:rsidRPr="00A97392">
        <w:rPr>
          <w:rFonts w:ascii="Arial" w:hAnsi="Arial" w:cs="Arial"/>
          <w:b/>
          <w:sz w:val="19"/>
          <w:szCs w:val="19"/>
        </w:rPr>
        <w:t>Capítulo Primero</w:t>
      </w:r>
    </w:p>
    <w:p w:rsidR="00491707" w:rsidRPr="00A97392" w:rsidRDefault="00491707" w:rsidP="00491707">
      <w:pPr>
        <w:tabs>
          <w:tab w:val="left" w:pos="851"/>
        </w:tabs>
        <w:jc w:val="center"/>
        <w:rPr>
          <w:rFonts w:ascii="Arial" w:hAnsi="Arial" w:cs="Arial"/>
          <w:sz w:val="19"/>
          <w:szCs w:val="19"/>
        </w:rPr>
      </w:pPr>
      <w:r w:rsidRPr="00A97392">
        <w:rPr>
          <w:rFonts w:ascii="Arial" w:hAnsi="Arial" w:cs="Arial"/>
          <w:b/>
          <w:sz w:val="19"/>
          <w:szCs w:val="19"/>
        </w:rPr>
        <w:lastRenderedPageBreak/>
        <w:t xml:space="preserve">De las Etapas de la Inversión Pública </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A solicitud del Ejecutor de gasto de capital la Secretaría brindará acompañamiento técnico y capacitación en los temas relacionados al proceso de inversión pública.</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 xml:space="preserve">La inversión pública se sujetará a las etapas siguientes: </w:t>
      </w:r>
    </w:p>
    <w:p w:rsidR="00491707" w:rsidRDefault="00491707" w:rsidP="00491707">
      <w:pPr>
        <w:ind w:left="360"/>
        <w:contextualSpacing/>
        <w:jc w:val="both"/>
        <w:rPr>
          <w:rFonts w:ascii="Arial" w:hAnsi="Arial" w:cs="Arial"/>
          <w:sz w:val="19"/>
          <w:szCs w:val="19"/>
        </w:rPr>
      </w:pPr>
    </w:p>
    <w:p w:rsidR="00765C76" w:rsidRPr="00A97392" w:rsidRDefault="00765C76" w:rsidP="00491707">
      <w:pPr>
        <w:ind w:left="360"/>
        <w:contextualSpacing/>
        <w:jc w:val="both"/>
        <w:rPr>
          <w:rFonts w:ascii="Arial" w:hAnsi="Arial" w:cs="Arial"/>
          <w:sz w:val="19"/>
          <w:szCs w:val="19"/>
        </w:rPr>
      </w:pPr>
    </w:p>
    <w:tbl>
      <w:tblPr>
        <w:tblW w:w="7593" w:type="dxa"/>
        <w:jc w:val="center"/>
        <w:tblInd w:w="167" w:type="dxa"/>
        <w:tblCellMar>
          <w:left w:w="70" w:type="dxa"/>
          <w:right w:w="70" w:type="dxa"/>
        </w:tblCellMar>
        <w:tblLook w:val="04A0" w:firstRow="1" w:lastRow="0" w:firstColumn="1" w:lastColumn="0" w:noHBand="0" w:noVBand="1"/>
      </w:tblPr>
      <w:tblGrid>
        <w:gridCol w:w="4553"/>
        <w:gridCol w:w="3040"/>
      </w:tblGrid>
      <w:tr w:rsidR="00491707" w:rsidRPr="00A97392" w:rsidTr="00765C76">
        <w:trPr>
          <w:trHeight w:val="392"/>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jc w:val="center"/>
              <w:rPr>
                <w:rFonts w:ascii="Arial" w:hAnsi="Arial" w:cs="Arial"/>
                <w:b/>
                <w:bCs/>
                <w:color w:val="000000"/>
                <w:sz w:val="19"/>
                <w:szCs w:val="19"/>
                <w:lang w:eastAsia="es-MX"/>
              </w:rPr>
            </w:pPr>
            <w:r w:rsidRPr="00A97392">
              <w:rPr>
                <w:rFonts w:ascii="Arial" w:hAnsi="Arial" w:cs="Arial"/>
                <w:b/>
                <w:bCs/>
                <w:color w:val="000000"/>
                <w:sz w:val="19"/>
                <w:szCs w:val="19"/>
                <w:lang w:eastAsia="es-MX"/>
              </w:rPr>
              <w:t>Etapa</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491707" w:rsidRPr="00A97392" w:rsidRDefault="00491707" w:rsidP="002B0322">
            <w:pPr>
              <w:jc w:val="center"/>
              <w:rPr>
                <w:rFonts w:ascii="Arial" w:hAnsi="Arial" w:cs="Arial"/>
                <w:b/>
                <w:bCs/>
                <w:color w:val="000000"/>
                <w:sz w:val="19"/>
                <w:szCs w:val="19"/>
                <w:lang w:eastAsia="es-MX"/>
              </w:rPr>
            </w:pPr>
            <w:r w:rsidRPr="00A97392">
              <w:rPr>
                <w:rFonts w:ascii="Arial" w:hAnsi="Arial" w:cs="Arial"/>
                <w:b/>
                <w:bCs/>
                <w:color w:val="000000"/>
                <w:sz w:val="19"/>
                <w:szCs w:val="19"/>
                <w:lang w:eastAsia="es-MX"/>
              </w:rPr>
              <w:t>Responsable</w:t>
            </w:r>
          </w:p>
        </w:tc>
      </w:tr>
      <w:tr w:rsidR="00491707" w:rsidRPr="00A97392" w:rsidTr="00765C76">
        <w:trPr>
          <w:trHeight w:val="412"/>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765C76">
            <w:pPr>
              <w:ind w:left="268" w:hanging="268"/>
              <w:rPr>
                <w:rFonts w:ascii="Arial" w:hAnsi="Arial" w:cs="Arial"/>
                <w:color w:val="000000"/>
                <w:sz w:val="19"/>
                <w:szCs w:val="19"/>
                <w:lang w:eastAsia="es-MX"/>
              </w:rPr>
            </w:pPr>
            <w:r w:rsidRPr="00A97392">
              <w:rPr>
                <w:rFonts w:ascii="Arial" w:hAnsi="Arial" w:cs="Arial"/>
                <w:color w:val="000000"/>
                <w:sz w:val="19"/>
                <w:szCs w:val="19"/>
                <w:lang w:eastAsia="es-MX"/>
              </w:rPr>
              <w:t>a) Registro de propuestas de PIP y estudios de preinversión</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jc w:val="center"/>
              <w:rPr>
                <w:rFonts w:ascii="Arial" w:hAnsi="Arial" w:cs="Arial"/>
                <w:color w:val="000000"/>
                <w:sz w:val="19"/>
                <w:szCs w:val="19"/>
                <w:lang w:eastAsia="es-MX"/>
              </w:rPr>
            </w:pPr>
            <w:r w:rsidRPr="00A97392">
              <w:rPr>
                <w:rFonts w:ascii="Arial" w:hAnsi="Arial" w:cs="Arial"/>
                <w:color w:val="000000"/>
                <w:sz w:val="19"/>
                <w:szCs w:val="19"/>
                <w:lang w:eastAsia="es-MX"/>
              </w:rPr>
              <w:t>Dirección de Planeación Estatal</w:t>
            </w:r>
          </w:p>
        </w:tc>
      </w:tr>
      <w:tr w:rsidR="00491707" w:rsidRPr="00A97392" w:rsidTr="00765C76">
        <w:trPr>
          <w:trHeight w:val="417"/>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rPr>
                <w:rFonts w:ascii="Arial" w:hAnsi="Arial" w:cs="Arial"/>
                <w:color w:val="000000"/>
                <w:sz w:val="19"/>
                <w:szCs w:val="19"/>
                <w:lang w:eastAsia="es-MX"/>
              </w:rPr>
            </w:pPr>
            <w:r w:rsidRPr="00A97392">
              <w:rPr>
                <w:rFonts w:ascii="Arial" w:hAnsi="Arial" w:cs="Arial"/>
                <w:color w:val="000000"/>
                <w:sz w:val="19"/>
                <w:szCs w:val="19"/>
                <w:lang w:eastAsia="es-MX"/>
              </w:rPr>
              <w:t>b) Viabilización de PIP</w:t>
            </w:r>
          </w:p>
        </w:tc>
        <w:tc>
          <w:tcPr>
            <w:tcW w:w="3040" w:type="dxa"/>
            <w:vMerge/>
            <w:tcBorders>
              <w:top w:val="nil"/>
              <w:left w:val="single" w:sz="4" w:space="0" w:color="auto"/>
              <w:bottom w:val="single" w:sz="4" w:space="0" w:color="auto"/>
              <w:right w:val="single" w:sz="4" w:space="0" w:color="auto"/>
            </w:tcBorders>
            <w:vAlign w:val="center"/>
            <w:hideMark/>
          </w:tcPr>
          <w:p w:rsidR="00491707" w:rsidRPr="00A97392" w:rsidRDefault="00491707" w:rsidP="002B0322">
            <w:pPr>
              <w:rPr>
                <w:rFonts w:ascii="Arial" w:hAnsi="Arial" w:cs="Arial"/>
                <w:color w:val="000000"/>
                <w:sz w:val="19"/>
                <w:szCs w:val="19"/>
                <w:lang w:eastAsia="es-MX"/>
              </w:rPr>
            </w:pPr>
          </w:p>
        </w:tc>
      </w:tr>
      <w:tr w:rsidR="00491707" w:rsidRPr="00A97392" w:rsidTr="00765C76">
        <w:trPr>
          <w:trHeight w:val="409"/>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rPr>
                <w:rFonts w:ascii="Arial" w:hAnsi="Arial" w:cs="Arial"/>
                <w:color w:val="000000"/>
                <w:sz w:val="19"/>
                <w:szCs w:val="19"/>
                <w:lang w:eastAsia="es-MX"/>
              </w:rPr>
            </w:pPr>
            <w:r w:rsidRPr="00A97392">
              <w:rPr>
                <w:rFonts w:ascii="Arial" w:hAnsi="Arial" w:cs="Arial"/>
                <w:color w:val="000000"/>
                <w:sz w:val="19"/>
                <w:szCs w:val="19"/>
                <w:lang w:eastAsia="es-MX"/>
              </w:rPr>
              <w:t xml:space="preserve">c) </w:t>
            </w:r>
            <w:proofErr w:type="spellStart"/>
            <w:r w:rsidRPr="00A97392">
              <w:rPr>
                <w:rFonts w:ascii="Arial" w:hAnsi="Arial" w:cs="Arial"/>
                <w:color w:val="000000"/>
                <w:sz w:val="19"/>
                <w:szCs w:val="19"/>
                <w:lang w:eastAsia="es-MX"/>
              </w:rPr>
              <w:t>Dictaminación</w:t>
            </w:r>
            <w:proofErr w:type="spellEnd"/>
            <w:r w:rsidRPr="00A97392">
              <w:rPr>
                <w:rFonts w:ascii="Arial" w:hAnsi="Arial" w:cs="Arial"/>
                <w:color w:val="000000"/>
                <w:sz w:val="19"/>
                <w:szCs w:val="19"/>
                <w:lang w:eastAsia="es-MX"/>
              </w:rPr>
              <w:t xml:space="preserve"> e ingreso al BPIP</w:t>
            </w:r>
          </w:p>
        </w:tc>
        <w:tc>
          <w:tcPr>
            <w:tcW w:w="3040" w:type="dxa"/>
            <w:vMerge/>
            <w:tcBorders>
              <w:top w:val="nil"/>
              <w:left w:val="single" w:sz="4" w:space="0" w:color="auto"/>
              <w:bottom w:val="single" w:sz="4" w:space="0" w:color="auto"/>
              <w:right w:val="single" w:sz="4" w:space="0" w:color="auto"/>
            </w:tcBorders>
            <w:vAlign w:val="center"/>
            <w:hideMark/>
          </w:tcPr>
          <w:p w:rsidR="00491707" w:rsidRPr="00A97392" w:rsidRDefault="00491707" w:rsidP="002B0322">
            <w:pPr>
              <w:rPr>
                <w:rFonts w:ascii="Arial" w:hAnsi="Arial" w:cs="Arial"/>
                <w:color w:val="000000"/>
                <w:sz w:val="19"/>
                <w:szCs w:val="19"/>
                <w:lang w:eastAsia="es-MX"/>
              </w:rPr>
            </w:pPr>
          </w:p>
        </w:tc>
      </w:tr>
      <w:tr w:rsidR="00491707" w:rsidRPr="00A97392" w:rsidTr="00765C76">
        <w:trPr>
          <w:trHeight w:val="416"/>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rPr>
                <w:rFonts w:ascii="Arial" w:hAnsi="Arial" w:cs="Arial"/>
                <w:color w:val="000000"/>
                <w:sz w:val="19"/>
                <w:szCs w:val="19"/>
                <w:lang w:eastAsia="es-MX"/>
              </w:rPr>
            </w:pPr>
            <w:r w:rsidRPr="00A97392">
              <w:rPr>
                <w:rFonts w:ascii="Arial" w:hAnsi="Arial" w:cs="Arial"/>
                <w:color w:val="000000"/>
                <w:sz w:val="19"/>
                <w:szCs w:val="19"/>
                <w:lang w:eastAsia="es-MX"/>
              </w:rPr>
              <w:t>d)  Autorización de PIP</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jc w:val="center"/>
              <w:rPr>
                <w:rFonts w:ascii="Arial" w:hAnsi="Arial" w:cs="Arial"/>
                <w:color w:val="000000"/>
                <w:sz w:val="19"/>
                <w:szCs w:val="19"/>
                <w:lang w:eastAsia="es-MX"/>
              </w:rPr>
            </w:pPr>
            <w:r w:rsidRPr="00A97392">
              <w:rPr>
                <w:rFonts w:ascii="Arial" w:hAnsi="Arial" w:cs="Arial"/>
                <w:color w:val="000000"/>
                <w:sz w:val="19"/>
                <w:szCs w:val="19"/>
                <w:lang w:eastAsia="es-MX"/>
              </w:rPr>
              <w:t>Dirección de Programación de la Inversión Pública</w:t>
            </w:r>
          </w:p>
        </w:tc>
      </w:tr>
      <w:tr w:rsidR="00491707" w:rsidRPr="00A97392" w:rsidTr="00765C76">
        <w:trPr>
          <w:trHeight w:val="408"/>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rPr>
                <w:rFonts w:ascii="Arial" w:hAnsi="Arial" w:cs="Arial"/>
                <w:color w:val="000000"/>
                <w:sz w:val="19"/>
                <w:szCs w:val="19"/>
                <w:lang w:eastAsia="es-MX"/>
              </w:rPr>
            </w:pPr>
            <w:r w:rsidRPr="00A97392">
              <w:rPr>
                <w:rFonts w:ascii="Arial" w:hAnsi="Arial" w:cs="Arial"/>
                <w:color w:val="000000"/>
                <w:sz w:val="19"/>
                <w:szCs w:val="19"/>
                <w:lang w:eastAsia="es-MX"/>
              </w:rPr>
              <w:t>e)  Adecuaciones presupuestarias de PIP</w:t>
            </w:r>
          </w:p>
        </w:tc>
        <w:tc>
          <w:tcPr>
            <w:tcW w:w="3040" w:type="dxa"/>
            <w:vMerge/>
            <w:tcBorders>
              <w:top w:val="nil"/>
              <w:left w:val="single" w:sz="4" w:space="0" w:color="auto"/>
              <w:bottom w:val="single" w:sz="4" w:space="0" w:color="auto"/>
              <w:right w:val="single" w:sz="4" w:space="0" w:color="auto"/>
            </w:tcBorders>
            <w:vAlign w:val="center"/>
            <w:hideMark/>
          </w:tcPr>
          <w:p w:rsidR="00491707" w:rsidRPr="00A97392" w:rsidRDefault="00491707" w:rsidP="002B0322">
            <w:pPr>
              <w:rPr>
                <w:rFonts w:ascii="Arial" w:hAnsi="Arial" w:cs="Arial"/>
                <w:color w:val="000000"/>
                <w:sz w:val="19"/>
                <w:szCs w:val="19"/>
                <w:lang w:eastAsia="es-MX"/>
              </w:rPr>
            </w:pPr>
          </w:p>
        </w:tc>
      </w:tr>
      <w:tr w:rsidR="00491707" w:rsidRPr="00A97392" w:rsidTr="00765C76">
        <w:trPr>
          <w:trHeight w:val="569"/>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2B0322">
            <w:pPr>
              <w:rPr>
                <w:rFonts w:ascii="Arial" w:hAnsi="Arial" w:cs="Arial"/>
                <w:color w:val="000000"/>
                <w:sz w:val="19"/>
                <w:szCs w:val="19"/>
                <w:lang w:eastAsia="es-MX"/>
              </w:rPr>
            </w:pPr>
            <w:r w:rsidRPr="00A97392">
              <w:rPr>
                <w:rFonts w:ascii="Arial" w:hAnsi="Arial" w:cs="Arial"/>
                <w:color w:val="000000"/>
                <w:sz w:val="19"/>
                <w:szCs w:val="19"/>
                <w:lang w:eastAsia="es-MX"/>
              </w:rPr>
              <w:t>f) Seguimiento Físico de los PIP</w:t>
            </w:r>
          </w:p>
        </w:tc>
        <w:tc>
          <w:tcPr>
            <w:tcW w:w="3040" w:type="dxa"/>
            <w:tcBorders>
              <w:top w:val="nil"/>
              <w:left w:val="nil"/>
              <w:bottom w:val="single" w:sz="4" w:space="0" w:color="auto"/>
              <w:right w:val="single" w:sz="4" w:space="0" w:color="auto"/>
            </w:tcBorders>
            <w:shd w:val="clear" w:color="auto" w:fill="auto"/>
            <w:vAlign w:val="center"/>
            <w:hideMark/>
          </w:tcPr>
          <w:p w:rsidR="00491707" w:rsidRPr="00A97392" w:rsidRDefault="00491707" w:rsidP="002B0322">
            <w:pPr>
              <w:jc w:val="center"/>
              <w:rPr>
                <w:rFonts w:ascii="Arial" w:hAnsi="Arial" w:cs="Arial"/>
                <w:color w:val="000000"/>
                <w:sz w:val="19"/>
                <w:szCs w:val="19"/>
                <w:lang w:eastAsia="es-MX"/>
              </w:rPr>
            </w:pPr>
            <w:r w:rsidRPr="00A97392">
              <w:rPr>
                <w:rFonts w:ascii="Arial" w:hAnsi="Arial" w:cs="Arial"/>
                <w:color w:val="000000"/>
                <w:sz w:val="19"/>
                <w:szCs w:val="19"/>
                <w:lang w:eastAsia="es-MX"/>
              </w:rPr>
              <w:t xml:space="preserve">Coordinación de Seguimiento y Control de la Inversión Pública </w:t>
            </w:r>
          </w:p>
        </w:tc>
      </w:tr>
      <w:tr w:rsidR="00491707" w:rsidRPr="00A97392" w:rsidTr="00765C76">
        <w:trPr>
          <w:trHeight w:val="563"/>
          <w:jc w:val="center"/>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491707" w:rsidRPr="00A97392" w:rsidRDefault="00491707" w:rsidP="00765C76">
            <w:pPr>
              <w:ind w:left="268" w:hanging="268"/>
              <w:rPr>
                <w:rFonts w:ascii="Arial" w:hAnsi="Arial" w:cs="Arial"/>
                <w:color w:val="000000"/>
                <w:sz w:val="19"/>
                <w:szCs w:val="19"/>
                <w:lang w:eastAsia="es-MX"/>
              </w:rPr>
            </w:pPr>
            <w:r w:rsidRPr="00A97392">
              <w:rPr>
                <w:rFonts w:ascii="Arial" w:hAnsi="Arial" w:cs="Arial"/>
                <w:color w:val="000000"/>
                <w:sz w:val="19"/>
                <w:szCs w:val="19"/>
                <w:lang w:eastAsia="es-MX"/>
              </w:rPr>
              <w:t>g) Seguimiento Financiero y Programático de los PIP</w:t>
            </w:r>
          </w:p>
        </w:tc>
        <w:tc>
          <w:tcPr>
            <w:tcW w:w="3040" w:type="dxa"/>
            <w:tcBorders>
              <w:top w:val="nil"/>
              <w:left w:val="nil"/>
              <w:bottom w:val="single" w:sz="4" w:space="0" w:color="auto"/>
              <w:right w:val="single" w:sz="4" w:space="0" w:color="auto"/>
            </w:tcBorders>
            <w:shd w:val="clear" w:color="auto" w:fill="auto"/>
            <w:vAlign w:val="center"/>
            <w:hideMark/>
          </w:tcPr>
          <w:p w:rsidR="00491707" w:rsidRPr="00A97392" w:rsidRDefault="00491707" w:rsidP="002B0322">
            <w:pPr>
              <w:jc w:val="center"/>
              <w:rPr>
                <w:rFonts w:ascii="Arial" w:hAnsi="Arial" w:cs="Arial"/>
                <w:color w:val="000000"/>
                <w:sz w:val="19"/>
                <w:szCs w:val="19"/>
                <w:lang w:eastAsia="es-MX"/>
              </w:rPr>
            </w:pPr>
            <w:r w:rsidRPr="00A97392">
              <w:rPr>
                <w:rFonts w:ascii="Arial" w:hAnsi="Arial" w:cs="Arial"/>
                <w:color w:val="000000"/>
                <w:sz w:val="19"/>
                <w:szCs w:val="19"/>
                <w:lang w:eastAsia="es-MX"/>
              </w:rPr>
              <w:t>Dirección de Evaluación de la Inversión Pública</w:t>
            </w:r>
          </w:p>
        </w:tc>
      </w:tr>
    </w:tbl>
    <w:p w:rsidR="00491707" w:rsidRPr="00A97392" w:rsidRDefault="00491707" w:rsidP="00491707">
      <w:pPr>
        <w:tabs>
          <w:tab w:val="left" w:pos="851"/>
        </w:tabs>
        <w:jc w:val="center"/>
        <w:rPr>
          <w:rFonts w:ascii="Arial" w:hAnsi="Arial" w:cs="Arial"/>
          <w:b/>
          <w:sz w:val="19"/>
          <w:szCs w:val="19"/>
        </w:rPr>
      </w:pPr>
    </w:p>
    <w:p w:rsidR="00491707" w:rsidRPr="00A97392" w:rsidRDefault="00491707" w:rsidP="00491707">
      <w:pPr>
        <w:tabs>
          <w:tab w:val="left" w:pos="851"/>
        </w:tabs>
        <w:jc w:val="center"/>
        <w:rPr>
          <w:rFonts w:ascii="Arial" w:hAnsi="Arial" w:cs="Arial"/>
          <w:b/>
          <w:sz w:val="19"/>
          <w:szCs w:val="19"/>
        </w:rPr>
      </w:pPr>
    </w:p>
    <w:p w:rsidR="00491707" w:rsidRPr="00A97392" w:rsidRDefault="00491707" w:rsidP="00491707">
      <w:pPr>
        <w:tabs>
          <w:tab w:val="left" w:pos="851"/>
        </w:tabs>
        <w:jc w:val="center"/>
        <w:rPr>
          <w:rFonts w:ascii="Arial" w:hAnsi="Arial" w:cs="Arial"/>
          <w:sz w:val="19"/>
          <w:szCs w:val="19"/>
        </w:rPr>
      </w:pPr>
      <w:r w:rsidRPr="00A97392">
        <w:rPr>
          <w:rFonts w:ascii="Arial" w:hAnsi="Arial" w:cs="Arial"/>
          <w:b/>
          <w:sz w:val="19"/>
          <w:szCs w:val="19"/>
        </w:rPr>
        <w:t>Capítulo Segundo</w:t>
      </w:r>
    </w:p>
    <w:p w:rsidR="00491707" w:rsidRPr="00A97392" w:rsidRDefault="00491707" w:rsidP="00491707">
      <w:pPr>
        <w:tabs>
          <w:tab w:val="left" w:pos="851"/>
        </w:tabs>
        <w:jc w:val="center"/>
        <w:rPr>
          <w:rFonts w:ascii="Arial" w:hAnsi="Arial" w:cs="Arial"/>
          <w:b/>
          <w:sz w:val="19"/>
          <w:szCs w:val="19"/>
        </w:rPr>
      </w:pPr>
      <w:r w:rsidRPr="00A97392">
        <w:rPr>
          <w:rFonts w:ascii="Arial" w:hAnsi="Arial" w:cs="Arial"/>
          <w:b/>
          <w:sz w:val="19"/>
          <w:szCs w:val="19"/>
        </w:rPr>
        <w:t>De la Planeación de la Inversión Pública</w:t>
      </w:r>
    </w:p>
    <w:p w:rsidR="00491707" w:rsidRPr="00A97392" w:rsidRDefault="00491707" w:rsidP="00491707">
      <w:pPr>
        <w:tabs>
          <w:tab w:val="left" w:pos="851"/>
        </w:tabs>
        <w:jc w:val="center"/>
        <w:rPr>
          <w:rFonts w:ascii="Arial" w:hAnsi="Arial" w:cs="Arial"/>
          <w:sz w:val="19"/>
          <w:szCs w:val="19"/>
        </w:rPr>
      </w:pPr>
      <w:r w:rsidRPr="00A97392">
        <w:rPr>
          <w:rFonts w:ascii="Arial" w:hAnsi="Arial" w:cs="Arial"/>
          <w:b/>
          <w:sz w:val="19"/>
          <w:szCs w:val="19"/>
        </w:rPr>
        <w:t xml:space="preserve"> </w:t>
      </w: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Las prioridades de la inversión pública deberán observar las disposiciones legales y administrativas de las fuentes de financiamiento y programas que correspondan, y serán preferentemente las siguientes:</w:t>
      </w:r>
    </w:p>
    <w:p w:rsidR="00491707" w:rsidRPr="00A97392" w:rsidRDefault="00491707" w:rsidP="00491707">
      <w:pPr>
        <w:ind w:left="709" w:hanging="426"/>
        <w:jc w:val="both"/>
        <w:rPr>
          <w:rFonts w:ascii="Arial" w:hAnsi="Arial" w:cs="Arial"/>
          <w:sz w:val="19"/>
          <w:szCs w:val="19"/>
        </w:rPr>
      </w:pPr>
    </w:p>
    <w:p w:rsidR="00491707" w:rsidRPr="00A97392" w:rsidRDefault="00491707" w:rsidP="00491707">
      <w:pPr>
        <w:numPr>
          <w:ilvl w:val="0"/>
          <w:numId w:val="25"/>
        </w:numPr>
        <w:ind w:left="1258"/>
        <w:contextualSpacing/>
        <w:jc w:val="both"/>
        <w:rPr>
          <w:rFonts w:ascii="Arial" w:hAnsi="Arial" w:cs="Arial"/>
          <w:sz w:val="19"/>
          <w:szCs w:val="19"/>
        </w:rPr>
      </w:pPr>
      <w:r w:rsidRPr="00A97392">
        <w:rPr>
          <w:rFonts w:ascii="Arial" w:hAnsi="Arial" w:cs="Arial"/>
          <w:sz w:val="19"/>
          <w:szCs w:val="19"/>
        </w:rPr>
        <w:t>Los PIP en proceso de continuidad, orientados a abatir los rezagos a nivel local, microrregional o regional;</w:t>
      </w:r>
    </w:p>
    <w:p w:rsidR="00491707" w:rsidRPr="00A97392" w:rsidRDefault="00491707" w:rsidP="00491707">
      <w:pPr>
        <w:ind w:left="1258"/>
        <w:jc w:val="both"/>
        <w:rPr>
          <w:rFonts w:ascii="Arial" w:hAnsi="Arial" w:cs="Arial"/>
          <w:sz w:val="19"/>
          <w:szCs w:val="19"/>
        </w:rPr>
      </w:pPr>
    </w:p>
    <w:p w:rsidR="00491707" w:rsidRPr="00A97392" w:rsidRDefault="00491707" w:rsidP="00491707">
      <w:pPr>
        <w:numPr>
          <w:ilvl w:val="0"/>
          <w:numId w:val="25"/>
        </w:numPr>
        <w:ind w:left="1258"/>
        <w:contextualSpacing/>
        <w:jc w:val="both"/>
        <w:rPr>
          <w:rFonts w:ascii="Arial" w:hAnsi="Arial" w:cs="Arial"/>
          <w:sz w:val="19"/>
          <w:szCs w:val="19"/>
        </w:rPr>
      </w:pPr>
      <w:r w:rsidRPr="00A97392">
        <w:rPr>
          <w:rFonts w:ascii="Arial" w:hAnsi="Arial" w:cs="Arial"/>
          <w:sz w:val="19"/>
          <w:szCs w:val="19"/>
        </w:rPr>
        <w:t>Los PIP convenidos con instancias federales, y en municipios que pertenecen a las Zonas de Atención Prioritarias (ZAP) vigentes;</w:t>
      </w:r>
    </w:p>
    <w:p w:rsidR="00491707" w:rsidRPr="00A97392" w:rsidRDefault="00491707" w:rsidP="00491707">
      <w:pPr>
        <w:ind w:left="1258"/>
        <w:contextualSpacing/>
        <w:jc w:val="both"/>
        <w:rPr>
          <w:rFonts w:ascii="Arial" w:hAnsi="Arial" w:cs="Arial"/>
          <w:sz w:val="19"/>
          <w:szCs w:val="19"/>
        </w:rPr>
      </w:pPr>
    </w:p>
    <w:p w:rsidR="00491707" w:rsidRPr="00A97392" w:rsidRDefault="00491707" w:rsidP="00491707">
      <w:pPr>
        <w:numPr>
          <w:ilvl w:val="0"/>
          <w:numId w:val="25"/>
        </w:numPr>
        <w:ind w:left="1258"/>
        <w:contextualSpacing/>
        <w:jc w:val="both"/>
        <w:rPr>
          <w:rFonts w:ascii="Arial" w:hAnsi="Arial" w:cs="Arial"/>
          <w:sz w:val="19"/>
          <w:szCs w:val="19"/>
        </w:rPr>
      </w:pPr>
      <w:r w:rsidRPr="00A97392">
        <w:rPr>
          <w:rFonts w:ascii="Arial" w:hAnsi="Arial" w:cs="Arial"/>
          <w:sz w:val="19"/>
          <w:szCs w:val="19"/>
        </w:rPr>
        <w:t xml:space="preserve">Los PIP propuestos por municipios en localidades con altos niveles de pobreza, marginación o rezago social del Estado y/o </w:t>
      </w:r>
      <w:r w:rsidRPr="00A97392">
        <w:rPr>
          <w:rFonts w:ascii="Arial" w:hAnsi="Arial" w:cs="Arial"/>
          <w:sz w:val="19"/>
          <w:szCs w:val="19"/>
        </w:rPr>
        <w:lastRenderedPageBreak/>
        <w:t>bajo Índice de Desarrollo Humano, con base en los datos más recientes publicados por las instancias correspondientes;</w:t>
      </w:r>
    </w:p>
    <w:p w:rsidR="00491707" w:rsidRPr="00A97392" w:rsidRDefault="00491707" w:rsidP="00491707">
      <w:pPr>
        <w:ind w:left="1258"/>
        <w:jc w:val="both"/>
        <w:rPr>
          <w:rFonts w:ascii="Arial" w:hAnsi="Arial" w:cs="Arial"/>
          <w:sz w:val="19"/>
          <w:szCs w:val="19"/>
        </w:rPr>
      </w:pPr>
    </w:p>
    <w:p w:rsidR="00491707" w:rsidRPr="00A97392" w:rsidRDefault="00491707" w:rsidP="00491707">
      <w:pPr>
        <w:numPr>
          <w:ilvl w:val="0"/>
          <w:numId w:val="25"/>
        </w:numPr>
        <w:ind w:left="1258"/>
        <w:contextualSpacing/>
        <w:jc w:val="both"/>
        <w:rPr>
          <w:rFonts w:ascii="Arial" w:hAnsi="Arial" w:cs="Arial"/>
          <w:sz w:val="19"/>
          <w:szCs w:val="19"/>
        </w:rPr>
      </w:pPr>
      <w:r w:rsidRPr="00A97392">
        <w:rPr>
          <w:rFonts w:ascii="Arial" w:hAnsi="Arial" w:cs="Arial"/>
          <w:sz w:val="19"/>
          <w:szCs w:val="19"/>
        </w:rPr>
        <w:t>Los PIP que utilicen tecnologías alternativas que promuevan y generen condiciones de sustentabilidad ambiental y sostenibilidad financiera para los municipios y localidades donde sean desarrollados, particularmente en la provisión de los servicios a las viviendas como: agua potable, alcantarillado, saneamiento y electrificación.</w:t>
      </w:r>
    </w:p>
    <w:p w:rsidR="00491707" w:rsidRDefault="00491707" w:rsidP="00491707">
      <w:pPr>
        <w:ind w:left="1258"/>
        <w:contextualSpacing/>
        <w:jc w:val="both"/>
        <w:rPr>
          <w:rFonts w:ascii="Arial" w:hAnsi="Arial" w:cs="Arial"/>
          <w:sz w:val="19"/>
          <w:szCs w:val="19"/>
        </w:rPr>
      </w:pPr>
    </w:p>
    <w:p w:rsidR="00765C76" w:rsidRDefault="00765C76" w:rsidP="00491707">
      <w:pPr>
        <w:ind w:left="1258"/>
        <w:contextualSpacing/>
        <w:jc w:val="both"/>
        <w:rPr>
          <w:rFonts w:ascii="Arial" w:hAnsi="Arial" w:cs="Arial"/>
          <w:sz w:val="19"/>
          <w:szCs w:val="19"/>
        </w:rPr>
      </w:pPr>
    </w:p>
    <w:p w:rsidR="00765C76" w:rsidRPr="00A97392" w:rsidRDefault="00765C76" w:rsidP="00491707">
      <w:pPr>
        <w:ind w:left="1258"/>
        <w:contextualSpacing/>
        <w:jc w:val="both"/>
        <w:rPr>
          <w:rFonts w:ascii="Arial" w:hAnsi="Arial" w:cs="Arial"/>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Capítulo Tercero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Registro de propuestas de PIP en el Sistema electrónico</w:t>
      </w:r>
    </w:p>
    <w:p w:rsidR="00491707" w:rsidRPr="00A97392" w:rsidRDefault="00491707" w:rsidP="00491707">
      <w:pPr>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Los Ejecutores de gasto de capital deberán solicitar ante la Secretaría el usuario y contraseña del Sistema electrónico para proceder al registro de sus propuestas priorizadas de los PIP.</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 xml:space="preserve">La totalidad de los PIP deberán ser debidamente formulados utilizando la MIR y capturados en el Sistema electrónico hasta completar los procesos de: registro de propuestas, desglose de componentes, viabilización y </w:t>
      </w:r>
      <w:proofErr w:type="spellStart"/>
      <w:r w:rsidRPr="00A97392">
        <w:rPr>
          <w:rFonts w:ascii="Arial" w:hAnsi="Arial" w:cs="Arial"/>
          <w:sz w:val="19"/>
          <w:szCs w:val="19"/>
        </w:rPr>
        <w:t>dictaminación</w:t>
      </w:r>
      <w:proofErr w:type="spellEnd"/>
      <w:r w:rsidRPr="00A97392">
        <w:rPr>
          <w:rFonts w:ascii="Arial" w:hAnsi="Arial" w:cs="Arial"/>
          <w:sz w:val="19"/>
          <w:szCs w:val="19"/>
        </w:rPr>
        <w:t xml:space="preserve"> por parte de la Secretaría.</w:t>
      </w:r>
    </w:p>
    <w:p w:rsidR="00491707" w:rsidRPr="00A97392" w:rsidRDefault="00491707" w:rsidP="00491707">
      <w:pPr>
        <w:ind w:left="709" w:hanging="425"/>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Tratándose de componentes que serán financiados a través de programas federales convenidos, los Ejecutores de gasto de capital deberán capturar la información básica sobre los suscribientes, plazos y compromisos establecidos en el instrumento jurídico, así como cargar el documento original digitalizado a través del sistema electrónico, con la finalidad de que el registro de sus componentes sea congruente con los anexos del convenio correspondiente.</w:t>
      </w:r>
    </w:p>
    <w:p w:rsidR="00491707" w:rsidRPr="00A97392" w:rsidRDefault="00491707" w:rsidP="00491707">
      <w:pPr>
        <w:ind w:left="709" w:hanging="425"/>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Una vez que los Ejecutores de gasto de capital ingresen las propuestas de proyectos, la Secretaría realizará la revisión de los mismos atendiendo a su alineación con los instrumentos de planeación nacional y estatal, problemática y objetivos, así como la consistencia y la calidad de la información.</w:t>
      </w:r>
    </w:p>
    <w:p w:rsidR="00491707" w:rsidRPr="00A97392" w:rsidRDefault="00491707" w:rsidP="00491707">
      <w:pPr>
        <w:ind w:left="709" w:hanging="425"/>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La Secretaría informará a los Ejecutores de gasto de capital a través del Sistema electrónico en un plazo máximo de diez días hábiles, que el registro de propuesta de los proyectos cumplen con los criterios mínimos establecidos. En caso de presentar inconsistencias, los Ejecutores de gasto de capital contarán con cinco días hábiles para solventarlas. De no hacerlo en los plazos antes establecidos deberán recibir asesoría técnica por el área de capacitación de la Secretaría, y posteriormente reiniciar el proceso.</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 xml:space="preserve">Ingresado el registro del proyecto, de acuerdo a la metodología del Marco Lógico, deberán desglosarse los componentes en congruencia con los objetivos del PIP. Registrados los componentes, los Ejecutores de gasto de capital identificarán y registrarán las factibilidades requeridas para su viabilización e ingreso al BPIP, con base en la naturaleza de cada componente. </w:t>
      </w:r>
    </w:p>
    <w:p w:rsidR="00491707" w:rsidRPr="00A97392" w:rsidRDefault="00491707" w:rsidP="00491707">
      <w:pPr>
        <w:ind w:left="1080"/>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 xml:space="preserve">Para aquellos componentes de los PIP que sean financiados a través de recursos federales asignados, los Ejecutores de gasto de capital presentarán electrónicamente a la Secretaría, la evaluación socioeconómica aplicable según la normatividad que regula a cada fondo. </w:t>
      </w:r>
    </w:p>
    <w:p w:rsidR="00491707" w:rsidRPr="00A97392" w:rsidRDefault="00491707" w:rsidP="00491707">
      <w:pPr>
        <w:ind w:left="851"/>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La validación técnica emitida por las instancias normativas de cada PIP deberá garantizar el cumplimiento de las normas técnicas, ambientales y económicas, así como de las disposiciones administrativas y legales vinculadas a su fuente de financiamiento.</w:t>
      </w:r>
    </w:p>
    <w:p w:rsidR="00491707" w:rsidRPr="00A97392" w:rsidRDefault="00491707" w:rsidP="00491707">
      <w:pPr>
        <w:ind w:left="284"/>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La veracidad de la información registrada en el Sistema electrónico, será responsabilidad de los Ejecutores de gasto de capital.</w:t>
      </w:r>
    </w:p>
    <w:p w:rsidR="00491707" w:rsidRPr="00A97392" w:rsidRDefault="00491707" w:rsidP="00491707">
      <w:pPr>
        <w:ind w:left="851"/>
        <w:contextualSpacing/>
        <w:jc w:val="both"/>
        <w:rPr>
          <w:rFonts w:ascii="Arial" w:hAnsi="Arial" w:cs="Arial"/>
          <w:sz w:val="19"/>
          <w:szCs w:val="19"/>
        </w:rPr>
      </w:pPr>
    </w:p>
    <w:p w:rsidR="00491707" w:rsidRPr="00A97392" w:rsidRDefault="00491707" w:rsidP="00491707">
      <w:pPr>
        <w:jc w:val="center"/>
        <w:rPr>
          <w:rFonts w:ascii="Arial" w:hAnsi="Arial" w:cs="Arial"/>
          <w:sz w:val="19"/>
          <w:szCs w:val="19"/>
        </w:rPr>
      </w:pPr>
      <w:r w:rsidRPr="00A97392">
        <w:rPr>
          <w:rFonts w:ascii="Arial" w:hAnsi="Arial" w:cs="Arial"/>
          <w:b/>
          <w:sz w:val="19"/>
          <w:szCs w:val="19"/>
        </w:rPr>
        <w:t>Capítulo Cuarto</w:t>
      </w:r>
    </w:p>
    <w:p w:rsidR="00491707" w:rsidRPr="00A97392" w:rsidRDefault="00491707" w:rsidP="00491707">
      <w:pPr>
        <w:jc w:val="center"/>
        <w:rPr>
          <w:rFonts w:ascii="Arial" w:hAnsi="Arial" w:cs="Arial"/>
          <w:sz w:val="19"/>
          <w:szCs w:val="19"/>
        </w:rPr>
      </w:pPr>
      <w:r w:rsidRPr="00A97392">
        <w:rPr>
          <w:rFonts w:ascii="Arial" w:hAnsi="Arial" w:cs="Arial"/>
          <w:b/>
          <w:sz w:val="19"/>
          <w:szCs w:val="19"/>
        </w:rPr>
        <w:t xml:space="preserve"> De los instrumentos del Sistema Estatal de Planeación </w:t>
      </w:r>
    </w:p>
    <w:p w:rsidR="00491707" w:rsidRPr="00A97392" w:rsidRDefault="00491707" w:rsidP="00491707">
      <w:pPr>
        <w:jc w:val="center"/>
        <w:rPr>
          <w:rFonts w:ascii="Arial" w:hAnsi="Arial" w:cs="Arial"/>
          <w:b/>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Sección Primera</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Del Banco de Proyectos de Inversión Pública</w:t>
      </w:r>
    </w:p>
    <w:p w:rsidR="00491707" w:rsidRPr="00A97392" w:rsidRDefault="00491707" w:rsidP="00491707">
      <w:pPr>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 xml:space="preserve">Una vez dictaminado y viabilizado el PIP se aceptará en el BPIP. La Secretaría notificará a los Ejecutores de gasto de capital la fecha del ingreso al BPIP a través del Sistema electrónico. </w:t>
      </w:r>
    </w:p>
    <w:p w:rsidR="00491707" w:rsidRPr="00A97392" w:rsidRDefault="00491707" w:rsidP="00491707">
      <w:pPr>
        <w:ind w:left="283"/>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Todo PIP dictaminado será sujeto a la priorización y a la disponibilidad de recursos financieros. La vigencia y permanencia de un PIP en el BPIP, no garantiza la cobertura de recursos financieros.</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 xml:space="preserve">La vigencia de los PIP aceptados en el BPIP será de un año a partir de la fecha de notificación realizada en el Sistema electrónico. </w:t>
      </w:r>
    </w:p>
    <w:p w:rsidR="00491707" w:rsidRPr="00A97392" w:rsidRDefault="00491707" w:rsidP="00491707">
      <w:pPr>
        <w:ind w:left="284"/>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 xml:space="preserve">La vigencia de un PIP estará condicionada a su actualización, a través del proceso que la Secretaría determine. Los PIP podrán cancelarse cuando no cumplan con los estándares metodológicos vigentes o las condiciones para su ejecución se hayan modificado. </w:t>
      </w:r>
    </w:p>
    <w:p w:rsidR="00491707" w:rsidRPr="00A97392" w:rsidRDefault="00491707" w:rsidP="00491707">
      <w:pPr>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lastRenderedPageBreak/>
        <w:t>Es responsabilidad de los Ejecutores de gasto de capital mantener las factibilidades vigentes, para que el PIP y sus componentes sean susceptibles de financiamiento.</w:t>
      </w:r>
    </w:p>
    <w:p w:rsidR="00491707" w:rsidRPr="00A97392" w:rsidRDefault="00491707" w:rsidP="00491707">
      <w:pPr>
        <w:tabs>
          <w:tab w:val="left" w:pos="851"/>
        </w:tabs>
        <w:ind w:left="1080"/>
        <w:contextualSpacing/>
        <w:jc w:val="center"/>
        <w:rPr>
          <w:rFonts w:ascii="Arial" w:hAnsi="Arial" w:cs="Arial"/>
          <w:b/>
          <w:sz w:val="19"/>
          <w:szCs w:val="19"/>
        </w:rPr>
      </w:pPr>
    </w:p>
    <w:p w:rsidR="00491707" w:rsidRPr="00A97392" w:rsidRDefault="00491707" w:rsidP="00491707">
      <w:pPr>
        <w:tabs>
          <w:tab w:val="left" w:pos="851"/>
        </w:tabs>
        <w:contextualSpacing/>
        <w:jc w:val="center"/>
        <w:rPr>
          <w:rFonts w:ascii="Arial" w:hAnsi="Arial" w:cs="Arial"/>
          <w:b/>
          <w:sz w:val="19"/>
          <w:szCs w:val="19"/>
        </w:rPr>
      </w:pPr>
      <w:r w:rsidRPr="00A97392">
        <w:rPr>
          <w:rFonts w:ascii="Arial" w:hAnsi="Arial" w:cs="Arial"/>
          <w:b/>
          <w:sz w:val="19"/>
          <w:szCs w:val="19"/>
        </w:rPr>
        <w:t>Sección Segunda</w:t>
      </w:r>
    </w:p>
    <w:p w:rsidR="00491707" w:rsidRPr="00A97392" w:rsidRDefault="00491707" w:rsidP="00491707">
      <w:pPr>
        <w:tabs>
          <w:tab w:val="left" w:pos="851"/>
        </w:tabs>
        <w:contextualSpacing/>
        <w:jc w:val="center"/>
        <w:rPr>
          <w:rFonts w:ascii="Arial" w:hAnsi="Arial" w:cs="Arial"/>
          <w:b/>
          <w:sz w:val="19"/>
          <w:szCs w:val="19"/>
        </w:rPr>
      </w:pPr>
      <w:r w:rsidRPr="00A97392">
        <w:rPr>
          <w:rFonts w:ascii="Arial" w:hAnsi="Arial" w:cs="Arial"/>
          <w:b/>
          <w:sz w:val="19"/>
          <w:szCs w:val="19"/>
        </w:rPr>
        <w:t>De la integración de los Planes plurianuales y/o anuales de Inversión Pública</w:t>
      </w:r>
    </w:p>
    <w:p w:rsidR="00491707" w:rsidRPr="00A97392" w:rsidRDefault="00491707" w:rsidP="00491707">
      <w:pPr>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Podrán formar parte del Plan plurianual y/o anual los PIP y sus componentes registrados en el BPIP que hayan sido dictaminados a más tardar el último día hábil del mes de agosto del ejercicio fiscal en curso.</w:t>
      </w:r>
    </w:p>
    <w:p w:rsidR="00491707" w:rsidRPr="00A97392" w:rsidRDefault="00491707" w:rsidP="00491707">
      <w:pPr>
        <w:ind w:left="709"/>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Aquellos PIP y sus componentes que sean registrados en el BPIP después de la fecha señalada en el párrafo anterior, podrán ser considerados en el Plan del siguiente ejercicio fiscal.</w:t>
      </w:r>
    </w:p>
    <w:p w:rsidR="00491707" w:rsidRDefault="00491707" w:rsidP="00491707">
      <w:pPr>
        <w:tabs>
          <w:tab w:val="left" w:pos="851"/>
        </w:tabs>
        <w:jc w:val="both"/>
        <w:rPr>
          <w:rFonts w:ascii="Arial" w:hAnsi="Arial" w:cs="Arial"/>
          <w:sz w:val="19"/>
          <w:szCs w:val="19"/>
        </w:rPr>
      </w:pPr>
    </w:p>
    <w:p w:rsidR="00765C76" w:rsidRPr="00A97392" w:rsidRDefault="00765C76" w:rsidP="00491707">
      <w:pPr>
        <w:tabs>
          <w:tab w:val="left" w:pos="851"/>
        </w:tabs>
        <w:jc w:val="both"/>
        <w:rPr>
          <w:rFonts w:ascii="Arial" w:hAnsi="Arial" w:cs="Arial"/>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Capítulo Quinto</w:t>
      </w:r>
    </w:p>
    <w:p w:rsidR="00491707" w:rsidRPr="00A97392" w:rsidRDefault="00491707" w:rsidP="00491707">
      <w:pPr>
        <w:tabs>
          <w:tab w:val="left" w:pos="851"/>
        </w:tabs>
        <w:jc w:val="center"/>
        <w:rPr>
          <w:rFonts w:ascii="Arial" w:hAnsi="Arial" w:cs="Arial"/>
          <w:b/>
          <w:sz w:val="19"/>
          <w:szCs w:val="19"/>
        </w:rPr>
      </w:pPr>
      <w:r w:rsidRPr="00A97392">
        <w:rPr>
          <w:rFonts w:ascii="Arial" w:hAnsi="Arial" w:cs="Arial"/>
          <w:b/>
          <w:sz w:val="19"/>
          <w:szCs w:val="19"/>
        </w:rPr>
        <w:t>De la Autorización</w:t>
      </w:r>
    </w:p>
    <w:p w:rsidR="00491707" w:rsidRPr="00A97392" w:rsidRDefault="00491707" w:rsidP="00491707">
      <w:pPr>
        <w:tabs>
          <w:tab w:val="left" w:pos="851"/>
        </w:tabs>
        <w:jc w:val="center"/>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Únicamente serán susceptibles de autorización los componentes de los PIP que estén registrados en el BPIP.</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La Secretaría determinará el financiamiento del PIP, de acuerdo con las características de sus componentes, y a la disponibilidad financiera.</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Una vez emitida la autorización, los Ejecutores de gasto de capital podrán iniciar el procedimiento de contratación de acuerdo a las leyes de obra pública y adquisiciones aplicables a nivel federal o estatal, según corresponda; así como a las disposiciones que para tal efecto emita la Contraloría.</w:t>
      </w:r>
    </w:p>
    <w:p w:rsidR="00491707" w:rsidRPr="00A97392" w:rsidRDefault="00491707" w:rsidP="00491707">
      <w:pPr>
        <w:ind w:left="709" w:hanging="425"/>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Para el caso de recursos federales asignados directamente a los Municipios, se emitirá la notificación de dicha asignación, la cual será el equivalente a la autorización mencionada en el numeral anterior.</w:t>
      </w:r>
    </w:p>
    <w:p w:rsidR="00491707" w:rsidRPr="00A97392" w:rsidRDefault="00491707" w:rsidP="00491707">
      <w:pPr>
        <w:ind w:left="709" w:hanging="425"/>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Los gastos indirectos serán autorizados a solicitud de los Ejecutores de gasto de capital, para los componentes de los PIP que se ejecuten por contrato cuando la normatividad de la fuente de financiamiento correspondiente lo permita.</w:t>
      </w:r>
    </w:p>
    <w:p w:rsidR="00491707" w:rsidRPr="00A97392" w:rsidRDefault="00491707" w:rsidP="00491707">
      <w:pPr>
        <w:ind w:left="709" w:hanging="425"/>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 xml:space="preserve">La Secretaría autorizará hasta un tres por ciento del monto total de la obra para pago de gastos indirectos, que deberán incluirse como parte del costo total autorizado, considerando, para efectos del </w:t>
      </w:r>
      <w:r w:rsidRPr="00A97392">
        <w:rPr>
          <w:rFonts w:ascii="Arial" w:hAnsi="Arial" w:cs="Arial"/>
          <w:sz w:val="19"/>
          <w:szCs w:val="19"/>
        </w:rPr>
        <w:lastRenderedPageBreak/>
        <w:t>cálculo, la inversión correspondiente a obra civil sin IVA autorizada en el ejercicio fiscal actual.</w:t>
      </w:r>
    </w:p>
    <w:p w:rsidR="00491707" w:rsidRPr="00A97392" w:rsidRDefault="00491707" w:rsidP="00491707">
      <w:pPr>
        <w:pStyle w:val="Prrafodelista"/>
        <w:ind w:left="709" w:hanging="425"/>
        <w:rPr>
          <w:rFonts w:ascii="Arial" w:hAnsi="Arial" w:cs="Arial"/>
          <w:sz w:val="19"/>
          <w:szCs w:val="19"/>
        </w:rPr>
      </w:pPr>
    </w:p>
    <w:p w:rsidR="00491707" w:rsidRDefault="00491707" w:rsidP="00491707">
      <w:pPr>
        <w:pStyle w:val="Prrafodelista"/>
        <w:ind w:left="709"/>
        <w:rPr>
          <w:rFonts w:ascii="Arial" w:hAnsi="Arial" w:cs="Arial"/>
          <w:sz w:val="19"/>
          <w:szCs w:val="19"/>
        </w:rPr>
      </w:pPr>
      <w:r w:rsidRPr="00A97392">
        <w:rPr>
          <w:rFonts w:ascii="Arial" w:hAnsi="Arial" w:cs="Arial"/>
          <w:sz w:val="19"/>
          <w:szCs w:val="19"/>
        </w:rPr>
        <w:t>Cuando se trate de acciones de equipamiento no se considerarán gastos indirectos.</w:t>
      </w:r>
    </w:p>
    <w:p w:rsidR="00765C76" w:rsidRPr="00A97392" w:rsidRDefault="00765C76" w:rsidP="00491707">
      <w:pPr>
        <w:pStyle w:val="Prrafodelista"/>
        <w:ind w:left="709"/>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 xml:space="preserve">La distribución de los gastos indirectos, será en proporción de setenta por ciento para el Ejecutor de gasto de capital y del treinta por ciento para la Normativa Federal o Estatal. </w:t>
      </w:r>
    </w:p>
    <w:p w:rsidR="00491707" w:rsidRPr="00A97392" w:rsidRDefault="00491707" w:rsidP="00491707">
      <w:pPr>
        <w:tabs>
          <w:tab w:val="left" w:pos="851"/>
        </w:tabs>
        <w:contextualSpacing/>
        <w:jc w:val="both"/>
        <w:rPr>
          <w:rFonts w:ascii="Arial" w:hAnsi="Arial" w:cs="Arial"/>
          <w:sz w:val="19"/>
          <w:szCs w:val="19"/>
        </w:rPr>
      </w:pPr>
    </w:p>
    <w:p w:rsidR="00491707" w:rsidRPr="00A97392" w:rsidRDefault="00491707" w:rsidP="00491707">
      <w:pPr>
        <w:tabs>
          <w:tab w:val="left" w:pos="709"/>
        </w:tabs>
        <w:ind w:left="709"/>
        <w:contextualSpacing/>
        <w:jc w:val="both"/>
        <w:rPr>
          <w:rFonts w:ascii="Arial" w:hAnsi="Arial" w:cs="Arial"/>
          <w:sz w:val="19"/>
          <w:szCs w:val="19"/>
        </w:rPr>
      </w:pPr>
      <w:r w:rsidRPr="00A97392">
        <w:rPr>
          <w:rFonts w:ascii="Arial" w:hAnsi="Arial" w:cs="Arial"/>
          <w:sz w:val="19"/>
          <w:szCs w:val="19"/>
        </w:rPr>
        <w:t>Cuando el Ejecutor de gasto de capital sea a la vez la Normativa, le serán autorizados gastos indirectos hasta por el dos por ciento, calculándose con el procedimiento señalado en el párrafo anterior.</w:t>
      </w:r>
    </w:p>
    <w:p w:rsidR="00491707" w:rsidRPr="00A97392" w:rsidRDefault="00491707" w:rsidP="00491707">
      <w:pPr>
        <w:tabs>
          <w:tab w:val="left" w:pos="851"/>
        </w:tabs>
        <w:ind w:left="108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Los gastos indirectos, sólo podrán destinarse a los conceptos que señalen las disposiciones normativas aplicables a la fuente de financiamiento asignada al componente, y únicamente por el tiempo que dure la ejecución.</w:t>
      </w:r>
    </w:p>
    <w:p w:rsidR="00491707" w:rsidRPr="00A97392" w:rsidRDefault="00491707" w:rsidP="00491707">
      <w:pPr>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Sólo se considerará la autorización de gastos de supervisión externa, cuando dicho concepto este establecido en las Reglas de Operación o Convenios específicos correspondientes.</w:t>
      </w:r>
    </w:p>
    <w:p w:rsidR="00491707" w:rsidRPr="00A97392" w:rsidRDefault="00491707" w:rsidP="00491707">
      <w:pPr>
        <w:jc w:val="center"/>
        <w:rPr>
          <w:rFonts w:ascii="Arial" w:hAnsi="Arial" w:cs="Arial"/>
          <w:b/>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Capítulo Sexto</w:t>
      </w:r>
    </w:p>
    <w:p w:rsidR="00491707" w:rsidRPr="00A97392" w:rsidRDefault="00491707" w:rsidP="00491707">
      <w:pPr>
        <w:jc w:val="center"/>
        <w:rPr>
          <w:rFonts w:ascii="Arial" w:hAnsi="Arial" w:cs="Arial"/>
          <w:sz w:val="19"/>
          <w:szCs w:val="19"/>
        </w:rPr>
      </w:pPr>
      <w:r w:rsidRPr="00A97392">
        <w:rPr>
          <w:rFonts w:ascii="Arial" w:hAnsi="Arial" w:cs="Arial"/>
          <w:b/>
          <w:sz w:val="19"/>
          <w:szCs w:val="19"/>
        </w:rPr>
        <w:t>De las Adecuaciones Presupuestarias</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En materia de inversión pública se realizarán las adecuaciones presupuestarias que se enlistan a continuación:</w:t>
      </w:r>
    </w:p>
    <w:p w:rsidR="00491707" w:rsidRPr="00A97392" w:rsidRDefault="00491707" w:rsidP="00491707">
      <w:pPr>
        <w:ind w:left="360"/>
        <w:contextualSpacing/>
        <w:jc w:val="both"/>
        <w:rPr>
          <w:rFonts w:ascii="Arial" w:hAnsi="Arial" w:cs="Arial"/>
          <w:sz w:val="19"/>
          <w:szCs w:val="19"/>
        </w:rPr>
      </w:pPr>
    </w:p>
    <w:p w:rsidR="00491707" w:rsidRPr="00A97392" w:rsidRDefault="00491707" w:rsidP="00491707">
      <w:pPr>
        <w:numPr>
          <w:ilvl w:val="0"/>
          <w:numId w:val="31"/>
        </w:numPr>
        <w:ind w:left="993" w:hanging="284"/>
        <w:contextualSpacing/>
        <w:jc w:val="both"/>
        <w:rPr>
          <w:rFonts w:ascii="Arial" w:hAnsi="Arial" w:cs="Arial"/>
          <w:sz w:val="19"/>
          <w:szCs w:val="19"/>
        </w:rPr>
      </w:pPr>
      <w:r w:rsidRPr="00A97392">
        <w:rPr>
          <w:rFonts w:ascii="Arial" w:hAnsi="Arial" w:cs="Arial"/>
          <w:sz w:val="19"/>
          <w:szCs w:val="19"/>
        </w:rPr>
        <w:t>Ampliación al componente del PIP autorizado;</w:t>
      </w:r>
    </w:p>
    <w:p w:rsidR="00491707" w:rsidRPr="00A97392" w:rsidRDefault="00491707" w:rsidP="00491707">
      <w:pPr>
        <w:ind w:left="993" w:hanging="284"/>
        <w:contextualSpacing/>
        <w:jc w:val="both"/>
        <w:rPr>
          <w:rFonts w:ascii="Arial" w:hAnsi="Arial" w:cs="Arial"/>
          <w:sz w:val="19"/>
          <w:szCs w:val="19"/>
        </w:rPr>
      </w:pPr>
    </w:p>
    <w:p w:rsidR="00491707" w:rsidRPr="00A97392" w:rsidRDefault="00491707" w:rsidP="00491707">
      <w:pPr>
        <w:numPr>
          <w:ilvl w:val="0"/>
          <w:numId w:val="31"/>
        </w:numPr>
        <w:ind w:left="993" w:hanging="284"/>
        <w:contextualSpacing/>
        <w:jc w:val="both"/>
        <w:rPr>
          <w:rFonts w:ascii="Arial" w:hAnsi="Arial" w:cs="Arial"/>
          <w:sz w:val="19"/>
          <w:szCs w:val="19"/>
        </w:rPr>
      </w:pPr>
      <w:r w:rsidRPr="00A97392">
        <w:rPr>
          <w:rFonts w:ascii="Arial" w:hAnsi="Arial" w:cs="Arial"/>
          <w:sz w:val="19"/>
          <w:szCs w:val="19"/>
        </w:rPr>
        <w:t>Reducción al componente del PIP autorizado;</w:t>
      </w:r>
    </w:p>
    <w:p w:rsidR="00491707" w:rsidRPr="00A97392" w:rsidRDefault="00491707" w:rsidP="00491707">
      <w:pPr>
        <w:ind w:left="993" w:hanging="284"/>
        <w:contextualSpacing/>
        <w:jc w:val="both"/>
        <w:rPr>
          <w:rFonts w:ascii="Arial" w:hAnsi="Arial" w:cs="Arial"/>
          <w:sz w:val="19"/>
          <w:szCs w:val="19"/>
        </w:rPr>
      </w:pPr>
    </w:p>
    <w:p w:rsidR="00491707" w:rsidRPr="00A97392" w:rsidRDefault="00491707" w:rsidP="00491707">
      <w:pPr>
        <w:numPr>
          <w:ilvl w:val="0"/>
          <w:numId w:val="31"/>
        </w:numPr>
        <w:ind w:left="993" w:hanging="284"/>
        <w:contextualSpacing/>
        <w:jc w:val="both"/>
        <w:rPr>
          <w:rFonts w:ascii="Arial" w:hAnsi="Arial" w:cs="Arial"/>
          <w:sz w:val="19"/>
          <w:szCs w:val="19"/>
        </w:rPr>
      </w:pPr>
      <w:r w:rsidRPr="00A97392">
        <w:rPr>
          <w:rFonts w:ascii="Arial" w:hAnsi="Arial" w:cs="Arial"/>
          <w:sz w:val="19"/>
          <w:szCs w:val="19"/>
        </w:rPr>
        <w:t>Traspasos entre partidas de un mismo componente del PIP (modificación entre objeto del gasto), y</w:t>
      </w:r>
      <w:r w:rsidRPr="00A97392">
        <w:rPr>
          <w:rFonts w:ascii="Arial" w:hAnsi="Arial" w:cs="Arial"/>
          <w:sz w:val="19"/>
          <w:szCs w:val="19"/>
        </w:rPr>
        <w:tab/>
      </w:r>
    </w:p>
    <w:p w:rsidR="00491707" w:rsidRPr="00A97392" w:rsidRDefault="00491707" w:rsidP="00491707">
      <w:pPr>
        <w:ind w:left="993" w:hanging="284"/>
        <w:contextualSpacing/>
        <w:jc w:val="both"/>
        <w:rPr>
          <w:rFonts w:ascii="Arial" w:hAnsi="Arial" w:cs="Arial"/>
          <w:sz w:val="19"/>
          <w:szCs w:val="19"/>
        </w:rPr>
      </w:pPr>
    </w:p>
    <w:p w:rsidR="00491707" w:rsidRPr="00A97392" w:rsidRDefault="00491707" w:rsidP="00491707">
      <w:pPr>
        <w:numPr>
          <w:ilvl w:val="0"/>
          <w:numId w:val="31"/>
        </w:numPr>
        <w:ind w:left="993" w:hanging="284"/>
        <w:contextualSpacing/>
        <w:jc w:val="both"/>
        <w:rPr>
          <w:rFonts w:ascii="Arial" w:hAnsi="Arial" w:cs="Arial"/>
          <w:sz w:val="19"/>
          <w:szCs w:val="19"/>
        </w:rPr>
      </w:pPr>
      <w:r w:rsidRPr="00A97392">
        <w:rPr>
          <w:rFonts w:ascii="Arial" w:hAnsi="Arial" w:cs="Arial"/>
          <w:sz w:val="19"/>
          <w:szCs w:val="19"/>
        </w:rPr>
        <w:t xml:space="preserve">Recalendarización del componente del PIP autorizado. </w:t>
      </w:r>
    </w:p>
    <w:p w:rsidR="00491707" w:rsidRPr="00A97392" w:rsidRDefault="00491707" w:rsidP="00491707">
      <w:pPr>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 xml:space="preserve">Las ampliaciones procederán en el caso de recursos federales y estatales cuando las disposiciones legales aplicables así lo permitan; para lo cual deberán registrar previamente los componentes a los que se asignarán los recursos en el BPIP. </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 xml:space="preserve">Las reducciones se efectuarán en los siguientes casos: </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33"/>
        </w:numPr>
        <w:ind w:left="1134" w:hanging="425"/>
        <w:contextualSpacing/>
        <w:jc w:val="both"/>
        <w:rPr>
          <w:rFonts w:ascii="Arial" w:hAnsi="Arial" w:cs="Arial"/>
          <w:sz w:val="19"/>
          <w:szCs w:val="19"/>
        </w:rPr>
      </w:pPr>
      <w:r w:rsidRPr="00A97392">
        <w:rPr>
          <w:rFonts w:ascii="Arial" w:hAnsi="Arial" w:cs="Arial"/>
          <w:sz w:val="19"/>
          <w:szCs w:val="19"/>
        </w:rPr>
        <w:lastRenderedPageBreak/>
        <w:t>Cuando no sea posible la realización del componente del PIP autorizado;</w:t>
      </w:r>
    </w:p>
    <w:p w:rsidR="00491707" w:rsidRPr="00A97392" w:rsidRDefault="00491707" w:rsidP="00491707">
      <w:pPr>
        <w:ind w:left="1134" w:hanging="425"/>
        <w:contextualSpacing/>
        <w:jc w:val="both"/>
        <w:rPr>
          <w:rFonts w:ascii="Arial" w:hAnsi="Arial" w:cs="Arial"/>
          <w:sz w:val="19"/>
          <w:szCs w:val="19"/>
        </w:rPr>
      </w:pPr>
    </w:p>
    <w:p w:rsidR="00491707" w:rsidRPr="00A97392" w:rsidRDefault="00491707" w:rsidP="00491707">
      <w:pPr>
        <w:numPr>
          <w:ilvl w:val="0"/>
          <w:numId w:val="33"/>
        </w:numPr>
        <w:ind w:left="1134" w:hanging="425"/>
        <w:contextualSpacing/>
        <w:jc w:val="both"/>
        <w:rPr>
          <w:rFonts w:ascii="Arial" w:hAnsi="Arial" w:cs="Arial"/>
          <w:sz w:val="19"/>
          <w:szCs w:val="19"/>
        </w:rPr>
      </w:pPr>
      <w:r w:rsidRPr="00A97392">
        <w:rPr>
          <w:rFonts w:ascii="Arial" w:hAnsi="Arial" w:cs="Arial"/>
          <w:sz w:val="19"/>
          <w:szCs w:val="19"/>
        </w:rPr>
        <w:t>Por economías como resultado de los procesos de contratación y/o conclusión del componente del PIP autorizado, y</w:t>
      </w:r>
    </w:p>
    <w:p w:rsidR="00491707" w:rsidRPr="00A97392" w:rsidRDefault="00491707" w:rsidP="00491707">
      <w:pPr>
        <w:ind w:left="1134" w:hanging="425"/>
        <w:contextualSpacing/>
        <w:jc w:val="both"/>
        <w:rPr>
          <w:rFonts w:ascii="Arial" w:hAnsi="Arial" w:cs="Arial"/>
          <w:sz w:val="19"/>
          <w:szCs w:val="19"/>
        </w:rPr>
      </w:pPr>
    </w:p>
    <w:p w:rsidR="00491707" w:rsidRPr="00A97392" w:rsidRDefault="00491707" w:rsidP="00491707">
      <w:pPr>
        <w:numPr>
          <w:ilvl w:val="0"/>
          <w:numId w:val="33"/>
        </w:numPr>
        <w:ind w:left="1134" w:hanging="425"/>
        <w:contextualSpacing/>
        <w:jc w:val="both"/>
        <w:rPr>
          <w:rFonts w:ascii="Arial" w:hAnsi="Arial" w:cs="Arial"/>
          <w:sz w:val="19"/>
          <w:szCs w:val="19"/>
        </w:rPr>
      </w:pPr>
      <w:r w:rsidRPr="00A97392">
        <w:rPr>
          <w:rFonts w:ascii="Arial" w:hAnsi="Arial" w:cs="Arial"/>
          <w:sz w:val="19"/>
          <w:szCs w:val="19"/>
        </w:rPr>
        <w:t>Por determinación de la Secretaría.</w:t>
      </w:r>
    </w:p>
    <w:p w:rsidR="00491707" w:rsidRPr="00A97392" w:rsidRDefault="00491707" w:rsidP="00491707">
      <w:pPr>
        <w:pStyle w:val="Prrafodelista"/>
        <w:rPr>
          <w:rFonts w:ascii="Arial" w:hAnsi="Arial" w:cs="Arial"/>
          <w:sz w:val="19"/>
          <w:szCs w:val="19"/>
        </w:rPr>
      </w:pPr>
    </w:p>
    <w:p w:rsidR="00491707" w:rsidRDefault="00491707" w:rsidP="00491707">
      <w:pPr>
        <w:pStyle w:val="Prrafodelista"/>
        <w:ind w:hanging="11"/>
        <w:jc w:val="both"/>
        <w:rPr>
          <w:rFonts w:ascii="Arial" w:hAnsi="Arial" w:cs="Arial"/>
          <w:sz w:val="19"/>
          <w:szCs w:val="19"/>
        </w:rPr>
      </w:pPr>
      <w:r w:rsidRPr="00A97392">
        <w:rPr>
          <w:rFonts w:ascii="Arial" w:hAnsi="Arial" w:cs="Arial"/>
          <w:sz w:val="19"/>
          <w:szCs w:val="19"/>
        </w:rPr>
        <w:t>En el supuesto contenido en el inciso c), la Secretaría podrá informar a los Ejecutores de gasto dicha determinación.</w:t>
      </w:r>
    </w:p>
    <w:p w:rsidR="00765C76" w:rsidRPr="00A97392" w:rsidRDefault="00765C76" w:rsidP="00491707">
      <w:pPr>
        <w:pStyle w:val="Prrafodelista"/>
        <w:ind w:hanging="11"/>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Las reducciones deberán presentarse ante la Secretaría mediante:</w:t>
      </w:r>
    </w:p>
    <w:p w:rsidR="00491707" w:rsidRPr="00A97392" w:rsidRDefault="00491707" w:rsidP="00491707">
      <w:pPr>
        <w:pStyle w:val="Prrafodelista"/>
        <w:numPr>
          <w:ilvl w:val="0"/>
          <w:numId w:val="34"/>
        </w:numPr>
        <w:spacing w:before="120"/>
        <w:ind w:left="1134" w:hanging="425"/>
        <w:jc w:val="both"/>
        <w:rPr>
          <w:rFonts w:ascii="Arial" w:hAnsi="Arial" w:cs="Arial"/>
          <w:sz w:val="19"/>
          <w:szCs w:val="19"/>
        </w:rPr>
      </w:pPr>
      <w:r w:rsidRPr="00A97392">
        <w:rPr>
          <w:rFonts w:ascii="Arial" w:hAnsi="Arial" w:cs="Arial"/>
          <w:sz w:val="19"/>
          <w:szCs w:val="19"/>
        </w:rPr>
        <w:t>Oficio de solicitud describiendo los componentes del PIP de que se traten, la fuente de financiamiento, el importe, el ejercicio al que corresponde el recurso y la justificación;</w:t>
      </w:r>
    </w:p>
    <w:p w:rsidR="00491707" w:rsidRPr="00A97392" w:rsidRDefault="00491707" w:rsidP="00491707">
      <w:pPr>
        <w:pStyle w:val="Prrafodelista"/>
        <w:numPr>
          <w:ilvl w:val="0"/>
          <w:numId w:val="34"/>
        </w:numPr>
        <w:spacing w:before="120"/>
        <w:ind w:left="1134" w:hanging="425"/>
        <w:jc w:val="both"/>
        <w:rPr>
          <w:rFonts w:ascii="Arial" w:hAnsi="Arial" w:cs="Arial"/>
          <w:sz w:val="19"/>
          <w:szCs w:val="19"/>
        </w:rPr>
      </w:pPr>
      <w:r w:rsidRPr="00A97392">
        <w:rPr>
          <w:rFonts w:ascii="Arial" w:hAnsi="Arial" w:cs="Arial"/>
          <w:sz w:val="19"/>
          <w:szCs w:val="19"/>
        </w:rPr>
        <w:t>Formato de adecuación presupuestaria,  y</w:t>
      </w:r>
    </w:p>
    <w:p w:rsidR="00491707" w:rsidRPr="00A97392" w:rsidRDefault="00491707" w:rsidP="00491707">
      <w:pPr>
        <w:pStyle w:val="Prrafodelista"/>
        <w:numPr>
          <w:ilvl w:val="0"/>
          <w:numId w:val="34"/>
        </w:numPr>
        <w:spacing w:before="120"/>
        <w:ind w:left="1134" w:hanging="425"/>
        <w:jc w:val="both"/>
        <w:rPr>
          <w:rFonts w:ascii="Arial" w:hAnsi="Arial" w:cs="Arial"/>
          <w:sz w:val="19"/>
          <w:szCs w:val="19"/>
        </w:rPr>
      </w:pPr>
      <w:r w:rsidRPr="00A97392">
        <w:rPr>
          <w:rFonts w:ascii="Arial" w:hAnsi="Arial" w:cs="Arial"/>
          <w:sz w:val="19"/>
          <w:szCs w:val="19"/>
        </w:rPr>
        <w:t>El folio generado a través del Sistema electrónico.</w:t>
      </w:r>
    </w:p>
    <w:p w:rsidR="00491707" w:rsidRPr="00A97392" w:rsidRDefault="00491707" w:rsidP="00491707">
      <w:pPr>
        <w:pStyle w:val="Prrafodelista"/>
        <w:ind w:left="1440"/>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Los traspasos corresponden a movimientos presupuestarios compensados entre las partidas de un componente autorizado, a un mismo Ejecutor de gasto de capital y en la misma fuente de financiamiento.</w:t>
      </w:r>
    </w:p>
    <w:p w:rsidR="00491707" w:rsidRPr="00A97392" w:rsidRDefault="00491707" w:rsidP="00491707">
      <w:pPr>
        <w:pStyle w:val="Prrafodelista"/>
        <w:ind w:left="1080"/>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Los traspasos deberán presentarse ante la Secretaría mediante:</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pStyle w:val="Prrafodelista"/>
        <w:numPr>
          <w:ilvl w:val="0"/>
          <w:numId w:val="35"/>
        </w:numPr>
        <w:shd w:val="clear" w:color="auto" w:fill="FFFFFF"/>
        <w:spacing w:after="120"/>
        <w:ind w:left="993" w:hanging="284"/>
        <w:jc w:val="both"/>
        <w:rPr>
          <w:rFonts w:ascii="Arial" w:hAnsi="Arial" w:cs="Arial"/>
          <w:sz w:val="19"/>
          <w:szCs w:val="19"/>
        </w:rPr>
      </w:pPr>
      <w:r w:rsidRPr="00A97392">
        <w:rPr>
          <w:rFonts w:ascii="Arial" w:hAnsi="Arial" w:cs="Arial"/>
          <w:sz w:val="19"/>
          <w:szCs w:val="19"/>
        </w:rPr>
        <w:t>Oficio de solicitud describiendo los componentes de que se traten, fuente de financiamiento, el importe, ejercicio al que corresponde el recurso y su justificación;</w:t>
      </w:r>
    </w:p>
    <w:p w:rsidR="00491707" w:rsidRPr="00A97392" w:rsidRDefault="00491707" w:rsidP="00491707">
      <w:pPr>
        <w:pStyle w:val="Prrafodelista"/>
        <w:numPr>
          <w:ilvl w:val="0"/>
          <w:numId w:val="35"/>
        </w:numPr>
        <w:shd w:val="clear" w:color="auto" w:fill="FFFFFF"/>
        <w:spacing w:after="120"/>
        <w:ind w:left="993" w:hanging="284"/>
        <w:jc w:val="both"/>
        <w:rPr>
          <w:rFonts w:ascii="Arial" w:hAnsi="Arial" w:cs="Arial"/>
          <w:sz w:val="19"/>
          <w:szCs w:val="19"/>
        </w:rPr>
      </w:pPr>
      <w:r w:rsidRPr="00A97392">
        <w:rPr>
          <w:rFonts w:ascii="Arial" w:hAnsi="Arial" w:cs="Arial"/>
          <w:sz w:val="19"/>
          <w:szCs w:val="19"/>
        </w:rPr>
        <w:t>Formato de adecuación presupuestaria, y</w:t>
      </w:r>
    </w:p>
    <w:p w:rsidR="00491707" w:rsidRPr="00A97392" w:rsidRDefault="00491707" w:rsidP="00491707">
      <w:pPr>
        <w:pStyle w:val="Prrafodelista"/>
        <w:numPr>
          <w:ilvl w:val="0"/>
          <w:numId w:val="35"/>
        </w:numPr>
        <w:shd w:val="clear" w:color="auto" w:fill="FFFFFF"/>
        <w:spacing w:after="120"/>
        <w:ind w:left="993" w:hanging="284"/>
        <w:jc w:val="both"/>
        <w:rPr>
          <w:rFonts w:ascii="Arial" w:hAnsi="Arial" w:cs="Arial"/>
          <w:sz w:val="19"/>
          <w:szCs w:val="19"/>
        </w:rPr>
      </w:pPr>
      <w:r w:rsidRPr="00A97392">
        <w:rPr>
          <w:rFonts w:ascii="Arial" w:hAnsi="Arial" w:cs="Arial"/>
          <w:sz w:val="19"/>
          <w:szCs w:val="19"/>
        </w:rPr>
        <w:t xml:space="preserve">Folio generado a través del Sistema electrónico. </w:t>
      </w:r>
    </w:p>
    <w:p w:rsidR="00491707" w:rsidRPr="00A97392" w:rsidRDefault="00491707" w:rsidP="00491707">
      <w:pPr>
        <w:pStyle w:val="Prrafodelista"/>
        <w:shd w:val="clear" w:color="auto" w:fill="FFFFFF"/>
        <w:ind w:left="1446"/>
        <w:jc w:val="both"/>
        <w:rPr>
          <w:rFonts w:ascii="Arial" w:hAnsi="Arial" w:cs="Arial"/>
          <w:sz w:val="19"/>
          <w:szCs w:val="19"/>
        </w:rPr>
      </w:pPr>
    </w:p>
    <w:p w:rsidR="00491707" w:rsidRPr="00A97392" w:rsidRDefault="00491707" w:rsidP="00765C76">
      <w:pPr>
        <w:ind w:left="709"/>
        <w:contextualSpacing/>
        <w:jc w:val="both"/>
        <w:rPr>
          <w:rFonts w:ascii="Arial" w:hAnsi="Arial" w:cs="Arial"/>
          <w:sz w:val="19"/>
          <w:szCs w:val="19"/>
        </w:rPr>
      </w:pPr>
      <w:r w:rsidRPr="00A97392">
        <w:rPr>
          <w:rFonts w:ascii="Arial" w:hAnsi="Arial" w:cs="Arial"/>
          <w:sz w:val="19"/>
          <w:szCs w:val="19"/>
        </w:rPr>
        <w:t>Los gastos indirectos no son susceptibles de traspaso entre PIP autorizados.</w:t>
      </w:r>
    </w:p>
    <w:p w:rsidR="00491707" w:rsidRPr="00A97392" w:rsidRDefault="00491707" w:rsidP="00491707">
      <w:pPr>
        <w:ind w:left="708"/>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Tratándose de trámites de recalendarización de recursos deberán presentar:</w:t>
      </w:r>
    </w:p>
    <w:p w:rsidR="00491707" w:rsidRPr="00A97392" w:rsidRDefault="00491707" w:rsidP="00491707">
      <w:pPr>
        <w:ind w:left="850"/>
        <w:contextualSpacing/>
        <w:jc w:val="both"/>
        <w:rPr>
          <w:rFonts w:ascii="Arial" w:hAnsi="Arial" w:cs="Arial"/>
          <w:sz w:val="19"/>
          <w:szCs w:val="19"/>
        </w:rPr>
      </w:pPr>
      <w:r w:rsidRPr="00A97392">
        <w:rPr>
          <w:rFonts w:ascii="Arial" w:hAnsi="Arial" w:cs="Arial"/>
          <w:sz w:val="19"/>
          <w:szCs w:val="19"/>
        </w:rPr>
        <w:t xml:space="preserve"> </w:t>
      </w:r>
    </w:p>
    <w:p w:rsidR="00491707" w:rsidRPr="00A97392" w:rsidRDefault="00491707" w:rsidP="00491707">
      <w:pPr>
        <w:pStyle w:val="Prrafodelista"/>
        <w:numPr>
          <w:ilvl w:val="0"/>
          <w:numId w:val="36"/>
        </w:numPr>
        <w:spacing w:after="120"/>
        <w:ind w:left="993" w:hanging="284"/>
        <w:jc w:val="both"/>
        <w:rPr>
          <w:rFonts w:ascii="Arial" w:hAnsi="Arial" w:cs="Arial"/>
          <w:sz w:val="19"/>
          <w:szCs w:val="19"/>
        </w:rPr>
      </w:pPr>
      <w:r w:rsidRPr="00A97392">
        <w:rPr>
          <w:rFonts w:ascii="Arial" w:hAnsi="Arial" w:cs="Arial"/>
          <w:sz w:val="19"/>
          <w:szCs w:val="19"/>
        </w:rPr>
        <w:t>Oficio de solicitud indicando la fuente de financiamiento vigente y el ejercicio al que corresponde el recurso, y</w:t>
      </w:r>
    </w:p>
    <w:p w:rsidR="00491707" w:rsidRPr="00A97392" w:rsidRDefault="00491707" w:rsidP="00491707">
      <w:pPr>
        <w:pStyle w:val="Prrafodelista"/>
        <w:numPr>
          <w:ilvl w:val="0"/>
          <w:numId w:val="36"/>
        </w:numPr>
        <w:spacing w:after="120"/>
        <w:ind w:left="993" w:hanging="284"/>
        <w:jc w:val="both"/>
        <w:rPr>
          <w:rFonts w:ascii="Arial" w:hAnsi="Arial" w:cs="Arial"/>
          <w:sz w:val="19"/>
          <w:szCs w:val="19"/>
        </w:rPr>
      </w:pPr>
      <w:r w:rsidRPr="00A97392">
        <w:rPr>
          <w:rFonts w:ascii="Arial" w:hAnsi="Arial" w:cs="Arial"/>
          <w:sz w:val="19"/>
          <w:szCs w:val="19"/>
        </w:rPr>
        <w:t>Folio generado del Sistema electrónico.</w:t>
      </w: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lastRenderedPageBreak/>
        <w:t>Las modificaciones sin impacto presupuestario, que se deriven de los procesos constructivos en las cuales se involucre la información técnica señalada en la autorización, serán responsabilidad del Ejecutor del gasto.</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Para efectos de realizar las modificaciones a que se refiere el numeral anterior, los Ejecutores del gasto deberán observar lo establecido en la Ley de Obras Públicas y Servicios Relacionados en el ámbito que corresponda según la fuente de financiamiento; además de contar con la validación de dichas modificaciones por parte de la Normativa federal o estatal correspondiente.</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Las solicitudes y anexos de la adecuación presupuestaria deberán ser firmadas por el Titular del Ejecutor de gasto de capital o por el servidor público facultado.</w:t>
      </w:r>
    </w:p>
    <w:p w:rsidR="00491707" w:rsidRPr="00A97392" w:rsidRDefault="00491707" w:rsidP="00491707">
      <w:pPr>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Todas las solicitudes de adecuaciones presupuestarias serán analizadas por la Secretaría, su autorización estará sujeta a la disponibilidad financiera y presupuestaria, así como a la vigencia de la fuente de financiamiento de que se trate.</w:t>
      </w:r>
    </w:p>
    <w:p w:rsidR="00491707" w:rsidRDefault="00491707" w:rsidP="00491707">
      <w:pPr>
        <w:jc w:val="both"/>
        <w:rPr>
          <w:rFonts w:ascii="Arial" w:hAnsi="Arial" w:cs="Arial"/>
          <w:sz w:val="19"/>
          <w:szCs w:val="19"/>
        </w:rPr>
      </w:pPr>
    </w:p>
    <w:p w:rsidR="00765C76" w:rsidRDefault="00765C76" w:rsidP="00491707">
      <w:pPr>
        <w:jc w:val="both"/>
        <w:rPr>
          <w:rFonts w:ascii="Arial" w:hAnsi="Arial" w:cs="Arial"/>
          <w:sz w:val="19"/>
          <w:szCs w:val="19"/>
        </w:rPr>
      </w:pPr>
    </w:p>
    <w:p w:rsidR="00765C76" w:rsidRDefault="00765C76" w:rsidP="00491707">
      <w:pPr>
        <w:jc w:val="both"/>
        <w:rPr>
          <w:rFonts w:ascii="Arial" w:hAnsi="Arial" w:cs="Arial"/>
          <w:sz w:val="19"/>
          <w:szCs w:val="19"/>
        </w:rPr>
      </w:pPr>
    </w:p>
    <w:p w:rsidR="00765C76" w:rsidRDefault="00765C76" w:rsidP="00491707">
      <w:pPr>
        <w:jc w:val="both"/>
        <w:rPr>
          <w:rFonts w:ascii="Arial" w:hAnsi="Arial" w:cs="Arial"/>
          <w:sz w:val="19"/>
          <w:szCs w:val="19"/>
        </w:rPr>
      </w:pPr>
    </w:p>
    <w:p w:rsidR="00765C76" w:rsidRPr="00A97392" w:rsidRDefault="00765C76" w:rsidP="00491707">
      <w:pPr>
        <w:jc w:val="both"/>
        <w:rPr>
          <w:rFonts w:ascii="Arial" w:hAnsi="Arial" w:cs="Arial"/>
          <w:sz w:val="19"/>
          <w:szCs w:val="19"/>
        </w:rPr>
      </w:pPr>
    </w:p>
    <w:p w:rsidR="00491707" w:rsidRPr="00A97392" w:rsidRDefault="00491707" w:rsidP="00491707">
      <w:pPr>
        <w:jc w:val="center"/>
        <w:rPr>
          <w:rFonts w:ascii="Arial" w:hAnsi="Arial" w:cs="Arial"/>
          <w:sz w:val="19"/>
          <w:szCs w:val="19"/>
        </w:rPr>
      </w:pPr>
      <w:r w:rsidRPr="00A97392">
        <w:rPr>
          <w:rFonts w:ascii="Arial" w:hAnsi="Arial" w:cs="Arial"/>
          <w:b/>
          <w:sz w:val="19"/>
          <w:szCs w:val="19"/>
        </w:rPr>
        <w:t>Capítulo Séptimo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Seguimiento y Evaluación</w:t>
      </w:r>
    </w:p>
    <w:p w:rsidR="00491707" w:rsidRPr="00A97392" w:rsidRDefault="00491707" w:rsidP="00491707">
      <w:pPr>
        <w:jc w:val="center"/>
        <w:rPr>
          <w:rFonts w:ascii="Arial" w:hAnsi="Arial" w:cs="Arial"/>
          <w:b/>
          <w:sz w:val="19"/>
          <w:szCs w:val="19"/>
        </w:rPr>
      </w:pPr>
    </w:p>
    <w:p w:rsidR="00491707" w:rsidRPr="00A97392" w:rsidRDefault="00491707" w:rsidP="00491707">
      <w:pPr>
        <w:numPr>
          <w:ilvl w:val="0"/>
          <w:numId w:val="43"/>
        </w:numPr>
        <w:ind w:left="709" w:hanging="425"/>
        <w:contextualSpacing/>
        <w:jc w:val="both"/>
        <w:rPr>
          <w:rFonts w:ascii="Arial" w:hAnsi="Arial" w:cs="Arial"/>
          <w:sz w:val="19"/>
          <w:szCs w:val="19"/>
        </w:rPr>
      </w:pPr>
      <w:r w:rsidRPr="00A97392">
        <w:rPr>
          <w:rFonts w:ascii="Arial" w:hAnsi="Arial" w:cs="Arial"/>
          <w:sz w:val="19"/>
          <w:szCs w:val="19"/>
        </w:rPr>
        <w:t>La Secretaría realizará el seguimiento físico en campo de los componentes ejecutados de los PIP autorizados a los Ejecutores de gasto de capital, con base en la información físico–financiero reportado en el Sistema electrónico.</w:t>
      </w:r>
    </w:p>
    <w:p w:rsidR="00491707" w:rsidRPr="00A97392" w:rsidRDefault="00491707" w:rsidP="00491707">
      <w:pPr>
        <w:ind w:left="1080"/>
        <w:contextualSpacing/>
        <w:jc w:val="both"/>
        <w:rPr>
          <w:rFonts w:ascii="Arial" w:hAnsi="Arial" w:cs="Arial"/>
          <w:sz w:val="19"/>
          <w:szCs w:val="19"/>
        </w:rPr>
      </w:pPr>
    </w:p>
    <w:p w:rsidR="00491707" w:rsidRPr="00A97392" w:rsidRDefault="00491707" w:rsidP="00491707">
      <w:pPr>
        <w:numPr>
          <w:ilvl w:val="0"/>
          <w:numId w:val="43"/>
        </w:numPr>
        <w:ind w:left="709" w:hanging="426"/>
        <w:jc w:val="both"/>
        <w:rPr>
          <w:rFonts w:ascii="Arial" w:hAnsi="Arial" w:cs="Arial"/>
          <w:sz w:val="19"/>
          <w:szCs w:val="19"/>
        </w:rPr>
      </w:pPr>
      <w:r w:rsidRPr="00A97392">
        <w:rPr>
          <w:rFonts w:ascii="Arial" w:hAnsi="Arial" w:cs="Arial"/>
          <w:sz w:val="19"/>
          <w:szCs w:val="19"/>
        </w:rPr>
        <w:t xml:space="preserve">Las Dependencias y Entidades responsables de la MIR correspondiente a los programas deberán reportar a la Secretaría dentro de los siguientes diez días hábiles al término del trimestre, el avance de los indicadores establecidos en la MIR,  así como presentar en los veinte días posteriores al término del ejercicio fiscal los resultados definitivos de la misma. </w:t>
      </w:r>
    </w:p>
    <w:p w:rsidR="00491707" w:rsidRPr="00A97392" w:rsidRDefault="00491707" w:rsidP="00491707">
      <w:pPr>
        <w:pStyle w:val="Prrafodelista"/>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Los Ejecutores de gasto de capital deberán sujetarse al Programa Anual de Evaluación y remitir la información que la Instancia Técnica de Evaluación les requiera.</w:t>
      </w:r>
    </w:p>
    <w:p w:rsidR="00491707" w:rsidRPr="00A97392" w:rsidRDefault="00491707" w:rsidP="00491707">
      <w:pPr>
        <w:jc w:val="center"/>
        <w:rPr>
          <w:rFonts w:ascii="Arial" w:hAnsi="Arial" w:cs="Arial"/>
          <w:sz w:val="19"/>
          <w:szCs w:val="19"/>
        </w:rPr>
      </w:pPr>
    </w:p>
    <w:p w:rsidR="00491707" w:rsidRPr="00A97392" w:rsidRDefault="00491707" w:rsidP="00491707">
      <w:pPr>
        <w:jc w:val="center"/>
        <w:rPr>
          <w:rFonts w:ascii="Arial" w:hAnsi="Arial" w:cs="Arial"/>
          <w:sz w:val="19"/>
          <w:szCs w:val="19"/>
        </w:rPr>
      </w:pPr>
      <w:r w:rsidRPr="00A97392">
        <w:rPr>
          <w:rFonts w:ascii="Arial" w:hAnsi="Arial" w:cs="Arial"/>
          <w:b/>
          <w:sz w:val="19"/>
          <w:szCs w:val="19"/>
        </w:rPr>
        <w:t>Capítulo Octavo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 xml:space="preserve">De la Coinversión Municipal </w:t>
      </w:r>
    </w:p>
    <w:p w:rsidR="00491707" w:rsidRPr="00A97392" w:rsidRDefault="00491707" w:rsidP="00491707">
      <w:pPr>
        <w:jc w:val="center"/>
        <w:rPr>
          <w:rFonts w:ascii="Arial" w:hAnsi="Arial" w:cs="Arial"/>
          <w:b/>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 xml:space="preserve">Para los Municipios cuyos PIP no se encuentren dentro de una cartera convenida con alguna instancia federal, se deberá considerar lo previsto en el numeral 8 fracciones I, III y IV del presente Acuerdo. </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Los Municipios que propongan PIP para coinversión se auxiliarán de la CG-COPLADE, a través de los MDR presentando para efectos de registro de las propuestas en el Sistema electrónico de la Secretaría, lo siguiente:</w:t>
      </w:r>
    </w:p>
    <w:p w:rsidR="00491707" w:rsidRPr="00A97392" w:rsidRDefault="00491707" w:rsidP="00491707">
      <w:pPr>
        <w:contextualSpacing/>
        <w:jc w:val="both"/>
        <w:rPr>
          <w:rFonts w:ascii="Arial" w:hAnsi="Arial" w:cs="Arial"/>
          <w:sz w:val="19"/>
          <w:szCs w:val="19"/>
        </w:rPr>
      </w:pPr>
    </w:p>
    <w:p w:rsidR="00491707" w:rsidRPr="00A97392" w:rsidRDefault="00491707" w:rsidP="00491707">
      <w:pPr>
        <w:pStyle w:val="Prrafodelista"/>
        <w:numPr>
          <w:ilvl w:val="0"/>
          <w:numId w:val="37"/>
        </w:numPr>
        <w:tabs>
          <w:tab w:val="left" w:pos="1134"/>
        </w:tabs>
        <w:ind w:left="1134" w:hanging="283"/>
        <w:contextualSpacing/>
        <w:jc w:val="both"/>
        <w:rPr>
          <w:rFonts w:ascii="Arial" w:hAnsi="Arial" w:cs="Arial"/>
          <w:sz w:val="19"/>
          <w:szCs w:val="19"/>
        </w:rPr>
      </w:pPr>
      <w:r w:rsidRPr="00A97392">
        <w:rPr>
          <w:rFonts w:ascii="Arial" w:hAnsi="Arial" w:cs="Arial"/>
          <w:sz w:val="19"/>
          <w:szCs w:val="19"/>
        </w:rPr>
        <w:t>Solicitud de coinversión de recursos;</w:t>
      </w:r>
    </w:p>
    <w:p w:rsidR="00491707" w:rsidRPr="00A97392" w:rsidRDefault="00491707" w:rsidP="00491707">
      <w:pPr>
        <w:pStyle w:val="Prrafodelista"/>
        <w:tabs>
          <w:tab w:val="left" w:pos="1134"/>
        </w:tabs>
        <w:ind w:left="1134" w:hanging="283"/>
        <w:jc w:val="both"/>
        <w:rPr>
          <w:rFonts w:ascii="Arial" w:hAnsi="Arial" w:cs="Arial"/>
          <w:sz w:val="19"/>
          <w:szCs w:val="19"/>
        </w:rPr>
      </w:pPr>
    </w:p>
    <w:p w:rsidR="00491707" w:rsidRPr="00A97392" w:rsidRDefault="00491707" w:rsidP="00491707">
      <w:pPr>
        <w:pStyle w:val="Prrafodelista"/>
        <w:numPr>
          <w:ilvl w:val="0"/>
          <w:numId w:val="37"/>
        </w:numPr>
        <w:tabs>
          <w:tab w:val="left" w:pos="1134"/>
        </w:tabs>
        <w:ind w:left="1134" w:hanging="283"/>
        <w:contextualSpacing/>
        <w:jc w:val="both"/>
        <w:rPr>
          <w:rFonts w:ascii="Arial" w:hAnsi="Arial" w:cs="Arial"/>
          <w:sz w:val="19"/>
          <w:szCs w:val="19"/>
        </w:rPr>
      </w:pPr>
      <w:r w:rsidRPr="00A97392">
        <w:rPr>
          <w:rFonts w:ascii="Arial" w:hAnsi="Arial" w:cs="Arial"/>
          <w:sz w:val="19"/>
          <w:szCs w:val="19"/>
        </w:rPr>
        <w:t>Acta de integración del Concejo de Desarrollo Social Municipal;</w:t>
      </w:r>
    </w:p>
    <w:p w:rsidR="00491707" w:rsidRPr="00A97392" w:rsidRDefault="00491707" w:rsidP="00491707">
      <w:pPr>
        <w:pStyle w:val="Prrafodelista"/>
        <w:tabs>
          <w:tab w:val="left" w:pos="1134"/>
        </w:tabs>
        <w:ind w:left="1134" w:hanging="283"/>
        <w:jc w:val="both"/>
        <w:rPr>
          <w:rFonts w:ascii="Arial" w:hAnsi="Arial" w:cs="Arial"/>
          <w:sz w:val="19"/>
          <w:szCs w:val="19"/>
        </w:rPr>
      </w:pPr>
    </w:p>
    <w:p w:rsidR="00491707" w:rsidRPr="00A97392" w:rsidRDefault="00491707" w:rsidP="00491707">
      <w:pPr>
        <w:pStyle w:val="Prrafodelista"/>
        <w:numPr>
          <w:ilvl w:val="0"/>
          <w:numId w:val="37"/>
        </w:numPr>
        <w:tabs>
          <w:tab w:val="left" w:pos="1134"/>
        </w:tabs>
        <w:ind w:left="1134" w:hanging="283"/>
        <w:contextualSpacing/>
        <w:jc w:val="both"/>
        <w:rPr>
          <w:rFonts w:ascii="Arial" w:hAnsi="Arial" w:cs="Arial"/>
          <w:sz w:val="19"/>
          <w:szCs w:val="19"/>
        </w:rPr>
      </w:pPr>
      <w:r w:rsidRPr="00A97392">
        <w:rPr>
          <w:rFonts w:ascii="Arial" w:hAnsi="Arial" w:cs="Arial"/>
          <w:sz w:val="19"/>
          <w:szCs w:val="19"/>
        </w:rPr>
        <w:t>Acta de priorización de obras, y</w:t>
      </w:r>
    </w:p>
    <w:p w:rsidR="00491707" w:rsidRPr="00A97392" w:rsidRDefault="00491707" w:rsidP="00491707">
      <w:pPr>
        <w:pStyle w:val="Prrafodelista"/>
        <w:tabs>
          <w:tab w:val="left" w:pos="1134"/>
        </w:tabs>
        <w:ind w:left="1134" w:hanging="283"/>
        <w:jc w:val="both"/>
        <w:rPr>
          <w:rFonts w:ascii="Arial" w:hAnsi="Arial" w:cs="Arial"/>
          <w:sz w:val="19"/>
          <w:szCs w:val="19"/>
        </w:rPr>
      </w:pPr>
    </w:p>
    <w:p w:rsidR="00491707" w:rsidRPr="00A97392" w:rsidRDefault="00491707" w:rsidP="00491707">
      <w:pPr>
        <w:pStyle w:val="Prrafodelista"/>
        <w:numPr>
          <w:ilvl w:val="0"/>
          <w:numId w:val="37"/>
        </w:numPr>
        <w:tabs>
          <w:tab w:val="left" w:pos="1134"/>
        </w:tabs>
        <w:ind w:left="1134" w:hanging="283"/>
        <w:contextualSpacing/>
        <w:jc w:val="both"/>
        <w:rPr>
          <w:rFonts w:ascii="Arial" w:hAnsi="Arial" w:cs="Arial"/>
          <w:sz w:val="19"/>
          <w:szCs w:val="19"/>
        </w:rPr>
      </w:pPr>
      <w:r w:rsidRPr="00A97392">
        <w:rPr>
          <w:rFonts w:ascii="Arial" w:hAnsi="Arial" w:cs="Arial"/>
          <w:sz w:val="19"/>
          <w:szCs w:val="19"/>
        </w:rPr>
        <w:t>Validación técnica emitida por la instancia normativa correspondiente.</w:t>
      </w:r>
    </w:p>
    <w:p w:rsidR="00491707" w:rsidRPr="00A97392" w:rsidRDefault="00491707" w:rsidP="00491707">
      <w:pPr>
        <w:pStyle w:val="Prrafodelista"/>
        <w:tabs>
          <w:tab w:val="left" w:pos="1134"/>
        </w:tabs>
        <w:ind w:left="1134" w:hanging="283"/>
        <w:jc w:val="both"/>
        <w:rPr>
          <w:rFonts w:ascii="Arial" w:hAnsi="Arial" w:cs="Arial"/>
          <w:sz w:val="19"/>
          <w:szCs w:val="19"/>
        </w:rPr>
      </w:pPr>
    </w:p>
    <w:p w:rsidR="00491707" w:rsidRPr="00A97392" w:rsidRDefault="00491707" w:rsidP="00491707">
      <w:pPr>
        <w:pStyle w:val="Prrafodelista"/>
        <w:tabs>
          <w:tab w:val="left" w:pos="1134"/>
        </w:tabs>
        <w:ind w:left="709"/>
        <w:jc w:val="both"/>
        <w:rPr>
          <w:rFonts w:ascii="Arial" w:hAnsi="Arial" w:cs="Arial"/>
          <w:sz w:val="19"/>
          <w:szCs w:val="19"/>
        </w:rPr>
      </w:pPr>
      <w:r w:rsidRPr="00A97392">
        <w:rPr>
          <w:rFonts w:ascii="Arial" w:hAnsi="Arial" w:cs="Arial"/>
          <w:sz w:val="19"/>
          <w:szCs w:val="19"/>
        </w:rPr>
        <w:t xml:space="preserve">Registrada la documentación en el Sistema electrónico, la Secretaría realizará la devolución de los documentos antes señalada a las autoridades municipales correspondiente. </w:t>
      </w:r>
    </w:p>
    <w:p w:rsidR="00491707" w:rsidRPr="00A97392" w:rsidRDefault="00491707" w:rsidP="00491707">
      <w:pPr>
        <w:ind w:left="1068"/>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En los PIP que busquen abatir el rezago social, a través del acceso a servicios básicos como: agua, saneamiento y electricidad, el Municipio se responsabilizará de que las tomas, descargas y acometidas domiciliarias sean instaladas, así como de financiar los costos de operación y gastos de mantenimiento según el tipo de proyecto.</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color w:val="000000"/>
          <w:sz w:val="19"/>
          <w:szCs w:val="19"/>
        </w:rPr>
      </w:pPr>
      <w:r w:rsidRPr="00A97392">
        <w:rPr>
          <w:rFonts w:ascii="Arial" w:hAnsi="Arial" w:cs="Arial"/>
          <w:color w:val="000000"/>
          <w:sz w:val="19"/>
          <w:szCs w:val="19"/>
        </w:rPr>
        <w:t xml:space="preserve">Los MDR de las CR-COPLADE coadyuvarán con los </w:t>
      </w:r>
      <w:r w:rsidRPr="00A97392">
        <w:rPr>
          <w:rFonts w:ascii="Arial" w:hAnsi="Arial" w:cs="Arial"/>
          <w:sz w:val="19"/>
          <w:szCs w:val="19"/>
        </w:rPr>
        <w:t>Municipios e</w:t>
      </w:r>
      <w:r w:rsidRPr="00A97392">
        <w:rPr>
          <w:rFonts w:ascii="Arial" w:hAnsi="Arial" w:cs="Arial"/>
          <w:color w:val="000000"/>
          <w:sz w:val="19"/>
          <w:szCs w:val="19"/>
        </w:rPr>
        <w:t>n el registro de los PIP priorizados por los CDSM en el SISPLADE, una vez realizado el análisis de conformidad con los presentes Lineamientos.</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3"/>
        </w:numPr>
        <w:ind w:left="709" w:hanging="426"/>
        <w:contextualSpacing/>
        <w:jc w:val="both"/>
        <w:rPr>
          <w:rFonts w:ascii="Arial" w:hAnsi="Arial" w:cs="Arial"/>
          <w:sz w:val="19"/>
          <w:szCs w:val="19"/>
        </w:rPr>
      </w:pPr>
      <w:r w:rsidRPr="00A97392">
        <w:rPr>
          <w:rFonts w:ascii="Arial" w:hAnsi="Arial" w:cs="Arial"/>
          <w:sz w:val="19"/>
          <w:szCs w:val="19"/>
        </w:rPr>
        <w:t>La Secretaría formalizará la coinversión municipal, de acuerdo con la disponibilidad financiera del Estado y del Municipio.</w:t>
      </w:r>
    </w:p>
    <w:p w:rsidR="00491707" w:rsidRPr="00A97392" w:rsidRDefault="00491707" w:rsidP="00491707">
      <w:pPr>
        <w:ind w:left="709"/>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 xml:space="preserve">Los Ejecutores de gasto de capital que realicen obras convenidas con fuente de financiamiento federal deberán sujetarse a lo establecido en </w:t>
      </w:r>
      <w:r w:rsidRPr="00A97392">
        <w:rPr>
          <w:rFonts w:ascii="Arial" w:hAnsi="Arial" w:cs="Arial"/>
          <w:bCs/>
          <w:sz w:val="19"/>
          <w:szCs w:val="19"/>
        </w:rPr>
        <w:t>la Ley de Obras Públicas y Servicios Relacionados con las Mismas</w:t>
      </w:r>
      <w:r w:rsidRPr="00A97392">
        <w:rPr>
          <w:rFonts w:ascii="Arial" w:hAnsi="Arial" w:cs="Arial"/>
          <w:sz w:val="19"/>
          <w:szCs w:val="19"/>
        </w:rPr>
        <w:t>. Tratándose de recursos estatales se deberá observar lo dispuesto en la Ley de Obras Públicas y Servicios Relacionados del Estado de Oaxaca.</w:t>
      </w:r>
    </w:p>
    <w:p w:rsidR="00491707" w:rsidRPr="00A97392" w:rsidRDefault="00491707" w:rsidP="00491707">
      <w:pPr>
        <w:pStyle w:val="Sinespaciado"/>
        <w:jc w:val="center"/>
        <w:rPr>
          <w:rFonts w:ascii="Arial" w:hAnsi="Arial" w:cs="Arial"/>
          <w:b/>
          <w:sz w:val="19"/>
          <w:szCs w:val="19"/>
          <w:lang w:val="es-MX"/>
        </w:rPr>
      </w:pPr>
    </w:p>
    <w:p w:rsidR="00491707" w:rsidRPr="00A97392" w:rsidRDefault="00491707" w:rsidP="00491707">
      <w:pPr>
        <w:pStyle w:val="Sinespaciado"/>
        <w:jc w:val="center"/>
        <w:rPr>
          <w:rFonts w:ascii="Arial" w:hAnsi="Arial" w:cs="Arial"/>
          <w:b/>
          <w:sz w:val="19"/>
          <w:szCs w:val="19"/>
          <w:lang w:val="es-MX"/>
        </w:rPr>
      </w:pPr>
      <w:r w:rsidRPr="00A97392">
        <w:rPr>
          <w:rFonts w:ascii="Arial" w:hAnsi="Arial" w:cs="Arial"/>
          <w:b/>
          <w:sz w:val="19"/>
          <w:szCs w:val="19"/>
          <w:lang w:val="es-MX"/>
        </w:rPr>
        <w:t>Capítulo Noveno</w:t>
      </w:r>
    </w:p>
    <w:p w:rsidR="00491707" w:rsidRPr="00A97392" w:rsidRDefault="00491707" w:rsidP="00491707">
      <w:pPr>
        <w:pStyle w:val="Sinespaciado"/>
        <w:jc w:val="center"/>
        <w:rPr>
          <w:rFonts w:ascii="Arial" w:hAnsi="Arial" w:cs="Arial"/>
          <w:b/>
          <w:sz w:val="19"/>
          <w:szCs w:val="19"/>
          <w:lang w:val="es-MX"/>
        </w:rPr>
      </w:pPr>
      <w:r w:rsidRPr="00A97392">
        <w:rPr>
          <w:rFonts w:ascii="Arial" w:hAnsi="Arial" w:cs="Arial"/>
          <w:b/>
          <w:sz w:val="19"/>
          <w:szCs w:val="19"/>
          <w:lang w:val="es-MX"/>
        </w:rPr>
        <w:lastRenderedPageBreak/>
        <w:t>De la gestión de Transferencia de Recursos a Municipios</w:t>
      </w:r>
    </w:p>
    <w:p w:rsidR="00491707" w:rsidRPr="00A97392" w:rsidRDefault="00491707" w:rsidP="00491707">
      <w:pPr>
        <w:pStyle w:val="Sinespaciado"/>
        <w:jc w:val="center"/>
        <w:rPr>
          <w:rFonts w:ascii="Arial" w:hAnsi="Arial" w:cs="Arial"/>
          <w:sz w:val="19"/>
          <w:szCs w:val="19"/>
          <w:lang w:val="es-MX"/>
        </w:rPr>
      </w:pPr>
    </w:p>
    <w:p w:rsidR="00491707" w:rsidRPr="00A97392" w:rsidRDefault="00491707" w:rsidP="00765C76">
      <w:pPr>
        <w:numPr>
          <w:ilvl w:val="0"/>
          <w:numId w:val="42"/>
        </w:numPr>
        <w:tabs>
          <w:tab w:val="left" w:pos="709"/>
        </w:tabs>
        <w:ind w:left="709" w:hanging="425"/>
        <w:contextualSpacing/>
        <w:jc w:val="both"/>
        <w:rPr>
          <w:rFonts w:ascii="Arial" w:hAnsi="Arial" w:cs="Arial"/>
          <w:sz w:val="19"/>
          <w:szCs w:val="19"/>
        </w:rPr>
      </w:pPr>
      <w:r w:rsidRPr="00A97392">
        <w:rPr>
          <w:rFonts w:ascii="Arial" w:hAnsi="Arial" w:cs="Arial"/>
          <w:sz w:val="19"/>
          <w:szCs w:val="19"/>
        </w:rPr>
        <w:t>Los Municipios deberán mediante Acta de Acuerdo de Sesión de Cabildo notificar la cuenta bancaria productiva específica para la recepción y administración de los recursos por cada PIP, así como la autorización de los concejales que suscribirán a nombre del Municipio el Convenio de Coinversión; Transferencia de Recursos Federales y/o Convenio de Coordinación.</w:t>
      </w:r>
    </w:p>
    <w:p w:rsidR="00491707" w:rsidRPr="00A97392" w:rsidRDefault="00491707" w:rsidP="00491707">
      <w:pPr>
        <w:ind w:left="284"/>
        <w:contextualSpacing/>
        <w:jc w:val="both"/>
        <w:rPr>
          <w:rFonts w:ascii="Arial" w:hAnsi="Arial" w:cs="Arial"/>
          <w:sz w:val="19"/>
          <w:szCs w:val="19"/>
        </w:rPr>
      </w:pPr>
    </w:p>
    <w:p w:rsidR="00491707" w:rsidRPr="00A97392" w:rsidRDefault="00491707" w:rsidP="00491707">
      <w:pPr>
        <w:ind w:left="709"/>
        <w:contextualSpacing/>
        <w:jc w:val="both"/>
        <w:rPr>
          <w:rFonts w:ascii="Arial" w:hAnsi="Arial" w:cs="Arial"/>
          <w:sz w:val="19"/>
          <w:szCs w:val="19"/>
        </w:rPr>
      </w:pPr>
      <w:r w:rsidRPr="00A97392">
        <w:rPr>
          <w:rFonts w:ascii="Arial" w:hAnsi="Arial" w:cs="Arial"/>
          <w:sz w:val="19"/>
          <w:szCs w:val="19"/>
        </w:rPr>
        <w:t xml:space="preserve">Se exceptúa de lo anterior los Municipios que se encuentren en los supuestos señalados en la Ley de Coordinación Fiscal para el Estado de Oaxaca. </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2"/>
        </w:numPr>
        <w:ind w:left="709" w:hanging="425"/>
        <w:contextualSpacing/>
        <w:jc w:val="both"/>
        <w:rPr>
          <w:rFonts w:ascii="Arial" w:hAnsi="Arial" w:cs="Arial"/>
          <w:sz w:val="19"/>
          <w:szCs w:val="19"/>
        </w:rPr>
      </w:pPr>
      <w:r w:rsidRPr="00A97392">
        <w:rPr>
          <w:rFonts w:ascii="Arial" w:hAnsi="Arial" w:cs="Arial"/>
          <w:sz w:val="19"/>
          <w:szCs w:val="19"/>
        </w:rPr>
        <w:t>Los Municipios, para solicitar la transferencia de recursos presentarán los siguientes documentos:</w:t>
      </w:r>
    </w:p>
    <w:p w:rsidR="00491707" w:rsidRPr="00A97392" w:rsidRDefault="00491707" w:rsidP="00491707">
      <w:pPr>
        <w:pStyle w:val="Prrafodelista"/>
        <w:ind w:left="408" w:hanging="29"/>
        <w:rPr>
          <w:rFonts w:ascii="Arial" w:hAnsi="Arial" w:cs="Arial"/>
          <w:sz w:val="19"/>
          <w:szCs w:val="19"/>
        </w:rPr>
      </w:pPr>
    </w:p>
    <w:p w:rsidR="00491707" w:rsidRPr="00A97392" w:rsidRDefault="00491707" w:rsidP="00491707">
      <w:pPr>
        <w:pStyle w:val="Prrafodelista"/>
        <w:numPr>
          <w:ilvl w:val="0"/>
          <w:numId w:val="38"/>
        </w:numPr>
        <w:ind w:left="1134" w:hanging="425"/>
        <w:jc w:val="both"/>
        <w:rPr>
          <w:rFonts w:ascii="Arial" w:hAnsi="Arial" w:cs="Arial"/>
          <w:sz w:val="19"/>
          <w:szCs w:val="19"/>
        </w:rPr>
      </w:pPr>
      <w:r w:rsidRPr="00A97392">
        <w:rPr>
          <w:rFonts w:ascii="Arial" w:hAnsi="Arial" w:cs="Arial"/>
          <w:sz w:val="19"/>
          <w:szCs w:val="19"/>
        </w:rPr>
        <w:t>Convenio suscrito por los concejales autorizados en acuerdo de sesión de cabildo, y</w:t>
      </w:r>
    </w:p>
    <w:p w:rsidR="00491707" w:rsidRPr="00A97392" w:rsidRDefault="00491707" w:rsidP="00491707">
      <w:pPr>
        <w:pStyle w:val="Prrafodelista"/>
        <w:ind w:left="349"/>
        <w:jc w:val="both"/>
        <w:rPr>
          <w:rFonts w:ascii="Arial" w:hAnsi="Arial" w:cs="Arial"/>
          <w:sz w:val="19"/>
          <w:szCs w:val="19"/>
        </w:rPr>
      </w:pPr>
    </w:p>
    <w:p w:rsidR="00491707" w:rsidRPr="00A97392" w:rsidRDefault="00491707" w:rsidP="00491707">
      <w:pPr>
        <w:pStyle w:val="Prrafodelista"/>
        <w:numPr>
          <w:ilvl w:val="0"/>
          <w:numId w:val="38"/>
        </w:numPr>
        <w:ind w:left="1134" w:hanging="425"/>
        <w:jc w:val="both"/>
        <w:rPr>
          <w:rFonts w:ascii="Arial" w:hAnsi="Arial" w:cs="Arial"/>
          <w:sz w:val="19"/>
          <w:szCs w:val="19"/>
        </w:rPr>
      </w:pPr>
      <w:r w:rsidRPr="00A97392">
        <w:rPr>
          <w:rFonts w:ascii="Arial" w:hAnsi="Arial" w:cs="Arial"/>
          <w:sz w:val="19"/>
          <w:szCs w:val="19"/>
        </w:rPr>
        <w:t>Comprobante Fiscal Digital por Internet (CFDI) emitido por la Tesorería Municipal.</w:t>
      </w:r>
    </w:p>
    <w:p w:rsidR="00491707" w:rsidRPr="00A97392" w:rsidRDefault="00491707" w:rsidP="00491707">
      <w:pPr>
        <w:pStyle w:val="Prrafodelista"/>
        <w:ind w:left="1134" w:hanging="425"/>
        <w:jc w:val="both"/>
        <w:rPr>
          <w:rFonts w:ascii="Arial" w:hAnsi="Arial" w:cs="Arial"/>
          <w:sz w:val="19"/>
          <w:szCs w:val="19"/>
        </w:rPr>
      </w:pPr>
    </w:p>
    <w:p w:rsidR="00491707" w:rsidRPr="00A97392" w:rsidRDefault="00491707" w:rsidP="00491707">
      <w:pPr>
        <w:numPr>
          <w:ilvl w:val="0"/>
          <w:numId w:val="42"/>
        </w:numPr>
        <w:ind w:left="709" w:hanging="425"/>
        <w:contextualSpacing/>
        <w:jc w:val="both"/>
        <w:rPr>
          <w:rFonts w:ascii="Arial" w:hAnsi="Arial" w:cs="Arial"/>
          <w:sz w:val="19"/>
          <w:szCs w:val="19"/>
        </w:rPr>
      </w:pPr>
      <w:r w:rsidRPr="00A97392">
        <w:rPr>
          <w:rFonts w:ascii="Arial" w:hAnsi="Arial" w:cs="Arial"/>
          <w:sz w:val="19"/>
          <w:szCs w:val="19"/>
        </w:rPr>
        <w:t>La transferencia de recursos estará sujeto al calendario financiero anexo al oficio de autorización y/o a la disponibilidad presupuestaria.</w:t>
      </w:r>
    </w:p>
    <w:p w:rsidR="00491707" w:rsidRPr="00A97392" w:rsidRDefault="00491707" w:rsidP="00491707">
      <w:pPr>
        <w:contextualSpacing/>
        <w:jc w:val="both"/>
        <w:rPr>
          <w:rFonts w:ascii="Arial" w:hAnsi="Arial" w:cs="Arial"/>
          <w:sz w:val="19"/>
          <w:szCs w:val="19"/>
        </w:rPr>
      </w:pPr>
    </w:p>
    <w:p w:rsidR="00491707" w:rsidRPr="00A97392" w:rsidRDefault="00491707" w:rsidP="00491707">
      <w:pPr>
        <w:numPr>
          <w:ilvl w:val="0"/>
          <w:numId w:val="42"/>
        </w:numPr>
        <w:ind w:left="709" w:hanging="425"/>
        <w:contextualSpacing/>
        <w:jc w:val="both"/>
        <w:rPr>
          <w:rFonts w:ascii="Arial" w:hAnsi="Arial" w:cs="Arial"/>
          <w:sz w:val="19"/>
          <w:szCs w:val="19"/>
        </w:rPr>
      </w:pPr>
      <w:r w:rsidRPr="00A97392">
        <w:rPr>
          <w:rFonts w:ascii="Arial" w:hAnsi="Arial" w:cs="Arial"/>
          <w:sz w:val="19"/>
          <w:szCs w:val="19"/>
        </w:rPr>
        <w:t>Se exceptúa del cumplimiento del Título Segundo, Capítulos primero, segundo, tercero, cuarto y quinto a los Municipios a los que la Federación les apruebe en el Decreto de Presupuesto de Egresos de la Federación o Convenios la transferencia de recursos públicos.</w:t>
      </w:r>
    </w:p>
    <w:p w:rsidR="00491707" w:rsidRPr="00A97392" w:rsidRDefault="00491707" w:rsidP="00491707">
      <w:pPr>
        <w:pStyle w:val="Prrafodelista"/>
        <w:rPr>
          <w:rFonts w:ascii="Arial" w:hAnsi="Arial" w:cs="Arial"/>
          <w:sz w:val="19"/>
          <w:szCs w:val="19"/>
        </w:rPr>
      </w:pPr>
    </w:p>
    <w:p w:rsidR="00491707" w:rsidRPr="00A97392" w:rsidRDefault="00491707" w:rsidP="00491707">
      <w:pPr>
        <w:pStyle w:val="Prrafodelista"/>
        <w:jc w:val="both"/>
        <w:rPr>
          <w:rFonts w:ascii="Arial" w:hAnsi="Arial" w:cs="Arial"/>
          <w:sz w:val="19"/>
          <w:szCs w:val="19"/>
        </w:rPr>
      </w:pPr>
      <w:r w:rsidRPr="00A97392">
        <w:rPr>
          <w:rFonts w:ascii="Arial" w:hAnsi="Arial" w:cs="Arial"/>
          <w:sz w:val="19"/>
          <w:szCs w:val="19"/>
        </w:rPr>
        <w:t>En los casos señalados en la Ley de Coordinación Fiscal para el Estado de Oaxaca, se estará a lo dispuesto en los artículos 8 A y 8 B de la misma.</w:t>
      </w:r>
    </w:p>
    <w:p w:rsidR="00491707" w:rsidRPr="00A97392" w:rsidRDefault="00491707" w:rsidP="00491707">
      <w:pPr>
        <w:ind w:left="284"/>
        <w:contextualSpacing/>
        <w:jc w:val="center"/>
        <w:rPr>
          <w:rFonts w:ascii="Arial" w:hAnsi="Arial" w:cs="Arial"/>
          <w:b/>
          <w:sz w:val="19"/>
          <w:szCs w:val="19"/>
        </w:rPr>
      </w:pPr>
      <w:r w:rsidRPr="00A97392">
        <w:rPr>
          <w:rFonts w:ascii="Arial" w:hAnsi="Arial" w:cs="Arial"/>
          <w:b/>
          <w:sz w:val="19"/>
          <w:szCs w:val="19"/>
        </w:rPr>
        <w:t>Título Tercero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De la Responsabilidad Hacendaria</w:t>
      </w:r>
    </w:p>
    <w:p w:rsidR="00491707" w:rsidRPr="00A97392" w:rsidRDefault="00491707" w:rsidP="00491707">
      <w:pPr>
        <w:jc w:val="center"/>
        <w:rPr>
          <w:rFonts w:ascii="Arial" w:hAnsi="Arial" w:cs="Arial"/>
          <w:b/>
          <w:sz w:val="19"/>
          <w:szCs w:val="19"/>
        </w:rPr>
      </w:pPr>
    </w:p>
    <w:p w:rsidR="00491707" w:rsidRPr="00A97392" w:rsidRDefault="00491707" w:rsidP="00491707">
      <w:pPr>
        <w:jc w:val="center"/>
        <w:rPr>
          <w:rFonts w:ascii="Arial" w:hAnsi="Arial" w:cs="Arial"/>
          <w:sz w:val="19"/>
          <w:szCs w:val="19"/>
        </w:rPr>
      </w:pPr>
      <w:r w:rsidRPr="00A97392">
        <w:rPr>
          <w:rFonts w:ascii="Arial" w:hAnsi="Arial" w:cs="Arial"/>
          <w:b/>
          <w:sz w:val="19"/>
          <w:szCs w:val="19"/>
        </w:rPr>
        <w:t>Capítulo Único</w:t>
      </w:r>
    </w:p>
    <w:p w:rsidR="00491707" w:rsidRPr="00A97392" w:rsidRDefault="00491707" w:rsidP="00491707">
      <w:pPr>
        <w:jc w:val="center"/>
        <w:rPr>
          <w:rFonts w:ascii="Arial" w:hAnsi="Arial" w:cs="Arial"/>
          <w:sz w:val="19"/>
          <w:szCs w:val="19"/>
        </w:rPr>
      </w:pPr>
      <w:r w:rsidRPr="00A97392">
        <w:rPr>
          <w:rFonts w:ascii="Arial" w:hAnsi="Arial" w:cs="Arial"/>
          <w:b/>
          <w:sz w:val="19"/>
          <w:szCs w:val="19"/>
        </w:rPr>
        <w:t>De las responsabilidades de los Ejecutores de gasto de Capital</w:t>
      </w:r>
    </w:p>
    <w:p w:rsidR="00491707" w:rsidRPr="00A97392" w:rsidRDefault="00491707" w:rsidP="00491707">
      <w:pPr>
        <w:jc w:val="both"/>
        <w:rPr>
          <w:rFonts w:ascii="Arial" w:hAnsi="Arial" w:cs="Arial"/>
          <w:sz w:val="19"/>
          <w:szCs w:val="19"/>
        </w:rPr>
      </w:pPr>
    </w:p>
    <w:p w:rsidR="00491707" w:rsidRPr="00A97392" w:rsidRDefault="00491707" w:rsidP="00491707">
      <w:pPr>
        <w:numPr>
          <w:ilvl w:val="0"/>
          <w:numId w:val="42"/>
        </w:numPr>
        <w:ind w:left="709" w:hanging="426"/>
        <w:contextualSpacing/>
        <w:jc w:val="both"/>
        <w:rPr>
          <w:rFonts w:ascii="Arial" w:hAnsi="Arial" w:cs="Arial"/>
          <w:sz w:val="19"/>
          <w:szCs w:val="19"/>
        </w:rPr>
      </w:pPr>
      <w:r w:rsidRPr="00A97392">
        <w:rPr>
          <w:rFonts w:ascii="Arial" w:hAnsi="Arial" w:cs="Arial"/>
          <w:sz w:val="19"/>
          <w:szCs w:val="19"/>
        </w:rPr>
        <w:t>Los Ejecutores de gasto de capital son responsables de:</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pStyle w:val="Prrafodelista"/>
        <w:numPr>
          <w:ilvl w:val="0"/>
          <w:numId w:val="39"/>
        </w:numPr>
        <w:ind w:left="1134" w:hanging="425"/>
        <w:jc w:val="both"/>
        <w:rPr>
          <w:rFonts w:ascii="Arial" w:hAnsi="Arial" w:cs="Arial"/>
          <w:sz w:val="19"/>
          <w:szCs w:val="19"/>
        </w:rPr>
      </w:pPr>
      <w:r w:rsidRPr="00A97392">
        <w:rPr>
          <w:rFonts w:ascii="Arial" w:hAnsi="Arial" w:cs="Arial"/>
          <w:sz w:val="19"/>
          <w:szCs w:val="19"/>
        </w:rPr>
        <w:t>Obtener, previo al proceso de contratación, el oficio de opinión a los procedimientos de contratación en apego a la normatividad que para tal efecto emita la Contraloría;</w:t>
      </w:r>
    </w:p>
    <w:p w:rsidR="00491707" w:rsidRPr="00A97392" w:rsidRDefault="00491707" w:rsidP="00491707">
      <w:pPr>
        <w:pStyle w:val="Prrafodelista"/>
        <w:ind w:left="1134" w:hanging="425"/>
        <w:jc w:val="both"/>
        <w:rPr>
          <w:rFonts w:ascii="Arial" w:hAnsi="Arial" w:cs="Arial"/>
          <w:sz w:val="19"/>
          <w:szCs w:val="19"/>
        </w:rPr>
      </w:pPr>
    </w:p>
    <w:p w:rsidR="00491707" w:rsidRPr="00A97392" w:rsidRDefault="00491707" w:rsidP="00491707">
      <w:pPr>
        <w:pStyle w:val="Prrafodelista"/>
        <w:numPr>
          <w:ilvl w:val="0"/>
          <w:numId w:val="39"/>
        </w:numPr>
        <w:ind w:left="1134" w:hanging="425"/>
        <w:jc w:val="both"/>
        <w:rPr>
          <w:rFonts w:ascii="Arial" w:hAnsi="Arial" w:cs="Arial"/>
          <w:sz w:val="19"/>
          <w:szCs w:val="19"/>
        </w:rPr>
      </w:pPr>
      <w:r w:rsidRPr="00A97392">
        <w:rPr>
          <w:rFonts w:ascii="Arial" w:hAnsi="Arial" w:cs="Arial"/>
          <w:sz w:val="19"/>
          <w:szCs w:val="19"/>
        </w:rPr>
        <w:lastRenderedPageBreak/>
        <w:t>Ejercer los recursos en apego a los montos autorizados y a las partidas contratadas;</w:t>
      </w:r>
    </w:p>
    <w:p w:rsidR="00491707" w:rsidRPr="00A97392" w:rsidRDefault="00491707" w:rsidP="00491707">
      <w:pPr>
        <w:pStyle w:val="Prrafodelista"/>
        <w:ind w:left="1134" w:hanging="425"/>
        <w:jc w:val="both"/>
        <w:rPr>
          <w:rFonts w:ascii="Arial" w:hAnsi="Arial" w:cs="Arial"/>
          <w:sz w:val="19"/>
          <w:szCs w:val="19"/>
        </w:rPr>
      </w:pPr>
    </w:p>
    <w:p w:rsidR="00491707" w:rsidRPr="00A97392" w:rsidRDefault="00491707" w:rsidP="00491707">
      <w:pPr>
        <w:pStyle w:val="Prrafodelista"/>
        <w:numPr>
          <w:ilvl w:val="0"/>
          <w:numId w:val="39"/>
        </w:numPr>
        <w:ind w:left="1134" w:hanging="425"/>
        <w:jc w:val="both"/>
        <w:rPr>
          <w:rFonts w:ascii="Arial" w:hAnsi="Arial" w:cs="Arial"/>
          <w:sz w:val="19"/>
          <w:szCs w:val="19"/>
        </w:rPr>
      </w:pPr>
      <w:r w:rsidRPr="00A97392">
        <w:rPr>
          <w:rFonts w:ascii="Arial" w:hAnsi="Arial" w:cs="Arial"/>
          <w:sz w:val="19"/>
          <w:szCs w:val="19"/>
          <w:lang w:val="es-ES_tradnl"/>
        </w:rPr>
        <w:t>Atender los requerimientos de información de la Secretaría, y de los órganos de control y fiscalización estatales o federales, y</w:t>
      </w:r>
    </w:p>
    <w:p w:rsidR="00491707" w:rsidRPr="00A97392" w:rsidRDefault="00491707" w:rsidP="00491707">
      <w:pPr>
        <w:pStyle w:val="Prrafodelista"/>
        <w:ind w:left="1134" w:hanging="425"/>
        <w:jc w:val="both"/>
        <w:rPr>
          <w:rFonts w:ascii="Arial" w:hAnsi="Arial" w:cs="Arial"/>
          <w:sz w:val="19"/>
          <w:szCs w:val="19"/>
        </w:rPr>
      </w:pPr>
    </w:p>
    <w:p w:rsidR="00491707" w:rsidRPr="00A97392" w:rsidRDefault="00491707" w:rsidP="00491707">
      <w:pPr>
        <w:pStyle w:val="Prrafodelista"/>
        <w:numPr>
          <w:ilvl w:val="0"/>
          <w:numId w:val="39"/>
        </w:numPr>
        <w:ind w:left="1134" w:hanging="425"/>
        <w:jc w:val="both"/>
        <w:rPr>
          <w:rFonts w:ascii="Arial" w:hAnsi="Arial" w:cs="Arial"/>
          <w:sz w:val="19"/>
          <w:szCs w:val="19"/>
        </w:rPr>
      </w:pPr>
      <w:r w:rsidRPr="00A97392">
        <w:rPr>
          <w:rFonts w:ascii="Arial" w:hAnsi="Arial" w:cs="Arial"/>
          <w:sz w:val="19"/>
          <w:szCs w:val="19"/>
          <w:lang w:val="es-ES_tradnl"/>
        </w:rPr>
        <w:t>La veracidad de la información proporcionada durante todas las etapas del proceso de inversión pública.</w:t>
      </w:r>
    </w:p>
    <w:p w:rsidR="00491707" w:rsidRPr="00A97392" w:rsidRDefault="00491707" w:rsidP="00491707">
      <w:pPr>
        <w:pStyle w:val="Prrafodelista"/>
        <w:rPr>
          <w:rFonts w:ascii="Arial" w:hAnsi="Arial" w:cs="Arial"/>
          <w:sz w:val="19"/>
          <w:szCs w:val="19"/>
        </w:rPr>
      </w:pPr>
    </w:p>
    <w:p w:rsidR="00491707" w:rsidRPr="00A97392" w:rsidRDefault="00491707" w:rsidP="00491707">
      <w:pPr>
        <w:numPr>
          <w:ilvl w:val="0"/>
          <w:numId w:val="42"/>
        </w:numPr>
        <w:ind w:left="709" w:hanging="425"/>
        <w:contextualSpacing/>
        <w:jc w:val="both"/>
        <w:rPr>
          <w:rFonts w:ascii="Arial" w:hAnsi="Arial" w:cs="Arial"/>
          <w:sz w:val="19"/>
          <w:szCs w:val="19"/>
        </w:rPr>
      </w:pPr>
      <w:r w:rsidRPr="00A97392">
        <w:rPr>
          <w:rFonts w:ascii="Arial" w:hAnsi="Arial" w:cs="Arial"/>
          <w:sz w:val="19"/>
          <w:szCs w:val="19"/>
        </w:rPr>
        <w:t>Los Ejecutores de gasto de capital se sujetarán a las disposiciones que para efectos de inspección y control emita la Contraloría.</w:t>
      </w:r>
    </w:p>
    <w:p w:rsidR="00491707" w:rsidRPr="00A97392" w:rsidRDefault="00491707" w:rsidP="00491707">
      <w:pPr>
        <w:jc w:val="both"/>
        <w:rPr>
          <w:rFonts w:ascii="Arial" w:hAnsi="Arial" w:cs="Arial"/>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Título Cuarto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De la Rendición de Cuentas y Transparencia</w:t>
      </w:r>
    </w:p>
    <w:p w:rsidR="00491707" w:rsidRPr="00A97392" w:rsidRDefault="00491707" w:rsidP="00491707">
      <w:pPr>
        <w:jc w:val="center"/>
        <w:rPr>
          <w:rFonts w:ascii="Arial" w:hAnsi="Arial" w:cs="Arial"/>
          <w:b/>
          <w:sz w:val="19"/>
          <w:szCs w:val="19"/>
        </w:rPr>
      </w:pPr>
    </w:p>
    <w:p w:rsidR="00491707" w:rsidRPr="00A97392" w:rsidRDefault="00491707" w:rsidP="00491707">
      <w:pPr>
        <w:jc w:val="center"/>
        <w:rPr>
          <w:rFonts w:ascii="Arial" w:hAnsi="Arial" w:cs="Arial"/>
          <w:sz w:val="19"/>
          <w:szCs w:val="19"/>
        </w:rPr>
      </w:pPr>
      <w:r w:rsidRPr="00A97392">
        <w:rPr>
          <w:rFonts w:ascii="Arial" w:hAnsi="Arial" w:cs="Arial"/>
          <w:b/>
          <w:sz w:val="19"/>
          <w:szCs w:val="19"/>
        </w:rPr>
        <w:t>Capítulo Primero</w:t>
      </w:r>
    </w:p>
    <w:p w:rsidR="00491707" w:rsidRPr="00A97392" w:rsidRDefault="00491707" w:rsidP="00491707">
      <w:pPr>
        <w:jc w:val="center"/>
        <w:rPr>
          <w:rFonts w:ascii="Arial" w:hAnsi="Arial" w:cs="Arial"/>
          <w:sz w:val="19"/>
          <w:szCs w:val="19"/>
        </w:rPr>
      </w:pPr>
      <w:r w:rsidRPr="00A97392">
        <w:rPr>
          <w:rFonts w:ascii="Arial" w:hAnsi="Arial" w:cs="Arial"/>
          <w:b/>
          <w:sz w:val="19"/>
          <w:szCs w:val="19"/>
        </w:rPr>
        <w:t>De la Rendición de Cuentas de la inversión pública</w:t>
      </w:r>
    </w:p>
    <w:p w:rsidR="00491707" w:rsidRPr="00A97392" w:rsidRDefault="00491707" w:rsidP="00491707">
      <w:pPr>
        <w:jc w:val="both"/>
        <w:rPr>
          <w:rFonts w:ascii="Arial" w:hAnsi="Arial" w:cs="Arial"/>
          <w:sz w:val="19"/>
          <w:szCs w:val="19"/>
        </w:rPr>
      </w:pPr>
    </w:p>
    <w:p w:rsidR="00491707" w:rsidRPr="00A97392" w:rsidRDefault="00491707" w:rsidP="00491707">
      <w:pPr>
        <w:numPr>
          <w:ilvl w:val="0"/>
          <w:numId w:val="42"/>
        </w:numPr>
        <w:ind w:left="709" w:hanging="426"/>
        <w:contextualSpacing/>
        <w:jc w:val="both"/>
        <w:rPr>
          <w:rFonts w:ascii="Arial" w:hAnsi="Arial" w:cs="Arial"/>
          <w:sz w:val="19"/>
          <w:szCs w:val="19"/>
        </w:rPr>
      </w:pPr>
      <w:r w:rsidRPr="00A97392">
        <w:rPr>
          <w:rFonts w:ascii="Arial" w:hAnsi="Arial" w:cs="Arial"/>
          <w:sz w:val="19"/>
          <w:szCs w:val="19"/>
        </w:rPr>
        <w:t xml:space="preserve">Los Ejecutores de gasto de capital que ejecuten inversión pública, deberán integrar en su contabilidad el ejercicio de los mismos, además de registrar los activos adquiridos como parte de su patrimonio en cumplimiento a lo establecido en la Ley General de Contabilidad Gubernamental. </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2"/>
        </w:numPr>
        <w:ind w:left="709" w:hanging="425"/>
        <w:contextualSpacing/>
        <w:jc w:val="both"/>
        <w:rPr>
          <w:rFonts w:ascii="Arial" w:hAnsi="Arial" w:cs="Arial"/>
          <w:sz w:val="19"/>
          <w:szCs w:val="19"/>
        </w:rPr>
      </w:pPr>
      <w:r w:rsidRPr="00A97392">
        <w:rPr>
          <w:rFonts w:ascii="Arial" w:hAnsi="Arial" w:cs="Arial"/>
          <w:sz w:val="19"/>
          <w:szCs w:val="19"/>
        </w:rPr>
        <w:t>Los Ejecutores de gasto de capital registrarán mensualmente a través del Sistema electrónico los avances físicos - financieros, a partir de la autorización y hasta el cierre del PIP.</w:t>
      </w:r>
    </w:p>
    <w:p w:rsidR="00491707" w:rsidRPr="00A97392" w:rsidRDefault="00491707" w:rsidP="00491707">
      <w:pPr>
        <w:ind w:left="850"/>
        <w:contextualSpacing/>
        <w:jc w:val="both"/>
        <w:rPr>
          <w:rFonts w:ascii="Arial" w:hAnsi="Arial" w:cs="Arial"/>
          <w:sz w:val="19"/>
          <w:szCs w:val="19"/>
        </w:rPr>
      </w:pPr>
    </w:p>
    <w:p w:rsidR="00491707" w:rsidRPr="00A97392" w:rsidRDefault="00491707" w:rsidP="00491707">
      <w:pPr>
        <w:numPr>
          <w:ilvl w:val="0"/>
          <w:numId w:val="42"/>
        </w:numPr>
        <w:ind w:left="709" w:hanging="425"/>
        <w:contextualSpacing/>
        <w:jc w:val="both"/>
        <w:rPr>
          <w:rFonts w:ascii="Arial" w:hAnsi="Arial" w:cs="Arial"/>
          <w:sz w:val="19"/>
          <w:szCs w:val="19"/>
        </w:rPr>
      </w:pPr>
      <w:r w:rsidRPr="00A97392">
        <w:rPr>
          <w:rFonts w:ascii="Arial" w:hAnsi="Arial" w:cs="Arial"/>
          <w:sz w:val="19"/>
          <w:szCs w:val="19"/>
        </w:rPr>
        <w:t xml:space="preserve">Los Ejecutores de gasto de capital están obligados a realizar la captura del avance físico – financiero de los PIP que sean autorizados con recursos de los Fondos de Aportaciones Federales (Ramo 33) y del Gasto Federal Reasignado, en los formatos a nivel proyecto y financiero, a través del SFU del Portal Aplicativo disponible en la página de internet http://www.sistema.hacienda.gob.mx que para tal fin ha dispuesto la Secretaría de Hacienda y Crédito Público. </w:t>
      </w:r>
    </w:p>
    <w:p w:rsidR="00491707" w:rsidRPr="00A97392" w:rsidRDefault="00491707" w:rsidP="00491707">
      <w:pPr>
        <w:jc w:val="center"/>
        <w:rPr>
          <w:rFonts w:ascii="Arial" w:hAnsi="Arial" w:cs="Arial"/>
          <w:b/>
          <w:sz w:val="19"/>
          <w:szCs w:val="19"/>
        </w:rPr>
      </w:pP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Capítulo Segundo</w:t>
      </w:r>
    </w:p>
    <w:p w:rsidR="00491707" w:rsidRPr="00A97392" w:rsidRDefault="00491707" w:rsidP="00491707">
      <w:pPr>
        <w:jc w:val="center"/>
        <w:rPr>
          <w:rFonts w:ascii="Arial" w:hAnsi="Arial" w:cs="Arial"/>
          <w:b/>
          <w:sz w:val="19"/>
          <w:szCs w:val="19"/>
        </w:rPr>
      </w:pPr>
      <w:r w:rsidRPr="00A97392">
        <w:rPr>
          <w:rFonts w:ascii="Arial" w:hAnsi="Arial" w:cs="Arial"/>
          <w:b/>
          <w:sz w:val="19"/>
          <w:szCs w:val="19"/>
        </w:rPr>
        <w:t xml:space="preserve">De la Transparencia </w:t>
      </w:r>
    </w:p>
    <w:p w:rsidR="00491707" w:rsidRPr="00A97392" w:rsidRDefault="00491707" w:rsidP="00491707">
      <w:pPr>
        <w:jc w:val="center"/>
        <w:rPr>
          <w:rFonts w:ascii="Arial" w:hAnsi="Arial" w:cs="Arial"/>
          <w:b/>
          <w:sz w:val="19"/>
          <w:szCs w:val="19"/>
        </w:rPr>
      </w:pPr>
    </w:p>
    <w:p w:rsidR="00491707" w:rsidRPr="00A97392" w:rsidRDefault="00491707" w:rsidP="00491707">
      <w:pPr>
        <w:numPr>
          <w:ilvl w:val="0"/>
          <w:numId w:val="42"/>
        </w:numPr>
        <w:ind w:left="709" w:hanging="425"/>
        <w:jc w:val="both"/>
        <w:rPr>
          <w:rFonts w:ascii="Arial" w:hAnsi="Arial" w:cs="Arial"/>
          <w:sz w:val="19"/>
          <w:szCs w:val="19"/>
        </w:rPr>
      </w:pPr>
      <w:r w:rsidRPr="00A97392">
        <w:rPr>
          <w:rFonts w:ascii="Arial" w:hAnsi="Arial" w:cs="Arial"/>
          <w:sz w:val="19"/>
          <w:szCs w:val="19"/>
        </w:rPr>
        <w:t>Los reportes de avance físico – financieros capturados en el SFU trimestralmente, deberán ser publicados en las páginas de internet o medios locales de difusión de cada uno de los Ejecutores de gasto de capital, de conformidad con lo establecido en la Ley de Coordinación Fiscal, Reglas de Operación, Programas o Convenios Federales según sea el caso.</w:t>
      </w:r>
    </w:p>
    <w:p w:rsidR="00491707" w:rsidRDefault="00491707" w:rsidP="00491707">
      <w:pPr>
        <w:jc w:val="center"/>
        <w:rPr>
          <w:rFonts w:ascii="Arial" w:hAnsi="Arial" w:cs="Arial"/>
          <w:b/>
          <w:sz w:val="19"/>
          <w:szCs w:val="19"/>
        </w:rPr>
      </w:pPr>
    </w:p>
    <w:p w:rsidR="00896FBE" w:rsidRPr="00A97392" w:rsidRDefault="00896FBE" w:rsidP="00491707">
      <w:pPr>
        <w:jc w:val="center"/>
        <w:rPr>
          <w:rFonts w:ascii="Arial" w:hAnsi="Arial" w:cs="Arial"/>
          <w:b/>
          <w:sz w:val="19"/>
          <w:szCs w:val="19"/>
        </w:rPr>
      </w:pPr>
    </w:p>
    <w:p w:rsidR="000B107B" w:rsidRPr="00A97392" w:rsidRDefault="000B107B" w:rsidP="000B107B">
      <w:pPr>
        <w:pStyle w:val="Prrafodelista"/>
        <w:ind w:left="0"/>
        <w:jc w:val="center"/>
        <w:rPr>
          <w:rFonts w:ascii="Arial" w:hAnsi="Arial" w:cs="Arial"/>
          <w:b/>
          <w:sz w:val="18"/>
          <w:szCs w:val="19"/>
        </w:rPr>
      </w:pPr>
      <w:r w:rsidRPr="00A97392">
        <w:rPr>
          <w:rFonts w:ascii="Arial" w:hAnsi="Arial" w:cs="Arial"/>
          <w:b/>
          <w:sz w:val="18"/>
          <w:szCs w:val="19"/>
        </w:rPr>
        <w:t>TRANSITORIOS</w:t>
      </w:r>
    </w:p>
    <w:p w:rsidR="000B107B" w:rsidRPr="00A97392" w:rsidRDefault="000B107B" w:rsidP="000B107B">
      <w:pPr>
        <w:jc w:val="center"/>
        <w:rPr>
          <w:rFonts w:ascii="Arial" w:hAnsi="Arial" w:cs="Arial"/>
          <w:b/>
          <w:sz w:val="18"/>
          <w:szCs w:val="19"/>
          <w:lang w:val="es-ES_tradnl"/>
        </w:rPr>
      </w:pPr>
      <w:r w:rsidRPr="00A97392">
        <w:rPr>
          <w:rFonts w:ascii="Arial" w:hAnsi="Arial" w:cs="Arial"/>
          <w:b/>
          <w:sz w:val="18"/>
          <w:szCs w:val="19"/>
          <w:lang w:val="es-ES_tradnl"/>
        </w:rPr>
        <w:t xml:space="preserve">ACUERDO </w:t>
      </w:r>
      <w:r w:rsidRPr="00A97392">
        <w:rPr>
          <w:rFonts w:ascii="Arial" w:hAnsi="Arial" w:cs="Arial"/>
          <w:b/>
          <w:sz w:val="18"/>
          <w:szCs w:val="19"/>
          <w:lang w:val="es-MX"/>
        </w:rPr>
        <w:t>PPOE QUINTA SECCIÓN DE FECHA 27 DE FEBRERO DE 2016</w:t>
      </w:r>
    </w:p>
    <w:p w:rsidR="00491707" w:rsidRPr="00A97392" w:rsidRDefault="00491707" w:rsidP="00491707">
      <w:pPr>
        <w:jc w:val="both"/>
        <w:rPr>
          <w:rFonts w:ascii="Arial" w:hAnsi="Arial" w:cs="Arial"/>
          <w:sz w:val="18"/>
          <w:szCs w:val="19"/>
          <w:lang w:val="es-ES_tradnl"/>
        </w:rPr>
      </w:pPr>
    </w:p>
    <w:p w:rsidR="00491707" w:rsidRPr="00A97392" w:rsidRDefault="00491707" w:rsidP="00491707">
      <w:pPr>
        <w:jc w:val="both"/>
        <w:rPr>
          <w:rFonts w:ascii="Arial" w:hAnsi="Arial" w:cs="Arial"/>
          <w:sz w:val="18"/>
          <w:szCs w:val="19"/>
        </w:rPr>
      </w:pPr>
      <w:r w:rsidRPr="00A97392">
        <w:rPr>
          <w:rFonts w:ascii="Arial" w:hAnsi="Arial" w:cs="Arial"/>
          <w:b/>
          <w:sz w:val="18"/>
          <w:szCs w:val="19"/>
        </w:rPr>
        <w:t>PRIMERO:</w:t>
      </w:r>
      <w:r w:rsidRPr="00A97392">
        <w:rPr>
          <w:rFonts w:ascii="Arial" w:hAnsi="Arial" w:cs="Arial"/>
          <w:sz w:val="18"/>
          <w:szCs w:val="19"/>
        </w:rPr>
        <w:t xml:space="preserve"> El presente Acuerdo entrará en vigor el ocho de febrero de dos mil dieciséis, previa publicación en el Órgano de Difusión Oficial del Estado.</w:t>
      </w:r>
    </w:p>
    <w:p w:rsidR="00491707" w:rsidRPr="00A97392" w:rsidRDefault="00491707" w:rsidP="00491707">
      <w:pPr>
        <w:jc w:val="both"/>
        <w:rPr>
          <w:rFonts w:ascii="Arial" w:hAnsi="Arial" w:cs="Arial"/>
          <w:sz w:val="18"/>
          <w:szCs w:val="19"/>
        </w:rPr>
      </w:pPr>
    </w:p>
    <w:p w:rsidR="002B7DFC" w:rsidRPr="00A97392" w:rsidRDefault="00491707" w:rsidP="00DA17B1">
      <w:pPr>
        <w:jc w:val="both"/>
        <w:rPr>
          <w:rFonts w:ascii="Arial" w:hAnsi="Arial" w:cs="Arial"/>
          <w:sz w:val="18"/>
          <w:szCs w:val="19"/>
        </w:rPr>
      </w:pPr>
      <w:r w:rsidRPr="00A97392">
        <w:rPr>
          <w:rFonts w:ascii="Arial" w:hAnsi="Arial" w:cs="Arial"/>
          <w:b/>
          <w:sz w:val="18"/>
          <w:szCs w:val="19"/>
        </w:rPr>
        <w:t xml:space="preserve">SEGUNDO: </w:t>
      </w:r>
      <w:r w:rsidRPr="00A97392">
        <w:rPr>
          <w:rFonts w:ascii="Arial" w:hAnsi="Arial" w:cs="Arial"/>
          <w:sz w:val="18"/>
          <w:szCs w:val="19"/>
        </w:rPr>
        <w:t>Se deja sin efectos el Acuerdo por el que se emiten los Lineamientos para la Operación de los Programas y Proyectos de Inversión publicado en el Órgano de Difusión Oficial del Estado el 23 de mayo de 2015 y sus reformas.</w:t>
      </w:r>
    </w:p>
    <w:p w:rsidR="002B7DFC" w:rsidRPr="00A97392" w:rsidRDefault="002B7DFC" w:rsidP="00A2429D">
      <w:pPr>
        <w:jc w:val="both"/>
        <w:rPr>
          <w:rFonts w:ascii="Arial" w:hAnsi="Arial" w:cs="Arial"/>
          <w:sz w:val="18"/>
          <w:szCs w:val="19"/>
          <w:lang w:val="es-ES_tradnl"/>
        </w:rPr>
      </w:pPr>
    </w:p>
    <w:p w:rsidR="006B188A" w:rsidRPr="00A97392" w:rsidRDefault="00DA17B1" w:rsidP="00A2429D">
      <w:pPr>
        <w:jc w:val="both"/>
        <w:rPr>
          <w:rFonts w:ascii="Arial" w:hAnsi="Arial" w:cs="Arial"/>
          <w:sz w:val="18"/>
          <w:szCs w:val="19"/>
        </w:rPr>
      </w:pPr>
      <w:r w:rsidRPr="00A97392">
        <w:rPr>
          <w:rFonts w:ascii="Arial" w:hAnsi="Arial" w:cs="Arial"/>
          <w:sz w:val="18"/>
          <w:szCs w:val="19"/>
          <w:lang w:val="es-MX"/>
        </w:rPr>
        <w:t>ATENTAMENTE</w:t>
      </w:r>
      <w:r w:rsidR="006B188A" w:rsidRPr="00A97392">
        <w:rPr>
          <w:rFonts w:ascii="Arial" w:hAnsi="Arial" w:cs="Arial"/>
          <w:sz w:val="18"/>
          <w:szCs w:val="19"/>
          <w:lang w:val="es-MX"/>
        </w:rPr>
        <w:t>.- “EL RESPETO AL DERECHO AJENO ES LA PAZ”.- ENRIQUE CELSO ARNAUD VIÑAS.- SECRETARIO DE FINANZAS.- Rúbrica.</w:t>
      </w:r>
    </w:p>
    <w:p w:rsidR="006B188A" w:rsidRPr="00A97392" w:rsidRDefault="006B188A" w:rsidP="00A2429D">
      <w:pPr>
        <w:jc w:val="both"/>
        <w:rPr>
          <w:rFonts w:ascii="Arial" w:hAnsi="Arial" w:cs="Arial"/>
          <w:sz w:val="18"/>
          <w:szCs w:val="19"/>
        </w:rPr>
      </w:pPr>
    </w:p>
    <w:p w:rsidR="006B188A" w:rsidRPr="00A97392" w:rsidRDefault="006B188A" w:rsidP="00A2429D">
      <w:pPr>
        <w:jc w:val="both"/>
        <w:rPr>
          <w:rFonts w:ascii="Arial" w:hAnsi="Arial" w:cs="Arial"/>
          <w:sz w:val="18"/>
          <w:szCs w:val="19"/>
        </w:rPr>
      </w:pPr>
      <w:r w:rsidRPr="00A97392">
        <w:rPr>
          <w:rFonts w:ascii="Arial" w:hAnsi="Arial" w:cs="Arial"/>
          <w:sz w:val="18"/>
          <w:szCs w:val="19"/>
        </w:rPr>
        <w:t xml:space="preserve">Dado en Reyes Mantecón, San Bartolo Coyotepec, Oaxaca, </w:t>
      </w:r>
      <w:r w:rsidR="00DA17B1" w:rsidRPr="00A97392">
        <w:rPr>
          <w:rFonts w:ascii="Arial" w:hAnsi="Arial" w:cs="Arial"/>
          <w:sz w:val="18"/>
          <w:szCs w:val="19"/>
        </w:rPr>
        <w:t>15</w:t>
      </w:r>
      <w:r w:rsidR="002B7DFC" w:rsidRPr="00A97392">
        <w:rPr>
          <w:rFonts w:ascii="Arial" w:hAnsi="Arial" w:cs="Arial"/>
          <w:sz w:val="18"/>
          <w:szCs w:val="19"/>
        </w:rPr>
        <w:t xml:space="preserve"> de </w:t>
      </w:r>
      <w:r w:rsidR="00DA17B1" w:rsidRPr="00A97392">
        <w:rPr>
          <w:rFonts w:ascii="Arial" w:hAnsi="Arial" w:cs="Arial"/>
          <w:sz w:val="18"/>
          <w:szCs w:val="19"/>
        </w:rPr>
        <w:t>febrero de 2016</w:t>
      </w:r>
      <w:r w:rsidRPr="00A97392">
        <w:rPr>
          <w:rFonts w:ascii="Arial" w:hAnsi="Arial" w:cs="Arial"/>
          <w:sz w:val="18"/>
          <w:szCs w:val="19"/>
        </w:rPr>
        <w:t>.</w:t>
      </w:r>
    </w:p>
    <w:p w:rsidR="00074EF3" w:rsidRPr="00A97392" w:rsidRDefault="00074EF3" w:rsidP="006B52D9">
      <w:pPr>
        <w:ind w:left="567" w:hanging="567"/>
        <w:rPr>
          <w:rFonts w:ascii="Arial" w:hAnsi="Arial" w:cs="Arial"/>
          <w:sz w:val="18"/>
          <w:szCs w:val="19"/>
        </w:rPr>
      </w:pPr>
    </w:p>
    <w:sectPr w:rsidR="00074EF3" w:rsidRPr="00A97392" w:rsidSect="00C74F23">
      <w:headerReference w:type="default" r:id="rId8"/>
      <w:footerReference w:type="even" r:id="rId9"/>
      <w:footerReference w:type="default" r:id="rId10"/>
      <w:headerReference w:type="first" r:id="rId11"/>
      <w:pgSz w:w="9185" w:h="12984" w:code="28"/>
      <w:pgMar w:top="1073" w:right="1247" w:bottom="1276" w:left="1304" w:header="709" w:footer="66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02" w:rsidRDefault="00FB6102">
      <w:r>
        <w:separator/>
      </w:r>
    </w:p>
  </w:endnote>
  <w:endnote w:type="continuationSeparator" w:id="0">
    <w:p w:rsidR="00FB6102" w:rsidRDefault="00FB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88" w:rsidRDefault="00C47A88" w:rsidP="00B51C17">
    <w:pPr>
      <w:pStyle w:val="Piedepgina"/>
    </w:pPr>
  </w:p>
  <w:p w:rsidR="00C47A88" w:rsidRPr="00B51C17" w:rsidRDefault="00CE533F" w:rsidP="00B51C17">
    <w:pPr>
      <w:pStyle w:val="Piedepgina"/>
      <w:framePr w:wrap="around" w:vAnchor="text" w:hAnchor="margin" w:xAlign="center" w:y="1"/>
      <w:rPr>
        <w:rStyle w:val="Nmerodepgina"/>
        <w:rFonts w:ascii="Arial" w:hAnsi="Arial" w:cs="Arial"/>
        <w:sz w:val="16"/>
        <w:szCs w:val="16"/>
      </w:rPr>
    </w:pPr>
    <w:r w:rsidRPr="00B51C17">
      <w:rPr>
        <w:rStyle w:val="Nmerodepgina"/>
        <w:rFonts w:ascii="Arial" w:hAnsi="Arial" w:cs="Arial"/>
        <w:sz w:val="16"/>
        <w:szCs w:val="16"/>
      </w:rPr>
      <w:fldChar w:fldCharType="begin"/>
    </w:r>
    <w:r w:rsidR="00C47A88" w:rsidRPr="00B51C17">
      <w:rPr>
        <w:rStyle w:val="Nmerodepgina"/>
        <w:rFonts w:ascii="Arial" w:hAnsi="Arial" w:cs="Arial"/>
        <w:sz w:val="16"/>
        <w:szCs w:val="16"/>
      </w:rPr>
      <w:instrText xml:space="preserve">PAGE  </w:instrText>
    </w:r>
    <w:r w:rsidRPr="00B51C17">
      <w:rPr>
        <w:rStyle w:val="Nmerodepgina"/>
        <w:rFonts w:ascii="Arial" w:hAnsi="Arial" w:cs="Arial"/>
        <w:sz w:val="16"/>
        <w:szCs w:val="16"/>
      </w:rPr>
      <w:fldChar w:fldCharType="separate"/>
    </w:r>
    <w:r w:rsidR="0055110D">
      <w:rPr>
        <w:rStyle w:val="Nmerodepgina"/>
        <w:rFonts w:ascii="Arial" w:hAnsi="Arial" w:cs="Arial"/>
        <w:noProof/>
        <w:sz w:val="16"/>
        <w:szCs w:val="16"/>
      </w:rPr>
      <w:t>2</w:t>
    </w:r>
    <w:r w:rsidRPr="00B51C17">
      <w:rPr>
        <w:rStyle w:val="Nmerodepgina"/>
        <w:rFonts w:ascii="Arial" w:hAnsi="Arial" w:cs="Arial"/>
        <w:sz w:val="16"/>
        <w:szCs w:val="16"/>
      </w:rPr>
      <w:fldChar w:fldCharType="end"/>
    </w:r>
  </w:p>
  <w:p w:rsidR="00C47A88" w:rsidRDefault="00C47A88" w:rsidP="00B51C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88" w:rsidRDefault="00C47A88" w:rsidP="004449F2">
    <w:pPr>
      <w:pStyle w:val="Encabezado"/>
      <w:tabs>
        <w:tab w:val="clear" w:pos="4419"/>
        <w:tab w:val="center" w:pos="6237"/>
      </w:tabs>
      <w:rPr>
        <w:rFonts w:ascii="Arial Narrow" w:hAnsi="Arial Narrow"/>
        <w:sz w:val="16"/>
        <w:szCs w:val="16"/>
      </w:rPr>
    </w:pPr>
  </w:p>
  <w:p w:rsidR="00C47A88" w:rsidRPr="00C72944" w:rsidRDefault="00C47A88" w:rsidP="004449F2">
    <w:pPr>
      <w:pStyle w:val="Encabezado"/>
      <w:tabs>
        <w:tab w:val="clear" w:pos="4419"/>
        <w:tab w:val="center" w:pos="6237"/>
      </w:tabs>
      <w:rPr>
        <w:rFonts w:ascii="Arial Narrow" w:hAnsi="Arial Narrow"/>
        <w:sz w:val="16"/>
        <w:szCs w:val="16"/>
      </w:rPr>
    </w:pPr>
  </w:p>
  <w:p w:rsidR="00C47A88" w:rsidRDefault="00C47A88" w:rsidP="004449F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00CE533F"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00CE533F" w:rsidRPr="007A023B">
      <w:rPr>
        <w:rFonts w:ascii="Arial Narrow" w:hAnsi="Arial Narrow"/>
        <w:sz w:val="16"/>
        <w:szCs w:val="16"/>
      </w:rPr>
      <w:fldChar w:fldCharType="separate"/>
    </w:r>
    <w:r w:rsidR="00CD6F79">
      <w:rPr>
        <w:rFonts w:ascii="Arial Narrow" w:hAnsi="Arial Narrow"/>
        <w:noProof/>
        <w:sz w:val="16"/>
        <w:szCs w:val="16"/>
      </w:rPr>
      <w:t>14</w:t>
    </w:r>
    <w:r w:rsidR="00CE533F"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02" w:rsidRDefault="00FB6102">
      <w:r>
        <w:separator/>
      </w:r>
    </w:p>
  </w:footnote>
  <w:footnote w:type="continuationSeparator" w:id="0">
    <w:p w:rsidR="00FB6102" w:rsidRDefault="00FB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962"/>
      <w:gridCol w:w="2821"/>
      <w:gridCol w:w="2991"/>
    </w:tblGrid>
    <w:tr w:rsidR="00C74F23" w:rsidTr="00C74F23">
      <w:trPr>
        <w:cantSplit/>
        <w:trHeight w:val="333"/>
      </w:trPr>
      <w:tc>
        <w:tcPr>
          <w:tcW w:w="1390" w:type="dxa"/>
          <w:vMerge w:val="restart"/>
          <w:vAlign w:val="center"/>
          <w:hideMark/>
        </w:tcPr>
        <w:p w:rsidR="00C74F23" w:rsidRDefault="00C74F23">
          <w:pPr>
            <w:tabs>
              <w:tab w:val="center" w:pos="4252"/>
              <w:tab w:val="right" w:pos="8504"/>
            </w:tabs>
            <w:spacing w:after="200" w:line="276" w:lineRule="auto"/>
            <w:rPr>
              <w:rFonts w:ascii="CG Omega" w:hAnsi="CG Omega"/>
              <w:sz w:val="16"/>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escripción: EscudoNacional" style="position:absolute;margin-left:-16.85pt;margin-top:-17.5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EscudoNacional"/>
              </v:shape>
            </w:pict>
          </w:r>
        </w:p>
      </w:tc>
      <w:tc>
        <w:tcPr>
          <w:tcW w:w="8154" w:type="dxa"/>
          <w:gridSpan w:val="2"/>
          <w:tcBorders>
            <w:top w:val="nil"/>
            <w:left w:val="nil"/>
            <w:bottom w:val="double" w:sz="4" w:space="0" w:color="auto"/>
            <w:right w:val="nil"/>
          </w:tcBorders>
          <w:vAlign w:val="bottom"/>
          <w:hideMark/>
        </w:tcPr>
        <w:p w:rsidR="00C74F23" w:rsidRPr="00C74F23" w:rsidRDefault="00C74F23">
          <w:pPr>
            <w:jc w:val="both"/>
            <w:rPr>
              <w:rFonts w:ascii="Arial" w:hAnsi="Arial" w:cs="Arial"/>
              <w:b/>
              <w:sz w:val="16"/>
              <w:szCs w:val="16"/>
              <w:lang w:eastAsia="es-MX"/>
            </w:rPr>
          </w:pPr>
          <w:r w:rsidRPr="00C74F23">
            <w:rPr>
              <w:rFonts w:ascii="Arial" w:hAnsi="Arial" w:cs="Arial"/>
              <w:b/>
              <w:sz w:val="16"/>
              <w:szCs w:val="16"/>
            </w:rPr>
            <w:t>ACUERDO POR EL QUE SE EMITEN LOS LINEAMIENTOS PARA LA OPERACIÓN DEL SISTEMA ESTATAL DE INVERSIÓN PÚBLICA</w:t>
          </w:r>
        </w:p>
      </w:tc>
    </w:tr>
    <w:tr w:rsidR="00C74F23" w:rsidTr="00C74F23">
      <w:trPr>
        <w:cantSplit/>
        <w:trHeight w:val="50"/>
      </w:trPr>
      <w:tc>
        <w:tcPr>
          <w:tcW w:w="0" w:type="auto"/>
          <w:vMerge/>
          <w:vAlign w:val="center"/>
          <w:hideMark/>
        </w:tcPr>
        <w:p w:rsidR="00C74F23" w:rsidRDefault="00C74F23">
          <w:pPr>
            <w:rPr>
              <w:rFonts w:ascii="CG Omega" w:hAnsi="CG Omega"/>
              <w:sz w:val="16"/>
              <w:szCs w:val="22"/>
              <w:lang w:eastAsia="en-US"/>
            </w:rPr>
          </w:pPr>
        </w:p>
      </w:tc>
      <w:tc>
        <w:tcPr>
          <w:tcW w:w="8154" w:type="dxa"/>
          <w:gridSpan w:val="2"/>
          <w:tcBorders>
            <w:top w:val="double" w:sz="4" w:space="0" w:color="auto"/>
            <w:left w:val="nil"/>
            <w:bottom w:val="nil"/>
            <w:right w:val="nil"/>
          </w:tcBorders>
        </w:tcPr>
        <w:p w:rsidR="00C74F23" w:rsidRDefault="00C74F23">
          <w:pPr>
            <w:tabs>
              <w:tab w:val="center" w:pos="4252"/>
              <w:tab w:val="right" w:pos="8504"/>
            </w:tabs>
            <w:ind w:left="-68"/>
            <w:jc w:val="right"/>
            <w:rPr>
              <w:rFonts w:ascii="Arial Narrow" w:hAnsi="Arial Narrow" w:cs="Arial"/>
              <w:sz w:val="4"/>
              <w:szCs w:val="22"/>
              <w:lang w:eastAsia="en-US"/>
            </w:rPr>
          </w:pPr>
        </w:p>
      </w:tc>
    </w:tr>
    <w:tr w:rsidR="00C74F23" w:rsidTr="00C74F23">
      <w:trPr>
        <w:cantSplit/>
        <w:trHeight w:val="295"/>
      </w:trPr>
      <w:tc>
        <w:tcPr>
          <w:tcW w:w="0" w:type="auto"/>
          <w:vMerge/>
          <w:vAlign w:val="center"/>
          <w:hideMark/>
        </w:tcPr>
        <w:p w:rsidR="00C74F23" w:rsidRDefault="00C74F23">
          <w:pPr>
            <w:rPr>
              <w:rFonts w:ascii="CG Omega" w:hAnsi="CG Omega"/>
              <w:sz w:val="16"/>
              <w:szCs w:val="22"/>
              <w:lang w:eastAsia="en-US"/>
            </w:rPr>
          </w:pPr>
        </w:p>
      </w:tc>
      <w:tc>
        <w:tcPr>
          <w:tcW w:w="4077" w:type="dxa"/>
        </w:tcPr>
        <w:p w:rsidR="00C74F23" w:rsidRDefault="00C74F23">
          <w:pPr>
            <w:tabs>
              <w:tab w:val="center" w:pos="4252"/>
              <w:tab w:val="right" w:pos="8504"/>
            </w:tabs>
            <w:spacing w:after="200" w:line="276" w:lineRule="auto"/>
            <w:ind w:left="-70"/>
            <w:rPr>
              <w:rFonts w:ascii="Arial Narrow" w:hAnsi="Arial Narrow" w:cs="Arial"/>
              <w:sz w:val="4"/>
              <w:szCs w:val="22"/>
              <w:lang w:eastAsia="en-US"/>
            </w:rPr>
          </w:pPr>
        </w:p>
      </w:tc>
      <w:tc>
        <w:tcPr>
          <w:tcW w:w="4077" w:type="dxa"/>
          <w:hideMark/>
        </w:tcPr>
        <w:p w:rsidR="00C74F23" w:rsidRDefault="00C74F23" w:rsidP="00C74F23">
          <w:pPr>
            <w:tabs>
              <w:tab w:val="center" w:pos="4252"/>
              <w:tab w:val="right" w:pos="8504"/>
            </w:tabs>
            <w:ind w:left="-68"/>
            <w:jc w:val="right"/>
            <w:rPr>
              <w:rFonts w:ascii="Arial" w:hAnsi="Arial" w:cs="Arial"/>
              <w:i/>
              <w:iCs/>
              <w:color w:val="181818"/>
              <w:sz w:val="14"/>
              <w:szCs w:val="22"/>
              <w:lang w:eastAsia="en-US"/>
            </w:rPr>
          </w:pPr>
          <w:r>
            <w:rPr>
              <w:rFonts w:ascii="Arial" w:hAnsi="Arial" w:cs="Arial"/>
              <w:i/>
              <w:iCs/>
              <w:color w:val="181818"/>
              <w:sz w:val="14"/>
            </w:rPr>
            <w:t>Sin</w:t>
          </w:r>
          <w:r>
            <w:rPr>
              <w:rFonts w:ascii="Arial" w:hAnsi="Arial" w:cs="Arial"/>
              <w:i/>
              <w:iCs/>
              <w:color w:val="181818"/>
              <w:sz w:val="14"/>
            </w:rPr>
            <w:t xml:space="preserve"> Reforma</w:t>
          </w:r>
          <w:r>
            <w:rPr>
              <w:rFonts w:ascii="Arial" w:hAnsi="Arial" w:cs="Arial"/>
              <w:i/>
              <w:iCs/>
              <w:color w:val="181818"/>
              <w:sz w:val="14"/>
            </w:rPr>
            <w:t>s</w:t>
          </w:r>
        </w:p>
      </w:tc>
    </w:tr>
  </w:tbl>
  <w:p w:rsidR="00A2429D" w:rsidRPr="00A2429D" w:rsidRDefault="00A2429D" w:rsidP="00A2429D">
    <w:pPr>
      <w:pStyle w:val="Encabezado"/>
      <w:ind w:left="1985"/>
      <w:jc w:val="right"/>
      <w:rPr>
        <w:rFonts w:ascii="Arial Narrow" w:hAnsi="Arial Narrow"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962"/>
      <w:gridCol w:w="2821"/>
      <w:gridCol w:w="2991"/>
    </w:tblGrid>
    <w:tr w:rsidR="00C74F23" w:rsidTr="00C74F23">
      <w:trPr>
        <w:cantSplit/>
        <w:trHeight w:val="333"/>
      </w:trPr>
      <w:tc>
        <w:tcPr>
          <w:tcW w:w="1390" w:type="dxa"/>
          <w:vMerge w:val="restart"/>
          <w:vAlign w:val="center"/>
          <w:hideMark/>
        </w:tcPr>
        <w:p w:rsidR="00C74F23" w:rsidRDefault="00C74F23">
          <w:pPr>
            <w:tabs>
              <w:tab w:val="center" w:pos="4252"/>
              <w:tab w:val="right" w:pos="8504"/>
            </w:tabs>
            <w:spacing w:after="200" w:line="276" w:lineRule="auto"/>
            <w:rPr>
              <w:rFonts w:ascii="CG Omega" w:hAnsi="CG Omega"/>
              <w:sz w:val="16"/>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EscudoNacional" style="position:absolute;margin-left:-17.35pt;margin-top:-16.4pt;width:58.5pt;height:58.05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EscudoNacional"/>
              </v:shape>
            </w:pict>
          </w:r>
        </w:p>
      </w:tc>
      <w:tc>
        <w:tcPr>
          <w:tcW w:w="8154" w:type="dxa"/>
          <w:gridSpan w:val="2"/>
          <w:tcBorders>
            <w:top w:val="nil"/>
            <w:left w:val="nil"/>
            <w:bottom w:val="double" w:sz="4" w:space="0" w:color="auto"/>
            <w:right w:val="nil"/>
          </w:tcBorders>
          <w:vAlign w:val="bottom"/>
          <w:hideMark/>
        </w:tcPr>
        <w:p w:rsidR="00C74F23" w:rsidRPr="00C74F23" w:rsidRDefault="00C74F23">
          <w:pPr>
            <w:jc w:val="both"/>
            <w:rPr>
              <w:rFonts w:ascii="Arial" w:hAnsi="Arial" w:cs="Arial"/>
              <w:b/>
              <w:sz w:val="16"/>
              <w:szCs w:val="16"/>
              <w:lang w:eastAsia="es-MX"/>
            </w:rPr>
          </w:pPr>
          <w:r w:rsidRPr="00C74F23">
            <w:rPr>
              <w:rFonts w:ascii="Arial" w:hAnsi="Arial" w:cs="Arial"/>
              <w:b/>
              <w:sz w:val="16"/>
              <w:szCs w:val="16"/>
            </w:rPr>
            <w:t>ACUERDO POR EL QUE SE EMITEN LOS LINEAMIENTOS PARA LA OPERACIÓN DEL SISTEMA ESTATAL DE INVERSIÓN PÚBLICA</w:t>
          </w:r>
        </w:p>
      </w:tc>
    </w:tr>
    <w:tr w:rsidR="00C74F23" w:rsidTr="00C74F23">
      <w:trPr>
        <w:cantSplit/>
        <w:trHeight w:val="50"/>
      </w:trPr>
      <w:tc>
        <w:tcPr>
          <w:tcW w:w="0" w:type="auto"/>
          <w:vMerge/>
          <w:vAlign w:val="center"/>
          <w:hideMark/>
        </w:tcPr>
        <w:p w:rsidR="00C74F23" w:rsidRDefault="00C74F23">
          <w:pPr>
            <w:rPr>
              <w:rFonts w:ascii="CG Omega" w:hAnsi="CG Omega"/>
              <w:sz w:val="16"/>
              <w:szCs w:val="22"/>
              <w:lang w:eastAsia="en-US"/>
            </w:rPr>
          </w:pPr>
        </w:p>
      </w:tc>
      <w:tc>
        <w:tcPr>
          <w:tcW w:w="8154" w:type="dxa"/>
          <w:gridSpan w:val="2"/>
          <w:tcBorders>
            <w:top w:val="double" w:sz="4" w:space="0" w:color="auto"/>
            <w:left w:val="nil"/>
            <w:bottom w:val="nil"/>
            <w:right w:val="nil"/>
          </w:tcBorders>
        </w:tcPr>
        <w:p w:rsidR="00C74F23" w:rsidRDefault="00C74F23">
          <w:pPr>
            <w:tabs>
              <w:tab w:val="center" w:pos="4252"/>
              <w:tab w:val="right" w:pos="8504"/>
            </w:tabs>
            <w:ind w:left="-68"/>
            <w:jc w:val="right"/>
            <w:rPr>
              <w:rFonts w:ascii="Arial Narrow" w:hAnsi="Arial Narrow" w:cs="Arial"/>
              <w:sz w:val="4"/>
              <w:szCs w:val="22"/>
              <w:lang w:eastAsia="en-US"/>
            </w:rPr>
          </w:pPr>
        </w:p>
      </w:tc>
    </w:tr>
    <w:tr w:rsidR="00C74F23" w:rsidTr="00C74F23">
      <w:trPr>
        <w:cantSplit/>
        <w:trHeight w:val="295"/>
      </w:trPr>
      <w:tc>
        <w:tcPr>
          <w:tcW w:w="0" w:type="auto"/>
          <w:vMerge/>
          <w:vAlign w:val="center"/>
          <w:hideMark/>
        </w:tcPr>
        <w:p w:rsidR="00C74F23" w:rsidRDefault="00C74F23">
          <w:pPr>
            <w:rPr>
              <w:rFonts w:ascii="CG Omega" w:hAnsi="CG Omega"/>
              <w:sz w:val="16"/>
              <w:szCs w:val="22"/>
              <w:lang w:eastAsia="en-US"/>
            </w:rPr>
          </w:pPr>
        </w:p>
      </w:tc>
      <w:tc>
        <w:tcPr>
          <w:tcW w:w="4077" w:type="dxa"/>
        </w:tcPr>
        <w:p w:rsidR="00C74F23" w:rsidRDefault="00C74F23">
          <w:pPr>
            <w:tabs>
              <w:tab w:val="center" w:pos="4252"/>
              <w:tab w:val="right" w:pos="8504"/>
            </w:tabs>
            <w:spacing w:after="200" w:line="276" w:lineRule="auto"/>
            <w:ind w:left="-70"/>
            <w:rPr>
              <w:rFonts w:ascii="Arial Narrow" w:hAnsi="Arial Narrow" w:cs="Arial"/>
              <w:sz w:val="4"/>
              <w:szCs w:val="22"/>
              <w:lang w:eastAsia="en-US"/>
            </w:rPr>
          </w:pPr>
        </w:p>
      </w:tc>
      <w:tc>
        <w:tcPr>
          <w:tcW w:w="4077" w:type="dxa"/>
          <w:hideMark/>
        </w:tcPr>
        <w:p w:rsidR="00C74F23" w:rsidRDefault="00C74F23">
          <w:pPr>
            <w:tabs>
              <w:tab w:val="center" w:pos="4252"/>
              <w:tab w:val="right" w:pos="8504"/>
            </w:tabs>
            <w:ind w:left="-68"/>
            <w:jc w:val="right"/>
            <w:rPr>
              <w:rFonts w:ascii="Arial" w:hAnsi="Arial" w:cs="Arial"/>
              <w:i/>
              <w:iCs/>
              <w:color w:val="181818"/>
              <w:sz w:val="14"/>
              <w:szCs w:val="22"/>
              <w:lang w:eastAsia="en-US"/>
            </w:rPr>
          </w:pPr>
          <w:r>
            <w:rPr>
              <w:rFonts w:ascii="Arial" w:hAnsi="Arial" w:cs="Arial"/>
              <w:i/>
              <w:iCs/>
              <w:color w:val="181818"/>
              <w:sz w:val="14"/>
            </w:rPr>
            <w:t>Sin Reformas</w:t>
          </w:r>
        </w:p>
      </w:tc>
    </w:tr>
  </w:tbl>
  <w:p w:rsidR="00896FBE" w:rsidRPr="00C74F23" w:rsidRDefault="00896FBE" w:rsidP="00C74F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27"/>
    <w:multiLevelType w:val="hybridMultilevel"/>
    <w:tmpl w:val="BCFE0524"/>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C47CF1"/>
    <w:multiLevelType w:val="hybridMultilevel"/>
    <w:tmpl w:val="209A196A"/>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400D0"/>
    <w:multiLevelType w:val="hybridMultilevel"/>
    <w:tmpl w:val="D972A6E8"/>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AC333C"/>
    <w:multiLevelType w:val="hybridMultilevel"/>
    <w:tmpl w:val="CA34C2D8"/>
    <w:lvl w:ilvl="0" w:tplc="599C378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D42369"/>
    <w:multiLevelType w:val="hybridMultilevel"/>
    <w:tmpl w:val="3F0869F4"/>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7528D"/>
    <w:multiLevelType w:val="hybridMultilevel"/>
    <w:tmpl w:val="F7D09870"/>
    <w:lvl w:ilvl="0" w:tplc="A492F7E6">
      <w:start w:val="23"/>
      <w:numFmt w:val="upperRoman"/>
      <w:lvlText w:val="%1."/>
      <w:lvlJc w:val="left"/>
      <w:pPr>
        <w:ind w:left="720" w:hanging="360"/>
      </w:pPr>
      <w:rPr>
        <w:rFonts w:ascii="Arial" w:eastAsia="Verdana" w:hAnsi="Arial" w:cs="Arial" w:hint="default"/>
        <w:b w:val="0"/>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AD06DA"/>
    <w:multiLevelType w:val="hybridMultilevel"/>
    <w:tmpl w:val="07603FF6"/>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0633DD"/>
    <w:multiLevelType w:val="multilevel"/>
    <w:tmpl w:val="51EE8C30"/>
    <w:lvl w:ilvl="0">
      <w:start w:val="1"/>
      <w:numFmt w:val="decimal"/>
      <w:lvlText w:val="%1."/>
      <w:lvlJc w:val="left"/>
      <w:pPr>
        <w:ind w:left="360" w:firstLine="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1"/>
      <w:numFmt w:val="upperRoman"/>
      <w:lvlText w:val="%4."/>
      <w:lvlJc w:val="left"/>
      <w:pPr>
        <w:ind w:left="324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922615E"/>
    <w:multiLevelType w:val="hybridMultilevel"/>
    <w:tmpl w:val="C576D4A8"/>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D94A27"/>
    <w:multiLevelType w:val="multilevel"/>
    <w:tmpl w:val="0D6A163A"/>
    <w:lvl w:ilvl="0">
      <w:start w:val="9"/>
      <w:numFmt w:val="decimal"/>
      <w:lvlText w:val="%1."/>
      <w:lvlJc w:val="left"/>
      <w:pPr>
        <w:ind w:left="360" w:firstLine="0"/>
      </w:pPr>
      <w:rPr>
        <w:rFonts w:hint="default"/>
        <w:b w:val="0"/>
        <w:vertAlign w:val="baseline"/>
      </w:rPr>
    </w:lvl>
    <w:lvl w:ilvl="1">
      <w:start w:val="1"/>
      <w:numFmt w:val="upperRoman"/>
      <w:lvlText w:val="%2."/>
      <w:lvlJc w:val="right"/>
      <w:pPr>
        <w:ind w:left="1440" w:firstLine="1080"/>
      </w:pPr>
      <w:rPr>
        <w:rFonts w:hint="default"/>
        <w:b w:val="0"/>
        <w:vertAlign w:val="baseline"/>
      </w:rPr>
    </w:lvl>
    <w:lvl w:ilvl="2">
      <w:start w:val="1"/>
      <w:numFmt w:val="lowerRoman"/>
      <w:lvlText w:val="%3."/>
      <w:lvlJc w:val="right"/>
      <w:pPr>
        <w:ind w:left="2160" w:firstLine="1980"/>
      </w:pPr>
      <w:rPr>
        <w:rFonts w:hint="default"/>
        <w:vertAlign w:val="baseline"/>
      </w:rPr>
    </w:lvl>
    <w:lvl w:ilvl="3">
      <w:start w:val="11"/>
      <w:numFmt w:val="upperRoman"/>
      <w:lvlText w:val="%4."/>
      <w:lvlJc w:val="left"/>
      <w:pPr>
        <w:ind w:left="324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0">
    <w:nsid w:val="23577BCE"/>
    <w:multiLevelType w:val="hybridMultilevel"/>
    <w:tmpl w:val="EEAA9EFA"/>
    <w:lvl w:ilvl="0" w:tplc="38C66158">
      <w:start w:val="15"/>
      <w:numFmt w:val="upperRoman"/>
      <w:lvlText w:val="%1."/>
      <w:lvlJc w:val="left"/>
      <w:pPr>
        <w:ind w:left="720" w:hanging="360"/>
      </w:pPr>
      <w:rPr>
        <w:rFonts w:ascii="Arial" w:eastAsia="Verdana" w:hAnsi="Arial" w:cs="Arial" w:hint="default"/>
        <w:b w:val="0"/>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7B6DD5"/>
    <w:multiLevelType w:val="hybridMultilevel"/>
    <w:tmpl w:val="9188889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3E2451B"/>
    <w:multiLevelType w:val="hybridMultilevel"/>
    <w:tmpl w:val="C576D4A8"/>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3C379C"/>
    <w:multiLevelType w:val="hybridMultilevel"/>
    <w:tmpl w:val="2B4EC33E"/>
    <w:lvl w:ilvl="0" w:tplc="F6AA5B18">
      <w:start w:val="27"/>
      <w:numFmt w:val="upperRoman"/>
      <w:lvlText w:val="%1."/>
      <w:lvlJc w:val="left"/>
      <w:pPr>
        <w:ind w:left="720" w:hanging="360"/>
      </w:pPr>
      <w:rPr>
        <w:rFonts w:ascii="Arial" w:eastAsia="Verdana" w:hAnsi="Arial" w:cs="Arial" w:hint="default"/>
        <w:b w:val="0"/>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61329A"/>
    <w:multiLevelType w:val="multilevel"/>
    <w:tmpl w:val="BC4E9F5C"/>
    <w:lvl w:ilvl="0">
      <w:start w:val="1"/>
      <w:numFmt w:val="upperRoman"/>
      <w:lvlText w:val="%1."/>
      <w:lvlJc w:val="left"/>
      <w:pPr>
        <w:ind w:left="720" w:firstLine="360"/>
      </w:pPr>
      <w:rPr>
        <w:rFonts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9913676"/>
    <w:multiLevelType w:val="hybridMultilevel"/>
    <w:tmpl w:val="F5EAC5B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42393BCC"/>
    <w:multiLevelType w:val="hybridMultilevel"/>
    <w:tmpl w:val="C8C6E182"/>
    <w:lvl w:ilvl="0" w:tplc="BB007EBE">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666743"/>
    <w:multiLevelType w:val="hybridMultilevel"/>
    <w:tmpl w:val="A4F60438"/>
    <w:lvl w:ilvl="0" w:tplc="17D00CBA">
      <w:start w:val="19"/>
      <w:numFmt w:val="upperRoman"/>
      <w:lvlText w:val="%1."/>
      <w:lvlJc w:val="left"/>
      <w:pPr>
        <w:ind w:left="720" w:hanging="360"/>
      </w:pPr>
      <w:rPr>
        <w:rFonts w:ascii="Arial" w:eastAsia="Verdana" w:hAnsi="Arial" w:cs="Arial" w:hint="default"/>
        <w:b w:val="0"/>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833D0C"/>
    <w:multiLevelType w:val="hybridMultilevel"/>
    <w:tmpl w:val="01AC9C10"/>
    <w:lvl w:ilvl="0" w:tplc="7C38D1F2">
      <w:start w:val="62"/>
      <w:numFmt w:val="decimal"/>
      <w:lvlText w:val="%1."/>
      <w:lvlJc w:val="right"/>
      <w:pPr>
        <w:ind w:left="502" w:hanging="360"/>
      </w:pPr>
      <w:rPr>
        <w:rFonts w:ascii="Arial" w:hAnsi="Arial" w:cs="Arial"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nsid w:val="443F6A8A"/>
    <w:multiLevelType w:val="hybridMultilevel"/>
    <w:tmpl w:val="1B34F0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D4F76"/>
    <w:multiLevelType w:val="hybridMultilevel"/>
    <w:tmpl w:val="84F88C18"/>
    <w:lvl w:ilvl="0" w:tplc="85B26672">
      <w:start w:val="8"/>
      <w:numFmt w:val="upperRoman"/>
      <w:lvlText w:val="%1."/>
      <w:lvlJc w:val="left"/>
      <w:pPr>
        <w:ind w:left="720" w:hanging="360"/>
      </w:pPr>
      <w:rPr>
        <w:rFonts w:ascii="Arial" w:eastAsia="Verdana" w:hAnsi="Arial" w:cs="Arial" w:hint="default"/>
        <w:b w:val="0"/>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AA6196"/>
    <w:multiLevelType w:val="hybridMultilevel"/>
    <w:tmpl w:val="76AC4866"/>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1B523D"/>
    <w:multiLevelType w:val="hybridMultilevel"/>
    <w:tmpl w:val="4DB21DC2"/>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5E5491"/>
    <w:multiLevelType w:val="hybridMultilevel"/>
    <w:tmpl w:val="1D78E6D0"/>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0167C1"/>
    <w:multiLevelType w:val="hybridMultilevel"/>
    <w:tmpl w:val="6F34BAAE"/>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BD1A8D"/>
    <w:multiLevelType w:val="multilevel"/>
    <w:tmpl w:val="EA64A144"/>
    <w:lvl w:ilvl="0">
      <w:start w:val="5"/>
      <w:numFmt w:val="decimal"/>
      <w:lvlText w:val="%1."/>
      <w:lvlJc w:val="left"/>
      <w:pPr>
        <w:ind w:left="360" w:firstLine="0"/>
      </w:pPr>
      <w:rPr>
        <w:rFonts w:hint="default"/>
        <w:b w:val="0"/>
        <w:vertAlign w:val="baseline"/>
      </w:rPr>
    </w:lvl>
    <w:lvl w:ilvl="1">
      <w:start w:val="1"/>
      <w:numFmt w:val="upperRoman"/>
      <w:lvlText w:val="%2."/>
      <w:lvlJc w:val="right"/>
      <w:pPr>
        <w:ind w:left="1440" w:firstLine="1080"/>
      </w:pPr>
      <w:rPr>
        <w:rFonts w:hint="default"/>
        <w:b w:val="0"/>
        <w:vertAlign w:val="baseline"/>
      </w:rPr>
    </w:lvl>
    <w:lvl w:ilvl="2">
      <w:start w:val="1"/>
      <w:numFmt w:val="lowerRoman"/>
      <w:lvlText w:val="%3."/>
      <w:lvlJc w:val="right"/>
      <w:pPr>
        <w:ind w:left="2160" w:firstLine="1980"/>
      </w:pPr>
      <w:rPr>
        <w:rFonts w:hint="default"/>
        <w:vertAlign w:val="baseline"/>
      </w:rPr>
    </w:lvl>
    <w:lvl w:ilvl="3">
      <w:start w:val="11"/>
      <w:numFmt w:val="upperRoman"/>
      <w:lvlText w:val="%4."/>
      <w:lvlJc w:val="left"/>
      <w:pPr>
        <w:ind w:left="324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6">
    <w:nsid w:val="5CDE7671"/>
    <w:multiLevelType w:val="multilevel"/>
    <w:tmpl w:val="6138FE8E"/>
    <w:lvl w:ilvl="0">
      <w:start w:val="1"/>
      <w:numFmt w:val="lowerLetter"/>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7">
    <w:nsid w:val="5DEF60C0"/>
    <w:multiLevelType w:val="hybridMultilevel"/>
    <w:tmpl w:val="76AC4866"/>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6707A"/>
    <w:multiLevelType w:val="multilevel"/>
    <w:tmpl w:val="F252D7D2"/>
    <w:lvl w:ilvl="0">
      <w:start w:val="2"/>
      <w:numFmt w:val="decimal"/>
      <w:lvlText w:val="%1."/>
      <w:lvlJc w:val="left"/>
      <w:pPr>
        <w:ind w:left="360" w:firstLine="0"/>
      </w:pPr>
      <w:rPr>
        <w:rFonts w:hint="default"/>
        <w:b w:val="0"/>
        <w:vertAlign w:val="baseline"/>
      </w:rPr>
    </w:lvl>
    <w:lvl w:ilvl="1">
      <w:start w:val="1"/>
      <w:numFmt w:val="upperRoman"/>
      <w:lvlText w:val="%2."/>
      <w:lvlJc w:val="right"/>
      <w:pPr>
        <w:ind w:left="1440" w:firstLine="1080"/>
      </w:pPr>
      <w:rPr>
        <w:rFonts w:hint="default"/>
        <w:b w:val="0"/>
        <w:vertAlign w:val="baseline"/>
      </w:rPr>
    </w:lvl>
    <w:lvl w:ilvl="2">
      <w:start w:val="1"/>
      <w:numFmt w:val="lowerRoman"/>
      <w:lvlText w:val="%3."/>
      <w:lvlJc w:val="right"/>
      <w:pPr>
        <w:ind w:left="2160" w:firstLine="1980"/>
      </w:pPr>
      <w:rPr>
        <w:rFonts w:hint="default"/>
        <w:vertAlign w:val="baseline"/>
      </w:rPr>
    </w:lvl>
    <w:lvl w:ilvl="3">
      <w:start w:val="11"/>
      <w:numFmt w:val="upperRoman"/>
      <w:lvlText w:val="%4."/>
      <w:lvlJc w:val="left"/>
      <w:pPr>
        <w:ind w:left="324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9">
    <w:nsid w:val="5F1748C9"/>
    <w:multiLevelType w:val="multilevel"/>
    <w:tmpl w:val="9B4E7D5E"/>
    <w:lvl w:ilvl="0">
      <w:start w:val="1"/>
      <w:numFmt w:val="upperRoman"/>
      <w:lvlText w:val="%1."/>
      <w:lvlJc w:val="left"/>
      <w:pPr>
        <w:ind w:left="720" w:firstLine="360"/>
      </w:pPr>
      <w:rPr>
        <w:rFonts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5F29616A"/>
    <w:multiLevelType w:val="hybridMultilevel"/>
    <w:tmpl w:val="D1E01EF0"/>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1D3B07"/>
    <w:multiLevelType w:val="hybridMultilevel"/>
    <w:tmpl w:val="869CAE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7E2752"/>
    <w:multiLevelType w:val="hybridMultilevel"/>
    <w:tmpl w:val="7472ADD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E1C656B"/>
    <w:multiLevelType w:val="hybridMultilevel"/>
    <w:tmpl w:val="F2A41B12"/>
    <w:lvl w:ilvl="0" w:tplc="9C447CD8">
      <w:start w:val="1"/>
      <w:numFmt w:val="upperRoman"/>
      <w:lvlText w:val="%1."/>
      <w:lvlJc w:val="left"/>
      <w:pPr>
        <w:ind w:left="720" w:hanging="360"/>
      </w:pPr>
      <w:rPr>
        <w:rFonts w:ascii="Arial" w:eastAsia="Verdana" w:hAnsi="Arial" w:cs="Arial" w:hint="default"/>
        <w:b w:val="0"/>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4B6F6E"/>
    <w:multiLevelType w:val="hybridMultilevel"/>
    <w:tmpl w:val="4DD66264"/>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BD6113"/>
    <w:multiLevelType w:val="hybridMultilevel"/>
    <w:tmpl w:val="0BE813A2"/>
    <w:lvl w:ilvl="0" w:tplc="6DEED6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ED1727"/>
    <w:multiLevelType w:val="hybridMultilevel"/>
    <w:tmpl w:val="D2188326"/>
    <w:lvl w:ilvl="0" w:tplc="BB007EBE">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A940BE"/>
    <w:multiLevelType w:val="multilevel"/>
    <w:tmpl w:val="75746610"/>
    <w:lvl w:ilvl="0">
      <w:start w:val="4"/>
      <w:numFmt w:val="decimal"/>
      <w:lvlText w:val="%1."/>
      <w:lvlJc w:val="left"/>
      <w:pPr>
        <w:ind w:left="360" w:firstLine="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8">
    <w:nsid w:val="721D06A9"/>
    <w:multiLevelType w:val="multilevel"/>
    <w:tmpl w:val="BFACDA38"/>
    <w:lvl w:ilvl="0">
      <w:start w:val="47"/>
      <w:numFmt w:val="decimal"/>
      <w:lvlText w:val="%1."/>
      <w:lvlJc w:val="left"/>
      <w:pPr>
        <w:ind w:left="360" w:firstLine="0"/>
      </w:pPr>
      <w:rPr>
        <w:rFonts w:hint="default"/>
        <w:b w:val="0"/>
        <w:vertAlign w:val="baseline"/>
      </w:rPr>
    </w:lvl>
    <w:lvl w:ilvl="1">
      <w:start w:val="1"/>
      <w:numFmt w:val="upperRoman"/>
      <w:lvlText w:val="%2."/>
      <w:lvlJc w:val="right"/>
      <w:pPr>
        <w:ind w:left="1440" w:firstLine="1080"/>
      </w:pPr>
      <w:rPr>
        <w:rFonts w:hint="default"/>
        <w:b w:val="0"/>
        <w:vertAlign w:val="baseline"/>
      </w:rPr>
    </w:lvl>
    <w:lvl w:ilvl="2">
      <w:start w:val="1"/>
      <w:numFmt w:val="lowerRoman"/>
      <w:lvlText w:val="%3."/>
      <w:lvlJc w:val="right"/>
      <w:pPr>
        <w:ind w:left="2160" w:firstLine="1980"/>
      </w:pPr>
      <w:rPr>
        <w:rFonts w:hint="default"/>
        <w:vertAlign w:val="baseline"/>
      </w:rPr>
    </w:lvl>
    <w:lvl w:ilvl="3">
      <w:start w:val="11"/>
      <w:numFmt w:val="upperRoman"/>
      <w:lvlText w:val="%4."/>
      <w:lvlJc w:val="left"/>
      <w:pPr>
        <w:ind w:left="324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9">
    <w:nsid w:val="724D515F"/>
    <w:multiLevelType w:val="hybridMultilevel"/>
    <w:tmpl w:val="F05E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100EFA"/>
    <w:multiLevelType w:val="hybridMultilevel"/>
    <w:tmpl w:val="804C4BA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772C132A"/>
    <w:multiLevelType w:val="hybridMultilevel"/>
    <w:tmpl w:val="EA28AFAE"/>
    <w:lvl w:ilvl="0" w:tplc="080A0017">
      <w:start w:val="1"/>
      <w:numFmt w:val="lowerLetter"/>
      <w:lvlText w:val="%1)"/>
      <w:lvlJc w:val="left"/>
      <w:pPr>
        <w:ind w:left="2629" w:hanging="360"/>
      </w:p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42">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33"/>
  </w:num>
  <w:num w:numId="3">
    <w:abstractNumId w:val="30"/>
  </w:num>
  <w:num w:numId="4">
    <w:abstractNumId w:val="2"/>
  </w:num>
  <w:num w:numId="5">
    <w:abstractNumId w:val="0"/>
  </w:num>
  <w:num w:numId="6">
    <w:abstractNumId w:val="35"/>
  </w:num>
  <w:num w:numId="7">
    <w:abstractNumId w:val="12"/>
  </w:num>
  <w:num w:numId="8">
    <w:abstractNumId w:val="8"/>
  </w:num>
  <w:num w:numId="9">
    <w:abstractNumId w:val="4"/>
  </w:num>
  <w:num w:numId="10">
    <w:abstractNumId w:val="23"/>
  </w:num>
  <w:num w:numId="11">
    <w:abstractNumId w:val="22"/>
  </w:num>
  <w:num w:numId="12">
    <w:abstractNumId w:val="6"/>
  </w:num>
  <w:num w:numId="13">
    <w:abstractNumId w:val="27"/>
  </w:num>
  <w:num w:numId="14">
    <w:abstractNumId w:val="21"/>
  </w:num>
  <w:num w:numId="15">
    <w:abstractNumId w:val="24"/>
  </w:num>
  <w:num w:numId="16">
    <w:abstractNumId w:val="1"/>
  </w:num>
  <w:num w:numId="17">
    <w:abstractNumId w:val="20"/>
  </w:num>
  <w:num w:numId="18">
    <w:abstractNumId w:val="10"/>
  </w:num>
  <w:num w:numId="19">
    <w:abstractNumId w:val="17"/>
  </w:num>
  <w:num w:numId="20">
    <w:abstractNumId w:val="5"/>
  </w:num>
  <w:num w:numId="21">
    <w:abstractNumId w:val="13"/>
  </w:num>
  <w:num w:numId="22">
    <w:abstractNumId w:val="28"/>
  </w:num>
  <w:num w:numId="23">
    <w:abstractNumId w:val="37"/>
  </w:num>
  <w:num w:numId="24">
    <w:abstractNumId w:val="7"/>
  </w:num>
  <w:num w:numId="25">
    <w:abstractNumId w:val="3"/>
  </w:num>
  <w:num w:numId="26">
    <w:abstractNumId w:val="14"/>
  </w:num>
  <w:num w:numId="27">
    <w:abstractNumId w:val="29"/>
  </w:num>
  <w:num w:numId="28">
    <w:abstractNumId w:val="9"/>
  </w:num>
  <w:num w:numId="29">
    <w:abstractNumId w:val="16"/>
  </w:num>
  <w:num w:numId="30">
    <w:abstractNumId w:val="31"/>
  </w:num>
  <w:num w:numId="31">
    <w:abstractNumId w:val="39"/>
  </w:num>
  <w:num w:numId="32">
    <w:abstractNumId w:val="19"/>
  </w:num>
  <w:num w:numId="33">
    <w:abstractNumId w:val="26"/>
  </w:num>
  <w:num w:numId="34">
    <w:abstractNumId w:val="15"/>
  </w:num>
  <w:num w:numId="35">
    <w:abstractNumId w:val="40"/>
  </w:num>
  <w:num w:numId="36">
    <w:abstractNumId w:val="11"/>
  </w:num>
  <w:num w:numId="37">
    <w:abstractNumId w:val="34"/>
  </w:num>
  <w:num w:numId="38">
    <w:abstractNumId w:val="41"/>
  </w:num>
  <w:num w:numId="39">
    <w:abstractNumId w:val="32"/>
  </w:num>
  <w:num w:numId="40">
    <w:abstractNumId w:val="36"/>
  </w:num>
  <w:num w:numId="41">
    <w:abstractNumId w:val="18"/>
  </w:num>
  <w:num w:numId="42">
    <w:abstractNumId w:val="38"/>
  </w:num>
  <w:num w:numId="4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10CB"/>
    <w:rsid w:val="00004867"/>
    <w:rsid w:val="0000670E"/>
    <w:rsid w:val="000111EC"/>
    <w:rsid w:val="0001215F"/>
    <w:rsid w:val="00014C96"/>
    <w:rsid w:val="000175A3"/>
    <w:rsid w:val="00022379"/>
    <w:rsid w:val="0002515B"/>
    <w:rsid w:val="0002780A"/>
    <w:rsid w:val="0003530B"/>
    <w:rsid w:val="00035B7D"/>
    <w:rsid w:val="00035EC2"/>
    <w:rsid w:val="00046CD3"/>
    <w:rsid w:val="00046D32"/>
    <w:rsid w:val="00055752"/>
    <w:rsid w:val="00061C97"/>
    <w:rsid w:val="0006293A"/>
    <w:rsid w:val="00063876"/>
    <w:rsid w:val="00065BC4"/>
    <w:rsid w:val="00066F22"/>
    <w:rsid w:val="000676AD"/>
    <w:rsid w:val="000708CA"/>
    <w:rsid w:val="00074EF3"/>
    <w:rsid w:val="00075742"/>
    <w:rsid w:val="00076F7E"/>
    <w:rsid w:val="00077A4E"/>
    <w:rsid w:val="0008477F"/>
    <w:rsid w:val="000874F5"/>
    <w:rsid w:val="00091003"/>
    <w:rsid w:val="00094227"/>
    <w:rsid w:val="0009594E"/>
    <w:rsid w:val="0009742F"/>
    <w:rsid w:val="000A05C2"/>
    <w:rsid w:val="000A592C"/>
    <w:rsid w:val="000A69D4"/>
    <w:rsid w:val="000A6D92"/>
    <w:rsid w:val="000A791B"/>
    <w:rsid w:val="000B107B"/>
    <w:rsid w:val="000B14D1"/>
    <w:rsid w:val="000B3EF7"/>
    <w:rsid w:val="000B43FF"/>
    <w:rsid w:val="000C0EB1"/>
    <w:rsid w:val="000C119D"/>
    <w:rsid w:val="000C2F3A"/>
    <w:rsid w:val="000C5419"/>
    <w:rsid w:val="000D1E74"/>
    <w:rsid w:val="000D3EB5"/>
    <w:rsid w:val="000D4BB9"/>
    <w:rsid w:val="000E06B6"/>
    <w:rsid w:val="000E112C"/>
    <w:rsid w:val="000E35F2"/>
    <w:rsid w:val="000E37C2"/>
    <w:rsid w:val="000E4415"/>
    <w:rsid w:val="000E4D38"/>
    <w:rsid w:val="000E5BCF"/>
    <w:rsid w:val="000E6606"/>
    <w:rsid w:val="000E7886"/>
    <w:rsid w:val="000F22C9"/>
    <w:rsid w:val="000F2627"/>
    <w:rsid w:val="000F28BC"/>
    <w:rsid w:val="000F4810"/>
    <w:rsid w:val="000F4D70"/>
    <w:rsid w:val="000F6F9D"/>
    <w:rsid w:val="000F7BCE"/>
    <w:rsid w:val="0010022B"/>
    <w:rsid w:val="00107B52"/>
    <w:rsid w:val="0011003B"/>
    <w:rsid w:val="00110CAA"/>
    <w:rsid w:val="00110DD5"/>
    <w:rsid w:val="00110F18"/>
    <w:rsid w:val="00117122"/>
    <w:rsid w:val="0011782C"/>
    <w:rsid w:val="00120657"/>
    <w:rsid w:val="0012231F"/>
    <w:rsid w:val="00122CF8"/>
    <w:rsid w:val="00125A0B"/>
    <w:rsid w:val="00126340"/>
    <w:rsid w:val="00127BA5"/>
    <w:rsid w:val="0013069C"/>
    <w:rsid w:val="00131B81"/>
    <w:rsid w:val="00133DD1"/>
    <w:rsid w:val="00134A9D"/>
    <w:rsid w:val="001405E8"/>
    <w:rsid w:val="00141BED"/>
    <w:rsid w:val="001422C7"/>
    <w:rsid w:val="00144FD2"/>
    <w:rsid w:val="00145466"/>
    <w:rsid w:val="00146E17"/>
    <w:rsid w:val="001476AF"/>
    <w:rsid w:val="0015077A"/>
    <w:rsid w:val="00150F9E"/>
    <w:rsid w:val="00152395"/>
    <w:rsid w:val="0015314A"/>
    <w:rsid w:val="001533BC"/>
    <w:rsid w:val="00153504"/>
    <w:rsid w:val="001572A4"/>
    <w:rsid w:val="0015766A"/>
    <w:rsid w:val="00161EF2"/>
    <w:rsid w:val="00163D5B"/>
    <w:rsid w:val="0016466E"/>
    <w:rsid w:val="00164991"/>
    <w:rsid w:val="00164D68"/>
    <w:rsid w:val="00170365"/>
    <w:rsid w:val="00171487"/>
    <w:rsid w:val="0017235A"/>
    <w:rsid w:val="001730AB"/>
    <w:rsid w:val="00180C91"/>
    <w:rsid w:val="00180CC6"/>
    <w:rsid w:val="001830D6"/>
    <w:rsid w:val="00186A8A"/>
    <w:rsid w:val="00192155"/>
    <w:rsid w:val="00192AB8"/>
    <w:rsid w:val="00192F97"/>
    <w:rsid w:val="001A0596"/>
    <w:rsid w:val="001A07D8"/>
    <w:rsid w:val="001A3AA6"/>
    <w:rsid w:val="001A4B44"/>
    <w:rsid w:val="001A579E"/>
    <w:rsid w:val="001A6616"/>
    <w:rsid w:val="001B079C"/>
    <w:rsid w:val="001B2E43"/>
    <w:rsid w:val="001B55BA"/>
    <w:rsid w:val="001B5DE5"/>
    <w:rsid w:val="001D0DB2"/>
    <w:rsid w:val="001D4BA9"/>
    <w:rsid w:val="001D5A53"/>
    <w:rsid w:val="001E0E5E"/>
    <w:rsid w:val="001E42D3"/>
    <w:rsid w:val="001E6191"/>
    <w:rsid w:val="001E76E9"/>
    <w:rsid w:val="001F08A0"/>
    <w:rsid w:val="001F4202"/>
    <w:rsid w:val="001F5CCD"/>
    <w:rsid w:val="001F67E4"/>
    <w:rsid w:val="001F696F"/>
    <w:rsid w:val="00201B0A"/>
    <w:rsid w:val="00202C54"/>
    <w:rsid w:val="00207D94"/>
    <w:rsid w:val="0021298F"/>
    <w:rsid w:val="00212F60"/>
    <w:rsid w:val="00213F1C"/>
    <w:rsid w:val="002143D5"/>
    <w:rsid w:val="002148A5"/>
    <w:rsid w:val="00216231"/>
    <w:rsid w:val="00217B8B"/>
    <w:rsid w:val="00221CF4"/>
    <w:rsid w:val="00222584"/>
    <w:rsid w:val="002225BD"/>
    <w:rsid w:val="002265F2"/>
    <w:rsid w:val="00233BCB"/>
    <w:rsid w:val="00234B95"/>
    <w:rsid w:val="00234F2E"/>
    <w:rsid w:val="0023536E"/>
    <w:rsid w:val="00236210"/>
    <w:rsid w:val="00243BF3"/>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710"/>
    <w:rsid w:val="00292657"/>
    <w:rsid w:val="00294D59"/>
    <w:rsid w:val="002955F6"/>
    <w:rsid w:val="00296088"/>
    <w:rsid w:val="00297019"/>
    <w:rsid w:val="002A033D"/>
    <w:rsid w:val="002A0458"/>
    <w:rsid w:val="002A16E3"/>
    <w:rsid w:val="002A2B01"/>
    <w:rsid w:val="002A44C9"/>
    <w:rsid w:val="002A5604"/>
    <w:rsid w:val="002A56C9"/>
    <w:rsid w:val="002A6AA0"/>
    <w:rsid w:val="002B0121"/>
    <w:rsid w:val="002B0322"/>
    <w:rsid w:val="002B1384"/>
    <w:rsid w:val="002B151F"/>
    <w:rsid w:val="002B1AC6"/>
    <w:rsid w:val="002B1D0B"/>
    <w:rsid w:val="002B2D36"/>
    <w:rsid w:val="002B5239"/>
    <w:rsid w:val="002B73AF"/>
    <w:rsid w:val="002B7DFC"/>
    <w:rsid w:val="002C15B8"/>
    <w:rsid w:val="002C1F9C"/>
    <w:rsid w:val="002C23D2"/>
    <w:rsid w:val="002D0A06"/>
    <w:rsid w:val="002D1380"/>
    <w:rsid w:val="002D2AD5"/>
    <w:rsid w:val="002D3044"/>
    <w:rsid w:val="002D30A9"/>
    <w:rsid w:val="002D4752"/>
    <w:rsid w:val="002D4A56"/>
    <w:rsid w:val="002E112F"/>
    <w:rsid w:val="002E1821"/>
    <w:rsid w:val="002E1CFA"/>
    <w:rsid w:val="002E1DF9"/>
    <w:rsid w:val="002E250C"/>
    <w:rsid w:val="002E4DD1"/>
    <w:rsid w:val="002E5FE3"/>
    <w:rsid w:val="002E61B5"/>
    <w:rsid w:val="002E74B7"/>
    <w:rsid w:val="002E79B9"/>
    <w:rsid w:val="002F2156"/>
    <w:rsid w:val="002F39BD"/>
    <w:rsid w:val="002F7594"/>
    <w:rsid w:val="00300478"/>
    <w:rsid w:val="0030596D"/>
    <w:rsid w:val="00305D56"/>
    <w:rsid w:val="0030680E"/>
    <w:rsid w:val="00315C35"/>
    <w:rsid w:val="003166DC"/>
    <w:rsid w:val="00317CF3"/>
    <w:rsid w:val="0032118B"/>
    <w:rsid w:val="00321F30"/>
    <w:rsid w:val="0032221C"/>
    <w:rsid w:val="00322F89"/>
    <w:rsid w:val="00323B4B"/>
    <w:rsid w:val="00323E3F"/>
    <w:rsid w:val="00324C19"/>
    <w:rsid w:val="00330993"/>
    <w:rsid w:val="00331629"/>
    <w:rsid w:val="00331CB6"/>
    <w:rsid w:val="00332049"/>
    <w:rsid w:val="0033374B"/>
    <w:rsid w:val="003347B2"/>
    <w:rsid w:val="0033704B"/>
    <w:rsid w:val="00341146"/>
    <w:rsid w:val="003422E9"/>
    <w:rsid w:val="00342D84"/>
    <w:rsid w:val="00346A1F"/>
    <w:rsid w:val="0034781B"/>
    <w:rsid w:val="003508EA"/>
    <w:rsid w:val="0035244F"/>
    <w:rsid w:val="00353519"/>
    <w:rsid w:val="003562A8"/>
    <w:rsid w:val="003562D7"/>
    <w:rsid w:val="00357633"/>
    <w:rsid w:val="00357897"/>
    <w:rsid w:val="00360D49"/>
    <w:rsid w:val="003612F3"/>
    <w:rsid w:val="00361FBF"/>
    <w:rsid w:val="00363A2E"/>
    <w:rsid w:val="00365134"/>
    <w:rsid w:val="00370DFB"/>
    <w:rsid w:val="00371ADC"/>
    <w:rsid w:val="00374A20"/>
    <w:rsid w:val="0037692D"/>
    <w:rsid w:val="00376BE3"/>
    <w:rsid w:val="003771CC"/>
    <w:rsid w:val="003806EE"/>
    <w:rsid w:val="00380D24"/>
    <w:rsid w:val="00381802"/>
    <w:rsid w:val="00384AF4"/>
    <w:rsid w:val="003859D3"/>
    <w:rsid w:val="00386FB6"/>
    <w:rsid w:val="00391FAC"/>
    <w:rsid w:val="0039276E"/>
    <w:rsid w:val="00394E52"/>
    <w:rsid w:val="00397E08"/>
    <w:rsid w:val="003A018A"/>
    <w:rsid w:val="003A1063"/>
    <w:rsid w:val="003A2F68"/>
    <w:rsid w:val="003A3F7B"/>
    <w:rsid w:val="003A4FA6"/>
    <w:rsid w:val="003A6424"/>
    <w:rsid w:val="003A7F3E"/>
    <w:rsid w:val="003B3F9C"/>
    <w:rsid w:val="003B4E8E"/>
    <w:rsid w:val="003B7B4E"/>
    <w:rsid w:val="003B7CA2"/>
    <w:rsid w:val="003C2767"/>
    <w:rsid w:val="003C345D"/>
    <w:rsid w:val="003C66B6"/>
    <w:rsid w:val="003C7082"/>
    <w:rsid w:val="003D1FA7"/>
    <w:rsid w:val="003D2168"/>
    <w:rsid w:val="003E2E89"/>
    <w:rsid w:val="003E5A5A"/>
    <w:rsid w:val="003E5AE9"/>
    <w:rsid w:val="003E5E51"/>
    <w:rsid w:val="003E5FFF"/>
    <w:rsid w:val="003F2152"/>
    <w:rsid w:val="003F5D0B"/>
    <w:rsid w:val="003F68A0"/>
    <w:rsid w:val="003F74F7"/>
    <w:rsid w:val="003F7DDE"/>
    <w:rsid w:val="00400DB1"/>
    <w:rsid w:val="00404CA3"/>
    <w:rsid w:val="0041022B"/>
    <w:rsid w:val="004122F1"/>
    <w:rsid w:val="00413442"/>
    <w:rsid w:val="004152ED"/>
    <w:rsid w:val="00420FBC"/>
    <w:rsid w:val="00427C9A"/>
    <w:rsid w:val="00431492"/>
    <w:rsid w:val="00431D54"/>
    <w:rsid w:val="00432E33"/>
    <w:rsid w:val="004341B2"/>
    <w:rsid w:val="0043503D"/>
    <w:rsid w:val="00435609"/>
    <w:rsid w:val="0044074F"/>
    <w:rsid w:val="00443C29"/>
    <w:rsid w:val="004442FF"/>
    <w:rsid w:val="004449F2"/>
    <w:rsid w:val="00445361"/>
    <w:rsid w:val="00445C9B"/>
    <w:rsid w:val="00446777"/>
    <w:rsid w:val="004470AC"/>
    <w:rsid w:val="00450C3D"/>
    <w:rsid w:val="00451D30"/>
    <w:rsid w:val="00454ECC"/>
    <w:rsid w:val="00457693"/>
    <w:rsid w:val="0046076E"/>
    <w:rsid w:val="00463FBB"/>
    <w:rsid w:val="0046431C"/>
    <w:rsid w:val="00465E6B"/>
    <w:rsid w:val="00466D80"/>
    <w:rsid w:val="00467FBD"/>
    <w:rsid w:val="0047028C"/>
    <w:rsid w:val="00470505"/>
    <w:rsid w:val="00471359"/>
    <w:rsid w:val="00474252"/>
    <w:rsid w:val="00475E5F"/>
    <w:rsid w:val="0047652F"/>
    <w:rsid w:val="004765A3"/>
    <w:rsid w:val="00480E1F"/>
    <w:rsid w:val="00483BFF"/>
    <w:rsid w:val="0048433E"/>
    <w:rsid w:val="00484B52"/>
    <w:rsid w:val="00485D2F"/>
    <w:rsid w:val="0048669F"/>
    <w:rsid w:val="004900F5"/>
    <w:rsid w:val="00490BBC"/>
    <w:rsid w:val="0049140E"/>
    <w:rsid w:val="00491707"/>
    <w:rsid w:val="004934D8"/>
    <w:rsid w:val="00493618"/>
    <w:rsid w:val="004956D8"/>
    <w:rsid w:val="004A101F"/>
    <w:rsid w:val="004A1071"/>
    <w:rsid w:val="004A17A3"/>
    <w:rsid w:val="004A44B8"/>
    <w:rsid w:val="004A4684"/>
    <w:rsid w:val="004A7CAC"/>
    <w:rsid w:val="004B2255"/>
    <w:rsid w:val="004B2B41"/>
    <w:rsid w:val="004B330F"/>
    <w:rsid w:val="004B4FC6"/>
    <w:rsid w:val="004B69BC"/>
    <w:rsid w:val="004B6C02"/>
    <w:rsid w:val="004B6FA3"/>
    <w:rsid w:val="004B7614"/>
    <w:rsid w:val="004C4B4D"/>
    <w:rsid w:val="004C6492"/>
    <w:rsid w:val="004C737A"/>
    <w:rsid w:val="004D0A7C"/>
    <w:rsid w:val="004D20EA"/>
    <w:rsid w:val="004D3420"/>
    <w:rsid w:val="004D39BF"/>
    <w:rsid w:val="004D4D02"/>
    <w:rsid w:val="004D54C7"/>
    <w:rsid w:val="004E02AA"/>
    <w:rsid w:val="004E47D3"/>
    <w:rsid w:val="004E7C4A"/>
    <w:rsid w:val="004E7E90"/>
    <w:rsid w:val="004E7FAB"/>
    <w:rsid w:val="004F0EFD"/>
    <w:rsid w:val="004F2E85"/>
    <w:rsid w:val="004F5CF8"/>
    <w:rsid w:val="005012C2"/>
    <w:rsid w:val="00510659"/>
    <w:rsid w:val="00511932"/>
    <w:rsid w:val="00515C71"/>
    <w:rsid w:val="00516450"/>
    <w:rsid w:val="0052040F"/>
    <w:rsid w:val="005210E3"/>
    <w:rsid w:val="005212C4"/>
    <w:rsid w:val="00522B9E"/>
    <w:rsid w:val="005255D3"/>
    <w:rsid w:val="00526459"/>
    <w:rsid w:val="00527F88"/>
    <w:rsid w:val="00531455"/>
    <w:rsid w:val="005328D7"/>
    <w:rsid w:val="0053322D"/>
    <w:rsid w:val="005356E1"/>
    <w:rsid w:val="00536328"/>
    <w:rsid w:val="00542FE5"/>
    <w:rsid w:val="0054371D"/>
    <w:rsid w:val="0055110D"/>
    <w:rsid w:val="0055231B"/>
    <w:rsid w:val="005561A2"/>
    <w:rsid w:val="00557522"/>
    <w:rsid w:val="0055766A"/>
    <w:rsid w:val="0056108D"/>
    <w:rsid w:val="00561D10"/>
    <w:rsid w:val="00563E52"/>
    <w:rsid w:val="005657A1"/>
    <w:rsid w:val="00566462"/>
    <w:rsid w:val="005674E1"/>
    <w:rsid w:val="00567DFB"/>
    <w:rsid w:val="005706E5"/>
    <w:rsid w:val="00571A1D"/>
    <w:rsid w:val="0057394B"/>
    <w:rsid w:val="005739C9"/>
    <w:rsid w:val="0057580D"/>
    <w:rsid w:val="00576C6B"/>
    <w:rsid w:val="00576F68"/>
    <w:rsid w:val="005773B2"/>
    <w:rsid w:val="00577401"/>
    <w:rsid w:val="0058138C"/>
    <w:rsid w:val="00582FFB"/>
    <w:rsid w:val="0058419A"/>
    <w:rsid w:val="00585C03"/>
    <w:rsid w:val="00595E6C"/>
    <w:rsid w:val="005A25D9"/>
    <w:rsid w:val="005A49EE"/>
    <w:rsid w:val="005A6E55"/>
    <w:rsid w:val="005B0D4F"/>
    <w:rsid w:val="005B0EA8"/>
    <w:rsid w:val="005B4D54"/>
    <w:rsid w:val="005B6D06"/>
    <w:rsid w:val="005B7EA5"/>
    <w:rsid w:val="005C159D"/>
    <w:rsid w:val="005D1BC5"/>
    <w:rsid w:val="005D240D"/>
    <w:rsid w:val="005D267D"/>
    <w:rsid w:val="005D6EEA"/>
    <w:rsid w:val="005D7A48"/>
    <w:rsid w:val="005E01A7"/>
    <w:rsid w:val="005E18A9"/>
    <w:rsid w:val="005E225D"/>
    <w:rsid w:val="005E30B8"/>
    <w:rsid w:val="005E3A99"/>
    <w:rsid w:val="005F23A2"/>
    <w:rsid w:val="005F4EE5"/>
    <w:rsid w:val="005F509D"/>
    <w:rsid w:val="00600D0A"/>
    <w:rsid w:val="006024C4"/>
    <w:rsid w:val="00602D1B"/>
    <w:rsid w:val="00603ABC"/>
    <w:rsid w:val="006070CB"/>
    <w:rsid w:val="00607434"/>
    <w:rsid w:val="0061147C"/>
    <w:rsid w:val="00611B64"/>
    <w:rsid w:val="00611C36"/>
    <w:rsid w:val="0061525F"/>
    <w:rsid w:val="00615575"/>
    <w:rsid w:val="006173EB"/>
    <w:rsid w:val="00622AC1"/>
    <w:rsid w:val="00624566"/>
    <w:rsid w:val="00625E07"/>
    <w:rsid w:val="006265DB"/>
    <w:rsid w:val="006270D2"/>
    <w:rsid w:val="00630480"/>
    <w:rsid w:val="0063401D"/>
    <w:rsid w:val="00636259"/>
    <w:rsid w:val="006376FC"/>
    <w:rsid w:val="0064164D"/>
    <w:rsid w:val="00643CC8"/>
    <w:rsid w:val="00646BAF"/>
    <w:rsid w:val="00651108"/>
    <w:rsid w:val="00652C3F"/>
    <w:rsid w:val="0065424A"/>
    <w:rsid w:val="0065711C"/>
    <w:rsid w:val="00657473"/>
    <w:rsid w:val="006575ED"/>
    <w:rsid w:val="00657897"/>
    <w:rsid w:val="00657AA3"/>
    <w:rsid w:val="0066076A"/>
    <w:rsid w:val="00660901"/>
    <w:rsid w:val="0066192B"/>
    <w:rsid w:val="00663557"/>
    <w:rsid w:val="00664A9E"/>
    <w:rsid w:val="00664DE8"/>
    <w:rsid w:val="00666142"/>
    <w:rsid w:val="006668E1"/>
    <w:rsid w:val="006709E1"/>
    <w:rsid w:val="00671444"/>
    <w:rsid w:val="00671B9C"/>
    <w:rsid w:val="00672BDA"/>
    <w:rsid w:val="006752D9"/>
    <w:rsid w:val="00675538"/>
    <w:rsid w:val="006810F5"/>
    <w:rsid w:val="00681980"/>
    <w:rsid w:val="00682579"/>
    <w:rsid w:val="00682666"/>
    <w:rsid w:val="0068443E"/>
    <w:rsid w:val="00685D6E"/>
    <w:rsid w:val="00690CA8"/>
    <w:rsid w:val="006928C9"/>
    <w:rsid w:val="0069440B"/>
    <w:rsid w:val="00696861"/>
    <w:rsid w:val="00696E33"/>
    <w:rsid w:val="006A2D1A"/>
    <w:rsid w:val="006A3552"/>
    <w:rsid w:val="006A45BA"/>
    <w:rsid w:val="006B188A"/>
    <w:rsid w:val="006B1BE9"/>
    <w:rsid w:val="006B2052"/>
    <w:rsid w:val="006B38A1"/>
    <w:rsid w:val="006B4514"/>
    <w:rsid w:val="006B4754"/>
    <w:rsid w:val="006B506A"/>
    <w:rsid w:val="006B51A0"/>
    <w:rsid w:val="006B52D9"/>
    <w:rsid w:val="006C023D"/>
    <w:rsid w:val="006C1B71"/>
    <w:rsid w:val="006C3908"/>
    <w:rsid w:val="006C4289"/>
    <w:rsid w:val="006C47E3"/>
    <w:rsid w:val="006C674A"/>
    <w:rsid w:val="006D3BD5"/>
    <w:rsid w:val="006D4405"/>
    <w:rsid w:val="006D46F1"/>
    <w:rsid w:val="006E248E"/>
    <w:rsid w:val="006E2C45"/>
    <w:rsid w:val="006E3156"/>
    <w:rsid w:val="006E3984"/>
    <w:rsid w:val="006E4439"/>
    <w:rsid w:val="006F3E80"/>
    <w:rsid w:val="006F557E"/>
    <w:rsid w:val="006F7B54"/>
    <w:rsid w:val="0070140C"/>
    <w:rsid w:val="00703701"/>
    <w:rsid w:val="00705D36"/>
    <w:rsid w:val="00705F40"/>
    <w:rsid w:val="0070616C"/>
    <w:rsid w:val="00706EF8"/>
    <w:rsid w:val="00713DE4"/>
    <w:rsid w:val="007217E7"/>
    <w:rsid w:val="0072563D"/>
    <w:rsid w:val="00727927"/>
    <w:rsid w:val="00727FEA"/>
    <w:rsid w:val="007318C0"/>
    <w:rsid w:val="0073367B"/>
    <w:rsid w:val="00736F3E"/>
    <w:rsid w:val="007411B7"/>
    <w:rsid w:val="0074363F"/>
    <w:rsid w:val="007453C4"/>
    <w:rsid w:val="0074723C"/>
    <w:rsid w:val="007530F8"/>
    <w:rsid w:val="0075497C"/>
    <w:rsid w:val="00756AEC"/>
    <w:rsid w:val="00756BFB"/>
    <w:rsid w:val="0076134B"/>
    <w:rsid w:val="0076275E"/>
    <w:rsid w:val="00765C76"/>
    <w:rsid w:val="0076645E"/>
    <w:rsid w:val="00767EBA"/>
    <w:rsid w:val="00773A64"/>
    <w:rsid w:val="0077488B"/>
    <w:rsid w:val="00775B18"/>
    <w:rsid w:val="00777534"/>
    <w:rsid w:val="007804DD"/>
    <w:rsid w:val="00780B2A"/>
    <w:rsid w:val="00782CA5"/>
    <w:rsid w:val="007856F0"/>
    <w:rsid w:val="00785971"/>
    <w:rsid w:val="007903F2"/>
    <w:rsid w:val="00790A96"/>
    <w:rsid w:val="00792D05"/>
    <w:rsid w:val="0079652B"/>
    <w:rsid w:val="00797725"/>
    <w:rsid w:val="007A1F65"/>
    <w:rsid w:val="007A214A"/>
    <w:rsid w:val="007A2E24"/>
    <w:rsid w:val="007A404F"/>
    <w:rsid w:val="007A45D3"/>
    <w:rsid w:val="007A649A"/>
    <w:rsid w:val="007A6EF1"/>
    <w:rsid w:val="007B014B"/>
    <w:rsid w:val="007C2455"/>
    <w:rsid w:val="007C4D47"/>
    <w:rsid w:val="007D031C"/>
    <w:rsid w:val="007D1343"/>
    <w:rsid w:val="007D272D"/>
    <w:rsid w:val="007D5871"/>
    <w:rsid w:val="007E062C"/>
    <w:rsid w:val="007E0F5E"/>
    <w:rsid w:val="007E2637"/>
    <w:rsid w:val="007E2B63"/>
    <w:rsid w:val="007E44A4"/>
    <w:rsid w:val="007E6177"/>
    <w:rsid w:val="007E772F"/>
    <w:rsid w:val="007E77F4"/>
    <w:rsid w:val="007F427B"/>
    <w:rsid w:val="007F670E"/>
    <w:rsid w:val="007F724A"/>
    <w:rsid w:val="007F7DE4"/>
    <w:rsid w:val="0080008B"/>
    <w:rsid w:val="00800DA8"/>
    <w:rsid w:val="008054CA"/>
    <w:rsid w:val="008059E9"/>
    <w:rsid w:val="00806D4C"/>
    <w:rsid w:val="0080754F"/>
    <w:rsid w:val="00807C20"/>
    <w:rsid w:val="008103AD"/>
    <w:rsid w:val="00811EAD"/>
    <w:rsid w:val="00815326"/>
    <w:rsid w:val="008175DF"/>
    <w:rsid w:val="00820D56"/>
    <w:rsid w:val="00822101"/>
    <w:rsid w:val="00824D77"/>
    <w:rsid w:val="0082550B"/>
    <w:rsid w:val="00826E98"/>
    <w:rsid w:val="008279CD"/>
    <w:rsid w:val="0083000E"/>
    <w:rsid w:val="00830905"/>
    <w:rsid w:val="008316CA"/>
    <w:rsid w:val="00832AAF"/>
    <w:rsid w:val="00832FF5"/>
    <w:rsid w:val="0083318A"/>
    <w:rsid w:val="0083693B"/>
    <w:rsid w:val="00844E9F"/>
    <w:rsid w:val="008507F2"/>
    <w:rsid w:val="008510AC"/>
    <w:rsid w:val="00854529"/>
    <w:rsid w:val="00854820"/>
    <w:rsid w:val="008563F8"/>
    <w:rsid w:val="008565D4"/>
    <w:rsid w:val="00857EBC"/>
    <w:rsid w:val="008603A5"/>
    <w:rsid w:val="008612A2"/>
    <w:rsid w:val="00861408"/>
    <w:rsid w:val="00863344"/>
    <w:rsid w:val="0086637F"/>
    <w:rsid w:val="00866549"/>
    <w:rsid w:val="00866933"/>
    <w:rsid w:val="0086711C"/>
    <w:rsid w:val="0086789D"/>
    <w:rsid w:val="00871C76"/>
    <w:rsid w:val="00872A57"/>
    <w:rsid w:val="008765C6"/>
    <w:rsid w:val="008768DA"/>
    <w:rsid w:val="008769D2"/>
    <w:rsid w:val="00880DDD"/>
    <w:rsid w:val="00882D16"/>
    <w:rsid w:val="00885AF9"/>
    <w:rsid w:val="0089487F"/>
    <w:rsid w:val="00896FBE"/>
    <w:rsid w:val="008A23CB"/>
    <w:rsid w:val="008A4B69"/>
    <w:rsid w:val="008A618A"/>
    <w:rsid w:val="008B10E7"/>
    <w:rsid w:val="008B56A7"/>
    <w:rsid w:val="008B680D"/>
    <w:rsid w:val="008C00FE"/>
    <w:rsid w:val="008C44E3"/>
    <w:rsid w:val="008C47A3"/>
    <w:rsid w:val="008C4B8F"/>
    <w:rsid w:val="008C64E5"/>
    <w:rsid w:val="008D1181"/>
    <w:rsid w:val="008D1AB8"/>
    <w:rsid w:val="008D2BBF"/>
    <w:rsid w:val="008D7E39"/>
    <w:rsid w:val="008E72AC"/>
    <w:rsid w:val="008E73B7"/>
    <w:rsid w:val="008F0E6F"/>
    <w:rsid w:val="008F1E87"/>
    <w:rsid w:val="008F2F42"/>
    <w:rsid w:val="008F3473"/>
    <w:rsid w:val="008F4AB3"/>
    <w:rsid w:val="008F76B2"/>
    <w:rsid w:val="009007B7"/>
    <w:rsid w:val="00902342"/>
    <w:rsid w:val="00902402"/>
    <w:rsid w:val="00903CDC"/>
    <w:rsid w:val="009061BB"/>
    <w:rsid w:val="0090760B"/>
    <w:rsid w:val="00910A62"/>
    <w:rsid w:val="009116A1"/>
    <w:rsid w:val="00913CA2"/>
    <w:rsid w:val="00914D59"/>
    <w:rsid w:val="0092238E"/>
    <w:rsid w:val="00922F53"/>
    <w:rsid w:val="009231CE"/>
    <w:rsid w:val="00925017"/>
    <w:rsid w:val="00925A40"/>
    <w:rsid w:val="00931541"/>
    <w:rsid w:val="00933F34"/>
    <w:rsid w:val="0093451D"/>
    <w:rsid w:val="00936E1D"/>
    <w:rsid w:val="009400B1"/>
    <w:rsid w:val="00943B49"/>
    <w:rsid w:val="00946E71"/>
    <w:rsid w:val="0095298B"/>
    <w:rsid w:val="00953FBE"/>
    <w:rsid w:val="00956CE0"/>
    <w:rsid w:val="00956F27"/>
    <w:rsid w:val="00957861"/>
    <w:rsid w:val="00960E39"/>
    <w:rsid w:val="00966095"/>
    <w:rsid w:val="0096658E"/>
    <w:rsid w:val="0097079E"/>
    <w:rsid w:val="00971A7A"/>
    <w:rsid w:val="00973DB2"/>
    <w:rsid w:val="00974AAD"/>
    <w:rsid w:val="00980FB3"/>
    <w:rsid w:val="00980FD6"/>
    <w:rsid w:val="00984064"/>
    <w:rsid w:val="00987856"/>
    <w:rsid w:val="00990800"/>
    <w:rsid w:val="0099383C"/>
    <w:rsid w:val="00996565"/>
    <w:rsid w:val="00996DC2"/>
    <w:rsid w:val="0099741E"/>
    <w:rsid w:val="00997D61"/>
    <w:rsid w:val="009A001D"/>
    <w:rsid w:val="009A3C5C"/>
    <w:rsid w:val="009A4F7B"/>
    <w:rsid w:val="009B0A4E"/>
    <w:rsid w:val="009B182D"/>
    <w:rsid w:val="009B443C"/>
    <w:rsid w:val="009B5B16"/>
    <w:rsid w:val="009B635F"/>
    <w:rsid w:val="009C0C77"/>
    <w:rsid w:val="009C4094"/>
    <w:rsid w:val="009C73C5"/>
    <w:rsid w:val="009D1C29"/>
    <w:rsid w:val="009D7AA2"/>
    <w:rsid w:val="009E3A29"/>
    <w:rsid w:val="009E486D"/>
    <w:rsid w:val="009E4C51"/>
    <w:rsid w:val="009F37D8"/>
    <w:rsid w:val="009F3F91"/>
    <w:rsid w:val="009F42D9"/>
    <w:rsid w:val="009F4356"/>
    <w:rsid w:val="009F48B8"/>
    <w:rsid w:val="009F6FC6"/>
    <w:rsid w:val="00A01A6A"/>
    <w:rsid w:val="00A01D23"/>
    <w:rsid w:val="00A02339"/>
    <w:rsid w:val="00A065ED"/>
    <w:rsid w:val="00A07FE4"/>
    <w:rsid w:val="00A10BD7"/>
    <w:rsid w:val="00A11B01"/>
    <w:rsid w:val="00A14F38"/>
    <w:rsid w:val="00A176E2"/>
    <w:rsid w:val="00A21D98"/>
    <w:rsid w:val="00A23583"/>
    <w:rsid w:val="00A2429D"/>
    <w:rsid w:val="00A24F33"/>
    <w:rsid w:val="00A2547A"/>
    <w:rsid w:val="00A3143E"/>
    <w:rsid w:val="00A33663"/>
    <w:rsid w:val="00A3438B"/>
    <w:rsid w:val="00A400EF"/>
    <w:rsid w:val="00A418D2"/>
    <w:rsid w:val="00A42A01"/>
    <w:rsid w:val="00A443A6"/>
    <w:rsid w:val="00A45EAE"/>
    <w:rsid w:val="00A520D0"/>
    <w:rsid w:val="00A53961"/>
    <w:rsid w:val="00A54D7D"/>
    <w:rsid w:val="00A56D79"/>
    <w:rsid w:val="00A60595"/>
    <w:rsid w:val="00A60FE3"/>
    <w:rsid w:val="00A623E1"/>
    <w:rsid w:val="00A627AB"/>
    <w:rsid w:val="00A62DF7"/>
    <w:rsid w:val="00A63C2F"/>
    <w:rsid w:val="00A65415"/>
    <w:rsid w:val="00A67514"/>
    <w:rsid w:val="00A679BB"/>
    <w:rsid w:val="00A709CD"/>
    <w:rsid w:val="00A70E24"/>
    <w:rsid w:val="00A731C3"/>
    <w:rsid w:val="00A75DE1"/>
    <w:rsid w:val="00A75FE3"/>
    <w:rsid w:val="00A77336"/>
    <w:rsid w:val="00A77C6E"/>
    <w:rsid w:val="00A80BC9"/>
    <w:rsid w:val="00A81CE2"/>
    <w:rsid w:val="00A83B91"/>
    <w:rsid w:val="00A87477"/>
    <w:rsid w:val="00A91DCB"/>
    <w:rsid w:val="00A925F9"/>
    <w:rsid w:val="00A92CD1"/>
    <w:rsid w:val="00A93E63"/>
    <w:rsid w:val="00A95E7E"/>
    <w:rsid w:val="00A972D7"/>
    <w:rsid w:val="00A97392"/>
    <w:rsid w:val="00AA1186"/>
    <w:rsid w:val="00AA1DC6"/>
    <w:rsid w:val="00AA207A"/>
    <w:rsid w:val="00AA63A4"/>
    <w:rsid w:val="00AB0F8C"/>
    <w:rsid w:val="00AB1CEA"/>
    <w:rsid w:val="00AB32E7"/>
    <w:rsid w:val="00AB4D79"/>
    <w:rsid w:val="00AB70A5"/>
    <w:rsid w:val="00AC4607"/>
    <w:rsid w:val="00AD0B20"/>
    <w:rsid w:val="00AE11ED"/>
    <w:rsid w:val="00AE25BC"/>
    <w:rsid w:val="00AE4B51"/>
    <w:rsid w:val="00AE7001"/>
    <w:rsid w:val="00AE7C39"/>
    <w:rsid w:val="00AF09EB"/>
    <w:rsid w:val="00AF128E"/>
    <w:rsid w:val="00AF14DA"/>
    <w:rsid w:val="00AF17A5"/>
    <w:rsid w:val="00AF210E"/>
    <w:rsid w:val="00AF3258"/>
    <w:rsid w:val="00AF34A1"/>
    <w:rsid w:val="00AF3E9B"/>
    <w:rsid w:val="00AF458A"/>
    <w:rsid w:val="00B00B9D"/>
    <w:rsid w:val="00B01EF4"/>
    <w:rsid w:val="00B03C11"/>
    <w:rsid w:val="00B061B1"/>
    <w:rsid w:val="00B07C1D"/>
    <w:rsid w:val="00B12357"/>
    <w:rsid w:val="00B12521"/>
    <w:rsid w:val="00B1495C"/>
    <w:rsid w:val="00B15E27"/>
    <w:rsid w:val="00B201B8"/>
    <w:rsid w:val="00B214A9"/>
    <w:rsid w:val="00B22277"/>
    <w:rsid w:val="00B250BC"/>
    <w:rsid w:val="00B25286"/>
    <w:rsid w:val="00B25CB1"/>
    <w:rsid w:val="00B271A9"/>
    <w:rsid w:val="00B277BB"/>
    <w:rsid w:val="00B32671"/>
    <w:rsid w:val="00B339D6"/>
    <w:rsid w:val="00B35EF6"/>
    <w:rsid w:val="00B40431"/>
    <w:rsid w:val="00B41D69"/>
    <w:rsid w:val="00B4205F"/>
    <w:rsid w:val="00B43117"/>
    <w:rsid w:val="00B4340B"/>
    <w:rsid w:val="00B47517"/>
    <w:rsid w:val="00B503F8"/>
    <w:rsid w:val="00B51C17"/>
    <w:rsid w:val="00B51E3B"/>
    <w:rsid w:val="00B52E0E"/>
    <w:rsid w:val="00B53FDB"/>
    <w:rsid w:val="00B55D82"/>
    <w:rsid w:val="00B56373"/>
    <w:rsid w:val="00B56CFA"/>
    <w:rsid w:val="00B579DF"/>
    <w:rsid w:val="00B60327"/>
    <w:rsid w:val="00B62C52"/>
    <w:rsid w:val="00B63026"/>
    <w:rsid w:val="00B6459A"/>
    <w:rsid w:val="00B704F7"/>
    <w:rsid w:val="00B70847"/>
    <w:rsid w:val="00B71798"/>
    <w:rsid w:val="00B72776"/>
    <w:rsid w:val="00B75582"/>
    <w:rsid w:val="00B821B2"/>
    <w:rsid w:val="00B83074"/>
    <w:rsid w:val="00B83F7C"/>
    <w:rsid w:val="00B86889"/>
    <w:rsid w:val="00B86B55"/>
    <w:rsid w:val="00B87C79"/>
    <w:rsid w:val="00B906AD"/>
    <w:rsid w:val="00B92AAA"/>
    <w:rsid w:val="00B93512"/>
    <w:rsid w:val="00B93523"/>
    <w:rsid w:val="00B936F2"/>
    <w:rsid w:val="00B95A3D"/>
    <w:rsid w:val="00BA3F7C"/>
    <w:rsid w:val="00BA595A"/>
    <w:rsid w:val="00BA70C5"/>
    <w:rsid w:val="00BA726B"/>
    <w:rsid w:val="00BB025E"/>
    <w:rsid w:val="00BB3231"/>
    <w:rsid w:val="00BB55A2"/>
    <w:rsid w:val="00BB6CC0"/>
    <w:rsid w:val="00BB79F0"/>
    <w:rsid w:val="00BB7A61"/>
    <w:rsid w:val="00BC1359"/>
    <w:rsid w:val="00BC29DA"/>
    <w:rsid w:val="00BC3363"/>
    <w:rsid w:val="00BC3600"/>
    <w:rsid w:val="00BD4219"/>
    <w:rsid w:val="00BD542B"/>
    <w:rsid w:val="00BD5DFA"/>
    <w:rsid w:val="00BE16ED"/>
    <w:rsid w:val="00BE30FA"/>
    <w:rsid w:val="00BE3ECA"/>
    <w:rsid w:val="00BE3FAA"/>
    <w:rsid w:val="00BE7591"/>
    <w:rsid w:val="00BF2F07"/>
    <w:rsid w:val="00BF3249"/>
    <w:rsid w:val="00BF328F"/>
    <w:rsid w:val="00BF5E79"/>
    <w:rsid w:val="00BF6209"/>
    <w:rsid w:val="00BF64C9"/>
    <w:rsid w:val="00BF7001"/>
    <w:rsid w:val="00BF722A"/>
    <w:rsid w:val="00BF76B6"/>
    <w:rsid w:val="00C02A6E"/>
    <w:rsid w:val="00C070DB"/>
    <w:rsid w:val="00C10664"/>
    <w:rsid w:val="00C13BCC"/>
    <w:rsid w:val="00C14231"/>
    <w:rsid w:val="00C163F3"/>
    <w:rsid w:val="00C172DB"/>
    <w:rsid w:val="00C211F9"/>
    <w:rsid w:val="00C225F8"/>
    <w:rsid w:val="00C23B5A"/>
    <w:rsid w:val="00C2426A"/>
    <w:rsid w:val="00C25B9D"/>
    <w:rsid w:val="00C27BB5"/>
    <w:rsid w:val="00C3065A"/>
    <w:rsid w:val="00C32C6E"/>
    <w:rsid w:val="00C36243"/>
    <w:rsid w:val="00C412A0"/>
    <w:rsid w:val="00C455F9"/>
    <w:rsid w:val="00C47A88"/>
    <w:rsid w:val="00C51EAB"/>
    <w:rsid w:val="00C52A73"/>
    <w:rsid w:val="00C6165E"/>
    <w:rsid w:val="00C659D0"/>
    <w:rsid w:val="00C679B2"/>
    <w:rsid w:val="00C7416E"/>
    <w:rsid w:val="00C74F23"/>
    <w:rsid w:val="00C75D19"/>
    <w:rsid w:val="00C80FCC"/>
    <w:rsid w:val="00C82099"/>
    <w:rsid w:val="00C83AAE"/>
    <w:rsid w:val="00C85509"/>
    <w:rsid w:val="00C946D0"/>
    <w:rsid w:val="00C95360"/>
    <w:rsid w:val="00CB2F8C"/>
    <w:rsid w:val="00CB351B"/>
    <w:rsid w:val="00CB77C2"/>
    <w:rsid w:val="00CC2ABC"/>
    <w:rsid w:val="00CC354B"/>
    <w:rsid w:val="00CC4ACB"/>
    <w:rsid w:val="00CC5803"/>
    <w:rsid w:val="00CD1CB1"/>
    <w:rsid w:val="00CD2F02"/>
    <w:rsid w:val="00CD31EB"/>
    <w:rsid w:val="00CD6F79"/>
    <w:rsid w:val="00CE0DA9"/>
    <w:rsid w:val="00CE35CB"/>
    <w:rsid w:val="00CE533F"/>
    <w:rsid w:val="00CE7EC5"/>
    <w:rsid w:val="00CF15F7"/>
    <w:rsid w:val="00CF2472"/>
    <w:rsid w:val="00CF280C"/>
    <w:rsid w:val="00CF3559"/>
    <w:rsid w:val="00CF3824"/>
    <w:rsid w:val="00CF386F"/>
    <w:rsid w:val="00CF3D85"/>
    <w:rsid w:val="00CF3FC8"/>
    <w:rsid w:val="00CF5360"/>
    <w:rsid w:val="00CF7969"/>
    <w:rsid w:val="00D008D6"/>
    <w:rsid w:val="00D00B03"/>
    <w:rsid w:val="00D01AC8"/>
    <w:rsid w:val="00D0268B"/>
    <w:rsid w:val="00D03B05"/>
    <w:rsid w:val="00D03BD4"/>
    <w:rsid w:val="00D05029"/>
    <w:rsid w:val="00D069C2"/>
    <w:rsid w:val="00D2233F"/>
    <w:rsid w:val="00D22B4A"/>
    <w:rsid w:val="00D22EA7"/>
    <w:rsid w:val="00D2357C"/>
    <w:rsid w:val="00D2620B"/>
    <w:rsid w:val="00D33C9A"/>
    <w:rsid w:val="00D42093"/>
    <w:rsid w:val="00D43C8F"/>
    <w:rsid w:val="00D43E8F"/>
    <w:rsid w:val="00D47E59"/>
    <w:rsid w:val="00D521A5"/>
    <w:rsid w:val="00D523A8"/>
    <w:rsid w:val="00D52594"/>
    <w:rsid w:val="00D52CA7"/>
    <w:rsid w:val="00D54E04"/>
    <w:rsid w:val="00D628CF"/>
    <w:rsid w:val="00D6306C"/>
    <w:rsid w:val="00D64FE8"/>
    <w:rsid w:val="00D64FF3"/>
    <w:rsid w:val="00D70BA5"/>
    <w:rsid w:val="00D71960"/>
    <w:rsid w:val="00D727E7"/>
    <w:rsid w:val="00D74512"/>
    <w:rsid w:val="00D81F82"/>
    <w:rsid w:val="00D83887"/>
    <w:rsid w:val="00D83CFF"/>
    <w:rsid w:val="00D84C0D"/>
    <w:rsid w:val="00D85F87"/>
    <w:rsid w:val="00D87CB6"/>
    <w:rsid w:val="00D90520"/>
    <w:rsid w:val="00D91B67"/>
    <w:rsid w:val="00D94C27"/>
    <w:rsid w:val="00D960A3"/>
    <w:rsid w:val="00DA0EA2"/>
    <w:rsid w:val="00DA17B1"/>
    <w:rsid w:val="00DA3F04"/>
    <w:rsid w:val="00DA62E1"/>
    <w:rsid w:val="00DA6430"/>
    <w:rsid w:val="00DA6FAB"/>
    <w:rsid w:val="00DB14A7"/>
    <w:rsid w:val="00DB1927"/>
    <w:rsid w:val="00DB2078"/>
    <w:rsid w:val="00DC16DB"/>
    <w:rsid w:val="00DC596F"/>
    <w:rsid w:val="00DC6290"/>
    <w:rsid w:val="00DC7D5A"/>
    <w:rsid w:val="00DD091A"/>
    <w:rsid w:val="00DD0A58"/>
    <w:rsid w:val="00DD3881"/>
    <w:rsid w:val="00DD4687"/>
    <w:rsid w:val="00DD4D4D"/>
    <w:rsid w:val="00DD6451"/>
    <w:rsid w:val="00DE0557"/>
    <w:rsid w:val="00DE2288"/>
    <w:rsid w:val="00DE2F9C"/>
    <w:rsid w:val="00DE3D31"/>
    <w:rsid w:val="00DE5D25"/>
    <w:rsid w:val="00DE79C5"/>
    <w:rsid w:val="00DF0AEA"/>
    <w:rsid w:val="00DF3684"/>
    <w:rsid w:val="00DF39A8"/>
    <w:rsid w:val="00DF4BC4"/>
    <w:rsid w:val="00DF65CF"/>
    <w:rsid w:val="00DF6B9A"/>
    <w:rsid w:val="00E02892"/>
    <w:rsid w:val="00E062F0"/>
    <w:rsid w:val="00E12399"/>
    <w:rsid w:val="00E13436"/>
    <w:rsid w:val="00E16FEE"/>
    <w:rsid w:val="00E171C7"/>
    <w:rsid w:val="00E22085"/>
    <w:rsid w:val="00E226AD"/>
    <w:rsid w:val="00E228D7"/>
    <w:rsid w:val="00E24662"/>
    <w:rsid w:val="00E24FF3"/>
    <w:rsid w:val="00E266E8"/>
    <w:rsid w:val="00E33711"/>
    <w:rsid w:val="00E352E2"/>
    <w:rsid w:val="00E35B23"/>
    <w:rsid w:val="00E35C51"/>
    <w:rsid w:val="00E416EE"/>
    <w:rsid w:val="00E41E96"/>
    <w:rsid w:val="00E4260F"/>
    <w:rsid w:val="00E4705C"/>
    <w:rsid w:val="00E47659"/>
    <w:rsid w:val="00E55C8B"/>
    <w:rsid w:val="00E619ED"/>
    <w:rsid w:val="00E63181"/>
    <w:rsid w:val="00E65334"/>
    <w:rsid w:val="00E66DBD"/>
    <w:rsid w:val="00E66F0C"/>
    <w:rsid w:val="00E7012B"/>
    <w:rsid w:val="00E72F2D"/>
    <w:rsid w:val="00E75B8A"/>
    <w:rsid w:val="00E77A93"/>
    <w:rsid w:val="00E80FE7"/>
    <w:rsid w:val="00E81919"/>
    <w:rsid w:val="00E853B9"/>
    <w:rsid w:val="00E922CE"/>
    <w:rsid w:val="00E94F1B"/>
    <w:rsid w:val="00E9582A"/>
    <w:rsid w:val="00E96330"/>
    <w:rsid w:val="00E97EC2"/>
    <w:rsid w:val="00EA57EB"/>
    <w:rsid w:val="00EA7426"/>
    <w:rsid w:val="00EB20DC"/>
    <w:rsid w:val="00EB35DD"/>
    <w:rsid w:val="00EB3E21"/>
    <w:rsid w:val="00EB46B0"/>
    <w:rsid w:val="00EB4A93"/>
    <w:rsid w:val="00EB5F24"/>
    <w:rsid w:val="00EB7018"/>
    <w:rsid w:val="00EB7C39"/>
    <w:rsid w:val="00EB7E1E"/>
    <w:rsid w:val="00EC1864"/>
    <w:rsid w:val="00EC23CD"/>
    <w:rsid w:val="00EC2FBB"/>
    <w:rsid w:val="00EC6081"/>
    <w:rsid w:val="00EC7155"/>
    <w:rsid w:val="00ED0707"/>
    <w:rsid w:val="00ED2D34"/>
    <w:rsid w:val="00ED352C"/>
    <w:rsid w:val="00ED4DBB"/>
    <w:rsid w:val="00ED7625"/>
    <w:rsid w:val="00EE3C69"/>
    <w:rsid w:val="00EF1462"/>
    <w:rsid w:val="00EF6A7E"/>
    <w:rsid w:val="00EF6E6D"/>
    <w:rsid w:val="00EF79BB"/>
    <w:rsid w:val="00F0088A"/>
    <w:rsid w:val="00F03C9B"/>
    <w:rsid w:val="00F069EB"/>
    <w:rsid w:val="00F07B0C"/>
    <w:rsid w:val="00F1113C"/>
    <w:rsid w:val="00F12D58"/>
    <w:rsid w:val="00F13762"/>
    <w:rsid w:val="00F1412F"/>
    <w:rsid w:val="00F15843"/>
    <w:rsid w:val="00F16A69"/>
    <w:rsid w:val="00F16FB1"/>
    <w:rsid w:val="00F20777"/>
    <w:rsid w:val="00F21B69"/>
    <w:rsid w:val="00F25D66"/>
    <w:rsid w:val="00F2675C"/>
    <w:rsid w:val="00F26E1A"/>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0F7"/>
    <w:rsid w:val="00F611B6"/>
    <w:rsid w:val="00F666AF"/>
    <w:rsid w:val="00F67F50"/>
    <w:rsid w:val="00F717EB"/>
    <w:rsid w:val="00F76189"/>
    <w:rsid w:val="00F7641D"/>
    <w:rsid w:val="00F773C1"/>
    <w:rsid w:val="00F81F1E"/>
    <w:rsid w:val="00F83B51"/>
    <w:rsid w:val="00F84456"/>
    <w:rsid w:val="00F851FD"/>
    <w:rsid w:val="00F85F7C"/>
    <w:rsid w:val="00F867F0"/>
    <w:rsid w:val="00F86B8B"/>
    <w:rsid w:val="00F87E9A"/>
    <w:rsid w:val="00F95574"/>
    <w:rsid w:val="00F976EA"/>
    <w:rsid w:val="00FA23DC"/>
    <w:rsid w:val="00FA7CDE"/>
    <w:rsid w:val="00FA7D0E"/>
    <w:rsid w:val="00FB1446"/>
    <w:rsid w:val="00FB283A"/>
    <w:rsid w:val="00FB6102"/>
    <w:rsid w:val="00FB66F0"/>
    <w:rsid w:val="00FB72AF"/>
    <w:rsid w:val="00FB75BF"/>
    <w:rsid w:val="00FC025E"/>
    <w:rsid w:val="00FC2516"/>
    <w:rsid w:val="00FC60B8"/>
    <w:rsid w:val="00FC6D15"/>
    <w:rsid w:val="00FD164C"/>
    <w:rsid w:val="00FD20A8"/>
    <w:rsid w:val="00FD249C"/>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34"/>
    <w:rPr>
      <w:lang w:val="es-ES" w:eastAsia="es-ES"/>
    </w:rPr>
  </w:style>
  <w:style w:type="paragraph" w:styleId="Ttulo1">
    <w:name w:val="heading 1"/>
    <w:basedOn w:val="Normal"/>
    <w:next w:val="Normal"/>
    <w:link w:val="Ttulo1Car"/>
    <w:qFormat/>
    <w:rsid w:val="00365134"/>
    <w:pPr>
      <w:outlineLvl w:val="0"/>
    </w:pPr>
    <w:rPr>
      <w:snapToGrid w:val="0"/>
      <w:color w:val="808000"/>
      <w:sz w:val="44"/>
      <w:lang w:val="es-ES_tradnl" w:eastAsia="x-none"/>
    </w:rPr>
  </w:style>
  <w:style w:type="paragraph" w:styleId="Ttulo2">
    <w:name w:val="heading 2"/>
    <w:basedOn w:val="Normal"/>
    <w:next w:val="Normal"/>
    <w:link w:val="Ttulo2Car"/>
    <w:qFormat/>
    <w:rsid w:val="00365134"/>
    <w:pPr>
      <w:ind w:left="270" w:hanging="270"/>
      <w:outlineLvl w:val="1"/>
    </w:pPr>
    <w:rPr>
      <w:snapToGrid w:val="0"/>
      <w:color w:val="000000"/>
      <w:sz w:val="32"/>
      <w:lang w:val="es-ES_tradnl" w:eastAsia="x-none"/>
    </w:rPr>
  </w:style>
  <w:style w:type="paragraph" w:styleId="Ttulo3">
    <w:name w:val="heading 3"/>
    <w:basedOn w:val="Normal"/>
    <w:next w:val="Normal"/>
    <w:link w:val="Ttulo3Car"/>
    <w:uiPriority w:val="99"/>
    <w:qFormat/>
    <w:rsid w:val="00365134"/>
    <w:pPr>
      <w:keepNext/>
      <w:ind w:firstLine="708"/>
      <w:jc w:val="both"/>
      <w:outlineLvl w:val="2"/>
    </w:pPr>
    <w:rPr>
      <w:rFonts w:ascii="Arial" w:hAnsi="Arial"/>
      <w:i/>
      <w:sz w:val="24"/>
      <w:lang w:val="x-none"/>
    </w:rPr>
  </w:style>
  <w:style w:type="paragraph" w:styleId="Ttulo4">
    <w:name w:val="heading 4"/>
    <w:basedOn w:val="Normal"/>
    <w:next w:val="Normal"/>
    <w:link w:val="Ttulo4Car"/>
    <w:qFormat/>
    <w:rsid w:val="00365134"/>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rsid w:val="00365134"/>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rsid w:val="00365134"/>
    <w:pPr>
      <w:keepNext/>
      <w:jc w:val="center"/>
      <w:outlineLvl w:val="5"/>
    </w:pPr>
    <w:rPr>
      <w:rFonts w:ascii="Elephant" w:hAnsi="Elephant"/>
      <w:b/>
      <w:sz w:val="18"/>
      <w:lang w:val="es-MX" w:eastAsia="x-none"/>
    </w:rPr>
  </w:style>
  <w:style w:type="paragraph" w:styleId="Ttulo7">
    <w:name w:val="heading 7"/>
    <w:basedOn w:val="Normal"/>
    <w:next w:val="Normal"/>
    <w:link w:val="Ttulo7Car"/>
    <w:qFormat/>
    <w:rsid w:val="00365134"/>
    <w:pPr>
      <w:keepNext/>
      <w:outlineLvl w:val="6"/>
    </w:pPr>
    <w:rPr>
      <w:color w:val="0000FF"/>
      <w:sz w:val="32"/>
      <w:lang w:val="x-none" w:eastAsia="x-none"/>
    </w:rPr>
  </w:style>
  <w:style w:type="paragraph" w:styleId="Ttulo8">
    <w:name w:val="heading 8"/>
    <w:basedOn w:val="Normal"/>
    <w:next w:val="Normal"/>
    <w:link w:val="Ttulo8Car"/>
    <w:qFormat/>
    <w:rsid w:val="00365134"/>
    <w:pPr>
      <w:keepNext/>
      <w:outlineLvl w:val="7"/>
    </w:pPr>
    <w:rPr>
      <w:rFonts w:ascii="Arial" w:hAnsi="Arial"/>
      <w:color w:val="000000"/>
      <w:sz w:val="24"/>
      <w:lang w:val="x-none" w:eastAsia="x-none"/>
    </w:rPr>
  </w:style>
  <w:style w:type="paragraph" w:styleId="Ttulo9">
    <w:name w:val="heading 9"/>
    <w:basedOn w:val="Normal"/>
    <w:next w:val="Normal"/>
    <w:link w:val="Ttulo9Car"/>
    <w:qFormat/>
    <w:rsid w:val="00365134"/>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65134"/>
    <w:pPr>
      <w:jc w:val="both"/>
    </w:pPr>
    <w:rPr>
      <w:rFonts w:ascii="Arial" w:hAnsi="Arial"/>
      <w:sz w:val="24"/>
      <w:lang w:val="es-MX" w:eastAsia="x-none"/>
    </w:rPr>
  </w:style>
  <w:style w:type="paragraph" w:styleId="Piedepgina">
    <w:name w:val="footer"/>
    <w:basedOn w:val="Normal"/>
    <w:link w:val="PiedepginaCar"/>
    <w:uiPriority w:val="99"/>
    <w:rsid w:val="00365134"/>
    <w:pPr>
      <w:tabs>
        <w:tab w:val="center" w:pos="4419"/>
        <w:tab w:val="right" w:pos="8838"/>
      </w:tabs>
    </w:pPr>
    <w:rPr>
      <w:rFonts w:ascii="Times" w:hAnsi="Times"/>
      <w:lang w:val="x-none" w:eastAsia="x-none"/>
    </w:rPr>
  </w:style>
  <w:style w:type="paragraph" w:styleId="Textoindependiente2">
    <w:name w:val="Body Text 2"/>
    <w:basedOn w:val="Normal"/>
    <w:link w:val="Textoindependiente2Car"/>
    <w:uiPriority w:val="99"/>
    <w:rsid w:val="00365134"/>
    <w:pPr>
      <w:jc w:val="both"/>
    </w:pPr>
    <w:rPr>
      <w:rFonts w:ascii="Arial" w:hAnsi="Arial"/>
      <w:i/>
      <w:sz w:val="24"/>
      <w:lang w:val="es-MX" w:eastAsia="x-none"/>
    </w:rPr>
  </w:style>
  <w:style w:type="paragraph" w:styleId="Textoindependiente3">
    <w:name w:val="Body Text 3"/>
    <w:basedOn w:val="Normal"/>
    <w:link w:val="Textoindependiente3Car"/>
    <w:rsid w:val="00365134"/>
    <w:pPr>
      <w:jc w:val="both"/>
    </w:pPr>
    <w:rPr>
      <w:rFonts w:ascii="Arial Narrow" w:hAnsi="Arial Narrow"/>
      <w:sz w:val="24"/>
      <w:lang w:val="es-ES_tradnl" w:eastAsia="x-none"/>
    </w:rPr>
  </w:style>
  <w:style w:type="character" w:styleId="Nmerodepgina">
    <w:name w:val="page number"/>
    <w:basedOn w:val="Fuentedeprrafopredeter"/>
    <w:rsid w:val="00365134"/>
  </w:style>
  <w:style w:type="paragraph" w:customStyle="1" w:styleId="Textoindependiente31">
    <w:name w:val="Texto independiente 31"/>
    <w:basedOn w:val="Normal"/>
    <w:rsid w:val="00365134"/>
    <w:pPr>
      <w:tabs>
        <w:tab w:val="left" w:pos="-720"/>
      </w:tabs>
      <w:jc w:val="both"/>
    </w:pPr>
    <w:rPr>
      <w:rFonts w:ascii="Arial" w:hAnsi="Arial"/>
      <w:i/>
      <w:sz w:val="24"/>
      <w:lang w:val="es-ES_tradnl"/>
    </w:rPr>
  </w:style>
  <w:style w:type="paragraph" w:customStyle="1" w:styleId="Textoindependiente21">
    <w:name w:val="Texto independiente 21"/>
    <w:basedOn w:val="Normal"/>
    <w:rsid w:val="0036513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36513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36513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3651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rsid w:val="0036513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rsid w:val="00365134"/>
    <w:pPr>
      <w:widowControl w:val="0"/>
    </w:pPr>
    <w:rPr>
      <w:rFonts w:ascii="Courier New" w:hAnsi="Courier New"/>
      <w:snapToGrid w:val="0"/>
      <w:sz w:val="24"/>
    </w:rPr>
  </w:style>
  <w:style w:type="paragraph" w:customStyle="1" w:styleId="Mapadeldocumento1">
    <w:name w:val="Mapa del documento1"/>
    <w:basedOn w:val="Normal"/>
    <w:rsid w:val="00365134"/>
    <w:rPr>
      <w:rFonts w:ascii="Tahoma" w:hAnsi="Tahoma"/>
    </w:rPr>
  </w:style>
  <w:style w:type="paragraph" w:styleId="Encabezado">
    <w:name w:val="header"/>
    <w:basedOn w:val="Normal"/>
    <w:link w:val="EncabezadoCar"/>
    <w:uiPriority w:val="99"/>
    <w:rsid w:val="00365134"/>
    <w:pPr>
      <w:tabs>
        <w:tab w:val="center" w:pos="4419"/>
        <w:tab w:val="right" w:pos="8838"/>
      </w:tabs>
    </w:pPr>
  </w:style>
  <w:style w:type="paragraph" w:styleId="Sangra2detindependiente">
    <w:name w:val="Body Text Indent 2"/>
    <w:basedOn w:val="Normal"/>
    <w:link w:val="Sangra2detindependienteCar"/>
    <w:rsid w:val="00365134"/>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rsid w:val="00365134"/>
    <w:pPr>
      <w:jc w:val="center"/>
    </w:pPr>
    <w:rPr>
      <w:rFonts w:ascii="Arial" w:hAnsi="Arial"/>
      <w:b/>
      <w:sz w:val="22"/>
      <w:lang w:val="es-MX" w:eastAsia="x-none"/>
    </w:rPr>
  </w:style>
  <w:style w:type="paragraph" w:customStyle="1" w:styleId="Normal0">
    <w:name w:val="[Normal]"/>
    <w:rsid w:val="00365134"/>
    <w:pPr>
      <w:autoSpaceDE w:val="0"/>
      <w:autoSpaceDN w:val="0"/>
      <w:adjustRightInd w:val="0"/>
    </w:pPr>
    <w:rPr>
      <w:rFonts w:ascii="Arial" w:hAnsi="Arial" w:cs="Arial"/>
      <w:sz w:val="24"/>
      <w:szCs w:val="24"/>
    </w:rPr>
  </w:style>
  <w:style w:type="paragraph" w:customStyle="1" w:styleId="Default">
    <w:name w:val="Default"/>
    <w:rsid w:val="00365134"/>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uiPriority w:val="99"/>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uiPriority w:val="99"/>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uiPriority w:val="99"/>
    <w:rsid w:val="00FA23DC"/>
    <w:rPr>
      <w:rFonts w:ascii="Arial" w:hAnsi="Arial"/>
      <w:sz w:val="24"/>
      <w:lang w:val="es-MX"/>
    </w:rPr>
  </w:style>
  <w:style w:type="character" w:customStyle="1" w:styleId="Textoindependiente2Car">
    <w:name w:val="Texto independiente 2 Car"/>
    <w:link w:val="Textoindependiente2"/>
    <w:uiPriority w:val="99"/>
    <w:rsid w:val="00FA23DC"/>
    <w:rPr>
      <w:rFonts w:ascii="Arial" w:hAnsi="Arial"/>
      <w:i/>
      <w:sz w:val="24"/>
      <w:lang w:val="es-MX"/>
    </w:rPr>
  </w:style>
  <w:style w:type="paragraph" w:customStyle="1" w:styleId="xl24">
    <w:name w:val="xl24"/>
    <w:basedOn w:val="Normal"/>
    <w:uiPriority w:val="99"/>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uiPriority w:val="99"/>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uiPriority w:val="99"/>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uiPriority w:val="99"/>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uiPriority w:val="99"/>
    <w:rsid w:val="00FA23DC"/>
    <w:pPr>
      <w:spacing w:before="100" w:beforeAutospacing="1" w:after="100" w:afterAutospacing="1"/>
    </w:pPr>
    <w:rPr>
      <w:rFonts w:ascii="Arial" w:hAnsi="Arial" w:cs="Arial"/>
      <w:sz w:val="24"/>
      <w:szCs w:val="24"/>
    </w:rPr>
  </w:style>
  <w:style w:type="paragraph" w:customStyle="1" w:styleId="xl68">
    <w:name w:val="xl68"/>
    <w:basedOn w:val="Normal"/>
    <w:uiPriority w:val="99"/>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uiPriority w:val="99"/>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uiPriority w:val="99"/>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uiPriority w:val="99"/>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uiPriority w:val="99"/>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uiPriority w:val="99"/>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uiPriority w:val="99"/>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uiPriority w:val="99"/>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uiPriority w:val="99"/>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styleId="Textonotapie">
    <w:name w:val="footnote text"/>
    <w:basedOn w:val="Normal"/>
    <w:link w:val="TextonotapieCar"/>
    <w:rsid w:val="006E3984"/>
  </w:style>
  <w:style w:type="character" w:customStyle="1" w:styleId="TextonotapieCar">
    <w:name w:val="Texto nota pie Car"/>
    <w:link w:val="Textonotapie"/>
    <w:rsid w:val="006E3984"/>
    <w:rPr>
      <w:lang w:val="es-ES" w:eastAsia="es-ES"/>
    </w:rPr>
  </w:style>
  <w:style w:type="character" w:styleId="Refdenotaalpie">
    <w:name w:val="footnote reference"/>
    <w:rsid w:val="006E3984"/>
    <w:rPr>
      <w:vertAlign w:val="superscript"/>
    </w:rPr>
  </w:style>
  <w:style w:type="numbering" w:customStyle="1" w:styleId="Estilo1">
    <w:name w:val="Estilo1"/>
    <w:uiPriority w:val="99"/>
    <w:rsid w:val="006E3984"/>
    <w:pPr>
      <w:numPr>
        <w:numId w:val="1"/>
      </w:numPr>
    </w:pPr>
  </w:style>
  <w:style w:type="paragraph" w:customStyle="1" w:styleId="Sinespaciado1">
    <w:name w:val="Sin espaciado1"/>
    <w:uiPriority w:val="99"/>
    <w:qFormat/>
    <w:rsid w:val="006E3984"/>
    <w:rPr>
      <w:rFonts w:ascii="Calibri" w:eastAsia="Calibri" w:hAnsi="Calibri"/>
      <w:sz w:val="22"/>
      <w:szCs w:val="22"/>
      <w:lang w:eastAsia="en-US"/>
    </w:rPr>
  </w:style>
  <w:style w:type="paragraph" w:customStyle="1" w:styleId="Prrafodelista1">
    <w:name w:val="Párrafo de lista1"/>
    <w:basedOn w:val="Normal"/>
    <w:uiPriority w:val="99"/>
    <w:rsid w:val="006E3984"/>
    <w:pPr>
      <w:spacing w:after="200" w:line="276" w:lineRule="auto"/>
      <w:ind w:left="720"/>
      <w:contextualSpacing/>
    </w:pPr>
    <w:rPr>
      <w:rFonts w:ascii="Calibri" w:hAnsi="Calibri"/>
      <w:sz w:val="22"/>
      <w:szCs w:val="22"/>
      <w:lang w:eastAsia="en-US"/>
    </w:rPr>
  </w:style>
  <w:style w:type="paragraph" w:customStyle="1" w:styleId="Listavistosa-nfasis11">
    <w:name w:val="Lista vistosa - Énfasis 11"/>
    <w:basedOn w:val="Normal"/>
    <w:uiPriority w:val="34"/>
    <w:qFormat/>
    <w:rsid w:val="006E3984"/>
    <w:pPr>
      <w:suppressAutoHyphens/>
      <w:spacing w:after="200" w:line="276" w:lineRule="auto"/>
      <w:ind w:left="708"/>
    </w:pPr>
    <w:rPr>
      <w:rFonts w:ascii="Calibri" w:eastAsia="Calibri" w:hAnsi="Calibri"/>
      <w:sz w:val="22"/>
      <w:szCs w:val="22"/>
      <w:lang w:eastAsia="ar-SA"/>
    </w:rPr>
  </w:style>
  <w:style w:type="character" w:styleId="Textoennegrita">
    <w:name w:val="Strong"/>
    <w:uiPriority w:val="22"/>
    <w:qFormat/>
    <w:rsid w:val="006E3984"/>
    <w:rPr>
      <w:b/>
      <w:bCs/>
    </w:rPr>
  </w:style>
  <w:style w:type="paragraph" w:customStyle="1" w:styleId="CM1">
    <w:name w:val="CM1"/>
    <w:basedOn w:val="Default"/>
    <w:next w:val="Default"/>
    <w:uiPriority w:val="99"/>
    <w:rsid w:val="00B60327"/>
    <w:pPr>
      <w:spacing w:line="276" w:lineRule="atLeast"/>
    </w:pPr>
    <w:rPr>
      <w:rFonts w:eastAsia="Calibri" w:cs="Arial"/>
      <w:color w:val="auto"/>
      <w:szCs w:val="24"/>
      <w:lang w:val="en-US" w:eastAsia="en-US"/>
    </w:rPr>
  </w:style>
  <w:style w:type="paragraph" w:customStyle="1" w:styleId="CM3">
    <w:name w:val="CM3"/>
    <w:basedOn w:val="Default"/>
    <w:next w:val="Default"/>
    <w:uiPriority w:val="99"/>
    <w:rsid w:val="00B60327"/>
    <w:pPr>
      <w:spacing w:line="276" w:lineRule="atLeast"/>
    </w:pPr>
    <w:rPr>
      <w:rFonts w:eastAsia="Calibri" w:cs="Arial"/>
      <w:color w:val="auto"/>
      <w:szCs w:val="24"/>
      <w:lang w:val="en-US" w:eastAsia="en-US"/>
    </w:rPr>
  </w:style>
  <w:style w:type="paragraph" w:styleId="Textocomentario">
    <w:name w:val="annotation text"/>
    <w:basedOn w:val="Normal"/>
    <w:link w:val="TextocomentarioCar"/>
    <w:uiPriority w:val="99"/>
    <w:rsid w:val="00B60327"/>
    <w:rPr>
      <w:rFonts w:ascii="Calibri" w:eastAsia="Calibri" w:hAnsi="Calibri"/>
    </w:rPr>
  </w:style>
  <w:style w:type="character" w:customStyle="1" w:styleId="TextocomentarioCar">
    <w:name w:val="Texto comentario Car"/>
    <w:link w:val="Textocomentario"/>
    <w:uiPriority w:val="99"/>
    <w:rsid w:val="00B60327"/>
    <w:rPr>
      <w:rFonts w:ascii="Calibri" w:eastAsia="Calibri" w:hAnsi="Calibri"/>
      <w:lang w:val="es-ES" w:eastAsia="es-ES"/>
    </w:rPr>
  </w:style>
  <w:style w:type="character" w:customStyle="1" w:styleId="CommentTextChar">
    <w:name w:val="Comment Text Char"/>
    <w:uiPriority w:val="99"/>
    <w:semiHidden/>
    <w:locked/>
    <w:rsid w:val="00B60327"/>
    <w:rPr>
      <w:rFonts w:cs="Times New Roman"/>
      <w:sz w:val="20"/>
      <w:szCs w:val="20"/>
      <w:lang w:eastAsia="en-US"/>
    </w:rPr>
  </w:style>
  <w:style w:type="character" w:customStyle="1" w:styleId="PlainTextChar">
    <w:name w:val="Plain Text Char"/>
    <w:uiPriority w:val="99"/>
    <w:semiHidden/>
    <w:locked/>
    <w:rsid w:val="00B60327"/>
    <w:rPr>
      <w:rFonts w:ascii="Courier New" w:hAnsi="Courier New" w:cs="Courier New"/>
      <w:sz w:val="20"/>
      <w:szCs w:val="20"/>
      <w:lang w:eastAsia="en-US"/>
    </w:rPr>
  </w:style>
  <w:style w:type="numbering" w:customStyle="1" w:styleId="Sinlista11">
    <w:name w:val="Sin lista11"/>
    <w:next w:val="Sinlista"/>
    <w:uiPriority w:val="99"/>
    <w:semiHidden/>
    <w:unhideWhenUsed/>
    <w:rsid w:val="00B60327"/>
  </w:style>
  <w:style w:type="paragraph" w:customStyle="1" w:styleId="Ttulo21">
    <w:name w:val="Título 21"/>
    <w:basedOn w:val="Normal"/>
    <w:uiPriority w:val="1"/>
    <w:qFormat/>
    <w:rsid w:val="00B60327"/>
    <w:pPr>
      <w:widowControl w:val="0"/>
      <w:ind w:left="107"/>
      <w:outlineLvl w:val="2"/>
    </w:pPr>
    <w:rPr>
      <w:rFonts w:ascii="Verdana" w:eastAsia="Verdana" w:hAnsi="Verdana"/>
      <w:b/>
      <w:bCs/>
      <w:sz w:val="22"/>
      <w:szCs w:val="22"/>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24">
      <w:bodyDiv w:val="1"/>
      <w:marLeft w:val="0"/>
      <w:marRight w:val="0"/>
      <w:marTop w:val="0"/>
      <w:marBottom w:val="0"/>
      <w:divBdr>
        <w:top w:val="none" w:sz="0" w:space="0" w:color="auto"/>
        <w:left w:val="none" w:sz="0" w:space="0" w:color="auto"/>
        <w:bottom w:val="none" w:sz="0" w:space="0" w:color="auto"/>
        <w:right w:val="none" w:sz="0" w:space="0" w:color="auto"/>
      </w:divBdr>
    </w:div>
    <w:div w:id="197859708">
      <w:bodyDiv w:val="1"/>
      <w:marLeft w:val="0"/>
      <w:marRight w:val="0"/>
      <w:marTop w:val="0"/>
      <w:marBottom w:val="0"/>
      <w:divBdr>
        <w:top w:val="none" w:sz="0" w:space="0" w:color="auto"/>
        <w:left w:val="none" w:sz="0" w:space="0" w:color="auto"/>
        <w:bottom w:val="none" w:sz="0" w:space="0" w:color="auto"/>
        <w:right w:val="none" w:sz="0" w:space="0" w:color="auto"/>
      </w:divBdr>
    </w:div>
    <w:div w:id="322129454">
      <w:bodyDiv w:val="1"/>
      <w:marLeft w:val="0"/>
      <w:marRight w:val="0"/>
      <w:marTop w:val="0"/>
      <w:marBottom w:val="0"/>
      <w:divBdr>
        <w:top w:val="none" w:sz="0" w:space="0" w:color="auto"/>
        <w:left w:val="none" w:sz="0" w:space="0" w:color="auto"/>
        <w:bottom w:val="none" w:sz="0" w:space="0" w:color="auto"/>
        <w:right w:val="none" w:sz="0" w:space="0" w:color="auto"/>
      </w:divBdr>
    </w:div>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1302-3C3B-4355-8C2D-633051A3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3783</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LEY DE INGRESOS DEL ESTADO DE OAXACA 2013</vt:lpstr>
    </vt:vector>
  </TitlesOfParts>
  <Company>Hewlett-Packard Company</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ESTADO DE OAXACA 2013</dc:title>
  <dc:creator>admin</dc:creator>
  <cp:lastModifiedBy>lanix1924</cp:lastModifiedBy>
  <cp:revision>2</cp:revision>
  <cp:lastPrinted>2016-03-01T16:36:00Z</cp:lastPrinted>
  <dcterms:created xsi:type="dcterms:W3CDTF">2016-05-19T15:45:00Z</dcterms:created>
  <dcterms:modified xsi:type="dcterms:W3CDTF">2016-05-19T15:45:00Z</dcterms:modified>
</cp:coreProperties>
</file>