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03" w:rsidRPr="00D95403" w:rsidRDefault="00D95403" w:rsidP="00D95403">
      <w:pPr>
        <w:pStyle w:val="Estilo"/>
        <w:jc w:val="center"/>
        <w:rPr>
          <w:rFonts w:ascii="Georgia" w:hAnsi="Georgia" w:cs="Arial"/>
          <w:b/>
          <w:sz w:val="20"/>
          <w:szCs w:val="20"/>
        </w:rPr>
      </w:pPr>
      <w:bookmarkStart w:id="0" w:name="_GoBack"/>
      <w:bookmarkEnd w:id="0"/>
      <w:r w:rsidRPr="00D95403">
        <w:rPr>
          <w:rFonts w:ascii="Georgia" w:hAnsi="Georgia" w:cs="Arial"/>
          <w:b/>
          <w:sz w:val="20"/>
          <w:szCs w:val="20"/>
        </w:rPr>
        <w:t>PACTO INTERNACIONAL DE DERECHOS ECONOMICOS, SOCIALES Y CULTURALES</w:t>
      </w:r>
    </w:p>
    <w:p w:rsidR="00D95403" w:rsidRPr="008B3DA5" w:rsidRDefault="00D95403" w:rsidP="00D95403">
      <w:pPr>
        <w:pStyle w:val="Estilo"/>
        <w:rPr>
          <w:rFonts w:cs="Arial"/>
          <w:b/>
          <w:sz w:val="20"/>
          <w:szCs w:val="20"/>
        </w:rPr>
      </w:pPr>
    </w:p>
    <w:p w:rsidR="00D95403" w:rsidRPr="008B3DA5" w:rsidRDefault="00D95403" w:rsidP="00D95403">
      <w:pPr>
        <w:pStyle w:val="Estilo"/>
        <w:rPr>
          <w:rFonts w:cs="Arial"/>
          <w:b/>
          <w:sz w:val="20"/>
          <w:szCs w:val="20"/>
        </w:rPr>
      </w:pPr>
    </w:p>
    <w:p w:rsidR="00D95403" w:rsidRPr="008B3DA5" w:rsidRDefault="00D95403" w:rsidP="00D95403">
      <w:pPr>
        <w:pStyle w:val="Estilo"/>
        <w:rPr>
          <w:rFonts w:cs="Arial"/>
          <w:b/>
          <w:sz w:val="20"/>
          <w:szCs w:val="20"/>
        </w:rPr>
      </w:pPr>
    </w:p>
    <w:p w:rsidR="00D95403" w:rsidRPr="00D95403" w:rsidRDefault="00D95403" w:rsidP="00D95403">
      <w:pPr>
        <w:pStyle w:val="Estilo"/>
        <w:jc w:val="right"/>
        <w:rPr>
          <w:rFonts w:cs="Arial"/>
          <w:i/>
          <w:sz w:val="22"/>
        </w:rPr>
      </w:pPr>
      <w:r w:rsidRPr="00D95403">
        <w:rPr>
          <w:rFonts w:cs="Arial"/>
          <w:i/>
          <w:sz w:val="22"/>
        </w:rPr>
        <w:t>Depositario:</w:t>
      </w:r>
    </w:p>
    <w:p w:rsidR="00D95403" w:rsidRPr="00D95403" w:rsidRDefault="00D95403" w:rsidP="00D95403">
      <w:pPr>
        <w:pStyle w:val="Estilo"/>
        <w:jc w:val="right"/>
        <w:rPr>
          <w:rFonts w:cs="Arial"/>
          <w:i/>
          <w:sz w:val="22"/>
        </w:rPr>
      </w:pPr>
      <w:r w:rsidRPr="00D95403">
        <w:rPr>
          <w:rFonts w:cs="Arial"/>
          <w:i/>
          <w:sz w:val="22"/>
        </w:rPr>
        <w:t>ONU.</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Lugar de adopción:</w:t>
      </w:r>
    </w:p>
    <w:p w:rsidR="00D95403" w:rsidRPr="00D95403" w:rsidRDefault="00D95403" w:rsidP="00D95403">
      <w:pPr>
        <w:pStyle w:val="Estilo"/>
        <w:jc w:val="right"/>
        <w:rPr>
          <w:rFonts w:cs="Arial"/>
          <w:i/>
          <w:sz w:val="22"/>
        </w:rPr>
      </w:pPr>
      <w:r w:rsidRPr="00D95403">
        <w:rPr>
          <w:rFonts w:cs="Arial"/>
          <w:i/>
          <w:sz w:val="22"/>
        </w:rPr>
        <w:t>Nueva York, E.U.A.</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Fecha de adopción:</w:t>
      </w:r>
    </w:p>
    <w:p w:rsidR="00D95403" w:rsidRPr="00D95403" w:rsidRDefault="00D95403" w:rsidP="00D95403">
      <w:pPr>
        <w:pStyle w:val="Estilo"/>
        <w:jc w:val="right"/>
        <w:rPr>
          <w:rFonts w:cs="Arial"/>
          <w:i/>
          <w:sz w:val="22"/>
        </w:rPr>
      </w:pPr>
      <w:r w:rsidRPr="00D95403">
        <w:rPr>
          <w:rFonts w:cs="Arial"/>
          <w:i/>
          <w:sz w:val="22"/>
        </w:rPr>
        <w:t>19 de diciembre de 1966.</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Aprobación del Senado:</w:t>
      </w:r>
    </w:p>
    <w:p w:rsidR="00D95403" w:rsidRPr="00D95403" w:rsidRDefault="00D95403" w:rsidP="00D95403">
      <w:pPr>
        <w:pStyle w:val="Estilo"/>
        <w:jc w:val="right"/>
        <w:rPr>
          <w:rFonts w:cs="Arial"/>
          <w:i/>
          <w:sz w:val="22"/>
        </w:rPr>
      </w:pPr>
      <w:r w:rsidRPr="00D95403">
        <w:rPr>
          <w:rFonts w:cs="Arial"/>
          <w:i/>
          <w:sz w:val="22"/>
        </w:rPr>
        <w:t>18 de diciembre de 1980, según decreto publicado</w:t>
      </w:r>
    </w:p>
    <w:p w:rsidR="00D95403" w:rsidRPr="00D95403" w:rsidRDefault="00D95403" w:rsidP="00D95403">
      <w:pPr>
        <w:pStyle w:val="Estilo"/>
        <w:jc w:val="right"/>
        <w:rPr>
          <w:rFonts w:cs="Arial"/>
          <w:i/>
          <w:sz w:val="22"/>
        </w:rPr>
      </w:pPr>
      <w:r w:rsidRPr="00D95403">
        <w:rPr>
          <w:rFonts w:cs="Arial"/>
          <w:i/>
          <w:sz w:val="22"/>
        </w:rPr>
        <w:t xml:space="preserve">en el Diario Oficial de la Federación, </w:t>
      </w:r>
    </w:p>
    <w:p w:rsidR="00D95403" w:rsidRPr="00D95403" w:rsidRDefault="00D95403" w:rsidP="00D95403">
      <w:pPr>
        <w:pStyle w:val="Estilo"/>
        <w:jc w:val="right"/>
        <w:rPr>
          <w:rFonts w:cs="Arial"/>
          <w:i/>
          <w:sz w:val="22"/>
        </w:rPr>
      </w:pPr>
      <w:r w:rsidRPr="00D95403">
        <w:rPr>
          <w:rFonts w:cs="Arial"/>
          <w:i/>
          <w:sz w:val="22"/>
        </w:rPr>
        <w:t>el viernes 9 de enero de 1981.</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Vinculación de México:</w:t>
      </w:r>
    </w:p>
    <w:p w:rsidR="00D95403" w:rsidRPr="00D95403" w:rsidRDefault="00D95403" w:rsidP="00D95403">
      <w:pPr>
        <w:pStyle w:val="Estilo"/>
        <w:jc w:val="right"/>
        <w:rPr>
          <w:rFonts w:cs="Arial"/>
          <w:i/>
          <w:sz w:val="22"/>
        </w:rPr>
      </w:pPr>
      <w:r w:rsidRPr="00D95403">
        <w:rPr>
          <w:rFonts w:cs="Arial"/>
          <w:i/>
          <w:sz w:val="22"/>
        </w:rPr>
        <w:t>23 de marzo de 1981. Adhesión.</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Entrada en vigor:</w:t>
      </w:r>
    </w:p>
    <w:p w:rsidR="00D95403" w:rsidRPr="00D95403" w:rsidRDefault="00D95403" w:rsidP="00D95403">
      <w:pPr>
        <w:pStyle w:val="Estilo"/>
        <w:jc w:val="right"/>
        <w:rPr>
          <w:rFonts w:cs="Arial"/>
          <w:i/>
          <w:sz w:val="22"/>
        </w:rPr>
      </w:pPr>
      <w:r w:rsidRPr="00D95403">
        <w:rPr>
          <w:rFonts w:cs="Arial"/>
          <w:i/>
          <w:sz w:val="22"/>
        </w:rPr>
        <w:t>3 de enero de 1976, en general</w:t>
      </w:r>
    </w:p>
    <w:p w:rsidR="00D95403" w:rsidRPr="00D95403" w:rsidRDefault="00D95403" w:rsidP="00D95403">
      <w:pPr>
        <w:pStyle w:val="Estilo"/>
        <w:jc w:val="right"/>
        <w:rPr>
          <w:rFonts w:cs="Arial"/>
          <w:i/>
          <w:sz w:val="22"/>
        </w:rPr>
      </w:pPr>
      <w:r w:rsidRPr="00D95403">
        <w:rPr>
          <w:rFonts w:cs="Arial"/>
          <w:i/>
          <w:sz w:val="22"/>
        </w:rPr>
        <w:t>y 13 de mayo de 1981 para México.</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Publicación en el Diario Oficial de la Federación:</w:t>
      </w:r>
    </w:p>
    <w:p w:rsidR="00D95403" w:rsidRPr="00D95403" w:rsidRDefault="00D95403" w:rsidP="00D95403">
      <w:pPr>
        <w:pStyle w:val="Estilo"/>
        <w:jc w:val="right"/>
        <w:rPr>
          <w:rFonts w:cs="Arial"/>
          <w:i/>
          <w:sz w:val="22"/>
        </w:rPr>
      </w:pPr>
      <w:r w:rsidRPr="00D95403">
        <w:rPr>
          <w:rFonts w:cs="Arial"/>
          <w:i/>
          <w:sz w:val="22"/>
        </w:rPr>
        <w:t xml:space="preserve">Martes 12 de mayo de 1981. </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Al margen un sello con el Escudo Nacional, que dice: Estados Unidos Mexicanos.- Presidencia de la República.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JOSE LOPEZ PORTILLO, Presidente de los Estados Unidos Mexicanos, a sus habitantes, sabed:</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día diecinueve del mes de diciembre del año de mil novecientos sesenta y seis, se abrió a firma, en la ciudad de Nueva York, E.U.A., el Pacto Internacional de Derechos Económicos, Sociales y Culturales, cuyo texto y forma en español constan en la copia certificada adjunta.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citado Pacto fue aprobado por la H. Cámara de Senadores del Congreso de la Unión, el día dieciocho del mes de diciembre del año de mil novecientos ochenta, según Decreto publicado en el "Diario Oficial" de la Federación del día nueve del mes de enero del año de mil novecientos ochenta y uno, con la siguiente Declaración Interpretativa.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"Al adherirse al Pacto Internacional de Derechos Económicos, Sociales y Culturales, el Gobierno de México lo hace en el entendimiento de que el Artículo 8 del aludido Pacto se aplicará en la República Mexicana dentro de las modalidades y conforme a los procedimientos previstos en las disposiciones aplicables de la Constitución Política de los Estados Unidos Mexicanos y de sus leyes reglamentarias".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 xml:space="preserve">El Instrumento de Adhesión, firmado por mí el día dos del mes de marzo del año de mil novecientos ochenta y uno fue depositado, ante la Secretaría General de la Organización de las Naciones Unidas, </w:t>
      </w:r>
      <w:r w:rsidRPr="00D95403">
        <w:rPr>
          <w:rFonts w:cs="Arial"/>
          <w:sz w:val="22"/>
        </w:rPr>
        <w:lastRenderedPageBreak/>
        <w:t>el día veintitrés del mes de marzo del año de mil novecientos ochenta y uno, con la Declaración Interpretativa antes inserta.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 C. Aída González Martínez, Oficial Mayor de la Secretaría de Relaciones Exteriores, certifica: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Que en los archivos de esta Secretaría obra copia certificada del Pacto Internacional de Derechos Económicos, Sociales y Culturales, abierto a firma en Nueva York, el día diecinueve del mes de diciembre del año de mil novecientos sesenta y seis cuyo texto y forma en español son los siguientes: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PACTO INTERNACIONAL DE DERECHOS ECONOMICOS, SOCIALES Y CULTURALES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Reconociendo que estos derechos se desprenden de la dignidad inherente a la persona humana,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Considerando que la Carta de las Naciones Unidas impone a los Estados la obligación de promover el respeto universal y efectivo de los derechos y libertades humanos,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Comprendiendo que el individuo, por tener deberes respecto de otros individuos y de la comunidad a que pertenece, está obligado a procurar la vigencia y observancia de los derechos reconocidos en este Pacto,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Conviene en los artículos siguientes: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Todos los pueblos tienen el derecho de libre determinación. En virtud de este derecho establecen libremente su condición política y proveen, asimismo, a su desarrollo económico, social y cultural.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 xml:space="preserve">Para el logro de sus fines, todos los pueblos pueden disponer libremente de sus riquezas y recursos naturales, sin perjuicio de las obligaciones que derivan de la cooperación económica </w:t>
      </w:r>
      <w:r w:rsidRPr="00D95403">
        <w:rPr>
          <w:rFonts w:cs="Arial"/>
          <w:sz w:val="22"/>
        </w:rPr>
        <w:lastRenderedPageBreak/>
        <w:t>internacional basada en el principio de beneficio recíproco, así como del derecho internacional. En ningún caso podría privarse a un pueblo de sus propios medios de subsistencia.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II</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países en vías de desarrollo, teniendo debidamente en cuenta los derechos humanos y su economía nacional, podrán determinar en qué medida garantizarán los derechos económicos reconocidos en el presente Pacto a personas que no sean nacionales suyos.</w:t>
      </w:r>
    </w:p>
    <w:p w:rsidR="00D95403" w:rsidRPr="00D95403" w:rsidRDefault="00D95403" w:rsidP="00D95403">
      <w:pPr>
        <w:pStyle w:val="Estilo"/>
        <w:rPr>
          <w:rFonts w:cs="Arial"/>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Pr="00D95403" w:rsidRDefault="00D95403" w:rsidP="00D95403">
      <w:pPr>
        <w:pStyle w:val="Estilo"/>
        <w:rPr>
          <w:rFonts w:cs="Arial"/>
          <w:b/>
          <w:sz w:val="22"/>
        </w:rPr>
      </w:pPr>
      <w:r w:rsidRPr="00D95403">
        <w:rPr>
          <w:rFonts w:cs="Arial"/>
          <w:b/>
          <w:sz w:val="22"/>
        </w:rPr>
        <w:t>Artículo 3</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se comprometen a asegurar a los hombres y a las mujeres igual título a gozar de todos los derechos económicos, sociales y culturales enunciados en 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4</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reconocen que, en el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5</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lastRenderedPageBreak/>
        <w:t>2.</w:t>
      </w:r>
      <w:r w:rsidRPr="00D95403">
        <w:rPr>
          <w:rFonts w:cs="Arial"/>
          <w:sz w:val="22"/>
        </w:rPr>
        <w:tab/>
        <w:t>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III</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a trabajar que comprende el derecho de toda persona de tener la oportunidad de ganarse la vida mediante un trabajo libremente escogido o aceptado, y tomarán medidas adecuadas para garantizar este derecho.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 xml:space="preserve">Entre las medidas que habrá de adoptar cada uno de los Estados Partes en el presente Pacto para lograr la plena efectividad de este derecho, deberá figurar orientación y formación </w:t>
      </w:r>
      <w:r>
        <w:rPr>
          <w:rFonts w:cs="Arial"/>
          <w:sz w:val="22"/>
        </w:rPr>
        <w:t xml:space="preserve">técnico </w:t>
      </w:r>
      <w:r w:rsidRPr="00D95403">
        <w:rPr>
          <w:rFonts w:cs="Arial"/>
          <w:sz w:val="22"/>
        </w:rPr>
        <w:t>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D95403" w:rsidRPr="00D95403" w:rsidRDefault="00D95403" w:rsidP="00D95403">
      <w:pPr>
        <w:pStyle w:val="Estilo"/>
        <w:rPr>
          <w:rFonts w:cs="Arial"/>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Pr="00D95403" w:rsidRDefault="00D95403" w:rsidP="00D95403">
      <w:pPr>
        <w:pStyle w:val="Estilo"/>
        <w:rPr>
          <w:rFonts w:cs="Arial"/>
          <w:b/>
          <w:sz w:val="22"/>
        </w:rPr>
      </w:pPr>
      <w:r w:rsidRPr="00D95403">
        <w:rPr>
          <w:rFonts w:cs="Arial"/>
          <w:b/>
          <w:sz w:val="22"/>
        </w:rPr>
        <w:t>Artículo 7</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Las Estados Partes en el presente Pacto reconocen el derecho de toda persona al goce de condiciones de trabajo equitativas y satisfactorias que le aseguren en especial:</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a)</w:t>
      </w:r>
      <w:r w:rsidRPr="00D95403">
        <w:rPr>
          <w:rFonts w:cs="Arial"/>
          <w:sz w:val="22"/>
        </w:rPr>
        <w:tab/>
        <w:t>Una remuneración que proporcione como mínimo a todos los trabajadores: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i)</w:t>
      </w:r>
      <w:r w:rsidRPr="00D95403">
        <w:rPr>
          <w:rFonts w:cs="Arial"/>
          <w:b/>
          <w:sz w:val="22"/>
        </w:rPr>
        <w:tab/>
      </w:r>
      <w:r w:rsidRPr="00D95403">
        <w:rPr>
          <w:rFonts w:cs="Arial"/>
          <w:sz w:val="22"/>
        </w:rPr>
        <w:t>Un salario equitativo e igual por trabajo de igual valor, sin distinciones de ninguna especie; en particular, debe asegurarse a las mujeres condiciones de trabajo no inferiores a las de los hombres, con salario igual por trabajo igual;</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ii)</w:t>
      </w:r>
      <w:r w:rsidRPr="00D95403">
        <w:rPr>
          <w:rFonts w:cs="Arial"/>
          <w:sz w:val="22"/>
        </w:rPr>
        <w:t xml:space="preserve"> </w:t>
      </w:r>
      <w:r w:rsidRPr="00D95403">
        <w:rPr>
          <w:rFonts w:cs="Arial"/>
          <w:sz w:val="22"/>
        </w:rPr>
        <w:tab/>
        <w:t>Condiciones de existencia dignas para ellos y para sus familias, conforme a las disposiciones del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b)</w:t>
      </w:r>
      <w:r w:rsidRPr="00D95403">
        <w:rPr>
          <w:rFonts w:cs="Arial"/>
          <w:sz w:val="22"/>
        </w:rPr>
        <w:tab/>
        <w:t>La seguridad y la higiene en el trabajo;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c)</w:t>
      </w:r>
      <w:r w:rsidRPr="00D95403">
        <w:rPr>
          <w:rFonts w:cs="Arial"/>
          <w:sz w:val="22"/>
        </w:rPr>
        <w:tab/>
        <w:t>Igual oportunidad para todos de ser promovidos, dentro de su trabajo, a la categoría superior que les corresponda, sin más consideraciones que los factores de tiempo de servicio y capacidad;</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d)</w:t>
      </w:r>
      <w:r w:rsidRPr="00D95403">
        <w:rPr>
          <w:rFonts w:cs="Arial"/>
          <w:sz w:val="22"/>
        </w:rPr>
        <w:tab/>
        <w:t>El descanso, el disfrute del tiempo libre, la limitación razonable de las horas de trabajo y las vacaciones periódicas pagadas, así como la remuneración de los días festivos.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8</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1.</w:t>
      </w:r>
      <w:r w:rsidRPr="00D95403">
        <w:rPr>
          <w:rFonts w:cs="Arial"/>
          <w:sz w:val="22"/>
        </w:rPr>
        <w:tab/>
        <w:t>Los Estados Partes en el presente Pacto se comprometen a garantizar:</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lastRenderedPageBreak/>
        <w:t>a)</w:t>
      </w:r>
      <w:r w:rsidRPr="00D95403">
        <w:rPr>
          <w:rFonts w:cs="Arial"/>
          <w:sz w:val="22"/>
        </w:rPr>
        <w:t xml:space="preserve"> </w:t>
      </w:r>
      <w:r w:rsidRPr="00D95403">
        <w:rPr>
          <w:rFonts w:cs="Arial"/>
          <w:sz w:val="22"/>
        </w:rPr>
        <w:tab/>
        <w:t>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derecho de los sindicatos a formar federaciones o confederaciones nacionales, y el de éstas a fundar organizaciones sindicales internacionales o a afiliarse a las mismas;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d)</w:t>
      </w:r>
      <w:r w:rsidRPr="00D95403">
        <w:rPr>
          <w:rFonts w:cs="Arial"/>
          <w:sz w:val="22"/>
        </w:rPr>
        <w:tab/>
        <w:t>El derecho de huelga, ejercido de conformidad con las leyes de cada país.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presente artículo no impedirá someter a restricciones legales el ejercicio de tales derechos por los miembros de las fuerzas armadas, de la policía o de la administración del Estado.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9</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reconocen el derecho de toda persona a la seguridad social, incluso al seguro social.</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10</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reconocen que:</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lastRenderedPageBreak/>
        <w:t>Artículo 11</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b/>
          <w:sz w:val="22"/>
        </w:rPr>
        <w:tab/>
      </w:r>
      <w:r w:rsidRPr="00D95403">
        <w:rPr>
          <w:rFonts w:cs="Arial"/>
          <w:sz w:val="22"/>
        </w:rPr>
        <w:t>Los Estados Partes en el presente Pacto, reconociendo el derecho fundamental de toda persona a estar protegida contra el hambre, adoptarán, individualmente y mediante la cooperación internacional, las medidas, incluidos programas concretos, que se necesiten para: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 xml:space="preserve"> </w:t>
      </w:r>
      <w:r w:rsidRPr="00D95403">
        <w:rPr>
          <w:rFonts w:cs="Arial"/>
          <w:sz w:val="22"/>
        </w:rPr>
        <w:tab/>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Asegurar una distribución equitativa de los alimentos mundiales en relación con las necesidades, teniendo en cuenta los problemas que se plantean tanto a los países que importan productos alimenticios como a los que los exportan.</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12</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al disfrute del más alto nivel posible de salud física y mental.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Entre las medidas que deberán adoptar los Estados Partes en el Pacto a fin de asegurar la plena efectividad de este derecho, figurarán las necesarias para: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ab/>
        <w:t>La reducción de la mortinatalidad y de la mortalidad infantil, y el sano desarrollo de los niños;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mejoramiento en todos sus aspectos de la higiene del trabajo y del medio ambiente;</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La prevención y el tratamiento de las enfermedades epidémicas, endémicas, profesionales y de otra índole, y la lucha contra ellas;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d)</w:t>
      </w:r>
      <w:r w:rsidRPr="00D95403">
        <w:rPr>
          <w:rFonts w:cs="Arial"/>
          <w:sz w:val="22"/>
        </w:rPr>
        <w:tab/>
        <w:t>La creación de condiciones que aseguren a todos asistencia médica y servicios médicos en caso de enfermedad.</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13</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Estados Partes en el presente Pacto reconocen que, con objeto de lograr el pleno ejercicio de este derecho:</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a)</w:t>
      </w:r>
      <w:r w:rsidRPr="00D95403">
        <w:rPr>
          <w:rFonts w:cs="Arial"/>
          <w:sz w:val="22"/>
        </w:rPr>
        <w:tab/>
        <w:t>La enseñanza primaria debe ser obligatoria y asequible a todos gratuitamente;</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La enseñanza superior debe hacerse igualmente accesible a todos, sobre la base de la capacidad de cada uno, por cuantos medios sean apropiados, y en particular, por la implantación progresiva de la enseñanza gratuita;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d)</w:t>
      </w:r>
      <w:r w:rsidRPr="00D95403">
        <w:rPr>
          <w:rFonts w:cs="Arial"/>
          <w:b/>
          <w:sz w:val="22"/>
        </w:rPr>
        <w:tab/>
      </w:r>
      <w:r w:rsidRPr="00D95403">
        <w:rPr>
          <w:rFonts w:cs="Arial"/>
          <w:sz w:val="22"/>
        </w:rPr>
        <w:t>Debe fomentarse o intensificarse, en la medida de lo posible, la educación fundamental para aquellas personas que no hayan recibido o terminado el ciclo completo de instrucción primaria;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e)</w:t>
      </w:r>
      <w:r w:rsidRPr="00D95403">
        <w:rPr>
          <w:rFonts w:cs="Arial"/>
          <w:sz w:val="22"/>
        </w:rPr>
        <w:tab/>
        <w:t>Se debe proseguir activamente el desarrollo del sistema escolar en todos los ciclos de la enseñanza, implantar un sistema adecuado de becas, y mejorar continuamente las condiciones materiales del cuerpo docente.</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 xml:space="preserve"> </w:t>
      </w:r>
      <w:r w:rsidRPr="00D95403">
        <w:rPr>
          <w:rFonts w:cs="Arial"/>
          <w:sz w:val="22"/>
        </w:rPr>
        <w:tab/>
        <w:t>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14</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15</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1.</w:t>
      </w:r>
      <w:r w:rsidRPr="00D95403">
        <w:rPr>
          <w:rFonts w:cs="Arial"/>
          <w:sz w:val="22"/>
        </w:rPr>
        <w:tab/>
        <w:t>Los Estados Partes en el presente Pacto reconocen el derecho de toda persona a:</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a)</w:t>
      </w:r>
      <w:r w:rsidRPr="00D95403">
        <w:rPr>
          <w:rFonts w:cs="Arial"/>
          <w:sz w:val="22"/>
        </w:rPr>
        <w:tab/>
        <w:t>Participar en la vida cultural;</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b)</w:t>
      </w:r>
      <w:r w:rsidRPr="00D95403">
        <w:rPr>
          <w:rFonts w:cs="Arial"/>
          <w:sz w:val="22"/>
        </w:rPr>
        <w:tab/>
        <w:t>Gozar de los beneficios del progreso científico de sus aplicaciones;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lastRenderedPageBreak/>
        <w:t>c)</w:t>
      </w:r>
      <w:r w:rsidRPr="00D95403">
        <w:rPr>
          <w:rFonts w:cs="Arial"/>
          <w:sz w:val="22"/>
        </w:rPr>
        <w:tab/>
        <w:t>Beneficiarse de la protección de los intereses morales y materiales que le correspondan por razón de las producciones científicas, literarias o artísticas de que sea autora.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Entre las medidas que los Estados Partes en el presente Pacto deberán adoptar para asegurar el pleno ejercicio de este derecho, figurarán las necesarias para la conservación, el desarrollo y la difusión de la ciencia y de la cultura.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se comprometen a respetar la indispensable libertad para la investigación científica y para la actividad creadora.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ab/>
        <w:t>Los Estados Partes en el Presente Pacto reconocen los beneficios que derivan del fomento y desarrollo de la cooperación y de las relaciones internacionales en cuestiones científicas y culturales.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IV</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se comprometen a presentar, en conformidad con esta parte del Pacto, informes sobre las medidas que hayan adoptado, y los progresos realizados, con el fin de asegurar el respeto a los derechos reconocidos en el mismo.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2.</w:t>
      </w:r>
      <w:r w:rsidRPr="00D95403">
        <w:rPr>
          <w:rFonts w:cs="Arial"/>
          <w:sz w:val="22"/>
        </w:rPr>
        <w:t xml:space="preserve"> </w:t>
      </w:r>
    </w:p>
    <w:p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ab/>
        <w:t>Todos los informes serán presentados al Secretario General de las Naciones Unidas, quien transmitirá copias al Consejo Económico y Social para que las examine conforme a lo dispuesto en el presente Pacto.</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Secretario General de las Naciones Unidas transmitirá también a los organismos especializados copias de los informes, o de las partes pertinentes de éstos, enviados por los Estados Partes en el presente Pacto que además sean miembros de esos organismos especializados, en la medida en que tales informes o partes de ellos tengan relación con materias que sean de la competencia de dichos organismos conforme a sus instrumentos constitutivos.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17</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informes podrán señalar las circunstancias y dificultades que afecten el grado de cumplimiento de las obligaciones previstas en este Pacto,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Cuando la información pertinente hubiera sido ya proporcionada a las Naciones Unidas o a algún organismo especializado por un Estado Parte, no será necesario repetir dicha información, sino que bastará hacer referencia concreta la misma.</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18</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lastRenderedPageBreak/>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19</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Consejo Económico y Social podrá transmitir a la Comisión de Derechos Humanos, para su estudio y recomendación de carácter general, o para información, según proceda, los informes sobre derechos humanos que presenten los Estados conforme a los artículos 16 y 17, y los informes relativos a los derechos humanos que presenten los organismos especializados conforme al artículo 18.</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20</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21</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rsidR="00D95403" w:rsidRPr="00D95403" w:rsidRDefault="00D95403" w:rsidP="00D95403">
      <w:pPr>
        <w:pStyle w:val="Estilo"/>
        <w:rPr>
          <w:rFonts w:cs="Arial"/>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Pr="00D95403" w:rsidRDefault="00D95403" w:rsidP="00D95403">
      <w:pPr>
        <w:pStyle w:val="Estilo"/>
        <w:rPr>
          <w:rFonts w:cs="Arial"/>
          <w:b/>
          <w:sz w:val="22"/>
        </w:rPr>
      </w:pPr>
      <w:r w:rsidRPr="00D95403">
        <w:rPr>
          <w:rFonts w:cs="Arial"/>
          <w:b/>
          <w:sz w:val="22"/>
        </w:rPr>
        <w:t>Artículo 22</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23</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24</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lastRenderedPageBreak/>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25</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Ninguna disposición del presente Pacto deberá interpretarse en menoscabo del derecho inherente de todos los pueblos a disfrutar y utilizar plena y libremente sus riquezas y recursos naturales.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V</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presente Pacto está sujeto a ratificación. Los instrumentos de ratificación se depositarán en poder del Secretario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El presente Pacto quedará abierto a la adhesión de cualquiera de los Estados mencionados en el párrafo 1 del presente artículo.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ab/>
        <w:t>La adhesión se efectuará mediante el depósito de un instrumento de adhesión en poder del Secretario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5.</w:t>
      </w:r>
      <w:r w:rsidRPr="00D95403">
        <w:rPr>
          <w:rFonts w:cs="Arial"/>
          <w:sz w:val="22"/>
        </w:rPr>
        <w:tab/>
        <w:t>El Secretario General de las Naciones Unidas informará a todos los Estados que hayan firmado el presente Pacto, o se hayan adherido a él, del depósito de cada uno de los instrumentos de ratificación o de adhesión.</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27</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entrará en vigor transcurridos tres meses a partir de la fecha en que haya sido depositado el trigésimo quinto instrumento de ratificación o de adhesión en poder del Secretario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28</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Las disposiciones del presente Pacto serán aplicables a todas las partes componentes de los Estados federales, sin limitación ni excepción alguna.</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29</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lastRenderedPageBreak/>
        <w:t>1.</w:t>
      </w:r>
      <w:r w:rsidRPr="00D95403">
        <w:rPr>
          <w:rFonts w:cs="Arial"/>
          <w:sz w:val="22"/>
        </w:rPr>
        <w:tab/>
        <w:t>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a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b/>
          <w:sz w:val="22"/>
        </w:rPr>
        <w:tab/>
      </w:r>
      <w:r w:rsidRPr="00D95403">
        <w:rPr>
          <w:rFonts w:cs="Arial"/>
          <w:sz w:val="22"/>
        </w:rPr>
        <w:t>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b/>
          <w:sz w:val="22"/>
        </w:rPr>
        <w:tab/>
      </w:r>
      <w:r w:rsidRPr="00D95403">
        <w:rPr>
          <w:rFonts w:cs="Arial"/>
          <w:sz w:val="22"/>
        </w:rPr>
        <w:t>Cuando tales enmiendas entren en vigor serán obligatorias para los Estados Partes que las hayan aceptado, en tanto que los demás Estados Partes seguirán obligados por las disposiciones del presente Pacto y por toda enmienda anterior que hayan aceptado.</w:t>
      </w:r>
    </w:p>
    <w:p w:rsid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30</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Independientemente de las notificaciones previstas en el párrafo 5 del artículo 26, el Secretario General de las Naciones Unidas comunicará a todos los Estados mencionados en el párrafo 1 del mismo artículo: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a)</w:t>
      </w:r>
      <w:r w:rsidRPr="00D95403">
        <w:rPr>
          <w:rFonts w:cs="Arial"/>
          <w:sz w:val="22"/>
        </w:rPr>
        <w:tab/>
        <w:t>Las firmas, ratificaciones y adhesiones conformes con lo dispuesto con el artículo 26;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b)</w:t>
      </w:r>
      <w:r w:rsidRPr="00D95403">
        <w:rPr>
          <w:rFonts w:cs="Arial"/>
          <w:sz w:val="22"/>
        </w:rPr>
        <w:tab/>
        <w:t>La fecha en que entre en vigor el presente Pacto conforme a lo dispuesto en el artículo 27, y la fecha en que entren en vigor las enmiendas a que hace referencia el artículo 29.</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31</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cuyos textos en chino, español, francés, inglés y ruso son igualmente auténticos, será depositado en los archivos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Secretario General de las Naciones Unidas enviará copias certificadas del presente Pacto a todos los Estados mencionados en el artículo 26.</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EN FE DE LO CUAL, los infrascritos, debidamente autorizados para ello por sus respectivos Gobiernos, han firmado el presente Pacto, el cual ha sido abierto a la firma en Nueva York, el decimonoveno día del mes de diciembre de mil novecientos sesenta y seis.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 presente es copia fiel y completa en español del Pacto Internacional de Derechos Económicos, Sociales y Culturales, abierto a firma en Nueva York, el día diecinueve del mes de diciembre del año de mil novecientos sesenta y seis.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Extiendo la presente, en doce páginas útiles, en Tlatelolco, Distrito Federal, a los veinticuatro días del mes de marzo del año de mil novecientos ochenta uno, a fin de incorporarla al Decreto de Promulgación respectivo.- La C. Oficial Mayor de la Secretaría de Relaciones Exteriores, Aída González Martínez.- Rúbrica.</w:t>
      </w:r>
    </w:p>
    <w:p w:rsidR="00D95403" w:rsidRPr="00D95403" w:rsidRDefault="00D95403" w:rsidP="00D95403">
      <w:pPr>
        <w:pStyle w:val="Estilo"/>
        <w:rPr>
          <w:rFonts w:cs="Arial"/>
          <w:sz w:val="22"/>
        </w:rPr>
      </w:pPr>
    </w:p>
    <w:p w:rsidR="006776DE" w:rsidRPr="00D95403" w:rsidRDefault="006776DE" w:rsidP="00D95403"/>
    <w:sectPr w:rsidR="006776DE" w:rsidRPr="00D95403" w:rsidSect="00F8498E">
      <w:footerReference w:type="default" r:id="rId8"/>
      <w:type w:val="continuous"/>
      <w:pgSz w:w="12240" w:h="15840"/>
      <w:pgMar w:top="1560" w:right="1041" w:bottom="985" w:left="1134" w:header="720" w:footer="720" w:gutter="0"/>
      <w:cols w:space="720" w:equalWidth="0">
        <w:col w:w="1006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85" w:rsidRDefault="00866485" w:rsidP="006776DE">
      <w:pPr>
        <w:spacing w:after="0" w:line="240" w:lineRule="auto"/>
      </w:pPr>
      <w:r>
        <w:separator/>
      </w:r>
    </w:p>
  </w:endnote>
  <w:endnote w:type="continuationSeparator" w:id="0">
    <w:p w:rsidR="00866485" w:rsidRDefault="00866485"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9A558E" w:rsidRPr="009A558E">
      <w:rPr>
        <w:noProof/>
        <w:lang w:val="es-ES"/>
      </w:rPr>
      <w:t>1</w:t>
    </w:r>
    <w:r>
      <w:fldChar w:fldCharType="end"/>
    </w:r>
    <w:r>
      <w:t xml:space="preserve"> de </w:t>
    </w:r>
    <w:fldSimple w:instr=" NUMPAGES   \* MERGEFORMAT ">
      <w:r w:rsidR="009A558E">
        <w:rPr>
          <w:noProof/>
        </w:rPr>
        <w:t>12</w:t>
      </w:r>
    </w:fldSimple>
    <w:r w:rsidR="007D348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85" w:rsidRDefault="00866485" w:rsidP="006776DE">
      <w:pPr>
        <w:spacing w:after="0" w:line="240" w:lineRule="auto"/>
      </w:pPr>
      <w:r>
        <w:separator/>
      </w:r>
    </w:p>
  </w:footnote>
  <w:footnote w:type="continuationSeparator" w:id="0">
    <w:p w:rsidR="00866485" w:rsidRDefault="00866485" w:rsidP="00677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2"/>
      <w:numFmt w:val="upperLetter"/>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AE1"/>
    <w:multiLevelType w:val="hybridMultilevel"/>
    <w:tmpl w:val="00003D6C"/>
    <w:lvl w:ilvl="0" w:tplc="00002CD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2AE"/>
    <w:multiLevelType w:val="hybridMultilevel"/>
    <w:tmpl w:val="00006952"/>
    <w:lvl w:ilvl="0" w:tplc="00005F90">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E87"/>
    <w:multiLevelType w:val="hybridMultilevel"/>
    <w:tmpl w:val="0000390C"/>
    <w:lvl w:ilvl="0" w:tplc="00000F3E">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22"/>
    <w:rsid w:val="00025536"/>
    <w:rsid w:val="001D5CBD"/>
    <w:rsid w:val="006776DE"/>
    <w:rsid w:val="00684222"/>
    <w:rsid w:val="006B1F16"/>
    <w:rsid w:val="006E1E82"/>
    <w:rsid w:val="00782CB1"/>
    <w:rsid w:val="007D348B"/>
    <w:rsid w:val="00866485"/>
    <w:rsid w:val="008B3DA5"/>
    <w:rsid w:val="009003A5"/>
    <w:rsid w:val="00910037"/>
    <w:rsid w:val="009A558E"/>
    <w:rsid w:val="009F7E0A"/>
    <w:rsid w:val="00A812B0"/>
    <w:rsid w:val="00BE08ED"/>
    <w:rsid w:val="00C139B5"/>
    <w:rsid w:val="00D93CAE"/>
    <w:rsid w:val="00D95403"/>
    <w:rsid w:val="00E90CED"/>
    <w:rsid w:val="00F84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4317</Words>
  <Characters>23745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MARTINEZ PEÑA</dc:creator>
  <cp:lastModifiedBy> </cp:lastModifiedBy>
  <cp:revision>2</cp:revision>
  <cp:lastPrinted>2016-09-21T19:20:00Z</cp:lastPrinted>
  <dcterms:created xsi:type="dcterms:W3CDTF">2019-04-29T15:33:00Z</dcterms:created>
  <dcterms:modified xsi:type="dcterms:W3CDTF">2019-04-29T15:33:00Z</dcterms:modified>
</cp:coreProperties>
</file>