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EA8" w:rsidRPr="008C7EDF" w:rsidRDefault="0044565D" w:rsidP="0044565D">
      <w:pPr>
        <w:pStyle w:val="Ttulo1"/>
        <w:jc w:val="center"/>
        <w:rPr>
          <w:rFonts w:cs="Arial"/>
          <w:b/>
          <w:kern w:val="0"/>
          <w:sz w:val="19"/>
          <w:szCs w:val="19"/>
          <w:lang w:val="es-MX"/>
        </w:rPr>
      </w:pPr>
      <w:r w:rsidRPr="008C7EDF">
        <w:rPr>
          <w:rFonts w:cs="Arial"/>
          <w:b/>
          <w:kern w:val="0"/>
          <w:sz w:val="19"/>
          <w:szCs w:val="19"/>
          <w:lang w:val="es-MX"/>
        </w:rPr>
        <w:t>LEY DE INGRESOS DEL ESTADO DE OAXA</w:t>
      </w:r>
      <w:r w:rsidR="00A92369" w:rsidRPr="008C7EDF">
        <w:rPr>
          <w:rFonts w:cs="Arial"/>
          <w:b/>
          <w:kern w:val="0"/>
          <w:sz w:val="19"/>
          <w:szCs w:val="19"/>
          <w:lang w:val="es-MX"/>
        </w:rPr>
        <w:t>CA PARA EL EJERCICIO FISCAL 20</w:t>
      </w:r>
      <w:r w:rsidR="008C7EDF" w:rsidRPr="008C7EDF">
        <w:rPr>
          <w:rFonts w:cs="Arial"/>
          <w:b/>
          <w:kern w:val="0"/>
          <w:sz w:val="19"/>
          <w:szCs w:val="19"/>
          <w:lang w:val="es-MX"/>
        </w:rPr>
        <w:t>20</w:t>
      </w:r>
    </w:p>
    <w:p w:rsidR="00E97E8A" w:rsidRPr="008C7EDF" w:rsidRDefault="00E97E8A" w:rsidP="00AF5EA8">
      <w:pPr>
        <w:jc w:val="center"/>
        <w:rPr>
          <w:rFonts w:ascii="Arial" w:hAnsi="Arial" w:cs="Arial"/>
          <w:b/>
          <w:sz w:val="19"/>
          <w:szCs w:val="19"/>
          <w:lang w:val="es-MX"/>
        </w:rPr>
      </w:pPr>
    </w:p>
    <w:p w:rsidR="00AF5EA8" w:rsidRPr="008C7EDF" w:rsidRDefault="00E97E8A" w:rsidP="00AF5EA8">
      <w:pPr>
        <w:jc w:val="center"/>
        <w:rPr>
          <w:rFonts w:ascii="Arial" w:hAnsi="Arial" w:cs="Arial"/>
          <w:b/>
          <w:sz w:val="19"/>
          <w:szCs w:val="19"/>
          <w:lang w:val="es-MX"/>
        </w:rPr>
      </w:pPr>
      <w:r w:rsidRPr="008C7EDF">
        <w:rPr>
          <w:rFonts w:ascii="Arial" w:hAnsi="Arial" w:cs="Arial"/>
          <w:b/>
          <w:sz w:val="19"/>
          <w:szCs w:val="19"/>
          <w:lang w:val="es-MX"/>
        </w:rPr>
        <w:t>Decreto publicado</w:t>
      </w:r>
      <w:r w:rsidR="00AF5EA8" w:rsidRPr="008C7EDF">
        <w:rPr>
          <w:rFonts w:ascii="Arial" w:hAnsi="Arial" w:cs="Arial"/>
          <w:b/>
          <w:sz w:val="19"/>
          <w:szCs w:val="19"/>
          <w:lang w:val="es-MX"/>
        </w:rPr>
        <w:t xml:space="preserve"> en el Periódico Oficial del Estado </w:t>
      </w:r>
      <w:r w:rsidR="00B34A51" w:rsidRPr="008C7EDF">
        <w:rPr>
          <w:rFonts w:ascii="Arial" w:hAnsi="Arial" w:cs="Arial"/>
          <w:b/>
          <w:sz w:val="19"/>
          <w:szCs w:val="19"/>
          <w:lang w:val="es-MX"/>
        </w:rPr>
        <w:t>el</w:t>
      </w:r>
      <w:r w:rsidR="00737A4E" w:rsidRPr="008C7EDF">
        <w:rPr>
          <w:rFonts w:ascii="Arial" w:hAnsi="Arial" w:cs="Arial"/>
          <w:b/>
          <w:sz w:val="19"/>
          <w:szCs w:val="19"/>
          <w:lang w:val="es-MX"/>
        </w:rPr>
        <w:t xml:space="preserve"> </w:t>
      </w:r>
      <w:r w:rsidR="00B34A51" w:rsidRPr="008C7EDF">
        <w:rPr>
          <w:rFonts w:ascii="Arial" w:hAnsi="Arial" w:cs="Arial"/>
          <w:b/>
          <w:sz w:val="19"/>
          <w:szCs w:val="19"/>
          <w:lang w:val="es-MX"/>
        </w:rPr>
        <w:t xml:space="preserve"> </w:t>
      </w:r>
      <w:r w:rsidR="00CB6C73" w:rsidRPr="008C7EDF">
        <w:rPr>
          <w:rFonts w:ascii="Arial" w:hAnsi="Arial" w:cs="Arial"/>
          <w:b/>
          <w:sz w:val="19"/>
          <w:szCs w:val="19"/>
          <w:lang w:val="es-MX"/>
        </w:rPr>
        <w:t>2</w:t>
      </w:r>
      <w:r w:rsidR="008C7EDF" w:rsidRPr="008C7EDF">
        <w:rPr>
          <w:rFonts w:ascii="Arial" w:hAnsi="Arial" w:cs="Arial"/>
          <w:b/>
          <w:sz w:val="19"/>
          <w:szCs w:val="19"/>
          <w:lang w:val="es-MX"/>
        </w:rPr>
        <w:t>4</w:t>
      </w:r>
      <w:r w:rsidR="00092AAC" w:rsidRPr="008C7EDF">
        <w:rPr>
          <w:rFonts w:ascii="Arial" w:hAnsi="Arial" w:cs="Arial"/>
          <w:b/>
          <w:sz w:val="19"/>
          <w:szCs w:val="19"/>
          <w:lang w:val="es-MX"/>
        </w:rPr>
        <w:t>-12-1</w:t>
      </w:r>
      <w:r w:rsidR="008C7EDF" w:rsidRPr="008C7EDF">
        <w:rPr>
          <w:rFonts w:ascii="Arial" w:hAnsi="Arial" w:cs="Arial"/>
          <w:b/>
          <w:sz w:val="19"/>
          <w:szCs w:val="19"/>
          <w:lang w:val="es-MX"/>
        </w:rPr>
        <w:t>9</w:t>
      </w:r>
    </w:p>
    <w:p w:rsidR="009F3918" w:rsidRPr="008C7EDF" w:rsidRDefault="009F3918" w:rsidP="00AF5EA8">
      <w:pPr>
        <w:jc w:val="center"/>
        <w:rPr>
          <w:rFonts w:ascii="Arial" w:hAnsi="Arial" w:cs="Arial"/>
          <w:b/>
          <w:sz w:val="19"/>
          <w:szCs w:val="19"/>
          <w:lang w:val="es-MX"/>
        </w:rPr>
      </w:pPr>
    </w:p>
    <w:p w:rsidR="009F3918" w:rsidRPr="008C7EDF" w:rsidRDefault="009F3918" w:rsidP="00AF5EA8">
      <w:pPr>
        <w:jc w:val="center"/>
        <w:rPr>
          <w:rFonts w:ascii="Arial" w:hAnsi="Arial" w:cs="Arial"/>
          <w:b/>
          <w:sz w:val="19"/>
          <w:szCs w:val="19"/>
          <w:lang w:val="es-MX"/>
        </w:rPr>
      </w:pPr>
      <w:r w:rsidRPr="008C7EDF">
        <w:rPr>
          <w:rFonts w:ascii="Arial" w:hAnsi="Arial" w:cs="Arial"/>
          <w:b/>
          <w:sz w:val="19"/>
          <w:szCs w:val="19"/>
          <w:lang w:val="es-MX"/>
        </w:rPr>
        <w:t>TEXTO VIGENTE</w:t>
      </w:r>
    </w:p>
    <w:p w:rsidR="00AF5EA8" w:rsidRPr="008C7EDF" w:rsidRDefault="00AF5EA8" w:rsidP="00AF5EA8">
      <w:pPr>
        <w:jc w:val="center"/>
        <w:rPr>
          <w:rFonts w:ascii="Arial" w:hAnsi="Arial" w:cs="Arial"/>
          <w:b/>
          <w:sz w:val="19"/>
          <w:szCs w:val="19"/>
          <w:lang w:val="es-MX"/>
        </w:rPr>
      </w:pPr>
    </w:p>
    <w:p w:rsidR="008C7EDF" w:rsidRPr="008C7EDF" w:rsidRDefault="008C7EDF" w:rsidP="008C7EDF">
      <w:pPr>
        <w:tabs>
          <w:tab w:val="left" w:pos="9072"/>
        </w:tabs>
        <w:spacing w:line="360" w:lineRule="auto"/>
        <w:ind w:left="567"/>
        <w:jc w:val="center"/>
        <w:rPr>
          <w:rFonts w:ascii="Arial" w:hAnsi="Arial" w:cs="Arial"/>
          <w:b/>
          <w:lang w:val="es-MX"/>
        </w:rPr>
      </w:pPr>
      <w:r w:rsidRPr="008C7EDF">
        <w:rPr>
          <w:rFonts w:ascii="Arial" w:hAnsi="Arial" w:cs="Arial"/>
          <w:b/>
          <w:lang w:val="es-MX"/>
        </w:rPr>
        <w:t>LEY DE INGRESOS DEL ESTADO DE OAXACA PARA EL EJERCICIO FISCAL 2020.</w:t>
      </w:r>
    </w:p>
    <w:p w:rsidR="008C7EDF" w:rsidRPr="008C7EDF" w:rsidRDefault="008C7EDF" w:rsidP="008C7EDF">
      <w:pPr>
        <w:spacing w:line="360" w:lineRule="auto"/>
        <w:ind w:left="567" w:right="142"/>
        <w:jc w:val="both"/>
        <w:rPr>
          <w:rFonts w:ascii="Arial" w:hAnsi="Arial" w:cs="Arial"/>
          <w:lang w:val="es-MX"/>
        </w:rPr>
      </w:pPr>
    </w:p>
    <w:p w:rsidR="008C7EDF" w:rsidRPr="008C7EDF" w:rsidRDefault="008C7EDF" w:rsidP="008C7EDF">
      <w:pPr>
        <w:pStyle w:val="Ttulo2"/>
        <w:spacing w:line="360" w:lineRule="auto"/>
        <w:ind w:left="567"/>
        <w:jc w:val="center"/>
        <w:rPr>
          <w:rFonts w:cs="Arial"/>
          <w:b/>
          <w:sz w:val="24"/>
          <w:szCs w:val="24"/>
          <w:lang w:val="es-MX"/>
        </w:rPr>
      </w:pPr>
      <w:r w:rsidRPr="008C7EDF">
        <w:rPr>
          <w:rFonts w:cs="Arial"/>
          <w:b/>
          <w:sz w:val="24"/>
          <w:szCs w:val="24"/>
          <w:lang w:val="es-MX"/>
        </w:rPr>
        <w:t>TÍTULO PRIMERO</w:t>
      </w:r>
    </w:p>
    <w:p w:rsidR="008C7EDF" w:rsidRPr="008C7EDF" w:rsidRDefault="008C7EDF" w:rsidP="008C7EDF">
      <w:pPr>
        <w:spacing w:line="360" w:lineRule="auto"/>
        <w:ind w:left="567"/>
        <w:jc w:val="center"/>
        <w:rPr>
          <w:rFonts w:ascii="Arial" w:hAnsi="Arial" w:cs="Arial"/>
          <w:b/>
          <w:lang w:val="es-MX"/>
        </w:rPr>
      </w:pPr>
      <w:r w:rsidRPr="008C7EDF">
        <w:rPr>
          <w:rFonts w:ascii="Arial" w:hAnsi="Arial" w:cs="Arial"/>
          <w:b/>
          <w:lang w:val="es-MX"/>
        </w:rPr>
        <w:t>DISPOSICIONES GENERALES</w:t>
      </w:r>
    </w:p>
    <w:p w:rsidR="008C7EDF" w:rsidRPr="008C7EDF" w:rsidRDefault="008C7EDF" w:rsidP="008C7EDF">
      <w:pPr>
        <w:spacing w:line="360" w:lineRule="auto"/>
        <w:ind w:left="567"/>
        <w:jc w:val="center"/>
        <w:rPr>
          <w:rFonts w:ascii="Arial" w:hAnsi="Arial" w:cs="Arial"/>
          <w:b/>
          <w:lang w:val="es-MX"/>
        </w:rPr>
      </w:pPr>
    </w:p>
    <w:p w:rsidR="008C7EDF" w:rsidRPr="008C7EDF" w:rsidRDefault="008C7EDF" w:rsidP="008C7EDF">
      <w:pPr>
        <w:spacing w:line="360" w:lineRule="auto"/>
        <w:ind w:left="567"/>
        <w:jc w:val="center"/>
        <w:rPr>
          <w:rFonts w:ascii="Arial" w:hAnsi="Arial" w:cs="Arial"/>
          <w:b/>
          <w:lang w:val="es-MX"/>
        </w:rPr>
      </w:pPr>
      <w:r w:rsidRPr="008C7EDF">
        <w:rPr>
          <w:rFonts w:ascii="Arial" w:hAnsi="Arial" w:cs="Arial"/>
          <w:b/>
          <w:lang w:val="es-MX"/>
        </w:rPr>
        <w:t>CAPÍTULO PRIMERO</w:t>
      </w:r>
    </w:p>
    <w:p w:rsidR="008C7EDF" w:rsidRPr="008C7EDF" w:rsidRDefault="008C7EDF" w:rsidP="008C7EDF">
      <w:pPr>
        <w:spacing w:line="360" w:lineRule="auto"/>
        <w:ind w:left="567"/>
        <w:jc w:val="center"/>
        <w:rPr>
          <w:rFonts w:ascii="Arial" w:hAnsi="Arial" w:cs="Arial"/>
          <w:b/>
          <w:lang w:val="es-MX"/>
        </w:rPr>
      </w:pPr>
      <w:r w:rsidRPr="008C7EDF">
        <w:rPr>
          <w:rFonts w:ascii="Arial" w:hAnsi="Arial" w:cs="Arial"/>
          <w:b/>
          <w:lang w:val="es-MX"/>
        </w:rPr>
        <w:t>DISPOSICIONES BÁSICAS</w:t>
      </w:r>
    </w:p>
    <w:p w:rsidR="008C7EDF" w:rsidRPr="008C7EDF" w:rsidRDefault="008C7EDF" w:rsidP="008C7EDF">
      <w:pPr>
        <w:spacing w:line="360" w:lineRule="auto"/>
        <w:ind w:left="567" w:right="142"/>
        <w:jc w:val="both"/>
        <w:rPr>
          <w:rFonts w:ascii="Arial" w:hAnsi="Arial" w:cs="Arial"/>
          <w:b/>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1.-</w:t>
      </w:r>
      <w:r w:rsidRPr="008C7EDF">
        <w:rPr>
          <w:rFonts w:ascii="Arial" w:hAnsi="Arial" w:cs="Arial"/>
          <w:lang w:val="es-MX"/>
        </w:rPr>
        <w:t xml:space="preserve"> Los ingresos de la Hacienda Pública del Estado de Oaxaca, durante el Ejercicio Fiscal comprendido del uno de enero al treinta y uno de diciembre del año dos mil veinte, serán los que se obtengan por los conceptos siguientes:</w:t>
      </w:r>
    </w:p>
    <w:p w:rsidR="008C7EDF" w:rsidRPr="008C7EDF" w:rsidRDefault="008C7EDF" w:rsidP="008C7EDF">
      <w:pPr>
        <w:spacing w:line="360" w:lineRule="auto"/>
        <w:ind w:left="567" w:right="142" w:firstLine="142"/>
        <w:contextualSpacing/>
        <w:jc w:val="both"/>
        <w:rPr>
          <w:rFonts w:ascii="Arial" w:hAnsi="Arial" w:cs="Arial"/>
          <w:lang w:val="es-MX"/>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rPr>
      </w:pPr>
      <w:r w:rsidRPr="008C7EDF">
        <w:rPr>
          <w:rFonts w:ascii="Arial" w:hAnsi="Arial" w:cs="Arial"/>
        </w:rPr>
        <w:t xml:space="preserve">Impuestos; </w:t>
      </w:r>
    </w:p>
    <w:p w:rsidR="008C7EDF" w:rsidRPr="008C7EDF" w:rsidRDefault="008C7EDF" w:rsidP="008C7EDF">
      <w:pPr>
        <w:tabs>
          <w:tab w:val="left" w:pos="851"/>
        </w:tabs>
        <w:spacing w:line="360" w:lineRule="auto"/>
        <w:ind w:left="567" w:right="142" w:firstLine="142"/>
        <w:contextualSpacing/>
        <w:jc w:val="both"/>
        <w:rPr>
          <w:rFonts w:ascii="Arial" w:hAnsi="Arial" w:cs="Arial"/>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rPr>
      </w:pPr>
      <w:r w:rsidRPr="008C7EDF">
        <w:rPr>
          <w:rFonts w:ascii="Arial" w:hAnsi="Arial" w:cs="Arial"/>
        </w:rPr>
        <w:t>Derechos;</w:t>
      </w:r>
    </w:p>
    <w:p w:rsidR="008C7EDF" w:rsidRPr="008C7EDF" w:rsidRDefault="008C7EDF" w:rsidP="008C7EDF">
      <w:pPr>
        <w:tabs>
          <w:tab w:val="left" w:pos="851"/>
        </w:tabs>
        <w:spacing w:line="360" w:lineRule="auto"/>
        <w:ind w:right="142"/>
        <w:jc w:val="both"/>
        <w:rPr>
          <w:rFonts w:ascii="Arial" w:hAnsi="Arial" w:cs="Arial"/>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rPr>
      </w:pPr>
      <w:r w:rsidRPr="008C7EDF">
        <w:rPr>
          <w:rFonts w:ascii="Arial" w:hAnsi="Arial" w:cs="Arial"/>
        </w:rPr>
        <w:t xml:space="preserve">Productos; </w:t>
      </w:r>
    </w:p>
    <w:p w:rsidR="008C7EDF" w:rsidRPr="008C7EDF" w:rsidRDefault="008C7EDF" w:rsidP="008C7EDF">
      <w:pPr>
        <w:tabs>
          <w:tab w:val="left" w:pos="851"/>
        </w:tabs>
        <w:spacing w:line="360" w:lineRule="auto"/>
        <w:ind w:right="142"/>
        <w:jc w:val="both"/>
        <w:rPr>
          <w:rFonts w:ascii="Arial" w:hAnsi="Arial" w:cs="Arial"/>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rPr>
      </w:pPr>
      <w:r w:rsidRPr="008C7EDF">
        <w:rPr>
          <w:rFonts w:ascii="Arial" w:hAnsi="Arial" w:cs="Arial"/>
        </w:rPr>
        <w:t>Aprovechamientos;</w:t>
      </w:r>
    </w:p>
    <w:p w:rsidR="008C7EDF" w:rsidRPr="008C7EDF" w:rsidRDefault="008C7EDF" w:rsidP="008C7EDF">
      <w:pPr>
        <w:tabs>
          <w:tab w:val="left" w:pos="851"/>
        </w:tabs>
        <w:spacing w:line="360" w:lineRule="auto"/>
        <w:ind w:right="142"/>
        <w:contextualSpacing/>
        <w:jc w:val="both"/>
        <w:rPr>
          <w:rFonts w:ascii="Arial" w:hAnsi="Arial" w:cs="Arial"/>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lang w:val="es-MX"/>
        </w:rPr>
      </w:pPr>
      <w:r w:rsidRPr="008C7EDF">
        <w:rPr>
          <w:rFonts w:ascii="Arial" w:hAnsi="Arial" w:cs="Arial"/>
          <w:lang w:val="es-MX"/>
        </w:rPr>
        <w:t xml:space="preserve">Participaciones en ingresos federales, fondos y recursos participables, los incentivos económicos, fondos de aportaciones federales, las reasignaciones de ingresos provenientes de la Federación con motivo de los programas de descentralización que realice ésta hacia el Estado de Oaxaca y, demás ingresos que determinen las leyes fiscales del Estado; así como, las que se </w:t>
      </w:r>
      <w:r w:rsidRPr="008C7EDF">
        <w:rPr>
          <w:rFonts w:ascii="Arial" w:hAnsi="Arial" w:cs="Arial"/>
          <w:lang w:val="es-MX"/>
        </w:rPr>
        <w:lastRenderedPageBreak/>
        <w:t xml:space="preserve">establezcan en los convenios celebrados con los distintos ámbitos de gobierno o con particulares; </w:t>
      </w:r>
    </w:p>
    <w:p w:rsidR="008C7EDF" w:rsidRPr="008C7EDF" w:rsidRDefault="008C7EDF" w:rsidP="008C7EDF">
      <w:pPr>
        <w:tabs>
          <w:tab w:val="left" w:pos="851"/>
        </w:tabs>
        <w:spacing w:line="360" w:lineRule="auto"/>
        <w:ind w:right="142"/>
        <w:contextualSpacing/>
        <w:jc w:val="both"/>
        <w:rPr>
          <w:rFonts w:ascii="Arial" w:hAnsi="Arial" w:cs="Arial"/>
          <w:lang w:val="es-MX"/>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lang w:val="es-MX"/>
        </w:rPr>
      </w:pPr>
      <w:r w:rsidRPr="008C7EDF">
        <w:rPr>
          <w:rFonts w:ascii="Arial" w:hAnsi="Arial" w:cs="Arial"/>
          <w:lang w:val="es-MX"/>
        </w:rPr>
        <w:t xml:space="preserve">Cualquier ingreso que se decrete o autorice en términos de la normatividad fiscal del Estado, y </w:t>
      </w:r>
    </w:p>
    <w:p w:rsidR="008C7EDF" w:rsidRPr="008C7EDF" w:rsidRDefault="008C7EDF" w:rsidP="008C7EDF">
      <w:pPr>
        <w:tabs>
          <w:tab w:val="left" w:pos="851"/>
        </w:tabs>
        <w:spacing w:line="360" w:lineRule="auto"/>
        <w:ind w:right="142"/>
        <w:contextualSpacing/>
        <w:jc w:val="both"/>
        <w:rPr>
          <w:rFonts w:ascii="Arial" w:hAnsi="Arial" w:cs="Arial"/>
          <w:lang w:val="es-MX"/>
        </w:rPr>
      </w:pPr>
    </w:p>
    <w:p w:rsidR="008C7EDF" w:rsidRPr="008C7EDF" w:rsidRDefault="008C7EDF" w:rsidP="00243817">
      <w:pPr>
        <w:numPr>
          <w:ilvl w:val="0"/>
          <w:numId w:val="2"/>
        </w:numPr>
        <w:tabs>
          <w:tab w:val="left" w:pos="851"/>
        </w:tabs>
        <w:spacing w:line="360" w:lineRule="auto"/>
        <w:ind w:left="567" w:right="142" w:firstLine="142"/>
        <w:jc w:val="both"/>
        <w:rPr>
          <w:rFonts w:ascii="Arial" w:hAnsi="Arial" w:cs="Arial"/>
          <w:lang w:val="es-MX"/>
        </w:rPr>
      </w:pPr>
      <w:r w:rsidRPr="008C7EDF">
        <w:rPr>
          <w:rFonts w:ascii="Arial" w:hAnsi="Arial" w:cs="Arial"/>
          <w:lang w:val="es-MX"/>
        </w:rPr>
        <w:t>Aquéllos que por cualquier título obtenga a su favor.</w:t>
      </w:r>
    </w:p>
    <w:p w:rsidR="008C7EDF" w:rsidRPr="008C7EDF" w:rsidRDefault="008C7EDF" w:rsidP="008C7EDF">
      <w:pPr>
        <w:pStyle w:val="Prrafodelista"/>
        <w:rPr>
          <w:rFonts w:ascii="Arial" w:hAnsi="Arial" w:cs="Arial"/>
          <w:b/>
          <w:lang w:val="es-MX"/>
        </w:rPr>
      </w:pPr>
    </w:p>
    <w:p w:rsidR="008C7EDF" w:rsidRPr="008C7EDF" w:rsidRDefault="008C7EDF" w:rsidP="008C7EDF">
      <w:pPr>
        <w:spacing w:line="360" w:lineRule="auto"/>
        <w:ind w:left="567" w:right="142"/>
        <w:jc w:val="both"/>
        <w:rPr>
          <w:rFonts w:ascii="Arial" w:hAnsi="Arial" w:cs="Arial"/>
          <w:b/>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2.-</w:t>
      </w:r>
      <w:r w:rsidRPr="008C7EDF">
        <w:rPr>
          <w:rFonts w:ascii="Arial" w:hAnsi="Arial" w:cs="Arial"/>
          <w:lang w:val="es-MX"/>
        </w:rPr>
        <w:t xml:space="preserve"> Para efectos de la presente Ley, se entenderá por: </w:t>
      </w: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rPr>
      </w:pPr>
      <w:r w:rsidRPr="008C7EDF">
        <w:rPr>
          <w:rFonts w:ascii="Arial" w:hAnsi="Arial" w:cs="Arial"/>
          <w:lang w:val="es-MX"/>
        </w:rPr>
        <w:t xml:space="preserve"> </w:t>
      </w:r>
      <w:r w:rsidRPr="008C7EDF">
        <w:rPr>
          <w:rFonts w:ascii="Arial" w:hAnsi="Arial" w:cs="Arial"/>
        </w:rPr>
        <w:t xml:space="preserve">Código: Al Código Fiscal para el Estado de Oaxaca; </w:t>
      </w:r>
    </w:p>
    <w:p w:rsidR="008C7EDF" w:rsidRPr="008C7EDF" w:rsidRDefault="008C7EDF" w:rsidP="008C7EDF">
      <w:pPr>
        <w:tabs>
          <w:tab w:val="left" w:pos="851"/>
        </w:tabs>
        <w:spacing w:line="360" w:lineRule="auto"/>
        <w:ind w:left="567" w:right="142"/>
        <w:contextualSpacing/>
        <w:jc w:val="both"/>
        <w:rPr>
          <w:rFonts w:ascii="Arial" w:hAnsi="Arial" w:cs="Arial"/>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Congreso: Congreso del Estado Libre y Soberano de Oaxaca;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Dependencias: Integrada por la Gubernatura, Secretarías de Despacho,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Entes Públicos: A los Poderes Legislativo y Judicial, a los Órganos Autónomos por disposición constitucional y legal, así como a las Dependencias y Entidades de la Administración Pública y demás órganos que determinen las leyes y ejerzan recursos públicos;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Entidades: Los Organismos Descentralizados, Empresas de Participación Estatal, Fideicomisos Públicos y Órganos Auxiliares de Colaboración de conformidad con la Ley de Entidades Paraestatales del Estado de Oaxaca;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Ley: Ley de Ingresos del Estado de Oaxaca para el Ejercicio Fiscal 2020;</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Ley Estatal: Ley Estatal de Presupuesto y Responsabilidad Hacendaria;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Ley de Fiscalización: Ley de Fiscalización Superior y Rendición de Cuentas para el Estado de Oaxaca;</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Ley de Responsabilidades: Ley de Responsabilidades Administrativas del Estado y Municipios de Oaxaca;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Ley General: Ley General de Contabilidad Gubernamental, y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567" w:right="142"/>
        <w:contextualSpacing/>
        <w:jc w:val="both"/>
        <w:rPr>
          <w:rFonts w:ascii="Arial" w:hAnsi="Arial" w:cs="Arial"/>
          <w:lang w:val="es-MX"/>
        </w:rPr>
      </w:pPr>
    </w:p>
    <w:p w:rsidR="008C7EDF" w:rsidRPr="008C7EDF" w:rsidRDefault="008C7EDF" w:rsidP="00243817">
      <w:pPr>
        <w:numPr>
          <w:ilvl w:val="0"/>
          <w:numId w:val="3"/>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Secretaría: Secretaría de Finanzas del Poder Ejecutivo del Estado.</w:t>
      </w:r>
    </w:p>
    <w:p w:rsidR="008C7EDF" w:rsidRPr="008C7EDF" w:rsidRDefault="008C7EDF" w:rsidP="008C7EDF">
      <w:pPr>
        <w:pStyle w:val="Prrafodelista"/>
        <w:rPr>
          <w:rFonts w:ascii="Arial" w:hAnsi="Arial" w:cs="Arial"/>
          <w:b/>
          <w:lang w:val="es-MX"/>
        </w:rPr>
      </w:pPr>
    </w:p>
    <w:p w:rsidR="008C7EDF" w:rsidRPr="008C7EDF" w:rsidRDefault="008C7EDF" w:rsidP="008C7EDF">
      <w:pPr>
        <w:tabs>
          <w:tab w:val="left" w:pos="567"/>
        </w:tabs>
        <w:spacing w:line="360" w:lineRule="auto"/>
        <w:ind w:left="567" w:right="142"/>
        <w:jc w:val="both"/>
        <w:rPr>
          <w:rFonts w:ascii="Arial" w:hAnsi="Arial" w:cs="Arial"/>
          <w:b/>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3.-</w:t>
      </w:r>
      <w:r w:rsidRPr="008C7EDF">
        <w:rPr>
          <w:rFonts w:ascii="Arial" w:hAnsi="Arial" w:cs="Arial"/>
          <w:lang w:val="es-MX"/>
        </w:rPr>
        <w:t xml:space="preserve"> A falta de disposición fiscal expresa en este ordenamiento, se aplicarán supletoriamente las normas contenidas en la Ley Estatal de Hacienda, Ley Estatal de Derechos de Oaxaca, Código Fiscal para el Estado de Oaxaca, así como del derecho común local, cuando su aplicación no sea contraria a esta Ley.</w:t>
      </w:r>
    </w:p>
    <w:p w:rsidR="008C7EDF" w:rsidRPr="008C7EDF" w:rsidRDefault="008C7EDF" w:rsidP="008C7EDF">
      <w:pPr>
        <w:spacing w:line="360" w:lineRule="auto"/>
        <w:ind w:left="567" w:right="142"/>
        <w:contextualSpacing/>
        <w:jc w:val="both"/>
        <w:rPr>
          <w:rFonts w:ascii="Arial" w:hAnsi="Arial" w:cs="Arial"/>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4.-</w:t>
      </w:r>
      <w:r w:rsidRPr="008C7EDF">
        <w:rPr>
          <w:rFonts w:ascii="Arial" w:hAnsi="Arial" w:cs="Arial"/>
          <w:lang w:val="es-MX"/>
        </w:rPr>
        <w:t xml:space="preserve"> Los ingresos que se recauden serán recepcionados invariablemente a través de los canales autorizados por la Secretaría, salvo en los casos siguientes: </w:t>
      </w: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243817">
      <w:pPr>
        <w:numPr>
          <w:ilvl w:val="0"/>
          <w:numId w:val="4"/>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lastRenderedPageBreak/>
        <w:t xml:space="preserve">Los Poderes Legislativo y Judicial, y los Órganos Autónomos por disposición Constitucional, podrán ser recaudados por las oficinas de los mismos y sólo registrarán los ingresos que obtengan por cualquier concepto en el rubro correspondiente de esta Ley, y deberán conservar a disposición de los órganos revisores de la Cuenta Pública Estatal, la documentación comprobatoria de dichos ingresos. </w:t>
      </w:r>
    </w:p>
    <w:p w:rsidR="008C7EDF" w:rsidRPr="008C7EDF" w:rsidRDefault="008C7EDF" w:rsidP="008C7EDF">
      <w:pPr>
        <w:tabs>
          <w:tab w:val="left" w:pos="1503"/>
        </w:tabs>
        <w:spacing w:line="360" w:lineRule="auto"/>
        <w:ind w:left="567" w:right="142" w:firstLine="284"/>
        <w:contextualSpacing/>
        <w:jc w:val="both"/>
        <w:rPr>
          <w:rFonts w:ascii="Arial" w:hAnsi="Arial" w:cs="Arial"/>
          <w:lang w:val="es-MX"/>
        </w:rPr>
      </w:pPr>
    </w:p>
    <w:p w:rsidR="008C7EDF" w:rsidRPr="008C7EDF" w:rsidRDefault="008C7EDF" w:rsidP="008C7EDF">
      <w:pPr>
        <w:spacing w:line="360" w:lineRule="auto"/>
        <w:ind w:left="567" w:right="142"/>
        <w:jc w:val="both"/>
        <w:rPr>
          <w:rFonts w:ascii="Arial" w:hAnsi="Arial" w:cs="Arial"/>
          <w:lang w:val="es-MX"/>
        </w:rPr>
      </w:pPr>
      <w:r w:rsidRPr="008C7EDF">
        <w:rPr>
          <w:rFonts w:ascii="Arial" w:hAnsi="Arial" w:cs="Arial"/>
          <w:lang w:val="es-MX"/>
        </w:rPr>
        <w:t xml:space="preserve">Los ingresos a que se refiere esta fracción, deberán ser informados a la Secretaría en los informes trimestrales y Cuenta Pública, y deberán conservar la documentación comprobatoria de la obtención de dichos ingresos, así como los informes avalados por el Órgano Interno de Control especificando los importes del Impuesto al Valor Agregado que hayan trasladado por los actos o las actividades que dieron lugar a la obtención de los ingresos; </w:t>
      </w: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243817">
      <w:pPr>
        <w:numPr>
          <w:ilvl w:val="0"/>
          <w:numId w:val="4"/>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Los ingresos que obtengan las unidades aplicativas y hospitalarias del Estado de Oaxaca,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243817">
      <w:pPr>
        <w:numPr>
          <w:ilvl w:val="0"/>
          <w:numId w:val="4"/>
        </w:numPr>
        <w:tabs>
          <w:tab w:val="left" w:pos="851"/>
        </w:tabs>
        <w:spacing w:line="360" w:lineRule="auto"/>
        <w:ind w:left="567" w:right="142" w:firstLine="0"/>
        <w:jc w:val="both"/>
        <w:rPr>
          <w:rFonts w:ascii="Arial" w:hAnsi="Arial" w:cs="Arial"/>
          <w:lang w:val="es-MX"/>
        </w:rPr>
      </w:pPr>
      <w:r w:rsidRPr="008C7EDF">
        <w:rPr>
          <w:rFonts w:ascii="Arial" w:hAnsi="Arial" w:cs="Arial"/>
          <w:lang w:val="es-MX"/>
        </w:rPr>
        <w:t xml:space="preserve"> Los ingresos que obtengan las instituciones educativas, planteles, centros de investigación de las Entidades que presten servicios de educación básica, media superior, superior y de formación para el trabajo, por la venta de bienes derivados de sus actividades o por cualquier otra vía, incluidos los que generen las escuelas, centros y unidades de enseñanza y de investigación, formarán parte de su patrimonio, en su caso, serán administrados por las propias instituciones y se destinarán a sus finalidades y programas institucionales, debiendo cumplir con los requisitos contables establecidos en la Ley General e informar a la Secretaría en los informes trimestrales que </w:t>
      </w:r>
      <w:r w:rsidRPr="008C7EDF">
        <w:rPr>
          <w:rFonts w:ascii="Arial" w:hAnsi="Arial" w:cs="Arial"/>
          <w:lang w:val="es-MX"/>
        </w:rPr>
        <w:lastRenderedPageBreak/>
        <w:t>establece la Ley de Fiscalización y se reflejen dentro de la Cuenta Pública Estatal, y</w:t>
      </w:r>
    </w:p>
    <w:p w:rsidR="008C7EDF" w:rsidRPr="008C7EDF" w:rsidRDefault="008C7EDF" w:rsidP="008C7EDF">
      <w:pPr>
        <w:pStyle w:val="Prrafodelista"/>
        <w:rPr>
          <w:rFonts w:ascii="Arial" w:hAnsi="Arial" w:cs="Arial"/>
          <w:lang w:val="es-MX"/>
        </w:rPr>
      </w:pP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243817">
      <w:pPr>
        <w:numPr>
          <w:ilvl w:val="0"/>
          <w:numId w:val="4"/>
        </w:numPr>
        <w:spacing w:line="360" w:lineRule="auto"/>
        <w:ind w:left="567" w:right="142" w:firstLine="0"/>
        <w:jc w:val="both"/>
        <w:rPr>
          <w:rFonts w:ascii="Arial" w:hAnsi="Arial" w:cs="Arial"/>
          <w:lang w:val="es-MX"/>
        </w:rPr>
      </w:pPr>
      <w:r w:rsidRPr="008C7EDF">
        <w:rPr>
          <w:rFonts w:ascii="Arial" w:hAnsi="Arial" w:cs="Arial"/>
          <w:lang w:val="es-MX"/>
        </w:rPr>
        <w:t xml:space="preserve">Los ingresos que obtenga el Sistema para el Desarrollo Integral de la Familia del Estado de Oaxaca, en los servicios públicos asistenciales,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8C7EDF" w:rsidRPr="008C7EDF" w:rsidRDefault="008C7EDF" w:rsidP="008C7EDF">
      <w:pPr>
        <w:pStyle w:val="Prrafodelista"/>
        <w:rPr>
          <w:rFonts w:ascii="Arial" w:hAnsi="Arial" w:cs="Arial"/>
          <w:lang w:val="es-MX"/>
        </w:rPr>
      </w:pP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lang w:val="es-MX"/>
        </w:rPr>
        <w:t>Lo señalado en el presente artículo se establece sin perjuicio de la obligación de concentrar los recursos públicos al final del ejercicio a la Secretaría, en los términos del artículo 50, párrafo tercero, de la Ley Estatal de Presupuesto y Responsabilidad Hacendaria.</w:t>
      </w:r>
    </w:p>
    <w:p w:rsidR="008C7EDF" w:rsidRPr="008C7EDF" w:rsidRDefault="008C7EDF" w:rsidP="008C7EDF">
      <w:pPr>
        <w:spacing w:line="360" w:lineRule="auto"/>
        <w:ind w:left="567" w:right="142" w:firstLine="284"/>
        <w:contextualSpacing/>
        <w:jc w:val="both"/>
        <w:rPr>
          <w:rFonts w:ascii="Arial" w:hAnsi="Arial" w:cs="Arial"/>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5.-</w:t>
      </w:r>
      <w:r w:rsidRPr="008C7EDF">
        <w:rPr>
          <w:rFonts w:ascii="Arial" w:hAnsi="Arial" w:cs="Arial"/>
          <w:lang w:val="es-MX"/>
        </w:rPr>
        <w:t xml:space="preserve"> Cuando los ingresos a que se refiere esta Ley, sean recaudados a través de instituciones bancarias y/o establecimientos autorizados, éstos deberán concentrarse en la Secretaría, en los términos y plazos que se fijen en los contratos que para estos efectos se suscriban. </w:t>
      </w:r>
    </w:p>
    <w:p w:rsidR="008C7EDF" w:rsidRPr="008C7EDF" w:rsidRDefault="008C7EDF" w:rsidP="008C7EDF">
      <w:pPr>
        <w:spacing w:line="360" w:lineRule="auto"/>
        <w:ind w:left="567" w:right="142"/>
        <w:contextualSpacing/>
        <w:jc w:val="both"/>
        <w:rPr>
          <w:rFonts w:ascii="Arial" w:hAnsi="Arial" w:cs="Arial"/>
          <w:lang w:val="es-MX"/>
        </w:rPr>
      </w:pPr>
    </w:p>
    <w:p w:rsidR="008C7EDF" w:rsidRPr="008C7EDF" w:rsidRDefault="008C7EDF" w:rsidP="008C7EDF">
      <w:pPr>
        <w:spacing w:line="360" w:lineRule="auto"/>
        <w:ind w:left="567" w:right="142"/>
        <w:contextualSpacing/>
        <w:jc w:val="both"/>
        <w:rPr>
          <w:rFonts w:ascii="Arial" w:hAnsi="Arial" w:cs="Arial"/>
          <w:lang w:val="es-MX"/>
        </w:rPr>
      </w:pPr>
      <w:r w:rsidRPr="008C7EDF">
        <w:rPr>
          <w:rFonts w:ascii="Arial" w:hAnsi="Arial" w:cs="Arial"/>
          <w:b/>
          <w:lang w:val="es-MX"/>
        </w:rPr>
        <w:t>Artículo 6.-</w:t>
      </w:r>
      <w:r w:rsidRPr="008C7EDF">
        <w:rPr>
          <w:rFonts w:ascii="Arial" w:hAnsi="Arial" w:cs="Arial"/>
          <w:lang w:val="es-MX"/>
        </w:rPr>
        <w:t xml:space="preserve"> El pago de los impuestos, derechos, productos y aprovechamientos a que se refiere esta Ley y demás leyes fiscales del Estado, deberá realizarse ante o a través de: </w:t>
      </w:r>
    </w:p>
    <w:p w:rsidR="008C7EDF" w:rsidRPr="008C7EDF" w:rsidRDefault="008C7EDF" w:rsidP="008C7EDF">
      <w:pPr>
        <w:tabs>
          <w:tab w:val="left" w:pos="851"/>
        </w:tabs>
        <w:spacing w:line="360" w:lineRule="auto"/>
        <w:ind w:left="1134" w:right="142"/>
        <w:contextualSpacing/>
        <w:jc w:val="both"/>
        <w:rPr>
          <w:rFonts w:ascii="Arial" w:hAnsi="Arial" w:cs="Arial"/>
          <w:lang w:val="es-MX"/>
        </w:rPr>
      </w:pPr>
    </w:p>
    <w:p w:rsidR="008C7EDF" w:rsidRPr="008C7EDF" w:rsidRDefault="008C7EDF" w:rsidP="00243817">
      <w:pPr>
        <w:numPr>
          <w:ilvl w:val="0"/>
          <w:numId w:val="5"/>
        </w:numPr>
        <w:tabs>
          <w:tab w:val="left" w:pos="851"/>
        </w:tabs>
        <w:spacing w:line="360" w:lineRule="auto"/>
        <w:ind w:left="709" w:right="142" w:firstLine="0"/>
        <w:jc w:val="both"/>
        <w:rPr>
          <w:rFonts w:ascii="Arial" w:hAnsi="Arial" w:cs="Arial"/>
        </w:rPr>
      </w:pPr>
      <w:r w:rsidRPr="008C7EDF">
        <w:rPr>
          <w:rFonts w:ascii="Arial" w:hAnsi="Arial" w:cs="Arial"/>
        </w:rPr>
        <w:t xml:space="preserve">Instituciones bancarias; </w:t>
      </w:r>
    </w:p>
    <w:p w:rsidR="008C7EDF" w:rsidRPr="008C7EDF" w:rsidRDefault="008C7EDF" w:rsidP="008C7EDF">
      <w:pPr>
        <w:tabs>
          <w:tab w:val="left" w:pos="851"/>
        </w:tabs>
        <w:spacing w:line="360" w:lineRule="auto"/>
        <w:ind w:left="709" w:right="142"/>
        <w:contextualSpacing/>
        <w:jc w:val="both"/>
        <w:rPr>
          <w:rFonts w:ascii="Arial" w:hAnsi="Arial" w:cs="Arial"/>
        </w:rPr>
      </w:pPr>
    </w:p>
    <w:p w:rsidR="008C7EDF" w:rsidRPr="008C7EDF" w:rsidRDefault="008C7EDF" w:rsidP="00243817">
      <w:pPr>
        <w:numPr>
          <w:ilvl w:val="0"/>
          <w:numId w:val="5"/>
        </w:numPr>
        <w:tabs>
          <w:tab w:val="left" w:pos="851"/>
        </w:tabs>
        <w:spacing w:line="360" w:lineRule="auto"/>
        <w:ind w:left="709" w:right="142" w:firstLine="0"/>
        <w:jc w:val="both"/>
        <w:rPr>
          <w:rFonts w:ascii="Arial" w:hAnsi="Arial" w:cs="Arial"/>
        </w:rPr>
      </w:pPr>
      <w:r w:rsidRPr="008C7EDF">
        <w:rPr>
          <w:rFonts w:ascii="Arial" w:hAnsi="Arial" w:cs="Arial"/>
        </w:rPr>
        <w:t xml:space="preserve">Establecimientos autorizados; </w:t>
      </w:r>
    </w:p>
    <w:p w:rsidR="008C7EDF" w:rsidRPr="008C7EDF" w:rsidRDefault="008C7EDF" w:rsidP="008C7EDF">
      <w:pPr>
        <w:pStyle w:val="Prrafodelista"/>
        <w:rPr>
          <w:rFonts w:ascii="Arial" w:hAnsi="Arial" w:cs="Arial"/>
        </w:rPr>
      </w:pPr>
    </w:p>
    <w:p w:rsidR="008C7EDF" w:rsidRPr="008C7EDF" w:rsidRDefault="008C7EDF" w:rsidP="008C7EDF">
      <w:pPr>
        <w:tabs>
          <w:tab w:val="left" w:pos="851"/>
        </w:tabs>
        <w:spacing w:line="360" w:lineRule="auto"/>
        <w:ind w:left="709" w:right="142"/>
        <w:contextualSpacing/>
        <w:jc w:val="both"/>
        <w:rPr>
          <w:rFonts w:ascii="Arial" w:hAnsi="Arial" w:cs="Arial"/>
        </w:rPr>
      </w:pPr>
    </w:p>
    <w:p w:rsidR="008C7EDF" w:rsidRPr="008C7EDF" w:rsidRDefault="008C7EDF" w:rsidP="00243817">
      <w:pPr>
        <w:numPr>
          <w:ilvl w:val="0"/>
          <w:numId w:val="5"/>
        </w:numPr>
        <w:tabs>
          <w:tab w:val="left" w:pos="851"/>
        </w:tabs>
        <w:spacing w:line="360" w:lineRule="auto"/>
        <w:ind w:left="709" w:right="142" w:firstLine="0"/>
        <w:jc w:val="both"/>
        <w:rPr>
          <w:rFonts w:ascii="Arial" w:hAnsi="Arial" w:cs="Arial"/>
          <w:lang w:val="es-MX"/>
        </w:rPr>
      </w:pPr>
      <w:r w:rsidRPr="008C7EDF">
        <w:rPr>
          <w:rFonts w:ascii="Arial" w:hAnsi="Arial" w:cs="Arial"/>
          <w:lang w:val="es-MX"/>
        </w:rPr>
        <w:t xml:space="preserve">Centros y/o Módulos Integrales de Atención al Contribuyente, y </w:t>
      </w:r>
    </w:p>
    <w:p w:rsidR="008C7EDF" w:rsidRPr="008C7EDF" w:rsidRDefault="008C7EDF" w:rsidP="008C7EDF">
      <w:pPr>
        <w:pStyle w:val="Prrafodelista"/>
        <w:rPr>
          <w:rFonts w:ascii="Arial" w:hAnsi="Arial" w:cs="Arial"/>
          <w:lang w:val="es-MX"/>
        </w:rPr>
      </w:pPr>
    </w:p>
    <w:p w:rsidR="008C7EDF" w:rsidRPr="008C7EDF" w:rsidRDefault="008C7EDF" w:rsidP="008C7EDF">
      <w:pPr>
        <w:tabs>
          <w:tab w:val="left" w:pos="851"/>
        </w:tabs>
        <w:spacing w:line="360" w:lineRule="auto"/>
        <w:ind w:left="709" w:right="142"/>
        <w:contextualSpacing/>
        <w:jc w:val="both"/>
        <w:rPr>
          <w:rFonts w:ascii="Arial" w:hAnsi="Arial" w:cs="Arial"/>
          <w:lang w:val="es-MX"/>
        </w:rPr>
      </w:pPr>
    </w:p>
    <w:p w:rsidR="008C7EDF" w:rsidRPr="008C7EDF" w:rsidRDefault="008C7EDF" w:rsidP="00243817">
      <w:pPr>
        <w:numPr>
          <w:ilvl w:val="0"/>
          <w:numId w:val="5"/>
        </w:numPr>
        <w:tabs>
          <w:tab w:val="left" w:pos="851"/>
        </w:tabs>
        <w:spacing w:line="360" w:lineRule="auto"/>
        <w:ind w:left="709" w:right="142" w:firstLine="0"/>
        <w:jc w:val="both"/>
        <w:rPr>
          <w:rFonts w:ascii="Arial" w:hAnsi="Arial" w:cs="Arial"/>
        </w:rPr>
      </w:pPr>
      <w:r w:rsidRPr="008C7EDF">
        <w:rPr>
          <w:rFonts w:ascii="Arial" w:hAnsi="Arial" w:cs="Arial"/>
        </w:rPr>
        <w:t xml:space="preserve">Medios electrónicos. </w:t>
      </w:r>
    </w:p>
    <w:p w:rsidR="008C7EDF" w:rsidRPr="008C7EDF" w:rsidRDefault="008C7EDF" w:rsidP="008C7EDF">
      <w:pPr>
        <w:pStyle w:val="Prrafodelista"/>
        <w:rPr>
          <w:rFonts w:ascii="Arial" w:hAnsi="Arial" w:cs="Arial"/>
          <w:b/>
        </w:rPr>
      </w:pPr>
    </w:p>
    <w:p w:rsidR="008C7EDF" w:rsidRPr="008C7EDF" w:rsidRDefault="008C7EDF" w:rsidP="008C7EDF">
      <w:pPr>
        <w:spacing w:line="360" w:lineRule="auto"/>
        <w:ind w:left="567" w:right="142"/>
        <w:jc w:val="both"/>
        <w:rPr>
          <w:rFonts w:ascii="Arial" w:hAnsi="Arial" w:cs="Arial"/>
          <w:b/>
        </w:rPr>
      </w:pPr>
    </w:p>
    <w:p w:rsidR="008C7EDF" w:rsidRPr="008C7EDF" w:rsidRDefault="008C7EDF" w:rsidP="008C7EDF">
      <w:pPr>
        <w:pStyle w:val="Textoindependiente"/>
        <w:spacing w:line="360" w:lineRule="auto"/>
        <w:ind w:left="567" w:right="142"/>
        <w:jc w:val="both"/>
        <w:rPr>
          <w:rFonts w:cs="Arial"/>
          <w:b w:val="0"/>
          <w:color w:val="auto"/>
          <w:sz w:val="24"/>
          <w:szCs w:val="24"/>
        </w:rPr>
      </w:pPr>
      <w:r w:rsidRPr="008C7EDF">
        <w:rPr>
          <w:rFonts w:cs="Arial"/>
          <w:color w:val="auto"/>
          <w:sz w:val="24"/>
          <w:szCs w:val="24"/>
        </w:rPr>
        <w:t xml:space="preserve">Artículo 7.- La Secretaría será la encargada de adquirir, suministrar, controlar y destruir las formas oficiales valoradas y las formas oficiales de reproducción restringida que se utilicen en la prestación de los servicios a cargo de las Dependencias y Entidades de la Administración Pública del Estado. </w:t>
      </w:r>
    </w:p>
    <w:p w:rsidR="008C7EDF" w:rsidRPr="008C7EDF" w:rsidRDefault="008C7EDF" w:rsidP="008C7EDF">
      <w:pPr>
        <w:pStyle w:val="Textoindependiente"/>
        <w:spacing w:line="360" w:lineRule="auto"/>
        <w:ind w:left="567" w:right="142"/>
        <w:jc w:val="both"/>
        <w:rPr>
          <w:rFonts w:cs="Arial"/>
          <w:b w:val="0"/>
          <w:color w:val="auto"/>
          <w:sz w:val="24"/>
          <w:szCs w:val="24"/>
        </w:rPr>
      </w:pPr>
    </w:p>
    <w:p w:rsidR="008C7EDF" w:rsidRPr="008C7EDF" w:rsidRDefault="008C7EDF" w:rsidP="008C7EDF">
      <w:pPr>
        <w:pStyle w:val="Textoindependiente"/>
        <w:spacing w:line="360" w:lineRule="auto"/>
        <w:ind w:left="567" w:right="142"/>
        <w:jc w:val="both"/>
        <w:rPr>
          <w:rFonts w:cs="Arial"/>
          <w:b w:val="0"/>
          <w:color w:val="auto"/>
          <w:sz w:val="24"/>
          <w:szCs w:val="24"/>
        </w:rPr>
      </w:pPr>
      <w:r w:rsidRPr="008C7EDF">
        <w:rPr>
          <w:rFonts w:cs="Arial"/>
          <w:color w:val="auto"/>
          <w:sz w:val="24"/>
          <w:szCs w:val="24"/>
        </w:rPr>
        <w:t xml:space="preserve">Artículo 8.- La Secretaría de la Contraloría y Transparencia Gubernamental del Gobierno del Estado de Oaxaca vigilará permanentemente el cumplimiento de lo dispuesto en la presente Ley por parte de los servidores públicos del Estado y para el caso de que determine el incumplimiento de la misma, procederá en los términos de la ley en materia de responsabilidades administrativas aplicable. </w:t>
      </w:r>
    </w:p>
    <w:p w:rsidR="008C7EDF" w:rsidRPr="008C7EDF" w:rsidRDefault="008C7EDF" w:rsidP="008C7EDF">
      <w:pPr>
        <w:pStyle w:val="Textoindependiente"/>
        <w:tabs>
          <w:tab w:val="left" w:pos="1267"/>
        </w:tabs>
        <w:spacing w:line="360" w:lineRule="auto"/>
        <w:ind w:left="567" w:right="142"/>
        <w:jc w:val="both"/>
        <w:rPr>
          <w:rFonts w:cs="Arial"/>
          <w:b w:val="0"/>
          <w:color w:val="auto"/>
          <w:sz w:val="24"/>
          <w:szCs w:val="24"/>
        </w:rPr>
      </w:pPr>
      <w:r w:rsidRPr="008C7EDF">
        <w:rPr>
          <w:rFonts w:cs="Arial"/>
          <w:color w:val="auto"/>
          <w:sz w:val="24"/>
          <w:szCs w:val="24"/>
        </w:rPr>
        <w:tab/>
      </w:r>
    </w:p>
    <w:p w:rsidR="008C7EDF" w:rsidRPr="008C7EDF" w:rsidRDefault="008C7EDF" w:rsidP="008C7EDF">
      <w:pPr>
        <w:pStyle w:val="Textoindependiente"/>
        <w:spacing w:line="360" w:lineRule="auto"/>
        <w:ind w:left="567" w:right="142"/>
        <w:jc w:val="both"/>
        <w:rPr>
          <w:rFonts w:cs="Arial"/>
          <w:b w:val="0"/>
          <w:color w:val="auto"/>
          <w:sz w:val="24"/>
          <w:szCs w:val="24"/>
        </w:rPr>
      </w:pPr>
      <w:r w:rsidRPr="008C7EDF">
        <w:rPr>
          <w:rFonts w:cs="Arial"/>
          <w:color w:val="auto"/>
          <w:sz w:val="24"/>
          <w:szCs w:val="24"/>
        </w:rPr>
        <w:t xml:space="preserve">Artículo 9.- Quedan sin efecto las disposiciones que contengan exenciones totales o parciales, o consideren a personas como no sujetos de contribuciones estatales, otorguen tratamientos preferenciales o diferenciales en materia de ingresos y contribuciones estatales, a excepción de los establecidos en esta Ley, el Código, Ley Estatal de Hacienda, Decretos del Ejecutivo del Estado en términos de la Constitución del Estado, Acuerdos de las Autoridades Fiscales, demás leyes en materia de impuestos, derechos, productos y aprovechamientos. </w:t>
      </w:r>
    </w:p>
    <w:p w:rsidR="008C7EDF" w:rsidRPr="008C7EDF" w:rsidRDefault="008C7EDF" w:rsidP="008C7EDF">
      <w:pPr>
        <w:pStyle w:val="Textoindependiente"/>
        <w:spacing w:line="360" w:lineRule="auto"/>
        <w:ind w:left="567" w:right="142"/>
        <w:jc w:val="both"/>
        <w:rPr>
          <w:rFonts w:cs="Arial"/>
          <w:b w:val="0"/>
          <w:color w:val="auto"/>
          <w:sz w:val="24"/>
          <w:szCs w:val="24"/>
        </w:rPr>
      </w:pPr>
    </w:p>
    <w:p w:rsidR="008C7EDF" w:rsidRPr="008C7EDF" w:rsidRDefault="008C7EDF" w:rsidP="008C7EDF">
      <w:pPr>
        <w:pStyle w:val="Textoindependiente"/>
        <w:spacing w:line="360" w:lineRule="auto"/>
        <w:ind w:left="567" w:right="142"/>
        <w:jc w:val="both"/>
        <w:rPr>
          <w:rFonts w:cs="Arial"/>
          <w:b w:val="0"/>
          <w:color w:val="auto"/>
          <w:sz w:val="24"/>
          <w:szCs w:val="24"/>
        </w:rPr>
      </w:pPr>
      <w:r w:rsidRPr="008C7EDF">
        <w:rPr>
          <w:rFonts w:cs="Arial"/>
          <w:color w:val="auto"/>
          <w:sz w:val="24"/>
          <w:szCs w:val="24"/>
        </w:rPr>
        <w:t xml:space="preserve">Lo dispuesto en el párrafo anterior, también será aplicable cuando las disposiciones estatales o federales que contengan exenciones totales o parciales, o consideren a personas como no sujetos de </w:t>
      </w:r>
      <w:r w:rsidRPr="008C7EDF">
        <w:rPr>
          <w:rFonts w:cs="Arial"/>
          <w:color w:val="auto"/>
          <w:sz w:val="24"/>
          <w:szCs w:val="24"/>
        </w:rPr>
        <w:lastRenderedPageBreak/>
        <w:t>contribuciones estatales, otorguen tratamientos preferenciales o diferenciales en materia de ingresos y contribuciones estatales, se encuentren contenidos en normas jurídicas que tengan por objeto la creación de Organismos Públicos Descentralizados, Empresas de Participación Estatal Mayoritaria, Fideicomisos Públicos, Comisiones y demás órganos de carácter público que conforman la Administración Pública Paraestatal.</w:t>
      </w:r>
    </w:p>
    <w:p w:rsidR="008C7EDF" w:rsidRPr="008C7EDF" w:rsidRDefault="008C7EDF" w:rsidP="008C7EDF">
      <w:pPr>
        <w:spacing w:line="360" w:lineRule="auto"/>
        <w:ind w:left="567" w:right="142"/>
        <w:jc w:val="both"/>
        <w:rPr>
          <w:rFonts w:ascii="Arial" w:hAnsi="Arial" w:cs="Arial"/>
          <w:b/>
          <w:lang w:val="es-MX"/>
        </w:rPr>
      </w:pPr>
    </w:p>
    <w:p w:rsidR="008C7EDF" w:rsidRPr="008C7EDF" w:rsidRDefault="008C7EDF" w:rsidP="008C7EDF">
      <w:pPr>
        <w:spacing w:line="360" w:lineRule="auto"/>
        <w:ind w:left="567" w:right="142"/>
        <w:jc w:val="center"/>
        <w:rPr>
          <w:rFonts w:ascii="Arial" w:hAnsi="Arial" w:cs="Arial"/>
          <w:b/>
          <w:lang w:val="es-MX"/>
        </w:rPr>
      </w:pPr>
      <w:r w:rsidRPr="008C7EDF">
        <w:rPr>
          <w:rFonts w:ascii="Arial" w:hAnsi="Arial" w:cs="Arial"/>
          <w:b/>
          <w:lang w:val="es-MX"/>
        </w:rPr>
        <w:t>CAPÍTULO SEGUNDO</w:t>
      </w:r>
    </w:p>
    <w:p w:rsidR="008C7EDF" w:rsidRPr="008C7EDF" w:rsidRDefault="008C7EDF" w:rsidP="008C7EDF">
      <w:pPr>
        <w:spacing w:line="360" w:lineRule="auto"/>
        <w:ind w:left="567" w:right="142"/>
        <w:jc w:val="center"/>
        <w:rPr>
          <w:rFonts w:ascii="Arial" w:hAnsi="Arial" w:cs="Arial"/>
          <w:b/>
          <w:lang w:val="es-MX"/>
        </w:rPr>
      </w:pPr>
      <w:r w:rsidRPr="008C7EDF">
        <w:rPr>
          <w:rFonts w:ascii="Arial" w:hAnsi="Arial" w:cs="Arial"/>
          <w:b/>
          <w:lang w:val="es-MX"/>
        </w:rPr>
        <w:t>DE LOS INGRESOS</w:t>
      </w:r>
    </w:p>
    <w:p w:rsidR="008C7EDF" w:rsidRPr="008C7EDF" w:rsidRDefault="008C7EDF" w:rsidP="008C7EDF">
      <w:pPr>
        <w:spacing w:line="360" w:lineRule="auto"/>
        <w:ind w:left="567" w:right="142"/>
        <w:jc w:val="center"/>
        <w:rPr>
          <w:rFonts w:ascii="Arial" w:hAnsi="Arial" w:cs="Arial"/>
          <w:b/>
          <w:lang w:val="es-MX"/>
        </w:rPr>
      </w:pPr>
    </w:p>
    <w:p w:rsidR="008C7EDF" w:rsidRPr="008C7EDF" w:rsidRDefault="008C7EDF" w:rsidP="008C7EDF">
      <w:pPr>
        <w:spacing w:line="360" w:lineRule="auto"/>
        <w:ind w:left="567" w:right="142"/>
        <w:jc w:val="both"/>
        <w:rPr>
          <w:rFonts w:ascii="Arial" w:hAnsi="Arial" w:cs="Arial"/>
          <w:b/>
          <w:lang w:val="es-MX"/>
        </w:rPr>
      </w:pPr>
      <w:r w:rsidRPr="008C7EDF">
        <w:rPr>
          <w:rFonts w:ascii="Arial" w:hAnsi="Arial" w:cs="Arial"/>
          <w:b/>
          <w:lang w:val="es-MX"/>
        </w:rPr>
        <w:t xml:space="preserve">Artículo 10.- </w:t>
      </w:r>
      <w:r w:rsidRPr="008C7EDF">
        <w:rPr>
          <w:rFonts w:ascii="Arial" w:hAnsi="Arial" w:cs="Arial"/>
          <w:lang w:val="es-MX"/>
        </w:rPr>
        <w:t>En el ejercicio fiscal dos mil veinte, el Estado de Oaxaca percibirá los ingresos provenientes de los conceptos y en las cantidades estimadas que a continuación se enumeran:</w:t>
      </w:r>
    </w:p>
    <w:p w:rsidR="008C7EDF" w:rsidRPr="008C7EDF" w:rsidRDefault="008C7EDF" w:rsidP="008C7EDF">
      <w:pPr>
        <w:spacing w:line="360" w:lineRule="auto"/>
        <w:ind w:left="567" w:right="142"/>
        <w:jc w:val="both"/>
        <w:rPr>
          <w:rFonts w:ascii="Arial" w:hAnsi="Arial" w:cs="Arial"/>
          <w:b/>
          <w:sz w:val="10"/>
          <w:lang w:val="es-MX"/>
        </w:rPr>
      </w:pPr>
    </w:p>
    <w:tbl>
      <w:tblPr>
        <w:tblW w:w="4471" w:type="pct"/>
        <w:tblInd w:w="779" w:type="dxa"/>
        <w:tblLayout w:type="fixed"/>
        <w:tblCellMar>
          <w:left w:w="70" w:type="dxa"/>
          <w:right w:w="70" w:type="dxa"/>
        </w:tblCellMar>
        <w:tblLook w:val="04A0" w:firstRow="1" w:lastRow="0" w:firstColumn="1" w:lastColumn="0" w:noHBand="0" w:noVBand="1"/>
      </w:tblPr>
      <w:tblGrid>
        <w:gridCol w:w="162"/>
        <w:gridCol w:w="163"/>
        <w:gridCol w:w="120"/>
        <w:gridCol w:w="44"/>
        <w:gridCol w:w="119"/>
        <w:gridCol w:w="303"/>
        <w:gridCol w:w="179"/>
        <w:gridCol w:w="721"/>
        <w:gridCol w:w="465"/>
        <w:gridCol w:w="664"/>
        <w:gridCol w:w="169"/>
        <w:gridCol w:w="145"/>
        <w:gridCol w:w="160"/>
        <w:gridCol w:w="138"/>
        <w:gridCol w:w="144"/>
        <w:gridCol w:w="275"/>
        <w:gridCol w:w="13"/>
        <w:gridCol w:w="147"/>
        <w:gridCol w:w="139"/>
        <w:gridCol w:w="25"/>
        <w:gridCol w:w="123"/>
        <w:gridCol w:w="435"/>
        <w:gridCol w:w="62"/>
        <w:gridCol w:w="506"/>
        <w:gridCol w:w="17"/>
        <w:gridCol w:w="147"/>
        <w:gridCol w:w="604"/>
        <w:gridCol w:w="164"/>
        <w:gridCol w:w="259"/>
        <w:gridCol w:w="1291"/>
      </w:tblGrid>
      <w:tr w:rsidR="008C7EDF" w:rsidRPr="008C7EDF" w:rsidTr="0013653E">
        <w:trPr>
          <w:trHeight w:val="1065"/>
        </w:trPr>
        <w:tc>
          <w:tcPr>
            <w:tcW w:w="1146" w:type="pct"/>
            <w:gridSpan w:val="8"/>
            <w:shd w:val="clear" w:color="auto" w:fill="auto"/>
            <w:vAlign w:val="center"/>
            <w:hideMark/>
          </w:tcPr>
          <w:p w:rsidR="008C7EDF" w:rsidRPr="008C7EDF" w:rsidRDefault="008C7EDF" w:rsidP="0013653E">
            <w:pPr>
              <w:jc w:val="center"/>
              <w:rPr>
                <w:rFonts w:ascii="Arial" w:hAnsi="Arial" w:cs="Arial"/>
                <w:b/>
                <w:bCs/>
                <w:sz w:val="26"/>
                <w:szCs w:val="26"/>
                <w:lang w:val="es-MX" w:eastAsia="es-MX"/>
              </w:rPr>
            </w:pPr>
            <w:r w:rsidRPr="008C7EDF">
              <w:rPr>
                <w:rFonts w:ascii="Arial" w:hAnsi="Arial" w:cs="Arial"/>
                <w:b/>
                <w:bCs/>
                <w:sz w:val="26"/>
                <w:szCs w:val="26"/>
                <w:lang w:val="es-MX" w:eastAsia="es-MX"/>
              </w:rPr>
              <w:t xml:space="preserve">Conceptos </w:t>
            </w:r>
          </w:p>
        </w:tc>
        <w:tc>
          <w:tcPr>
            <w:tcW w:w="2283" w:type="pct"/>
            <w:gridSpan w:val="16"/>
            <w:shd w:val="clear" w:color="auto" w:fill="auto"/>
            <w:noWrap/>
            <w:vAlign w:val="bottom"/>
            <w:hideMark/>
          </w:tcPr>
          <w:p w:rsidR="008C7EDF" w:rsidRPr="008C7EDF" w:rsidRDefault="008C7EDF" w:rsidP="0013653E">
            <w:pPr>
              <w:jc w:val="center"/>
              <w:rPr>
                <w:rFonts w:ascii="Arial" w:hAnsi="Arial" w:cs="Arial"/>
                <w:b/>
                <w:bCs/>
                <w:sz w:val="26"/>
                <w:szCs w:val="26"/>
                <w:lang w:val="es-MX" w:eastAsia="es-MX"/>
              </w:rPr>
            </w:pPr>
          </w:p>
        </w:tc>
        <w:tc>
          <w:tcPr>
            <w:tcW w:w="1572" w:type="pct"/>
            <w:gridSpan w:val="6"/>
            <w:shd w:val="clear" w:color="auto" w:fill="auto"/>
            <w:vAlign w:val="center"/>
            <w:hideMark/>
          </w:tcPr>
          <w:p w:rsidR="008C7EDF" w:rsidRPr="008C7EDF" w:rsidRDefault="008C7EDF" w:rsidP="0013653E">
            <w:pPr>
              <w:jc w:val="center"/>
              <w:rPr>
                <w:rFonts w:ascii="Arial" w:hAnsi="Arial" w:cs="Arial"/>
                <w:b/>
                <w:bCs/>
                <w:sz w:val="26"/>
                <w:szCs w:val="26"/>
                <w:lang w:val="es-MX" w:eastAsia="es-MX"/>
              </w:rPr>
            </w:pPr>
            <w:r w:rsidRPr="008C7EDF">
              <w:rPr>
                <w:rFonts w:ascii="Arial" w:hAnsi="Arial" w:cs="Arial"/>
                <w:b/>
                <w:bCs/>
                <w:sz w:val="26"/>
                <w:szCs w:val="26"/>
                <w:lang w:val="es-MX" w:eastAsia="es-MX"/>
              </w:rPr>
              <w:t xml:space="preserve"> Pesos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jc w:val="center"/>
              <w:rPr>
                <w:rFonts w:ascii="Arial" w:hAnsi="Arial" w:cs="Arial"/>
                <w:b/>
                <w:bCs/>
                <w:sz w:val="26"/>
                <w:szCs w:val="26"/>
                <w:lang w:val="es-MX" w:eastAsia="es-MX"/>
              </w:rPr>
            </w:pPr>
          </w:p>
        </w:tc>
        <w:tc>
          <w:tcPr>
            <w:tcW w:w="179" w:type="pct"/>
            <w:gridSpan w:val="2"/>
            <w:shd w:val="clear" w:color="auto" w:fill="auto"/>
            <w:noWrap/>
            <w:vAlign w:val="bottom"/>
            <w:hideMark/>
          </w:tcPr>
          <w:p w:rsidR="008C7EDF" w:rsidRPr="008C7EDF" w:rsidRDefault="008C7EDF" w:rsidP="0013653E">
            <w:pPr>
              <w:rPr>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sz w:val="20"/>
                <w:szCs w:val="20"/>
                <w:lang w:val="es-MX" w:eastAsia="es-MX"/>
              </w:rPr>
            </w:pPr>
          </w:p>
        </w:tc>
        <w:tc>
          <w:tcPr>
            <w:tcW w:w="104" w:type="pct"/>
            <w:gridSpan w:val="2"/>
            <w:shd w:val="clear" w:color="auto" w:fill="auto"/>
            <w:noWrap/>
            <w:vAlign w:val="bottom"/>
            <w:hideMark/>
          </w:tcPr>
          <w:p w:rsidR="008C7EDF" w:rsidRPr="008C7EDF" w:rsidRDefault="008C7EDF" w:rsidP="0013653E">
            <w:pPr>
              <w:rPr>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sz w:val="20"/>
                <w:szCs w:val="20"/>
                <w:lang w:val="es-MX" w:eastAsia="es-MX"/>
              </w:rPr>
            </w:pPr>
          </w:p>
        </w:tc>
      </w:tr>
      <w:tr w:rsidR="008C7EDF" w:rsidRPr="008C7EDF" w:rsidTr="0013653E">
        <w:trPr>
          <w:trHeight w:val="420"/>
        </w:trPr>
        <w:tc>
          <w:tcPr>
            <w:tcW w:w="2338" w:type="pct"/>
            <w:gridSpan w:val="15"/>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INGRESOS DE GESTIÓN</w:t>
            </w:r>
          </w:p>
        </w:tc>
        <w:tc>
          <w:tcPr>
            <w:tcW w:w="1091" w:type="pct"/>
            <w:gridSpan w:val="9"/>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center"/>
              <w:rPr>
                <w:rFonts w:ascii="Arial" w:hAnsi="Arial" w:cs="Arial"/>
                <w:b/>
                <w:bCs/>
                <w:sz w:val="20"/>
                <w:szCs w:val="20"/>
                <w:lang w:val="es-MX" w:eastAsia="es-MX"/>
              </w:rPr>
            </w:pPr>
            <w:r w:rsidRPr="008C7EDF">
              <w:rPr>
                <w:rFonts w:ascii="Arial" w:hAnsi="Arial" w:cs="Arial"/>
                <w:b/>
                <w:bCs/>
                <w:sz w:val="20"/>
                <w:szCs w:val="20"/>
                <w:lang w:val="es-MX" w:eastAsia="es-MX"/>
              </w:rPr>
              <w:t xml:space="preserve">                  3,851,392,993.00 </w:t>
            </w:r>
          </w:p>
        </w:tc>
      </w:tr>
      <w:tr w:rsidR="008C7EDF" w:rsidRPr="008C7EDF" w:rsidTr="0013653E">
        <w:trPr>
          <w:trHeight w:val="315"/>
        </w:trPr>
        <w:tc>
          <w:tcPr>
            <w:tcW w:w="103" w:type="pct"/>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center"/>
            <w:hideMark/>
          </w:tcPr>
          <w:p w:rsidR="008C7EDF" w:rsidRPr="008C7EDF" w:rsidRDefault="008C7EDF" w:rsidP="0013653E">
            <w:pPr>
              <w:jc w:val="both"/>
              <w:rPr>
                <w:sz w:val="20"/>
                <w:szCs w:val="20"/>
                <w:lang w:val="es-MX" w:eastAsia="es-MX"/>
              </w:rPr>
            </w:pPr>
          </w:p>
        </w:tc>
        <w:tc>
          <w:tcPr>
            <w:tcW w:w="294" w:type="pct"/>
            <w:shd w:val="clear" w:color="auto" w:fill="auto"/>
            <w:noWrap/>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04"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468" w:type="pct"/>
            <w:gridSpan w:val="4"/>
            <w:shd w:val="clear" w:color="auto" w:fill="auto"/>
            <w:noWrap/>
            <w:vAlign w:val="bottom"/>
            <w:hideMark/>
          </w:tcPr>
          <w:p w:rsidR="008C7EDF" w:rsidRPr="008C7EDF" w:rsidRDefault="008C7EDF" w:rsidP="0013653E">
            <w:pPr>
              <w:jc w:val="center"/>
              <w:rPr>
                <w:rFonts w:ascii="Arial" w:hAnsi="Arial" w:cs="Arial"/>
                <w:b/>
                <w:bCs/>
                <w:lang w:val="es-MX" w:eastAsia="es-MX"/>
              </w:rPr>
            </w:pPr>
            <w:r w:rsidRPr="008C7EDF">
              <w:rPr>
                <w:rFonts w:ascii="Arial" w:hAnsi="Arial" w:cs="Arial"/>
                <w:b/>
                <w:bCs/>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042" w:type="pct"/>
            <w:gridSpan w:val="7"/>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w:t>
            </w:r>
          </w:p>
        </w:tc>
        <w:tc>
          <w:tcPr>
            <w:tcW w:w="2283" w:type="pct"/>
            <w:gridSpan w:val="1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1,630,124,597.00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sobre los Ingresos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43,718,436.00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Rifas, Loterías, Sorteos y Concursos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3,834,823.00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Diversiones y Espectáculos Públicos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1,163,694.00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Cedular a los Ingresos por el Otorgamiento del Uso o Goce Temporal de Bienes Inmuebles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37,387,925.00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las Demasías Caducas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1,331,994.00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sobre el Patrimonio</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25,493,519.00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Tenencia o Uso de Vehículos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25,493,519.00 </w:t>
            </w:r>
          </w:p>
        </w:tc>
      </w:tr>
      <w:tr w:rsidR="008C7EDF" w:rsidRPr="008C7EDF" w:rsidTr="0013653E">
        <w:trPr>
          <w:trHeight w:val="51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sobre la Producción, el Consumo, y las Transacciones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76,869,188.00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la Adquisición de Vehículos de Motor Usados</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10,804,121.00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Sobre la Prestación de Servicios de Hospedaje</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                    66,065,067.00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sobre Nóminas y Asimilables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1,191,520,183.00 </w:t>
            </w:r>
          </w:p>
        </w:tc>
      </w:tr>
      <w:tr w:rsidR="008C7EDF" w:rsidRPr="008C7EDF" w:rsidTr="0013653E">
        <w:trPr>
          <w:trHeight w:val="36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 sobre Erogaciones por Remuneraciones al Trabajo Personal</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1,191,520,183.00 </w:t>
            </w:r>
          </w:p>
        </w:tc>
      </w:tr>
      <w:tr w:rsidR="008C7EDF" w:rsidRPr="008C7EDF" w:rsidTr="0013653E">
        <w:trPr>
          <w:trHeight w:val="36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Ecológicos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46,800,000.00 </w:t>
            </w:r>
          </w:p>
        </w:tc>
      </w:tr>
      <w:tr w:rsidR="008C7EDF" w:rsidRPr="008C7EDF" w:rsidTr="0013653E">
        <w:trPr>
          <w:trHeight w:val="36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 Sobre la Extracción de Materiales por Remediación Ambiental</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46,800,000.00 </w:t>
            </w:r>
          </w:p>
        </w:tc>
      </w:tr>
      <w:tr w:rsidR="008C7EDF" w:rsidRPr="008C7EDF" w:rsidTr="0013653E">
        <w:trPr>
          <w:trHeight w:val="31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Accesorios de Impuestos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15,024,715.00 </w:t>
            </w:r>
          </w:p>
        </w:tc>
      </w:tr>
      <w:tr w:rsidR="008C7EDF" w:rsidRPr="008C7EDF" w:rsidTr="0013653E">
        <w:trPr>
          <w:trHeight w:val="34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Otros Impuestos</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230,698,555.00 </w:t>
            </w:r>
          </w:p>
        </w:tc>
      </w:tr>
      <w:tr w:rsidR="008C7EDF" w:rsidRPr="008C7EDF" w:rsidTr="0013653E">
        <w:trPr>
          <w:trHeight w:val="36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23" w:type="pct"/>
            <w:gridSpan w:val="18"/>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 para el Desarrollo Social</w:t>
            </w:r>
          </w:p>
        </w:tc>
        <w:tc>
          <w:tcPr>
            <w:tcW w:w="319" w:type="pct"/>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230,698,555.00 </w:t>
            </w:r>
          </w:p>
        </w:tc>
      </w:tr>
      <w:tr w:rsidR="008C7EDF" w:rsidRPr="008C7EDF" w:rsidTr="0013653E">
        <w:trPr>
          <w:trHeight w:val="6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827"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Impuestos  no  Comprendidos  en  la  Ley  de  Ingresos  Vigente,  Causados  en Ejercicios Fiscales Anteriores Pendientes de Liquidación o Pago</w:t>
            </w:r>
          </w:p>
        </w:tc>
        <w:tc>
          <w:tcPr>
            <w:tcW w:w="319"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1.00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2967" w:type="pct"/>
            <w:gridSpan w:val="21"/>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CUOTAS Y APORTACIONES DE SEGURIDAD SOCIAL</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474" w:type="pct"/>
            <w:gridSpan w:val="5"/>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Cuotas y Aportaciones de Seguridad Social</w:t>
            </w:r>
          </w:p>
        </w:tc>
        <w:tc>
          <w:tcPr>
            <w:tcW w:w="1568" w:type="pct"/>
            <w:gridSpan w:val="14"/>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474" w:type="pct"/>
            <w:gridSpan w:val="5"/>
            <w:shd w:val="clear" w:color="auto" w:fill="auto"/>
            <w:vAlign w:val="center"/>
            <w:hideMark/>
          </w:tcPr>
          <w:p w:rsidR="008C7EDF" w:rsidRPr="008C7EDF" w:rsidRDefault="008C7EDF" w:rsidP="0013653E">
            <w:pPr>
              <w:jc w:val="both"/>
              <w:rPr>
                <w:sz w:val="20"/>
                <w:szCs w:val="20"/>
                <w:lang w:val="es-MX" w:eastAsia="es-MX"/>
              </w:rPr>
            </w:pPr>
          </w:p>
        </w:tc>
        <w:tc>
          <w:tcPr>
            <w:tcW w:w="107" w:type="pct"/>
            <w:shd w:val="clear" w:color="auto" w:fill="auto"/>
            <w:vAlign w:val="center"/>
            <w:hideMark/>
          </w:tcPr>
          <w:p w:rsidR="008C7EDF" w:rsidRPr="008C7EDF" w:rsidRDefault="008C7EDF" w:rsidP="0013653E">
            <w:pPr>
              <w:jc w:val="both"/>
              <w:rPr>
                <w:sz w:val="20"/>
                <w:szCs w:val="20"/>
                <w:lang w:val="es-MX" w:eastAsia="es-MX"/>
              </w:rPr>
            </w:pPr>
          </w:p>
        </w:tc>
        <w:tc>
          <w:tcPr>
            <w:tcW w:w="1948" w:type="pct"/>
            <w:gridSpan w:val="16"/>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04" w:type="pct"/>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981"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2967" w:type="pct"/>
            <w:gridSpan w:val="21"/>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CONTRIBUCIONES DE MEJORAS</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474" w:type="pct"/>
            <w:gridSpan w:val="5"/>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Contribución de Mejoras por Obras Públicas</w:t>
            </w:r>
          </w:p>
        </w:tc>
        <w:tc>
          <w:tcPr>
            <w:tcW w:w="1568" w:type="pct"/>
            <w:gridSpan w:val="14"/>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1474" w:type="pct"/>
            <w:gridSpan w:val="5"/>
            <w:shd w:val="clear" w:color="auto" w:fill="auto"/>
            <w:noWrap/>
            <w:vAlign w:val="bottom"/>
            <w:hideMark/>
          </w:tcPr>
          <w:p w:rsidR="008C7EDF" w:rsidRPr="008C7EDF" w:rsidRDefault="008C7EDF" w:rsidP="0013653E">
            <w:pPr>
              <w:rPr>
                <w:sz w:val="20"/>
                <w:szCs w:val="20"/>
                <w:lang w:val="es-MX" w:eastAsia="es-MX"/>
              </w:rPr>
            </w:pPr>
          </w:p>
        </w:tc>
        <w:tc>
          <w:tcPr>
            <w:tcW w:w="107" w:type="pct"/>
            <w:shd w:val="clear" w:color="auto" w:fill="auto"/>
            <w:noWrap/>
            <w:vAlign w:val="bottom"/>
            <w:hideMark/>
          </w:tcPr>
          <w:p w:rsidR="008C7EDF" w:rsidRPr="008C7EDF" w:rsidRDefault="008C7EDF" w:rsidP="0013653E">
            <w:pPr>
              <w:rPr>
                <w:sz w:val="20"/>
                <w:szCs w:val="20"/>
                <w:lang w:val="es-MX" w:eastAsia="es-MX"/>
              </w:rPr>
            </w:pPr>
          </w:p>
        </w:tc>
        <w:tc>
          <w:tcPr>
            <w:tcW w:w="1948" w:type="pct"/>
            <w:gridSpan w:val="16"/>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981"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1474" w:type="pct"/>
            <w:gridSpan w:val="5"/>
            <w:shd w:val="clear" w:color="auto" w:fill="auto"/>
            <w:noWrap/>
            <w:vAlign w:val="bottom"/>
            <w:hideMark/>
          </w:tcPr>
          <w:p w:rsidR="008C7EDF" w:rsidRPr="008C7EDF" w:rsidRDefault="008C7EDF" w:rsidP="0013653E">
            <w:pPr>
              <w:rPr>
                <w:sz w:val="20"/>
                <w:szCs w:val="20"/>
                <w:lang w:val="es-MX" w:eastAsia="es-MX"/>
              </w:rPr>
            </w:pPr>
          </w:p>
        </w:tc>
        <w:tc>
          <w:tcPr>
            <w:tcW w:w="107" w:type="pct"/>
            <w:shd w:val="clear" w:color="auto" w:fill="auto"/>
            <w:noWrap/>
            <w:vAlign w:val="bottom"/>
            <w:hideMark/>
          </w:tcPr>
          <w:p w:rsidR="008C7EDF" w:rsidRPr="008C7EDF" w:rsidRDefault="008C7EDF" w:rsidP="0013653E">
            <w:pPr>
              <w:rPr>
                <w:sz w:val="20"/>
                <w:szCs w:val="20"/>
                <w:lang w:val="es-MX" w:eastAsia="es-MX"/>
              </w:rPr>
            </w:pPr>
          </w:p>
        </w:tc>
        <w:tc>
          <w:tcPr>
            <w:tcW w:w="1948" w:type="pct"/>
            <w:gridSpan w:val="16"/>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981"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57" w:type="pct"/>
            <w:gridSpan w:val="9"/>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DERECHOS</w:t>
            </w:r>
          </w:p>
        </w:tc>
        <w:tc>
          <w:tcPr>
            <w:tcW w:w="1568" w:type="pct"/>
            <w:gridSpan w:val="14"/>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1,924,103,852.00 </w:t>
            </w:r>
          </w:p>
        </w:tc>
      </w:tr>
      <w:tr w:rsidR="008C7EDF" w:rsidRPr="008C7EDF" w:rsidTr="0013653E">
        <w:trPr>
          <w:trHeight w:val="51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788" w:type="pct"/>
            <w:gridSpan w:val="19"/>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xml:space="preserve">Derechos por el Uso, Goce, Aprovechamiento o Explotación de Bienes de Dominio Público </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21,155,402.00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684" w:type="pct"/>
            <w:gridSpan w:val="17"/>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las Culturas  y Artes de Oaxaca</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2,147,997.00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Museos, Biblioteca y Hemeroteca Pública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153,858.00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Teatros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1,836,512.00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Casa de la Cultura Oaxaqueña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3,860.00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Centro de las Artes de San Agustín</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153,767.00 </w:t>
            </w:r>
          </w:p>
        </w:tc>
      </w:tr>
      <w:tr w:rsidR="008C7EDF" w:rsidRPr="008C7EDF" w:rsidTr="0013653E">
        <w:trPr>
          <w:trHeight w:val="34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Administración</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8,633,970.00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Complejos y Edificios Públicos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3,416,369.00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Jardín Etnobotánico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5,033,532.00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305"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Planetario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184,069.00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409" w:type="pct"/>
            <w:gridSpan w:val="16"/>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xml:space="preserve">Secretaría de Turismo </w:t>
            </w:r>
          </w:p>
        </w:tc>
        <w:tc>
          <w:tcPr>
            <w:tcW w:w="633" w:type="pct"/>
            <w:gridSpan w:val="3"/>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10,373,435.00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Auditorio Guelaguetza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3,771,865.00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Centro Cultural y de Convenciones de Oaxaca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6,601,570.00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788" w:type="pct"/>
            <w:gridSpan w:val="19"/>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xml:space="preserve">Derechos por Prestación de Servicios </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1,720,431,460.00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4"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759" w:type="pct"/>
            <w:gridSpan w:val="18"/>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Administración Pública</w:t>
            </w:r>
          </w:p>
        </w:tc>
        <w:tc>
          <w:tcPr>
            <w:tcW w:w="358" w:type="pct"/>
            <w:gridSpan w:val="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40,862,530.00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Comunes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xml:space="preserve">                      40,862,530.00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2" w:type="pct"/>
            <w:shd w:val="clear" w:color="auto" w:fill="auto"/>
            <w:noWrap/>
            <w:vAlign w:val="bottom"/>
            <w:hideMark/>
          </w:tcPr>
          <w:p w:rsidR="008C7EDF" w:rsidRPr="008C7EDF" w:rsidRDefault="008C7EDF" w:rsidP="0013653E">
            <w:pPr>
              <w:jc w:val="both"/>
              <w:rPr>
                <w:sz w:val="20"/>
                <w:szCs w:val="20"/>
                <w:lang w:val="es-MX" w:eastAsia="es-MX"/>
              </w:rPr>
            </w:pPr>
          </w:p>
        </w:tc>
        <w:tc>
          <w:tcPr>
            <w:tcW w:w="113" w:type="pct"/>
            <w:shd w:val="clear" w:color="auto" w:fill="auto"/>
            <w:vAlign w:val="center"/>
            <w:hideMark/>
          </w:tcPr>
          <w:p w:rsidR="008C7EDF" w:rsidRPr="008C7EDF" w:rsidRDefault="008C7EDF" w:rsidP="0013653E">
            <w:pPr>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Servicios comunes de las Dependencias y Entidades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xml:space="preserve">                        2,758,674.00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2" w:type="pct"/>
            <w:shd w:val="clear" w:color="auto" w:fill="auto"/>
            <w:noWrap/>
            <w:vAlign w:val="bottom"/>
            <w:hideMark/>
          </w:tcPr>
          <w:p w:rsidR="008C7EDF" w:rsidRPr="008C7EDF" w:rsidRDefault="008C7EDF" w:rsidP="0013653E">
            <w:pPr>
              <w:jc w:val="both"/>
              <w:rPr>
                <w:sz w:val="20"/>
                <w:szCs w:val="20"/>
                <w:lang w:val="es-MX" w:eastAsia="es-MX"/>
              </w:rPr>
            </w:pPr>
          </w:p>
        </w:tc>
        <w:tc>
          <w:tcPr>
            <w:tcW w:w="113" w:type="pct"/>
            <w:shd w:val="clear" w:color="auto" w:fill="auto"/>
            <w:vAlign w:val="center"/>
            <w:hideMark/>
          </w:tcPr>
          <w:p w:rsidR="008C7EDF" w:rsidRPr="008C7EDF" w:rsidRDefault="008C7EDF" w:rsidP="0013653E">
            <w:pPr>
              <w:rPr>
                <w:sz w:val="20"/>
                <w:szCs w:val="20"/>
                <w:lang w:val="es-MX" w:eastAsia="es-MX"/>
              </w:rPr>
            </w:pPr>
          </w:p>
        </w:tc>
        <w:tc>
          <w:tcPr>
            <w:tcW w:w="2737" w:type="pct"/>
            <w:gridSpan w:val="17"/>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Servicios por Supervisión de Obra Pública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38,103,856.00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316" w:type="pct"/>
            <w:gridSpan w:val="14"/>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General de Gobierno</w:t>
            </w:r>
          </w:p>
        </w:tc>
        <w:tc>
          <w:tcPr>
            <w:tcW w:w="726" w:type="pct"/>
            <w:gridSpan w:val="5"/>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28,900,183.00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Protección Civil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28,898,902.00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Servicios Secretaría General de Gobierno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1,281.00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316" w:type="pct"/>
            <w:gridSpan w:val="14"/>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Seguridad Pública</w:t>
            </w:r>
          </w:p>
        </w:tc>
        <w:tc>
          <w:tcPr>
            <w:tcW w:w="726" w:type="pct"/>
            <w:gridSpan w:val="5"/>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367,829,250.00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Seguridad Pública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13,745,124.00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Seguridad y Vigilancia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350,633,136.00 </w:t>
            </w:r>
          </w:p>
        </w:tc>
      </w:tr>
      <w:tr w:rsidR="008C7EDF" w:rsidRPr="008C7EDF" w:rsidTr="0013653E">
        <w:trPr>
          <w:trHeight w:val="285"/>
        </w:trPr>
        <w:tc>
          <w:tcPr>
            <w:tcW w:w="103" w:type="pct"/>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Vialidad</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3,450,990.00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581" w:type="pct"/>
            <w:gridSpan w:val="6"/>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Salud</w:t>
            </w:r>
          </w:p>
        </w:tc>
        <w:tc>
          <w:tcPr>
            <w:tcW w:w="1461" w:type="pct"/>
            <w:gridSpan w:val="13"/>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2,767,729.00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Vigilancia y Control Sanitario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1,587,951.00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Atención en Salud</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1,179,778.00 </w:t>
            </w:r>
          </w:p>
        </w:tc>
      </w:tr>
      <w:tr w:rsidR="008C7EDF" w:rsidRPr="008C7EDF" w:rsidTr="0013653E">
        <w:trPr>
          <w:trHeight w:val="51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316" w:type="pct"/>
            <w:gridSpan w:val="14"/>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las Infraestructuras y el Ordenamiento Territorial Sustentable</w:t>
            </w:r>
          </w:p>
        </w:tc>
        <w:tc>
          <w:tcPr>
            <w:tcW w:w="726" w:type="pct"/>
            <w:gridSpan w:val="5"/>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94,193,235.00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Relacionados con Obra Pública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4,172,868.00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Regularización de la Tenencia de la Tierra urbana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1,804,200.00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Agua, Alcantarillado y Drenaje</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88,216,167.00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xml:space="preserve"> Servicios de Agua  Potable y Alcantarillado de Oaxaca (SAPAO)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58,890,973.00 </w:t>
            </w:r>
          </w:p>
        </w:tc>
      </w:tr>
      <w:tr w:rsidR="008C7EDF" w:rsidRPr="008C7EDF" w:rsidTr="0013653E">
        <w:trPr>
          <w:trHeight w:val="31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xml:space="preserve"> Comisión Estatal de Agua  (CEA)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29,325,194.00 </w:t>
            </w:r>
          </w:p>
        </w:tc>
      </w:tr>
      <w:tr w:rsidR="008C7EDF" w:rsidRPr="008C7EDF" w:rsidTr="0013653E">
        <w:trPr>
          <w:trHeight w:val="31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Movilidad</w:t>
            </w:r>
          </w:p>
        </w:tc>
        <w:tc>
          <w:tcPr>
            <w:tcW w:w="908" w:type="pct"/>
            <w:gridSpan w:val="7"/>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669,061,551.00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Transporte Público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24,942,747.00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Control vehicular</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644,118,804.00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las Culturas y Artes de Oaxaca</w:t>
            </w:r>
          </w:p>
        </w:tc>
        <w:tc>
          <w:tcPr>
            <w:tcW w:w="908" w:type="pct"/>
            <w:gridSpan w:val="7"/>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7,459,269.00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Cursos y Talleres Culturales</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4,757,014.00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94" w:type="pct"/>
            <w:shd w:val="clear" w:color="auto" w:fill="auto"/>
            <w:noWrap/>
            <w:vAlign w:val="center"/>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 Taller de Artes Plásticas </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151,224.00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94" w:type="pct"/>
            <w:shd w:val="clear" w:color="auto" w:fill="auto"/>
            <w:noWrap/>
            <w:vAlign w:val="center"/>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 Centro de Iniciación Musical de Oaxaca </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561,000.00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94" w:type="pct"/>
            <w:shd w:val="clear" w:color="auto" w:fill="auto"/>
            <w:noWrap/>
            <w:vAlign w:val="center"/>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 Casa de la Cultura Oaxaqueña </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4,044,790.00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bottom"/>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 Otros Servicios de la Secretaría de las Culturas y Artes de Oaxaca </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xml:space="preserve">                        2,702,255.00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862" w:type="pct"/>
            <w:gridSpan w:val="9"/>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Desarrollo Social y Humano</w:t>
            </w:r>
          </w:p>
        </w:tc>
        <w:tc>
          <w:tcPr>
            <w:tcW w:w="1180" w:type="pct"/>
            <w:gridSpan w:val="10"/>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25,330,079.00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Atención Social </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25,330,079.00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862" w:type="pct"/>
            <w:gridSpan w:val="9"/>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Desarrollo  Agropecuario, Pesca y Acuacultura</w:t>
            </w:r>
          </w:p>
        </w:tc>
        <w:tc>
          <w:tcPr>
            <w:tcW w:w="1180" w:type="pct"/>
            <w:gridSpan w:val="10"/>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545,867.00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Control Zoosanitario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545,867.00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Finanzas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84,688,206.00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Fiscales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725,767.00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Catastrales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83,962,439.00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316" w:type="pct"/>
            <w:gridSpan w:val="14"/>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Administración</w:t>
            </w:r>
          </w:p>
        </w:tc>
        <w:tc>
          <w:tcPr>
            <w:tcW w:w="726" w:type="pct"/>
            <w:gridSpan w:val="5"/>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2,354,776.00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Constancias y  Permisos </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210,348.00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xml:space="preserve"> Otros Servicios de la Secretaría de Administración </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2,081,404.00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Archivísticos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63,024.00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la Contraloría y Transparencia Gubernamental</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9,568,711.00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Inspección y Vigilancia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6,583,103.00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Constancias de Responsabilidad Administrativa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2,985,608.00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Economía</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7,377,338.00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Capacitación y Productividad</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2,902,252.00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Feria del mezcal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4,475,086.00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8" w:type="pct"/>
            <w:gridSpan w:val="13"/>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xml:space="preserve">Secretaría de Turismo </w:t>
            </w:r>
          </w:p>
        </w:tc>
        <w:tc>
          <w:tcPr>
            <w:tcW w:w="814"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18,632,928.00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Eventos Lunes del Cerro</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18,632,928.00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775" w:type="pct"/>
            <w:gridSpan w:val="8"/>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Secretaría de Medio Ambiente, Energías y Desarrollo Sustentable</w:t>
            </w:r>
          </w:p>
        </w:tc>
        <w:tc>
          <w:tcPr>
            <w:tcW w:w="1267" w:type="pct"/>
            <w:gridSpan w:val="11"/>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155,744,521.00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Ecológicos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155,744,521.00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775" w:type="pct"/>
            <w:gridSpan w:val="8"/>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Consejería Jurídica del Gobierno del Estado</w:t>
            </w:r>
          </w:p>
        </w:tc>
        <w:tc>
          <w:tcPr>
            <w:tcW w:w="1267" w:type="pct"/>
            <w:gridSpan w:val="11"/>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205,115,287.00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Registro Civil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97,222,727.00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Instituto Registral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93,237,009.00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Notarial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4,282,243.00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Publicaciones</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6,828,195.00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Servicios Consejería Jurídica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3,545,113.00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878" w:type="pct"/>
            <w:gridSpan w:val="1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Derechos por la Prestación de Servicios Educativos</w:t>
            </w:r>
          </w:p>
        </w:tc>
        <w:tc>
          <w:tcPr>
            <w:tcW w:w="1267" w:type="pct"/>
            <w:gridSpan w:val="11"/>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175,522,202.00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1775" w:type="pct"/>
            <w:gridSpan w:val="8"/>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Educación Básica</w:t>
            </w:r>
          </w:p>
        </w:tc>
        <w:tc>
          <w:tcPr>
            <w:tcW w:w="1267" w:type="pct"/>
            <w:gridSpan w:val="11"/>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4,505,085.00 </w:t>
            </w:r>
          </w:p>
        </w:tc>
      </w:tr>
      <w:tr w:rsidR="008C7EDF" w:rsidRPr="008C7EDF" w:rsidTr="0013653E">
        <w:trPr>
          <w:trHeight w:val="31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Instituto Estatal de Educación Pública de Oaxaca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4,505,085.00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1775" w:type="pct"/>
            <w:gridSpan w:val="8"/>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Educación Media Superior</w:t>
            </w:r>
          </w:p>
        </w:tc>
        <w:tc>
          <w:tcPr>
            <w:tcW w:w="1267" w:type="pct"/>
            <w:gridSpan w:val="11"/>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144,390,101.00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Coordinación General de Educación Media Superior y Superior, Ciencia y Tecnología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16,277,830.00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Instituto de Estudios de Bachillerato del Estado de Oaxaca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28,001,500.00 </w:t>
            </w:r>
          </w:p>
        </w:tc>
      </w:tr>
      <w:tr w:rsidR="008C7EDF" w:rsidRPr="008C7EDF" w:rsidTr="0013653E">
        <w:trPr>
          <w:trHeight w:val="285"/>
        </w:trPr>
        <w:tc>
          <w:tcPr>
            <w:tcW w:w="103" w:type="pct"/>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Colegio de Bachilleres del Estado de Oaxaca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61,231,127.00 </w:t>
            </w:r>
          </w:p>
        </w:tc>
      </w:tr>
      <w:tr w:rsidR="008C7EDF" w:rsidRPr="008C7EDF" w:rsidTr="0013653E">
        <w:trPr>
          <w:trHeight w:val="300"/>
        </w:trPr>
        <w:tc>
          <w:tcPr>
            <w:tcW w:w="103" w:type="pct"/>
            <w:shd w:val="clear" w:color="auto" w:fill="auto"/>
            <w:noWrap/>
            <w:vAlign w:val="bottom"/>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Colegio de Estudios Científicos y Tecnológicos del Estado de Oaxaca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38,879,644.00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1674" w:type="pct"/>
            <w:gridSpan w:val="7"/>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Sistema de Estudios Tecnológicos</w:t>
            </w:r>
          </w:p>
        </w:tc>
        <w:tc>
          <w:tcPr>
            <w:tcW w:w="1368" w:type="pct"/>
            <w:gridSpan w:val="12"/>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11,553,763.00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Instituto Tecnológico de Teposcolula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2,301,813.00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Tecnológica de la Sierra Sur</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1,592,990.00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bottom"/>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Instituto Tecnológico San Miguel el Grande</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1,144,900.00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Universidad  Tecnológica de los Valles Centrales de Oaxaca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6,514,060.00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1951" w:type="pct"/>
            <w:gridSpan w:val="1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Sistema de Universidades  Estatales de Oaxaca</w:t>
            </w:r>
          </w:p>
        </w:tc>
        <w:tc>
          <w:tcPr>
            <w:tcW w:w="1091" w:type="pct"/>
            <w:gridSpan w:val="9"/>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15,073,253.00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Tecnológica de la Mixteca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4,795,566.00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del Mar</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3,008,061.00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del Istmo</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1,922,345.00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del Papaloapan</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1,390,325.00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 la Sierra Sur</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1,681,233.00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 la Sierra Juárez</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577,123.00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 la Cañada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201,655.00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Novauniversitas</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558,638.00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 la Costa</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491,158.00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noWrap/>
            <w:vAlign w:val="bottom"/>
            <w:hideMark/>
          </w:tcPr>
          <w:p w:rsidR="008C7EDF" w:rsidRPr="008C7EDF" w:rsidRDefault="008C7EDF" w:rsidP="0013653E">
            <w:pPr>
              <w:jc w:val="both"/>
              <w:rPr>
                <w:sz w:val="20"/>
                <w:szCs w:val="20"/>
                <w:lang w:val="es-MX" w:eastAsia="es-MX"/>
              </w:rPr>
            </w:pPr>
          </w:p>
        </w:tc>
        <w:tc>
          <w:tcPr>
            <w:tcW w:w="2283" w:type="pct"/>
            <w:gridSpan w:val="16"/>
            <w:shd w:val="clear" w:color="auto" w:fill="auto"/>
            <w:noWrap/>
            <w:vAlign w:val="center"/>
            <w:hideMark/>
          </w:tcPr>
          <w:p w:rsidR="008C7EDF" w:rsidRPr="008C7EDF" w:rsidRDefault="008C7EDF" w:rsidP="0013653E">
            <w:pPr>
              <w:rPr>
                <w:rFonts w:ascii="Arial" w:hAnsi="Arial" w:cs="Arial"/>
                <w:sz w:val="22"/>
                <w:szCs w:val="22"/>
                <w:lang w:val="es-MX" w:eastAsia="es-MX"/>
              </w:rPr>
            </w:pPr>
            <w:r w:rsidRPr="008C7EDF">
              <w:rPr>
                <w:rFonts w:ascii="Arial" w:hAnsi="Arial" w:cs="Arial"/>
                <w:sz w:val="22"/>
                <w:szCs w:val="22"/>
                <w:lang w:val="es-MX" w:eastAsia="es-MX"/>
              </w:rPr>
              <w:t>Universidad de Chalcatongo</w:t>
            </w:r>
          </w:p>
        </w:tc>
        <w:tc>
          <w:tcPr>
            <w:tcW w:w="104" w:type="pct"/>
            <w:gridSpan w:val="2"/>
            <w:shd w:val="clear" w:color="auto" w:fill="auto"/>
            <w:noWrap/>
            <w:vAlign w:val="bottom"/>
            <w:hideMark/>
          </w:tcPr>
          <w:p w:rsidR="008C7EDF" w:rsidRPr="008C7EDF" w:rsidRDefault="008C7EDF" w:rsidP="0013653E">
            <w:pPr>
              <w:rPr>
                <w:rFonts w:ascii="Arial" w:hAnsi="Arial" w:cs="Arial"/>
                <w:sz w:val="22"/>
                <w:szCs w:val="22"/>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447,149.00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230" w:type="pct"/>
            <w:gridSpan w:val="13"/>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Otros Derechos</w:t>
            </w:r>
          </w:p>
        </w:tc>
        <w:tc>
          <w:tcPr>
            <w:tcW w:w="915" w:type="pct"/>
            <w:gridSpan w:val="8"/>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1.00 </w:t>
            </w:r>
          </w:p>
        </w:tc>
      </w:tr>
      <w:tr w:rsidR="008C7EDF" w:rsidRPr="008C7EDF" w:rsidTr="0013653E">
        <w:trPr>
          <w:trHeight w:val="42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vAlign w:val="center"/>
            <w:hideMark/>
          </w:tcPr>
          <w:p w:rsidR="008C7EDF" w:rsidRPr="008C7EDF" w:rsidRDefault="008C7EDF" w:rsidP="0013653E">
            <w:pPr>
              <w:jc w:val="both"/>
              <w:rPr>
                <w:rFonts w:ascii="Arial" w:hAnsi="Arial" w:cs="Arial"/>
                <w:sz w:val="22"/>
                <w:szCs w:val="22"/>
                <w:lang w:val="es-MX" w:eastAsia="es-MX"/>
              </w:rPr>
            </w:pPr>
          </w:p>
        </w:tc>
        <w:tc>
          <w:tcPr>
            <w:tcW w:w="2230" w:type="pct"/>
            <w:gridSpan w:val="13"/>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Accesorios de los Derechos</w:t>
            </w:r>
          </w:p>
        </w:tc>
        <w:tc>
          <w:tcPr>
            <w:tcW w:w="915" w:type="pct"/>
            <w:gridSpan w:val="8"/>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6,994,786.00 </w:t>
            </w:r>
          </w:p>
        </w:tc>
      </w:tr>
      <w:tr w:rsidR="008C7EDF" w:rsidRPr="008C7EDF" w:rsidTr="0013653E">
        <w:trPr>
          <w:trHeight w:val="51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vAlign w:val="center"/>
            <w:hideMark/>
          </w:tcPr>
          <w:p w:rsidR="008C7EDF" w:rsidRPr="008C7EDF" w:rsidRDefault="008C7EDF" w:rsidP="0013653E">
            <w:pPr>
              <w:jc w:val="both"/>
              <w:rPr>
                <w:rFonts w:ascii="Arial" w:hAnsi="Arial" w:cs="Arial"/>
                <w:sz w:val="22"/>
                <w:szCs w:val="22"/>
                <w:lang w:val="es-MX" w:eastAsia="es-MX"/>
              </w:rPr>
            </w:pPr>
          </w:p>
        </w:tc>
        <w:tc>
          <w:tcPr>
            <w:tcW w:w="2230" w:type="pct"/>
            <w:gridSpan w:val="13"/>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Derechos  no  Comprendidos  en  la  Ley  de  Ingresos  Vigente,  Causados  en Ejercicios Fiscales Anteriores Pendientes de Liquidación o Pago</w:t>
            </w:r>
          </w:p>
        </w:tc>
        <w:tc>
          <w:tcPr>
            <w:tcW w:w="915" w:type="pct"/>
            <w:gridSpan w:val="8"/>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2"/>
              <w:rPr>
                <w:rFonts w:ascii="Arial" w:hAnsi="Arial" w:cs="Arial"/>
                <w:b/>
                <w:bCs/>
                <w:sz w:val="20"/>
                <w:szCs w:val="20"/>
                <w:lang w:val="es-MX" w:eastAsia="es-MX"/>
              </w:rPr>
            </w:pPr>
            <w:r w:rsidRPr="008C7EDF">
              <w:rPr>
                <w:rFonts w:ascii="Arial" w:hAnsi="Arial" w:cs="Arial"/>
                <w:b/>
                <w:bCs/>
                <w:sz w:val="20"/>
                <w:szCs w:val="20"/>
                <w:lang w:val="es-MX" w:eastAsia="es-MX"/>
              </w:rPr>
              <w:t xml:space="preserve">                              1.00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ind w:firstLineChars="100" w:firstLine="200"/>
              <w:rPr>
                <w:sz w:val="20"/>
                <w:szCs w:val="20"/>
                <w:lang w:val="es-MX" w:eastAsia="es-MX"/>
              </w:rPr>
            </w:pPr>
          </w:p>
        </w:tc>
        <w:tc>
          <w:tcPr>
            <w:tcW w:w="759" w:type="pct"/>
            <w:gridSpan w:val="3"/>
            <w:shd w:val="clear" w:color="auto" w:fill="auto"/>
            <w:noWrap/>
            <w:vAlign w:val="bottom"/>
            <w:hideMark/>
          </w:tcPr>
          <w:p w:rsidR="008C7EDF" w:rsidRPr="008C7EDF" w:rsidRDefault="008C7EDF" w:rsidP="0013653E">
            <w:pPr>
              <w:ind w:firstLineChars="100" w:firstLine="200"/>
              <w:rPr>
                <w:sz w:val="20"/>
                <w:szCs w:val="20"/>
                <w:lang w:val="es-MX" w:eastAsia="es-MX"/>
              </w:rPr>
            </w:pPr>
          </w:p>
        </w:tc>
        <w:tc>
          <w:tcPr>
            <w:tcW w:w="294" w:type="pct"/>
            <w:shd w:val="clear" w:color="auto" w:fill="auto"/>
            <w:noWrap/>
            <w:vAlign w:val="bottom"/>
            <w:hideMark/>
          </w:tcPr>
          <w:p w:rsidR="008C7EDF" w:rsidRPr="008C7EDF" w:rsidRDefault="008C7EDF" w:rsidP="0013653E">
            <w:pPr>
              <w:ind w:firstLineChars="100" w:firstLine="200"/>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042" w:type="pct"/>
            <w:gridSpan w:val="7"/>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PRODUCTOS</w:t>
            </w:r>
          </w:p>
        </w:tc>
        <w:tc>
          <w:tcPr>
            <w:tcW w:w="2283" w:type="pct"/>
            <w:gridSpan w:val="1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132,374,565.00 </w:t>
            </w:r>
          </w:p>
        </w:tc>
      </w:tr>
      <w:tr w:rsidR="008C7EDF" w:rsidRPr="008C7EDF" w:rsidTr="0013653E">
        <w:trPr>
          <w:trHeight w:val="46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863" w:type="pct"/>
            <w:gridSpan w:val="5"/>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 xml:space="preserve"> Productos </w:t>
            </w:r>
          </w:p>
        </w:tc>
        <w:tc>
          <w:tcPr>
            <w:tcW w:w="2283" w:type="pct"/>
            <w:gridSpan w:val="16"/>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132,374,565.00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rPr>
                <w:sz w:val="20"/>
                <w:szCs w:val="20"/>
                <w:lang w:val="es-MX" w:eastAsia="es-MX"/>
              </w:rPr>
            </w:pPr>
          </w:p>
        </w:tc>
        <w:tc>
          <w:tcPr>
            <w:tcW w:w="2409"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Intereses Ganados de Títulos, Valores y demás Instrumentos Financieros de Recursos Estatales</w:t>
            </w:r>
          </w:p>
        </w:tc>
        <w:tc>
          <w:tcPr>
            <w:tcW w:w="633" w:type="pct"/>
            <w:gridSpan w:val="3"/>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132,374,565.00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rPr>
                <w:sz w:val="20"/>
                <w:szCs w:val="20"/>
                <w:lang w:val="es-MX" w:eastAsia="es-MX"/>
              </w:rPr>
            </w:pPr>
          </w:p>
        </w:tc>
        <w:tc>
          <w:tcPr>
            <w:tcW w:w="2409" w:type="pct"/>
            <w:gridSpan w:val="16"/>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Otros Productos</w:t>
            </w:r>
          </w:p>
        </w:tc>
        <w:tc>
          <w:tcPr>
            <w:tcW w:w="633" w:type="pct"/>
            <w:gridSpan w:val="3"/>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66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513" w:type="pct"/>
            <w:gridSpan w:val="18"/>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Productos  no  Comprendidos  en  la  Ley  de  Ingresos  Vigente,  Causados  en Ejercicios Fiscales Anteriores Pendientes de Liquidación o Pago</w:t>
            </w:r>
          </w:p>
        </w:tc>
        <w:tc>
          <w:tcPr>
            <w:tcW w:w="633" w:type="pct"/>
            <w:gridSpan w:val="3"/>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0"/>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2692" w:type="pct"/>
            <w:gridSpan w:val="20"/>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APROVECHAMIENTOS</w:t>
            </w:r>
          </w:p>
        </w:tc>
        <w:tc>
          <w:tcPr>
            <w:tcW w:w="633" w:type="pct"/>
            <w:gridSpan w:val="3"/>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164,789,979.00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055" w:type="pct"/>
            <w:gridSpan w:val="12"/>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Aprovechamientos</w:t>
            </w:r>
          </w:p>
        </w:tc>
        <w:tc>
          <w:tcPr>
            <w:tcW w:w="1091" w:type="pct"/>
            <w:gridSpan w:val="9"/>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164,568,620.00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51" w:type="pct"/>
            <w:gridSpan w:val="10"/>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Multas</w:t>
            </w:r>
          </w:p>
        </w:tc>
        <w:tc>
          <w:tcPr>
            <w:tcW w:w="1091" w:type="pct"/>
            <w:gridSpan w:val="9"/>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38,961,667.00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51" w:type="pct"/>
            <w:gridSpan w:val="10"/>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Indemnizaciones</w:t>
            </w:r>
          </w:p>
        </w:tc>
        <w:tc>
          <w:tcPr>
            <w:tcW w:w="1091" w:type="pct"/>
            <w:gridSpan w:val="9"/>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11,726.00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51" w:type="pct"/>
            <w:gridSpan w:val="10"/>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Reintegros</w:t>
            </w:r>
          </w:p>
        </w:tc>
        <w:tc>
          <w:tcPr>
            <w:tcW w:w="1091" w:type="pct"/>
            <w:gridSpan w:val="9"/>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2,228,568.00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1951" w:type="pct"/>
            <w:gridSpan w:val="10"/>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Otros Aprovechamientos</w:t>
            </w:r>
          </w:p>
        </w:tc>
        <w:tc>
          <w:tcPr>
            <w:tcW w:w="1091" w:type="pct"/>
            <w:gridSpan w:val="9"/>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123,366,659.00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055" w:type="pct"/>
            <w:gridSpan w:val="12"/>
            <w:shd w:val="clear" w:color="auto" w:fill="auto"/>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Aprovechamiento Patrimoniales</w:t>
            </w:r>
          </w:p>
        </w:tc>
        <w:tc>
          <w:tcPr>
            <w:tcW w:w="1091" w:type="pct"/>
            <w:gridSpan w:val="9"/>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055" w:type="pct"/>
            <w:gridSpan w:val="12"/>
            <w:shd w:val="clear" w:color="auto" w:fill="auto"/>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Accesorios de Aprovechamientos</w:t>
            </w:r>
          </w:p>
        </w:tc>
        <w:tc>
          <w:tcPr>
            <w:tcW w:w="1091" w:type="pct"/>
            <w:gridSpan w:val="9"/>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221,359.00 </w:t>
            </w:r>
          </w:p>
        </w:tc>
      </w:tr>
      <w:tr w:rsidR="008C7EDF" w:rsidRPr="008C7EDF" w:rsidTr="0013653E">
        <w:trPr>
          <w:trHeight w:val="108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055" w:type="pct"/>
            <w:gridSpan w:val="12"/>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Aprovechamientos no  Comprendidos  en  la  Ley  de  Ingresos  Vigente,  Causados  en Ejercicios Fiscales Anteriores Pendientes de Liquidación o Pago</w:t>
            </w:r>
          </w:p>
        </w:tc>
        <w:tc>
          <w:tcPr>
            <w:tcW w:w="1091" w:type="pct"/>
            <w:gridSpan w:val="9"/>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100" w:firstLine="201"/>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center"/>
            <w:hideMark/>
          </w:tcPr>
          <w:p w:rsidR="008C7EDF" w:rsidRPr="008C7EDF" w:rsidRDefault="008C7EDF" w:rsidP="0013653E">
            <w:pPr>
              <w:jc w:val="right"/>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57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2234" w:type="pct"/>
            <w:gridSpan w:val="14"/>
            <w:shd w:val="clear" w:color="auto" w:fill="auto"/>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INGRESOS POR VENTA DE BIENES Y PRESTACIÓN DE SERVICIOS Y OTROS INGRESOS</w:t>
            </w:r>
          </w:p>
        </w:tc>
        <w:tc>
          <w:tcPr>
            <w:tcW w:w="1091" w:type="pct"/>
            <w:gridSpan w:val="9"/>
            <w:shd w:val="clear" w:color="auto" w:fill="auto"/>
            <w:noWrap/>
            <w:vAlign w:val="center"/>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center"/>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5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331" w:type="pct"/>
            <w:gridSpan w:val="15"/>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Ingresos por Venta de Bienes y Prestación de Servicios y Otros Ingresos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center"/>
            <w:hideMark/>
          </w:tcPr>
          <w:p w:rsidR="008C7EDF" w:rsidRPr="008C7EDF" w:rsidRDefault="008C7EDF" w:rsidP="0013653E">
            <w:pPr>
              <w:jc w:val="right"/>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945"/>
        </w:trPr>
        <w:tc>
          <w:tcPr>
            <w:tcW w:w="2613" w:type="pct"/>
            <w:gridSpan w:val="18"/>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PARTICIPACIONES, APORTACIONES, CONVENIOS, INCENTIVOS DERIVADOS DE LA COLABORACIÓN FISCAL Y FONDOS DISTINTOS DE APORTACIONES, TRANSFERENCIAS, ASIGNACIONES, SUBSIDIOS Y SUBVENCIONES, Y PENSIONES Y JUBILACIONES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center"/>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72,650,066,147.00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2227" w:type="pct"/>
            <w:gridSpan w:val="13"/>
            <w:shd w:val="clear" w:color="auto" w:fill="auto"/>
            <w:noWrap/>
            <w:vAlign w:val="bottom"/>
            <w:hideMark/>
          </w:tcPr>
          <w:p w:rsidR="008C7EDF" w:rsidRPr="008C7EDF" w:rsidRDefault="008C7EDF" w:rsidP="0013653E">
            <w:pPr>
              <w:rPr>
                <w:sz w:val="20"/>
                <w:szCs w:val="20"/>
                <w:lang w:val="es-MX" w:eastAsia="es-MX"/>
              </w:rPr>
            </w:pPr>
          </w:p>
        </w:tc>
        <w:tc>
          <w:tcPr>
            <w:tcW w:w="104" w:type="pct"/>
            <w:gridSpan w:val="2"/>
            <w:shd w:val="clear" w:color="auto" w:fill="auto"/>
            <w:noWrap/>
            <w:vAlign w:val="bottom"/>
            <w:hideMark/>
          </w:tcPr>
          <w:p w:rsidR="008C7EDF" w:rsidRPr="008C7EDF" w:rsidRDefault="008C7EDF" w:rsidP="0013653E">
            <w:pPr>
              <w:rPr>
                <w:sz w:val="20"/>
                <w:szCs w:val="20"/>
                <w:lang w:val="es-MX" w:eastAsia="es-MX"/>
              </w:rPr>
            </w:pPr>
          </w:p>
        </w:tc>
        <w:tc>
          <w:tcPr>
            <w:tcW w:w="723" w:type="pct"/>
            <w:gridSpan w:val="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743"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817"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750"/>
        </w:trPr>
        <w:tc>
          <w:tcPr>
            <w:tcW w:w="2613" w:type="pct"/>
            <w:gridSpan w:val="18"/>
            <w:shd w:val="clear" w:color="auto" w:fill="auto"/>
            <w:noWrap/>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PARTICIPACIONES, APORTACIONES, CONVENIOS, INCENTIVOS DERIVADOS DE LA COLABORACIÓN FISCAL Y FONDOS DISTINTOS DE APORTACIONES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vAlign w:val="center"/>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70,275,555,393.00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331" w:type="pct"/>
            <w:gridSpan w:val="15"/>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Participaciones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b/>
                <w:bCs/>
                <w:sz w:val="20"/>
                <w:szCs w:val="20"/>
                <w:lang w:val="es-MX" w:eastAsia="es-MX"/>
              </w:rPr>
            </w:pPr>
            <w:r w:rsidRPr="008C7EDF">
              <w:rPr>
                <w:rFonts w:ascii="Arial" w:hAnsi="Arial" w:cs="Arial"/>
                <w:b/>
                <w:bCs/>
                <w:sz w:val="20"/>
                <w:szCs w:val="20"/>
                <w:lang w:val="es-MX" w:eastAsia="es-MX"/>
              </w:rPr>
              <w:t xml:space="preserve">                22,299,279,730.00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General de Participaciones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17,101,816,807.00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Fomento Municipal</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1,458,899,360.00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Participaciones en Impuestos Especiales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345,827,455.00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Fiscalización y Recaudación</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917,484,660.00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Fondo de Compensación  </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639,013,879.00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del Impuesto sobre la Renta</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1,836,237,569.00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331" w:type="pct"/>
            <w:gridSpan w:val="15"/>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Aportaciones</w:t>
            </w:r>
          </w:p>
        </w:tc>
        <w:tc>
          <w:tcPr>
            <w:tcW w:w="815" w:type="pct"/>
            <w:gridSpan w:val="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43,455,589,354.00 </w:t>
            </w:r>
          </w:p>
        </w:tc>
      </w:tr>
      <w:tr w:rsidR="008C7EDF" w:rsidRPr="008C7EDF" w:rsidTr="0013653E">
        <w:trPr>
          <w:trHeight w:val="5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para la Nómina Educativa y Gasto Operativo</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23,528,537,149.00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Fondo de Aportaciones para los Servicios de Salud </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4,754,388,760.00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para la Infraestructura Social</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8,543,852,136.00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Fondo de Aportaciones para la Infraestructura Social  Municipal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7,508,212,616.00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Fondo de Aportaciones para la Infraestructura Social  Estatal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1,035,639,520.00 </w:t>
            </w:r>
          </w:p>
        </w:tc>
      </w:tr>
      <w:tr w:rsidR="008C7EDF" w:rsidRPr="008C7EDF" w:rsidTr="0013653E">
        <w:trPr>
          <w:trHeight w:val="78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Fondo de Aportaciones para el Fortalecimiento de los Municipios y de las Demarcaciones Territoriales del Distrito Federal </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2,790,562,744.00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Múltiples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 xml:space="preserve">                         1,321,034,141.00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Asistencia Social</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632,034,898.00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Infraestructura Educativa Básica</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416,770,166.00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Infraestructura Educativa Media Superior</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22,536,099.00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18"/>
                <w:szCs w:val="18"/>
                <w:lang w:val="es-MX" w:eastAsia="es-MX"/>
              </w:rPr>
            </w:pPr>
            <w:r w:rsidRPr="008C7EDF">
              <w:rPr>
                <w:rFonts w:ascii="Arial" w:hAnsi="Arial" w:cs="Arial"/>
                <w:sz w:val="18"/>
                <w:szCs w:val="18"/>
                <w:lang w:val="es-MX" w:eastAsia="es-MX"/>
              </w:rPr>
              <w:t>Infraestructura Educativa Superior</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18"/>
                <w:szCs w:val="18"/>
                <w:lang w:val="es-MX" w:eastAsia="es-MX"/>
              </w:rPr>
            </w:pPr>
          </w:p>
        </w:tc>
        <w:tc>
          <w:tcPr>
            <w:tcW w:w="1468" w:type="pct"/>
            <w:gridSpan w:val="4"/>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249,692,978.00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para la Educación Tecnológica y de Adultos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157,183,987.00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para la Seguridad Pública de los Estados y del Distrito Federal</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223,814,745.00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Aportaciones para el Fortalecimiento de las Entidades Federativas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2,136,215,692.00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863" w:type="pct"/>
            <w:gridSpan w:val="5"/>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Convenios</w:t>
            </w:r>
          </w:p>
        </w:tc>
        <w:tc>
          <w:tcPr>
            <w:tcW w:w="2283" w:type="pct"/>
            <w:gridSpan w:val="16"/>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3,710,684,576.00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Convenios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3,710,684,576.00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237" w:type="pct"/>
            <w:gridSpan w:val="14"/>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 xml:space="preserve"> Incentivos Derivados de la Colaboración Fiscal </w:t>
            </w:r>
          </w:p>
        </w:tc>
        <w:tc>
          <w:tcPr>
            <w:tcW w:w="908" w:type="pct"/>
            <w:gridSpan w:val="7"/>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805,560,734.00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 sobre Automóviles Nuevos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112,528,464.00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Actos de Fiscalización</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116,551,936.00 </w:t>
            </w:r>
          </w:p>
        </w:tc>
      </w:tr>
      <w:tr w:rsidR="008C7EDF" w:rsidRPr="008C7EDF" w:rsidTr="0013653E">
        <w:trPr>
          <w:trHeight w:val="33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lastRenderedPageBreak/>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Otros Incentivos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24,718,857.00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De los Ingresos por la Enajenación de Terrenos, Construcciones o Terrenos y Construcciones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37,346,381.00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Impuestos a las Ventas Finales de Gasolinas y Diésel</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473,022,359.00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Incentivo Régimen de Incorporación Fiscal</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Compensación del Impuesto Sobre Automóviles Nuevos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33,739,337.00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de Compensación del Régimen de Pequeños Contribuyentes y Régimen de  Intermedios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7,653,399.00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Impuesto sobre Tenencia Federal</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Del Régimen de Pequeños Contribuyentes  </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37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Del Régimen Intermedio de las Personas Físicas con Actividades Empresariales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2237" w:type="pct"/>
            <w:gridSpan w:val="14"/>
            <w:shd w:val="clear" w:color="auto" w:fill="auto"/>
            <w:vAlign w:val="center"/>
            <w:hideMark/>
          </w:tcPr>
          <w:p w:rsidR="008C7EDF" w:rsidRPr="008C7EDF" w:rsidRDefault="008C7EDF" w:rsidP="0013653E">
            <w:pPr>
              <w:jc w:val="both"/>
              <w:rPr>
                <w:rFonts w:ascii="Arial" w:hAnsi="Arial" w:cs="Arial"/>
                <w:b/>
                <w:bCs/>
                <w:sz w:val="22"/>
                <w:szCs w:val="22"/>
                <w:lang w:val="es-MX" w:eastAsia="es-MX"/>
              </w:rPr>
            </w:pPr>
            <w:r w:rsidRPr="008C7EDF">
              <w:rPr>
                <w:rFonts w:ascii="Arial" w:hAnsi="Arial" w:cs="Arial"/>
                <w:b/>
                <w:bCs/>
                <w:sz w:val="22"/>
                <w:szCs w:val="22"/>
                <w:lang w:val="es-MX" w:eastAsia="es-MX"/>
              </w:rPr>
              <w:t>Fondos Distintos de Aportaciones</w:t>
            </w:r>
          </w:p>
        </w:tc>
        <w:tc>
          <w:tcPr>
            <w:tcW w:w="908" w:type="pct"/>
            <w:gridSpan w:val="7"/>
            <w:shd w:val="clear" w:color="auto" w:fill="auto"/>
            <w:noWrap/>
            <w:vAlign w:val="bottom"/>
            <w:hideMark/>
          </w:tcPr>
          <w:p w:rsidR="008C7EDF" w:rsidRPr="008C7EDF" w:rsidRDefault="008C7EDF" w:rsidP="0013653E">
            <w:pPr>
              <w:jc w:val="both"/>
              <w:rPr>
                <w:rFonts w:ascii="Arial" w:hAnsi="Arial" w:cs="Arial"/>
                <w:b/>
                <w:bCs/>
                <w:sz w:val="22"/>
                <w:szCs w:val="22"/>
                <w:lang w:val="es-MX" w:eastAsia="es-MX"/>
              </w:rPr>
            </w:pPr>
          </w:p>
        </w:tc>
        <w:tc>
          <w:tcPr>
            <w:tcW w:w="1572" w:type="pct"/>
            <w:gridSpan w:val="6"/>
            <w:shd w:val="clear" w:color="auto" w:fill="auto"/>
            <w:vAlign w:val="center"/>
            <w:hideMark/>
          </w:tcPr>
          <w:p w:rsidR="008C7EDF" w:rsidRPr="008C7EDF" w:rsidRDefault="008C7EDF" w:rsidP="0013653E">
            <w:pPr>
              <w:rPr>
                <w:rFonts w:ascii="Arial" w:hAnsi="Arial" w:cs="Arial"/>
                <w:b/>
                <w:bCs/>
                <w:sz w:val="18"/>
                <w:szCs w:val="18"/>
                <w:lang w:val="es-MX" w:eastAsia="es-MX"/>
              </w:rPr>
            </w:pPr>
            <w:r w:rsidRPr="008C7EDF">
              <w:rPr>
                <w:rFonts w:ascii="Arial" w:hAnsi="Arial" w:cs="Arial"/>
                <w:b/>
                <w:bCs/>
                <w:sz w:val="18"/>
                <w:szCs w:val="18"/>
                <w:lang w:val="es-MX" w:eastAsia="es-MX"/>
              </w:rPr>
              <w:t xml:space="preserve">                                 4,440,999.00 </w:t>
            </w:r>
          </w:p>
        </w:tc>
      </w:tr>
      <w:tr w:rsidR="008C7EDF" w:rsidRPr="008C7EDF" w:rsidTr="0013653E">
        <w:trPr>
          <w:trHeight w:val="42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para Entidades Federativas  y Municipios Productores de Hidrocarburos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ind w:firstLineChars="300" w:firstLine="600"/>
              <w:rPr>
                <w:rFonts w:ascii="Arial" w:hAnsi="Arial" w:cs="Arial"/>
                <w:sz w:val="20"/>
                <w:szCs w:val="20"/>
                <w:lang w:val="es-MX" w:eastAsia="es-MX"/>
              </w:rPr>
            </w:pPr>
            <w:r w:rsidRPr="008C7EDF">
              <w:rPr>
                <w:rFonts w:ascii="Arial" w:hAnsi="Arial" w:cs="Arial"/>
                <w:sz w:val="20"/>
                <w:szCs w:val="20"/>
                <w:lang w:val="es-MX" w:eastAsia="es-MX"/>
              </w:rPr>
              <w:t xml:space="preserve">                 4,440,999.00 </w:t>
            </w:r>
          </w:p>
        </w:tc>
      </w:tr>
      <w:tr w:rsidR="008C7EDF" w:rsidRPr="008C7EDF" w:rsidTr="0013653E">
        <w:trPr>
          <w:trHeight w:val="57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Fondo para el Desarrollo Regional Sustentable de Estados y Municipios Mineros (Fondo Minero)</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630"/>
        </w:trPr>
        <w:tc>
          <w:tcPr>
            <w:tcW w:w="2520" w:type="pct"/>
            <w:gridSpan w:val="17"/>
            <w:shd w:val="clear" w:color="auto" w:fill="auto"/>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TRANSFERENCIAS, ASIGNACIONES, SUBSIDIOS Y SUBVENCIONES, Y PENSIONES Y JUBILACIONES</w:t>
            </w:r>
          </w:p>
        </w:tc>
        <w:tc>
          <w:tcPr>
            <w:tcW w:w="908" w:type="pct"/>
            <w:gridSpan w:val="7"/>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vAlign w:val="bottom"/>
            <w:hideMark/>
          </w:tcPr>
          <w:p w:rsidR="008C7EDF" w:rsidRPr="008C7EDF" w:rsidRDefault="008C7EDF" w:rsidP="0013653E">
            <w:pPr>
              <w:ind w:firstLineChars="200" w:firstLine="402"/>
              <w:rPr>
                <w:rFonts w:ascii="Arial" w:hAnsi="Arial" w:cs="Arial"/>
                <w:b/>
                <w:bCs/>
                <w:sz w:val="20"/>
                <w:szCs w:val="20"/>
                <w:lang w:val="es-MX" w:eastAsia="es-MX"/>
              </w:rPr>
            </w:pPr>
            <w:r w:rsidRPr="008C7EDF">
              <w:rPr>
                <w:rFonts w:ascii="Arial" w:hAnsi="Arial" w:cs="Arial"/>
                <w:b/>
                <w:bCs/>
                <w:sz w:val="20"/>
                <w:szCs w:val="20"/>
                <w:lang w:val="es-MX" w:eastAsia="es-MX"/>
              </w:rPr>
              <w:t xml:space="preserve">             2,374,510,754.00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Transferencias y Asignaciones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28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xml:space="preserve">Subsidios y Subvenciones </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2,374,510,754.00 </w:t>
            </w:r>
          </w:p>
        </w:tc>
      </w:tr>
      <w:tr w:rsidR="008C7EDF" w:rsidRPr="008C7EDF" w:rsidTr="0013653E">
        <w:trPr>
          <w:trHeight w:val="300"/>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2134" w:type="pct"/>
            <w:gridSpan w:val="12"/>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Pensiones y Jubilaciones</w:t>
            </w:r>
          </w:p>
        </w:tc>
        <w:tc>
          <w:tcPr>
            <w:tcW w:w="908" w:type="pct"/>
            <w:gridSpan w:val="7"/>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345"/>
        </w:trPr>
        <w:tc>
          <w:tcPr>
            <w:tcW w:w="103" w:type="pct"/>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79" w:type="pct"/>
            <w:gridSpan w:val="2"/>
            <w:shd w:val="clear" w:color="auto" w:fill="auto"/>
            <w:noWrap/>
            <w:vAlign w:val="center"/>
            <w:hideMark/>
          </w:tcPr>
          <w:p w:rsidR="008C7EDF" w:rsidRPr="008C7EDF" w:rsidRDefault="008C7EDF" w:rsidP="0013653E">
            <w:pPr>
              <w:jc w:val="both"/>
              <w:rPr>
                <w:rFonts w:ascii="Arial" w:hAnsi="Arial" w:cs="Arial"/>
                <w:sz w:val="22"/>
                <w:szCs w:val="22"/>
                <w:lang w:val="es-MX" w:eastAsia="es-MX"/>
              </w:rPr>
            </w:pPr>
          </w:p>
        </w:tc>
        <w:tc>
          <w:tcPr>
            <w:tcW w:w="103" w:type="pct"/>
            <w:gridSpan w:val="2"/>
            <w:shd w:val="clear" w:color="auto" w:fill="auto"/>
            <w:noWrap/>
            <w:vAlign w:val="center"/>
            <w:hideMark/>
          </w:tcPr>
          <w:p w:rsidR="008C7EDF" w:rsidRPr="008C7EDF" w:rsidRDefault="008C7EDF" w:rsidP="0013653E">
            <w:pPr>
              <w:jc w:val="both"/>
              <w:rPr>
                <w:sz w:val="20"/>
                <w:szCs w:val="20"/>
                <w:lang w:val="es-MX" w:eastAsia="es-MX"/>
              </w:rPr>
            </w:pPr>
          </w:p>
        </w:tc>
        <w:tc>
          <w:tcPr>
            <w:tcW w:w="759" w:type="pct"/>
            <w:gridSpan w:val="3"/>
            <w:shd w:val="clear" w:color="auto" w:fill="auto"/>
            <w:vAlign w:val="center"/>
            <w:hideMark/>
          </w:tcPr>
          <w:p w:rsidR="008C7EDF" w:rsidRPr="008C7EDF" w:rsidRDefault="008C7EDF" w:rsidP="0013653E">
            <w:pPr>
              <w:jc w:val="both"/>
              <w:rPr>
                <w:sz w:val="20"/>
                <w:szCs w:val="20"/>
                <w:lang w:val="es-MX" w:eastAsia="es-MX"/>
              </w:rPr>
            </w:pPr>
          </w:p>
        </w:tc>
        <w:tc>
          <w:tcPr>
            <w:tcW w:w="294" w:type="pct"/>
            <w:shd w:val="clear" w:color="auto" w:fill="auto"/>
            <w:vAlign w:val="center"/>
            <w:hideMark/>
          </w:tcPr>
          <w:p w:rsidR="008C7EDF" w:rsidRPr="008C7EDF" w:rsidRDefault="008C7EDF" w:rsidP="0013653E">
            <w:pPr>
              <w:jc w:val="both"/>
              <w:rPr>
                <w:sz w:val="20"/>
                <w:szCs w:val="20"/>
                <w:lang w:val="es-MX" w:eastAsia="es-MX"/>
              </w:rPr>
            </w:pPr>
          </w:p>
        </w:tc>
        <w:tc>
          <w:tcPr>
            <w:tcW w:w="1989" w:type="pct"/>
            <w:gridSpan w:val="15"/>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 </w:t>
            </w:r>
          </w:p>
        </w:tc>
        <w:tc>
          <w:tcPr>
            <w:tcW w:w="104" w:type="pct"/>
            <w:gridSpan w:val="2"/>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468" w:type="pct"/>
            <w:gridSpan w:val="4"/>
            <w:shd w:val="clear" w:color="auto" w:fill="auto"/>
            <w:noWrap/>
            <w:vAlign w:val="center"/>
            <w:hideMark/>
          </w:tcPr>
          <w:p w:rsidR="008C7EDF" w:rsidRPr="008C7EDF" w:rsidRDefault="008C7EDF" w:rsidP="0013653E">
            <w:pPr>
              <w:jc w:val="right"/>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45"/>
        </w:trPr>
        <w:tc>
          <w:tcPr>
            <w:tcW w:w="2613" w:type="pct"/>
            <w:gridSpan w:val="18"/>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OTROS INGRESOS Y BENEFICIOS</w:t>
            </w:r>
          </w:p>
        </w:tc>
        <w:tc>
          <w:tcPr>
            <w:tcW w:w="815" w:type="pct"/>
            <w:gridSpan w:val="6"/>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center"/>
            <w:hideMark/>
          </w:tcPr>
          <w:p w:rsidR="008C7EDF" w:rsidRPr="008C7EDF" w:rsidRDefault="008C7EDF" w:rsidP="0013653E">
            <w:pPr>
              <w:rPr>
                <w:rFonts w:ascii="Arial" w:hAnsi="Arial" w:cs="Arial"/>
                <w:b/>
                <w:bCs/>
                <w:sz w:val="18"/>
                <w:szCs w:val="18"/>
                <w:lang w:val="es-MX" w:eastAsia="es-MX"/>
              </w:rPr>
            </w:pPr>
            <w:r w:rsidRPr="008C7EDF">
              <w:rPr>
                <w:rFonts w:ascii="Arial" w:hAnsi="Arial" w:cs="Arial"/>
                <w:b/>
                <w:bCs/>
                <w:sz w:val="18"/>
                <w:szCs w:val="18"/>
                <w:lang w:val="es-MX" w:eastAsia="es-MX"/>
              </w:rPr>
              <w:t xml:space="preserve">                                                 1.00 </w:t>
            </w:r>
          </w:p>
        </w:tc>
      </w:tr>
      <w:tr w:rsidR="008C7EDF" w:rsidRPr="008C7EDF" w:rsidTr="0013653E">
        <w:trPr>
          <w:trHeight w:val="345"/>
        </w:trPr>
        <w:tc>
          <w:tcPr>
            <w:tcW w:w="103" w:type="pct"/>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2510" w:type="pct"/>
            <w:gridSpan w:val="17"/>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INGRESOS FINANCIEROS</w:t>
            </w:r>
          </w:p>
        </w:tc>
        <w:tc>
          <w:tcPr>
            <w:tcW w:w="815" w:type="pct"/>
            <w:gridSpan w:val="6"/>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1.00 </w:t>
            </w:r>
          </w:p>
        </w:tc>
      </w:tr>
      <w:tr w:rsidR="008C7EDF" w:rsidRPr="008C7EDF" w:rsidTr="0013653E">
        <w:trPr>
          <w:trHeight w:val="435"/>
        </w:trPr>
        <w:tc>
          <w:tcPr>
            <w:tcW w:w="103" w:type="pct"/>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79" w:type="pct"/>
            <w:gridSpan w:val="2"/>
            <w:shd w:val="clear" w:color="auto" w:fill="auto"/>
            <w:noWrap/>
            <w:vAlign w:val="center"/>
            <w:hideMark/>
          </w:tcPr>
          <w:p w:rsidR="008C7EDF" w:rsidRPr="008C7EDF" w:rsidRDefault="008C7EDF" w:rsidP="0013653E">
            <w:pPr>
              <w:rPr>
                <w:rFonts w:ascii="Arial" w:hAnsi="Arial" w:cs="Arial"/>
                <w:b/>
                <w:bCs/>
                <w:sz w:val="22"/>
                <w:szCs w:val="22"/>
                <w:lang w:val="es-MX" w:eastAsia="es-MX"/>
              </w:rPr>
            </w:pPr>
          </w:p>
        </w:tc>
        <w:tc>
          <w:tcPr>
            <w:tcW w:w="103" w:type="pct"/>
            <w:gridSpan w:val="2"/>
            <w:shd w:val="clear" w:color="auto" w:fill="auto"/>
            <w:noWrap/>
            <w:vAlign w:val="center"/>
            <w:hideMark/>
          </w:tcPr>
          <w:p w:rsidR="008C7EDF" w:rsidRPr="008C7EDF" w:rsidRDefault="008C7EDF" w:rsidP="0013653E">
            <w:pPr>
              <w:rPr>
                <w:sz w:val="20"/>
                <w:szCs w:val="20"/>
                <w:lang w:val="es-MX" w:eastAsia="es-MX"/>
              </w:rPr>
            </w:pPr>
          </w:p>
        </w:tc>
        <w:tc>
          <w:tcPr>
            <w:tcW w:w="2227" w:type="pct"/>
            <w:gridSpan w:val="13"/>
            <w:shd w:val="clear" w:color="auto" w:fill="auto"/>
            <w:vAlign w:val="center"/>
            <w:hideMark/>
          </w:tcPr>
          <w:p w:rsidR="008C7EDF" w:rsidRPr="008C7EDF" w:rsidRDefault="008C7EDF" w:rsidP="0013653E">
            <w:pPr>
              <w:jc w:val="both"/>
              <w:rPr>
                <w:rFonts w:ascii="Arial" w:hAnsi="Arial" w:cs="Arial"/>
                <w:sz w:val="22"/>
                <w:szCs w:val="22"/>
                <w:lang w:val="es-MX" w:eastAsia="es-MX"/>
              </w:rPr>
            </w:pPr>
            <w:r w:rsidRPr="008C7EDF">
              <w:rPr>
                <w:rFonts w:ascii="Arial" w:hAnsi="Arial" w:cs="Arial"/>
                <w:sz w:val="22"/>
                <w:szCs w:val="22"/>
                <w:lang w:val="es-MX" w:eastAsia="es-MX"/>
              </w:rPr>
              <w:t>Intereses Ganados de Títulos, Valores y demás Instrumentos Financieros de Recursos Federales</w:t>
            </w:r>
          </w:p>
        </w:tc>
        <w:tc>
          <w:tcPr>
            <w:tcW w:w="815" w:type="pct"/>
            <w:gridSpan w:val="6"/>
            <w:shd w:val="clear" w:color="auto" w:fill="auto"/>
            <w:noWrap/>
            <w:vAlign w:val="bottom"/>
            <w:hideMark/>
          </w:tcPr>
          <w:p w:rsidR="008C7EDF" w:rsidRPr="008C7EDF" w:rsidRDefault="008C7EDF" w:rsidP="0013653E">
            <w:pPr>
              <w:jc w:val="both"/>
              <w:rPr>
                <w:rFonts w:ascii="Arial" w:hAnsi="Arial" w:cs="Arial"/>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1.00 </w:t>
            </w:r>
          </w:p>
        </w:tc>
      </w:tr>
      <w:tr w:rsidR="008C7EDF" w:rsidRPr="008C7EDF" w:rsidTr="0013653E">
        <w:trPr>
          <w:trHeight w:val="345"/>
        </w:trPr>
        <w:tc>
          <w:tcPr>
            <w:tcW w:w="103" w:type="pct"/>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lastRenderedPageBreak/>
              <w:t> </w:t>
            </w:r>
          </w:p>
        </w:tc>
        <w:tc>
          <w:tcPr>
            <w:tcW w:w="2510" w:type="pct"/>
            <w:gridSpan w:val="17"/>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OTROS INGRESOS Y BENEFICIOS VARIOS</w:t>
            </w:r>
          </w:p>
        </w:tc>
        <w:tc>
          <w:tcPr>
            <w:tcW w:w="815" w:type="pct"/>
            <w:gridSpan w:val="6"/>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   </w:t>
            </w:r>
          </w:p>
        </w:tc>
      </w:tr>
      <w:tr w:rsidR="008C7EDF" w:rsidRPr="008C7EDF" w:rsidTr="0013653E">
        <w:trPr>
          <w:trHeight w:val="225"/>
        </w:trPr>
        <w:tc>
          <w:tcPr>
            <w:tcW w:w="103" w:type="pct"/>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79" w:type="pct"/>
            <w:gridSpan w:val="2"/>
            <w:shd w:val="clear" w:color="auto" w:fill="auto"/>
            <w:noWrap/>
            <w:vAlign w:val="center"/>
            <w:hideMark/>
          </w:tcPr>
          <w:p w:rsidR="008C7EDF" w:rsidRPr="008C7EDF" w:rsidRDefault="008C7EDF" w:rsidP="0013653E">
            <w:pPr>
              <w:rPr>
                <w:rFonts w:ascii="Arial" w:hAnsi="Arial" w:cs="Arial"/>
                <w:b/>
                <w:bCs/>
                <w:sz w:val="22"/>
                <w:szCs w:val="22"/>
                <w:lang w:val="es-MX" w:eastAsia="es-MX"/>
              </w:rPr>
            </w:pPr>
          </w:p>
        </w:tc>
        <w:tc>
          <w:tcPr>
            <w:tcW w:w="103" w:type="pct"/>
            <w:gridSpan w:val="2"/>
            <w:shd w:val="clear" w:color="auto" w:fill="auto"/>
            <w:noWrap/>
            <w:vAlign w:val="center"/>
            <w:hideMark/>
          </w:tcPr>
          <w:p w:rsidR="008C7EDF" w:rsidRPr="008C7EDF" w:rsidRDefault="008C7EDF" w:rsidP="0013653E">
            <w:pPr>
              <w:rPr>
                <w:sz w:val="20"/>
                <w:szCs w:val="20"/>
                <w:lang w:val="es-MX" w:eastAsia="es-MX"/>
              </w:rPr>
            </w:pPr>
          </w:p>
        </w:tc>
        <w:tc>
          <w:tcPr>
            <w:tcW w:w="759" w:type="pct"/>
            <w:gridSpan w:val="3"/>
            <w:shd w:val="clear" w:color="auto" w:fill="auto"/>
            <w:noWrap/>
            <w:vAlign w:val="center"/>
            <w:hideMark/>
          </w:tcPr>
          <w:p w:rsidR="008C7EDF" w:rsidRPr="008C7EDF" w:rsidRDefault="008C7EDF" w:rsidP="0013653E">
            <w:pPr>
              <w:rPr>
                <w:sz w:val="20"/>
                <w:szCs w:val="20"/>
                <w:lang w:val="es-MX" w:eastAsia="es-MX"/>
              </w:rPr>
            </w:pPr>
          </w:p>
        </w:tc>
        <w:tc>
          <w:tcPr>
            <w:tcW w:w="294" w:type="pct"/>
            <w:shd w:val="clear" w:color="auto" w:fill="auto"/>
            <w:noWrap/>
            <w:vAlign w:val="center"/>
            <w:hideMark/>
          </w:tcPr>
          <w:p w:rsidR="008C7EDF" w:rsidRPr="008C7EDF" w:rsidRDefault="008C7EDF" w:rsidP="0013653E">
            <w:pPr>
              <w:rPr>
                <w:sz w:val="20"/>
                <w:szCs w:val="20"/>
                <w:lang w:val="es-MX" w:eastAsia="es-MX"/>
              </w:rPr>
            </w:pPr>
          </w:p>
        </w:tc>
        <w:tc>
          <w:tcPr>
            <w:tcW w:w="1989" w:type="pct"/>
            <w:gridSpan w:val="15"/>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300"/>
        </w:trPr>
        <w:tc>
          <w:tcPr>
            <w:tcW w:w="2613" w:type="pct"/>
            <w:gridSpan w:val="18"/>
            <w:shd w:val="clear" w:color="auto" w:fill="auto"/>
            <w:noWrap/>
            <w:vAlign w:val="center"/>
            <w:hideMark/>
          </w:tcPr>
          <w:p w:rsidR="008C7EDF" w:rsidRPr="008C7EDF" w:rsidRDefault="008C7EDF" w:rsidP="0013653E">
            <w:pPr>
              <w:rPr>
                <w:rFonts w:ascii="Arial" w:hAnsi="Arial" w:cs="Arial"/>
                <w:b/>
                <w:bCs/>
                <w:sz w:val="22"/>
                <w:szCs w:val="22"/>
                <w:lang w:val="es-MX" w:eastAsia="es-MX"/>
              </w:rPr>
            </w:pPr>
            <w:r w:rsidRPr="008C7EDF">
              <w:rPr>
                <w:rFonts w:ascii="Arial" w:hAnsi="Arial" w:cs="Arial"/>
                <w:b/>
                <w:bCs/>
                <w:sz w:val="22"/>
                <w:szCs w:val="22"/>
                <w:lang w:val="es-MX" w:eastAsia="es-MX"/>
              </w:rPr>
              <w:t>INGRESOS DERIVADOS DE FINANCIAMIENTO</w:t>
            </w:r>
          </w:p>
        </w:tc>
        <w:tc>
          <w:tcPr>
            <w:tcW w:w="815" w:type="pct"/>
            <w:gridSpan w:val="6"/>
            <w:shd w:val="clear" w:color="auto" w:fill="auto"/>
            <w:noWrap/>
            <w:vAlign w:val="bottom"/>
            <w:hideMark/>
          </w:tcPr>
          <w:p w:rsidR="008C7EDF" w:rsidRPr="008C7EDF" w:rsidRDefault="008C7EDF" w:rsidP="0013653E">
            <w:pPr>
              <w:rPr>
                <w:rFonts w:ascii="Arial" w:hAnsi="Arial" w:cs="Arial"/>
                <w:b/>
                <w:bCs/>
                <w:sz w:val="22"/>
                <w:szCs w:val="22"/>
                <w:lang w:val="es-MX" w:eastAsia="es-MX"/>
              </w:rPr>
            </w:pPr>
          </w:p>
        </w:tc>
        <w:tc>
          <w:tcPr>
            <w:tcW w:w="1572" w:type="pct"/>
            <w:gridSpan w:val="6"/>
            <w:shd w:val="clear" w:color="auto" w:fill="auto"/>
            <w:noWrap/>
            <w:vAlign w:val="bottom"/>
            <w:hideMark/>
          </w:tcPr>
          <w:p w:rsidR="008C7EDF" w:rsidRPr="008C7EDF" w:rsidRDefault="008C7EDF" w:rsidP="0013653E">
            <w:pPr>
              <w:rPr>
                <w:rFonts w:ascii="Arial" w:hAnsi="Arial" w:cs="Arial"/>
                <w:b/>
                <w:bCs/>
                <w:sz w:val="20"/>
                <w:szCs w:val="20"/>
                <w:lang w:val="es-MX" w:eastAsia="es-MX"/>
              </w:rPr>
            </w:pPr>
            <w:r w:rsidRPr="008C7EDF">
              <w:rPr>
                <w:rFonts w:ascii="Arial" w:hAnsi="Arial" w:cs="Arial"/>
                <w:b/>
                <w:bCs/>
                <w:sz w:val="20"/>
                <w:szCs w:val="20"/>
                <w:lang w:val="es-MX" w:eastAsia="es-MX"/>
              </w:rPr>
              <w:t xml:space="preserve">                    187,632,359.00 </w:t>
            </w:r>
          </w:p>
        </w:tc>
      </w:tr>
      <w:tr w:rsidR="008C7EDF" w:rsidRPr="008C7EDF" w:rsidTr="0013653E">
        <w:trPr>
          <w:trHeight w:val="25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2510" w:type="pct"/>
            <w:gridSpan w:val="17"/>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Financiamiento Interno</w:t>
            </w:r>
          </w:p>
        </w:tc>
        <w:tc>
          <w:tcPr>
            <w:tcW w:w="815" w:type="pct"/>
            <w:gridSpan w:val="6"/>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572" w:type="pct"/>
            <w:gridSpan w:val="6"/>
            <w:shd w:val="clear" w:color="auto" w:fill="auto"/>
            <w:noWrap/>
            <w:vAlign w:val="bottom"/>
            <w:hideMark/>
          </w:tcPr>
          <w:p w:rsidR="008C7EDF" w:rsidRPr="008C7EDF" w:rsidRDefault="008C7EDF" w:rsidP="0013653E">
            <w:pPr>
              <w:jc w:val="both"/>
              <w:rPr>
                <w:rFonts w:ascii="Arial" w:hAnsi="Arial" w:cs="Arial"/>
                <w:sz w:val="20"/>
                <w:szCs w:val="20"/>
                <w:lang w:val="es-MX" w:eastAsia="es-MX"/>
              </w:rPr>
            </w:pPr>
            <w:r w:rsidRPr="008C7EDF">
              <w:rPr>
                <w:rFonts w:ascii="Arial" w:hAnsi="Arial" w:cs="Arial"/>
                <w:sz w:val="20"/>
                <w:szCs w:val="20"/>
                <w:lang w:val="es-MX" w:eastAsia="es-MX"/>
              </w:rPr>
              <w:t xml:space="preserve">                    187,632,359.00 </w:t>
            </w:r>
          </w:p>
        </w:tc>
      </w:tr>
      <w:tr w:rsidR="008C7EDF" w:rsidRPr="008C7EDF" w:rsidTr="0013653E">
        <w:trPr>
          <w:trHeight w:val="225"/>
        </w:trPr>
        <w:tc>
          <w:tcPr>
            <w:tcW w:w="103" w:type="pct"/>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79"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03" w:type="pct"/>
            <w:gridSpan w:val="2"/>
            <w:shd w:val="clear" w:color="auto" w:fill="auto"/>
            <w:noWrap/>
            <w:vAlign w:val="bottom"/>
            <w:hideMark/>
          </w:tcPr>
          <w:p w:rsidR="008C7EDF" w:rsidRPr="008C7EDF" w:rsidRDefault="008C7EDF" w:rsidP="0013653E">
            <w:pPr>
              <w:rPr>
                <w:sz w:val="20"/>
                <w:szCs w:val="20"/>
                <w:lang w:val="es-MX" w:eastAsia="es-MX"/>
              </w:rPr>
            </w:pPr>
          </w:p>
        </w:tc>
        <w:tc>
          <w:tcPr>
            <w:tcW w:w="759" w:type="pct"/>
            <w:gridSpan w:val="3"/>
            <w:shd w:val="clear" w:color="auto" w:fill="auto"/>
            <w:noWrap/>
            <w:vAlign w:val="bottom"/>
            <w:hideMark/>
          </w:tcPr>
          <w:p w:rsidR="008C7EDF" w:rsidRPr="008C7EDF" w:rsidRDefault="008C7EDF" w:rsidP="0013653E">
            <w:pPr>
              <w:rPr>
                <w:sz w:val="20"/>
                <w:szCs w:val="20"/>
                <w:lang w:val="es-MX" w:eastAsia="es-MX"/>
              </w:rPr>
            </w:pPr>
          </w:p>
        </w:tc>
        <w:tc>
          <w:tcPr>
            <w:tcW w:w="294" w:type="pct"/>
            <w:shd w:val="clear" w:color="auto" w:fill="auto"/>
            <w:noWrap/>
            <w:vAlign w:val="bottom"/>
            <w:hideMark/>
          </w:tcPr>
          <w:p w:rsidR="008C7EDF" w:rsidRPr="008C7EDF" w:rsidRDefault="008C7EDF" w:rsidP="0013653E">
            <w:pPr>
              <w:rPr>
                <w:sz w:val="20"/>
                <w:szCs w:val="20"/>
                <w:lang w:val="es-MX" w:eastAsia="es-MX"/>
              </w:rPr>
            </w:pPr>
          </w:p>
        </w:tc>
        <w:tc>
          <w:tcPr>
            <w:tcW w:w="1989" w:type="pct"/>
            <w:gridSpan w:val="15"/>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c>
          <w:tcPr>
            <w:tcW w:w="104" w:type="pct"/>
            <w:gridSpan w:val="2"/>
            <w:shd w:val="clear" w:color="auto" w:fill="auto"/>
            <w:noWrap/>
            <w:vAlign w:val="bottom"/>
            <w:hideMark/>
          </w:tcPr>
          <w:p w:rsidR="008C7EDF" w:rsidRPr="008C7EDF" w:rsidRDefault="008C7EDF" w:rsidP="0013653E">
            <w:pPr>
              <w:rPr>
                <w:rFonts w:ascii="Arial" w:hAnsi="Arial" w:cs="Arial"/>
                <w:sz w:val="20"/>
                <w:szCs w:val="20"/>
                <w:lang w:val="es-MX" w:eastAsia="es-MX"/>
              </w:rPr>
            </w:pPr>
          </w:p>
        </w:tc>
        <w:tc>
          <w:tcPr>
            <w:tcW w:w="1468" w:type="pct"/>
            <w:gridSpan w:val="4"/>
            <w:shd w:val="clear" w:color="auto" w:fill="auto"/>
            <w:noWrap/>
            <w:vAlign w:val="bottom"/>
            <w:hideMark/>
          </w:tcPr>
          <w:p w:rsidR="008C7EDF" w:rsidRPr="008C7EDF" w:rsidRDefault="008C7EDF" w:rsidP="0013653E">
            <w:pPr>
              <w:rPr>
                <w:rFonts w:ascii="Arial" w:hAnsi="Arial" w:cs="Arial"/>
                <w:sz w:val="20"/>
                <w:szCs w:val="20"/>
                <w:lang w:val="es-MX" w:eastAsia="es-MX"/>
              </w:rPr>
            </w:pPr>
            <w:r w:rsidRPr="008C7EDF">
              <w:rPr>
                <w:rFonts w:ascii="Arial" w:hAnsi="Arial" w:cs="Arial"/>
                <w:sz w:val="20"/>
                <w:szCs w:val="20"/>
                <w:lang w:val="es-MX" w:eastAsia="es-MX"/>
              </w:rPr>
              <w:t> </w:t>
            </w:r>
          </w:p>
        </w:tc>
      </w:tr>
      <w:tr w:rsidR="008C7EDF" w:rsidRPr="008C7EDF" w:rsidTr="0013653E">
        <w:trPr>
          <w:trHeight w:val="525"/>
        </w:trPr>
        <w:tc>
          <w:tcPr>
            <w:tcW w:w="1146" w:type="pct"/>
            <w:gridSpan w:val="8"/>
            <w:shd w:val="clear" w:color="auto" w:fill="auto"/>
            <w:noWrap/>
            <w:vAlign w:val="center"/>
            <w:hideMark/>
          </w:tcPr>
          <w:p w:rsidR="008C7EDF" w:rsidRPr="008C7EDF" w:rsidRDefault="008C7EDF" w:rsidP="0013653E">
            <w:pPr>
              <w:jc w:val="center"/>
              <w:rPr>
                <w:rFonts w:ascii="Arial" w:hAnsi="Arial" w:cs="Arial"/>
                <w:b/>
                <w:bCs/>
                <w:sz w:val="20"/>
                <w:szCs w:val="20"/>
                <w:lang w:val="es-MX" w:eastAsia="es-MX"/>
              </w:rPr>
            </w:pPr>
            <w:r w:rsidRPr="008C7EDF">
              <w:rPr>
                <w:rFonts w:ascii="Arial" w:hAnsi="Arial" w:cs="Arial"/>
                <w:b/>
                <w:bCs/>
                <w:sz w:val="20"/>
                <w:szCs w:val="20"/>
                <w:lang w:val="es-MX" w:eastAsia="es-MX"/>
              </w:rPr>
              <w:t xml:space="preserve"> Total </w:t>
            </w:r>
          </w:p>
        </w:tc>
        <w:tc>
          <w:tcPr>
            <w:tcW w:w="2283" w:type="pct"/>
            <w:gridSpan w:val="16"/>
            <w:shd w:val="clear" w:color="auto" w:fill="auto"/>
            <w:noWrap/>
            <w:vAlign w:val="bottom"/>
            <w:hideMark/>
          </w:tcPr>
          <w:p w:rsidR="008C7EDF" w:rsidRPr="008C7EDF" w:rsidRDefault="008C7EDF" w:rsidP="0013653E">
            <w:pPr>
              <w:jc w:val="center"/>
              <w:rPr>
                <w:rFonts w:ascii="Arial" w:hAnsi="Arial" w:cs="Arial"/>
                <w:b/>
                <w:bCs/>
                <w:sz w:val="20"/>
                <w:szCs w:val="20"/>
                <w:lang w:val="es-MX" w:eastAsia="es-MX"/>
              </w:rPr>
            </w:pPr>
          </w:p>
        </w:tc>
        <w:tc>
          <w:tcPr>
            <w:tcW w:w="1572" w:type="pct"/>
            <w:gridSpan w:val="6"/>
            <w:shd w:val="clear" w:color="auto" w:fill="auto"/>
            <w:noWrap/>
            <w:vAlign w:val="center"/>
            <w:hideMark/>
          </w:tcPr>
          <w:p w:rsidR="008C7EDF" w:rsidRPr="008C7EDF" w:rsidRDefault="008C7EDF" w:rsidP="0013653E">
            <w:pPr>
              <w:jc w:val="center"/>
              <w:rPr>
                <w:rFonts w:ascii="Arial" w:hAnsi="Arial" w:cs="Arial"/>
                <w:b/>
                <w:bCs/>
                <w:sz w:val="20"/>
                <w:szCs w:val="20"/>
                <w:lang w:val="es-MX" w:eastAsia="es-MX"/>
              </w:rPr>
            </w:pPr>
            <w:r w:rsidRPr="008C7EDF">
              <w:rPr>
                <w:rFonts w:ascii="Arial" w:hAnsi="Arial" w:cs="Arial"/>
                <w:b/>
                <w:bCs/>
                <w:sz w:val="20"/>
                <w:szCs w:val="20"/>
                <w:lang w:val="es-MX" w:eastAsia="es-MX"/>
              </w:rPr>
              <w:t xml:space="preserve">                76,689,091,500.00 </w:t>
            </w:r>
          </w:p>
        </w:tc>
      </w:tr>
    </w:tbl>
    <w:p w:rsidR="008C7EDF" w:rsidRPr="008C7EDF" w:rsidRDefault="008C7EDF" w:rsidP="008C7EDF">
      <w:pPr>
        <w:spacing w:line="360" w:lineRule="auto"/>
        <w:ind w:left="567" w:right="142"/>
        <w:jc w:val="both"/>
        <w:rPr>
          <w:rFonts w:ascii="Arial" w:hAnsi="Arial" w:cs="Arial"/>
          <w:b/>
          <w:sz w:val="10"/>
        </w:rPr>
      </w:pPr>
    </w:p>
    <w:p w:rsidR="008C7EDF" w:rsidRPr="008C7EDF" w:rsidRDefault="008C7EDF" w:rsidP="008C7EDF">
      <w:pPr>
        <w:tabs>
          <w:tab w:val="left" w:pos="9072"/>
        </w:tabs>
        <w:spacing w:line="360" w:lineRule="auto"/>
        <w:ind w:right="1134"/>
        <w:jc w:val="both"/>
        <w:rPr>
          <w:rFonts w:ascii="Arial" w:hAnsi="Arial" w:cs="Arial"/>
        </w:rPr>
      </w:pPr>
    </w:p>
    <w:p w:rsidR="008C7EDF" w:rsidRPr="008C7EDF" w:rsidRDefault="008C7EDF" w:rsidP="008C7EDF">
      <w:pPr>
        <w:spacing w:line="360" w:lineRule="auto"/>
        <w:ind w:left="567"/>
        <w:jc w:val="both"/>
        <w:rPr>
          <w:rFonts w:ascii="Arial" w:hAnsi="Arial" w:cs="Arial"/>
          <w:kern w:val="16"/>
          <w:lang w:val="es-MX"/>
        </w:rPr>
      </w:pPr>
      <w:r w:rsidRPr="008C7EDF">
        <w:rPr>
          <w:rFonts w:ascii="Arial" w:hAnsi="Arial" w:cs="Arial"/>
          <w:kern w:val="16"/>
          <w:lang w:val="es-MX"/>
        </w:rPr>
        <w:t>El desglose del Ramo General 28 (Participaciones a Entidades Federativas y Municipios) se presenta en el Anexo 1, Convenios se presenta en el Anexo 2, Transferencias, Asignaciones, Subsidios y Otras Ayudas en el Anexo 3 y el Calendario de Ingresos para el Ejercicio Fiscal 2020 en el Anexo 4.</w:t>
      </w:r>
    </w:p>
    <w:p w:rsidR="008C7EDF" w:rsidRPr="008C7EDF" w:rsidRDefault="008C7EDF" w:rsidP="008C7EDF">
      <w:pPr>
        <w:spacing w:line="360" w:lineRule="auto"/>
        <w:ind w:left="567"/>
        <w:jc w:val="both"/>
        <w:rPr>
          <w:rFonts w:ascii="Arial" w:hAnsi="Arial" w:cs="Arial"/>
          <w:b/>
          <w:kern w:val="16"/>
          <w:lang w:val="es-MX"/>
        </w:rPr>
      </w:pPr>
    </w:p>
    <w:p w:rsidR="008C7EDF" w:rsidRPr="008C7EDF" w:rsidRDefault="008C7EDF" w:rsidP="008C7EDF">
      <w:pPr>
        <w:spacing w:line="360" w:lineRule="auto"/>
        <w:ind w:left="567"/>
        <w:jc w:val="both"/>
        <w:rPr>
          <w:rFonts w:ascii="Arial" w:hAnsi="Arial" w:cs="Arial"/>
          <w:kern w:val="16"/>
          <w:lang w:val="es-MX"/>
        </w:rPr>
      </w:pPr>
      <w:r w:rsidRPr="008C7EDF">
        <w:rPr>
          <w:rFonts w:ascii="Arial" w:hAnsi="Arial" w:cs="Arial"/>
          <w:b/>
          <w:kern w:val="16"/>
          <w:lang w:val="es-MX"/>
        </w:rPr>
        <w:t>Artículo 11.-</w:t>
      </w:r>
      <w:r w:rsidRPr="008C7EDF">
        <w:rPr>
          <w:rFonts w:ascii="Arial" w:hAnsi="Arial" w:cs="Arial"/>
          <w:kern w:val="16"/>
          <w:lang w:val="es-MX"/>
        </w:rPr>
        <w:t xml:space="preserve"> La Secretaría distribuirá a los Entes Públicos donde se causen derechos por el uso, goce o aprovechamiento de bienes de dominio público del Estado; así como, por la prestación de servicios públicos, la información de cuotas establecidas en la Ley Estatal de Derechos de Oaxaca, las cuales deberán fijarse en un lugar visible al ciudadano por los citados Entes. </w:t>
      </w:r>
    </w:p>
    <w:p w:rsidR="008C7EDF" w:rsidRPr="008C7EDF" w:rsidRDefault="008C7EDF" w:rsidP="008C7EDF">
      <w:pPr>
        <w:spacing w:line="360" w:lineRule="auto"/>
        <w:ind w:left="567"/>
        <w:jc w:val="both"/>
        <w:rPr>
          <w:rFonts w:ascii="Arial" w:hAnsi="Arial" w:cs="Arial"/>
          <w:kern w:val="16"/>
          <w:lang w:val="es-MX"/>
        </w:rPr>
      </w:pPr>
    </w:p>
    <w:p w:rsidR="008C7EDF" w:rsidRPr="008C7EDF" w:rsidRDefault="008C7EDF" w:rsidP="008C7EDF">
      <w:pPr>
        <w:spacing w:line="360" w:lineRule="auto"/>
        <w:ind w:left="567"/>
        <w:jc w:val="center"/>
        <w:rPr>
          <w:rFonts w:ascii="Arial" w:hAnsi="Arial" w:cs="Arial"/>
          <w:b/>
          <w:kern w:val="16"/>
          <w:lang w:val="es-MX"/>
        </w:rPr>
      </w:pPr>
      <w:r w:rsidRPr="008C7EDF">
        <w:rPr>
          <w:rFonts w:ascii="Arial" w:hAnsi="Arial" w:cs="Arial"/>
          <w:b/>
          <w:kern w:val="16"/>
          <w:lang w:val="es-MX"/>
        </w:rPr>
        <w:t>CAPÍTULO TERCERO</w:t>
      </w:r>
    </w:p>
    <w:p w:rsidR="008C7EDF" w:rsidRPr="008C7EDF" w:rsidRDefault="008C7EDF" w:rsidP="008C7EDF">
      <w:pPr>
        <w:spacing w:line="360" w:lineRule="auto"/>
        <w:ind w:left="567"/>
        <w:jc w:val="center"/>
        <w:rPr>
          <w:rFonts w:ascii="Arial" w:hAnsi="Arial" w:cs="Arial"/>
          <w:b/>
          <w:kern w:val="16"/>
          <w:lang w:val="es-MX"/>
        </w:rPr>
      </w:pPr>
      <w:r w:rsidRPr="008C7EDF">
        <w:rPr>
          <w:rFonts w:ascii="Arial" w:hAnsi="Arial" w:cs="Arial"/>
          <w:b/>
          <w:kern w:val="16"/>
          <w:lang w:val="es-MX"/>
        </w:rPr>
        <w:t>DE LOS RECARGOS</w:t>
      </w:r>
    </w:p>
    <w:p w:rsidR="008C7EDF" w:rsidRPr="008C7EDF" w:rsidRDefault="008C7EDF" w:rsidP="008C7EDF">
      <w:pPr>
        <w:spacing w:line="360" w:lineRule="auto"/>
        <w:ind w:left="567"/>
        <w:jc w:val="both"/>
        <w:rPr>
          <w:rFonts w:ascii="Arial" w:hAnsi="Arial" w:cs="Arial"/>
          <w:kern w:val="16"/>
          <w:lang w:val="es-MX"/>
        </w:rPr>
      </w:pPr>
    </w:p>
    <w:p w:rsidR="008C7EDF" w:rsidRPr="008C7EDF" w:rsidRDefault="008C7EDF" w:rsidP="008C7EDF">
      <w:pPr>
        <w:spacing w:line="360" w:lineRule="auto"/>
        <w:ind w:left="567"/>
        <w:jc w:val="both"/>
        <w:rPr>
          <w:rFonts w:ascii="Arial" w:hAnsi="Arial" w:cs="Arial"/>
          <w:kern w:val="16"/>
          <w:lang w:val="es-MX"/>
        </w:rPr>
      </w:pPr>
      <w:r w:rsidRPr="008C7EDF">
        <w:rPr>
          <w:rFonts w:ascii="Arial" w:hAnsi="Arial" w:cs="Arial"/>
          <w:b/>
          <w:kern w:val="16"/>
          <w:lang w:val="es-MX"/>
        </w:rPr>
        <w:t>Artículo 12.-</w:t>
      </w:r>
      <w:r w:rsidRPr="008C7EDF">
        <w:rPr>
          <w:rFonts w:ascii="Arial" w:hAnsi="Arial" w:cs="Arial"/>
          <w:kern w:val="16"/>
          <w:lang w:val="es-MX"/>
        </w:rPr>
        <w:t xml:space="preserve"> El pago extemporáneo de contribuciones dará lugar al cobro de recargos conforme a lo siguiente:</w:t>
      </w:r>
    </w:p>
    <w:p w:rsidR="008C7EDF" w:rsidRPr="008C7EDF" w:rsidRDefault="008C7EDF" w:rsidP="008C7EDF">
      <w:pPr>
        <w:spacing w:line="360" w:lineRule="auto"/>
        <w:ind w:left="567"/>
        <w:jc w:val="both"/>
        <w:rPr>
          <w:rFonts w:ascii="Arial" w:hAnsi="Arial" w:cs="Arial"/>
          <w:kern w:val="16"/>
          <w:lang w:val="es-MX"/>
        </w:rPr>
      </w:pPr>
    </w:p>
    <w:p w:rsidR="008C7EDF" w:rsidRPr="008C7EDF" w:rsidRDefault="008C7EDF" w:rsidP="00243817">
      <w:pPr>
        <w:numPr>
          <w:ilvl w:val="0"/>
          <w:numId w:val="6"/>
        </w:numPr>
        <w:tabs>
          <w:tab w:val="left" w:pos="851"/>
        </w:tabs>
        <w:spacing w:after="200" w:line="360" w:lineRule="auto"/>
        <w:ind w:left="851" w:hanging="142"/>
        <w:jc w:val="both"/>
        <w:rPr>
          <w:rFonts w:ascii="Arial" w:hAnsi="Arial" w:cs="Arial"/>
          <w:kern w:val="16"/>
          <w:lang w:val="es-MX"/>
        </w:rPr>
      </w:pPr>
      <w:r w:rsidRPr="008C7EDF">
        <w:rPr>
          <w:rFonts w:ascii="Arial" w:hAnsi="Arial" w:cs="Arial"/>
          <w:kern w:val="16"/>
          <w:lang w:val="es-MX"/>
        </w:rPr>
        <w:t xml:space="preserve">Al 0.98 por ciento mensual sobre saldos insolutos calculados por cada mes o fracción que transcurra y se computarán a partir del día siguiente a la fecha o vencimiento del plazo de pago hasta su total liquidación, y </w:t>
      </w:r>
    </w:p>
    <w:p w:rsidR="008C7EDF" w:rsidRPr="008C7EDF" w:rsidRDefault="008C7EDF" w:rsidP="008C7EDF">
      <w:pPr>
        <w:tabs>
          <w:tab w:val="left" w:pos="851"/>
        </w:tabs>
        <w:spacing w:line="360" w:lineRule="auto"/>
        <w:ind w:left="851" w:hanging="142"/>
        <w:jc w:val="both"/>
        <w:rPr>
          <w:rFonts w:ascii="Arial" w:hAnsi="Arial" w:cs="Arial"/>
          <w:kern w:val="16"/>
          <w:lang w:val="es-MX"/>
        </w:rPr>
      </w:pPr>
    </w:p>
    <w:p w:rsidR="008C7EDF" w:rsidRPr="008C7EDF" w:rsidRDefault="008C7EDF" w:rsidP="00243817">
      <w:pPr>
        <w:numPr>
          <w:ilvl w:val="0"/>
          <w:numId w:val="6"/>
        </w:numPr>
        <w:tabs>
          <w:tab w:val="left" w:pos="851"/>
        </w:tabs>
        <w:spacing w:after="200" w:line="360" w:lineRule="auto"/>
        <w:ind w:left="851" w:hanging="142"/>
        <w:jc w:val="both"/>
        <w:rPr>
          <w:rFonts w:ascii="Arial" w:hAnsi="Arial" w:cs="Arial"/>
          <w:kern w:val="16"/>
          <w:lang w:val="es-MX"/>
        </w:rPr>
      </w:pPr>
      <w:r w:rsidRPr="008C7EDF">
        <w:rPr>
          <w:rFonts w:ascii="Arial" w:hAnsi="Arial" w:cs="Arial"/>
          <w:kern w:val="16"/>
          <w:lang w:val="es-MX"/>
        </w:rPr>
        <w:t xml:space="preserve">Cuando de conformidad con el Código, se autorice el pago a plazos, se aplicará la tasa de recargos que a continuación se establece, sobre los </w:t>
      </w:r>
      <w:r w:rsidRPr="008C7EDF">
        <w:rPr>
          <w:rFonts w:ascii="Arial" w:hAnsi="Arial" w:cs="Arial"/>
          <w:kern w:val="16"/>
          <w:lang w:val="es-MX"/>
        </w:rPr>
        <w:lastRenderedPageBreak/>
        <w:t xml:space="preserve">saldos y durante el período de que se trate: En los casos de pago a plazos de créditos fiscales, ya sea diferido o en parcialidades: </w:t>
      </w:r>
    </w:p>
    <w:p w:rsidR="008C7EDF" w:rsidRPr="008C7EDF" w:rsidRDefault="008C7EDF" w:rsidP="008C7EDF">
      <w:pPr>
        <w:tabs>
          <w:tab w:val="left" w:pos="851"/>
        </w:tabs>
        <w:spacing w:line="360" w:lineRule="auto"/>
        <w:ind w:left="851" w:hanging="142"/>
        <w:jc w:val="both"/>
        <w:rPr>
          <w:rFonts w:ascii="Arial" w:hAnsi="Arial" w:cs="Arial"/>
          <w:kern w:val="16"/>
          <w:lang w:val="es-MX"/>
        </w:rPr>
      </w:pPr>
    </w:p>
    <w:p w:rsidR="008C7EDF" w:rsidRPr="008C7EDF" w:rsidRDefault="008C7EDF" w:rsidP="00243817">
      <w:pPr>
        <w:numPr>
          <w:ilvl w:val="0"/>
          <w:numId w:val="7"/>
        </w:numPr>
        <w:tabs>
          <w:tab w:val="left" w:pos="851"/>
        </w:tabs>
        <w:spacing w:after="200" w:line="360" w:lineRule="auto"/>
        <w:ind w:left="851" w:hanging="284"/>
        <w:jc w:val="both"/>
        <w:rPr>
          <w:rFonts w:ascii="Arial" w:hAnsi="Arial" w:cs="Arial"/>
          <w:kern w:val="16"/>
          <w:lang w:val="es-MX"/>
        </w:rPr>
      </w:pPr>
      <w:r w:rsidRPr="008C7EDF">
        <w:rPr>
          <w:rFonts w:ascii="Arial" w:hAnsi="Arial" w:cs="Arial"/>
          <w:kern w:val="16"/>
          <w:lang w:val="es-MX"/>
        </w:rPr>
        <w:t xml:space="preserve">Tratándose de pagos a plazos en parcialidades de hasta 12 meses, la tasa de recargos será del 1.26 por ciento mensual; </w:t>
      </w:r>
    </w:p>
    <w:p w:rsidR="008C7EDF" w:rsidRPr="008C7EDF" w:rsidRDefault="008C7EDF" w:rsidP="008C7EDF">
      <w:pPr>
        <w:tabs>
          <w:tab w:val="left" w:pos="851"/>
        </w:tabs>
        <w:spacing w:line="360" w:lineRule="auto"/>
        <w:ind w:left="851" w:hanging="142"/>
        <w:jc w:val="both"/>
        <w:rPr>
          <w:rFonts w:ascii="Arial" w:hAnsi="Arial" w:cs="Arial"/>
          <w:kern w:val="16"/>
          <w:lang w:val="es-MX"/>
        </w:rPr>
      </w:pPr>
    </w:p>
    <w:p w:rsidR="008C7EDF" w:rsidRPr="008C7EDF" w:rsidRDefault="008C7EDF" w:rsidP="00243817">
      <w:pPr>
        <w:numPr>
          <w:ilvl w:val="0"/>
          <w:numId w:val="7"/>
        </w:numPr>
        <w:tabs>
          <w:tab w:val="left" w:pos="851"/>
        </w:tabs>
        <w:spacing w:after="200" w:line="360" w:lineRule="auto"/>
        <w:ind w:left="851" w:hanging="284"/>
        <w:jc w:val="both"/>
        <w:rPr>
          <w:rFonts w:ascii="Arial" w:hAnsi="Arial" w:cs="Arial"/>
          <w:kern w:val="16"/>
          <w:lang w:val="es-MX"/>
        </w:rPr>
      </w:pPr>
      <w:r w:rsidRPr="008C7EDF">
        <w:rPr>
          <w:rFonts w:ascii="Arial" w:hAnsi="Arial" w:cs="Arial"/>
          <w:kern w:val="16"/>
          <w:lang w:val="es-MX"/>
        </w:rPr>
        <w:t xml:space="preserve">Tratándose de pagos a plazos en parcialidades de más de 12 meses y hasta de 24 meses, la tasa de recargos será de 1.53 por ciento mensual, y </w:t>
      </w:r>
    </w:p>
    <w:p w:rsidR="008C7EDF" w:rsidRPr="008C7EDF" w:rsidRDefault="008C7EDF" w:rsidP="008C7EDF">
      <w:pPr>
        <w:tabs>
          <w:tab w:val="left" w:pos="851"/>
        </w:tabs>
        <w:spacing w:line="360" w:lineRule="auto"/>
        <w:ind w:left="851" w:hanging="142"/>
        <w:jc w:val="both"/>
        <w:rPr>
          <w:rFonts w:ascii="Arial" w:hAnsi="Arial" w:cs="Arial"/>
          <w:kern w:val="16"/>
          <w:lang w:val="es-MX"/>
        </w:rPr>
      </w:pPr>
    </w:p>
    <w:p w:rsidR="008C7EDF" w:rsidRPr="008C7EDF" w:rsidRDefault="008C7EDF" w:rsidP="00243817">
      <w:pPr>
        <w:numPr>
          <w:ilvl w:val="0"/>
          <w:numId w:val="7"/>
        </w:numPr>
        <w:tabs>
          <w:tab w:val="left" w:pos="851"/>
        </w:tabs>
        <w:spacing w:after="200" w:line="360" w:lineRule="auto"/>
        <w:ind w:left="851" w:hanging="284"/>
        <w:jc w:val="both"/>
        <w:rPr>
          <w:rFonts w:ascii="Arial" w:hAnsi="Arial" w:cs="Arial"/>
          <w:kern w:val="16"/>
          <w:lang w:val="es-MX"/>
        </w:rPr>
      </w:pPr>
      <w:r w:rsidRPr="008C7EDF">
        <w:rPr>
          <w:rFonts w:ascii="Arial" w:hAnsi="Arial" w:cs="Arial"/>
          <w:kern w:val="16"/>
          <w:lang w:val="es-MX"/>
        </w:rPr>
        <w:t xml:space="preserve">Tratándose de pagos a plazos en parcialidades superiores a 24 meses, así como tratándose de pagos a plazo diferido, la tasa de recargos será de 1.82 por ciento mensual. </w:t>
      </w:r>
    </w:p>
    <w:p w:rsidR="008C7EDF" w:rsidRPr="008C7EDF" w:rsidRDefault="008C7EDF" w:rsidP="008C7EDF">
      <w:pPr>
        <w:tabs>
          <w:tab w:val="left" w:pos="851"/>
        </w:tabs>
        <w:spacing w:line="360" w:lineRule="auto"/>
        <w:ind w:left="851" w:hanging="142"/>
        <w:jc w:val="both"/>
        <w:rPr>
          <w:rFonts w:ascii="Arial" w:hAnsi="Arial" w:cs="Arial"/>
          <w:kern w:val="16"/>
          <w:lang w:val="es-MX"/>
        </w:rPr>
      </w:pPr>
    </w:p>
    <w:p w:rsidR="008C7EDF" w:rsidRPr="008C7EDF" w:rsidRDefault="008C7EDF" w:rsidP="008C7EDF">
      <w:pPr>
        <w:tabs>
          <w:tab w:val="left" w:pos="851"/>
        </w:tabs>
        <w:spacing w:line="360" w:lineRule="auto"/>
        <w:ind w:left="851"/>
        <w:jc w:val="both"/>
        <w:rPr>
          <w:rFonts w:ascii="Arial" w:hAnsi="Arial" w:cs="Arial"/>
          <w:kern w:val="16"/>
          <w:lang w:val="es-MX"/>
        </w:rPr>
      </w:pPr>
      <w:r w:rsidRPr="008C7EDF">
        <w:rPr>
          <w:rFonts w:ascii="Arial" w:hAnsi="Arial" w:cs="Arial"/>
          <w:kern w:val="16"/>
          <w:lang w:val="es-MX"/>
        </w:rPr>
        <w:t xml:space="preserve">Las tasas de recargos establecidas en la fracción II de este artículo incluyen la actualización realizada conforme a lo establecido por el Código. </w:t>
      </w:r>
    </w:p>
    <w:p w:rsidR="008C7EDF" w:rsidRPr="008C7EDF" w:rsidRDefault="008C7EDF" w:rsidP="008C7EDF">
      <w:pPr>
        <w:tabs>
          <w:tab w:val="left" w:pos="851"/>
        </w:tabs>
        <w:spacing w:line="360" w:lineRule="auto"/>
        <w:ind w:left="851" w:hanging="142"/>
        <w:jc w:val="center"/>
        <w:rPr>
          <w:rFonts w:ascii="Arial" w:hAnsi="Arial" w:cs="Arial"/>
          <w:kern w:val="16"/>
          <w:lang w:val="es-MX"/>
        </w:rPr>
      </w:pPr>
    </w:p>
    <w:p w:rsidR="008C7EDF" w:rsidRPr="008C7EDF" w:rsidRDefault="008C7EDF" w:rsidP="008C7EDF">
      <w:pPr>
        <w:spacing w:line="360" w:lineRule="auto"/>
        <w:ind w:left="567"/>
        <w:jc w:val="center"/>
        <w:rPr>
          <w:rFonts w:ascii="Arial" w:hAnsi="Arial" w:cs="Arial"/>
          <w:b/>
          <w:kern w:val="16"/>
          <w:lang w:val="es-MX"/>
        </w:rPr>
      </w:pPr>
      <w:r w:rsidRPr="008C7EDF">
        <w:rPr>
          <w:rFonts w:ascii="Arial" w:hAnsi="Arial" w:cs="Arial"/>
          <w:b/>
          <w:kern w:val="16"/>
          <w:lang w:val="es-MX"/>
        </w:rPr>
        <w:t>TÍTULO SEGUNDO</w:t>
      </w:r>
    </w:p>
    <w:p w:rsidR="008C7EDF" w:rsidRPr="008C7EDF" w:rsidRDefault="008C7EDF" w:rsidP="008C7EDF">
      <w:pPr>
        <w:spacing w:line="360" w:lineRule="auto"/>
        <w:ind w:left="567"/>
        <w:jc w:val="center"/>
        <w:rPr>
          <w:rFonts w:ascii="Arial" w:hAnsi="Arial" w:cs="Arial"/>
          <w:b/>
          <w:kern w:val="16"/>
          <w:lang w:val="es-MX"/>
        </w:rPr>
      </w:pPr>
      <w:r w:rsidRPr="008C7EDF">
        <w:rPr>
          <w:rFonts w:ascii="Arial" w:hAnsi="Arial" w:cs="Arial"/>
          <w:b/>
          <w:kern w:val="16"/>
          <w:lang w:val="es-MX"/>
        </w:rPr>
        <w:t>ESTÍMULOS FISCALES</w:t>
      </w:r>
    </w:p>
    <w:p w:rsidR="008C7EDF" w:rsidRPr="008C7EDF" w:rsidRDefault="008C7EDF" w:rsidP="008C7EDF">
      <w:pPr>
        <w:spacing w:line="360" w:lineRule="auto"/>
        <w:ind w:left="567"/>
        <w:jc w:val="both"/>
        <w:rPr>
          <w:rFonts w:ascii="Arial" w:hAnsi="Arial" w:cs="Arial"/>
          <w:kern w:val="16"/>
          <w:lang w:val="es-MX"/>
        </w:rPr>
      </w:pPr>
    </w:p>
    <w:p w:rsidR="008C7EDF" w:rsidRPr="008C7EDF" w:rsidRDefault="008C7EDF" w:rsidP="008C7EDF">
      <w:pPr>
        <w:spacing w:line="360" w:lineRule="auto"/>
        <w:ind w:left="567"/>
        <w:jc w:val="both"/>
        <w:rPr>
          <w:rFonts w:ascii="Arial" w:hAnsi="Arial" w:cs="Arial"/>
          <w:kern w:val="16"/>
          <w:lang w:val="es-MX"/>
        </w:rPr>
      </w:pPr>
      <w:r w:rsidRPr="008C7EDF">
        <w:rPr>
          <w:rFonts w:ascii="Arial" w:hAnsi="Arial" w:cs="Arial"/>
          <w:b/>
          <w:kern w:val="16"/>
          <w:lang w:val="es-MX"/>
        </w:rPr>
        <w:t>Artículo 13.-</w:t>
      </w:r>
      <w:r w:rsidRPr="008C7EDF">
        <w:rPr>
          <w:rFonts w:ascii="Arial" w:hAnsi="Arial" w:cs="Arial"/>
          <w:kern w:val="16"/>
          <w:lang w:val="es-MX"/>
        </w:rPr>
        <w:t xml:space="preserve"> Se otorgará estímulo fiscal a los contribuyentes del Impuesto Sobre Erogaciones por Remuneraciones al Trabajo Personal durante el ejercicio fiscal 2020, cuando se encuentren en los supuestos siguientes:</w:t>
      </w:r>
    </w:p>
    <w:tbl>
      <w:tblPr>
        <w:tblpPr w:leftFromText="141" w:rightFromText="141" w:vertAnchor="text" w:horzAnchor="margin" w:tblpXSpec="right" w:tblpY="368"/>
        <w:tblW w:w="8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3105"/>
        <w:gridCol w:w="2300"/>
      </w:tblGrid>
      <w:tr w:rsidR="008C7EDF" w:rsidRPr="008C7EDF" w:rsidTr="0013653E">
        <w:trPr>
          <w:trHeight w:val="372"/>
        </w:trPr>
        <w:tc>
          <w:tcPr>
            <w:tcW w:w="2656" w:type="dxa"/>
            <w:shd w:val="clear" w:color="auto" w:fill="auto"/>
            <w:vAlign w:val="center"/>
          </w:tcPr>
          <w:p w:rsidR="008C7EDF" w:rsidRPr="008C7EDF" w:rsidRDefault="008C7EDF" w:rsidP="0013653E">
            <w:pPr>
              <w:spacing w:after="200" w:line="276" w:lineRule="auto"/>
              <w:jc w:val="center"/>
              <w:rPr>
                <w:rFonts w:ascii="Arial" w:eastAsia="MS Mincho" w:hAnsi="Arial" w:cs="Arial"/>
                <w:b/>
                <w:sz w:val="22"/>
                <w:szCs w:val="19"/>
                <w:lang w:val="es-ES_tradnl" w:eastAsia="en-US"/>
              </w:rPr>
            </w:pPr>
            <w:r w:rsidRPr="008C7EDF">
              <w:rPr>
                <w:rFonts w:ascii="Arial" w:eastAsia="MS Mincho" w:hAnsi="Arial" w:cs="Arial"/>
                <w:b/>
                <w:sz w:val="22"/>
                <w:szCs w:val="19"/>
                <w:lang w:val="es-ES_tradnl" w:eastAsia="en-US"/>
              </w:rPr>
              <w:t>Contribuyente</w:t>
            </w:r>
          </w:p>
        </w:tc>
        <w:tc>
          <w:tcPr>
            <w:tcW w:w="3105" w:type="dxa"/>
            <w:shd w:val="clear" w:color="auto" w:fill="auto"/>
            <w:vAlign w:val="center"/>
          </w:tcPr>
          <w:p w:rsidR="008C7EDF" w:rsidRPr="008C7EDF" w:rsidRDefault="008C7EDF" w:rsidP="0013653E">
            <w:pPr>
              <w:spacing w:after="200" w:line="276" w:lineRule="auto"/>
              <w:jc w:val="center"/>
              <w:rPr>
                <w:rFonts w:ascii="Arial" w:eastAsia="MS Mincho" w:hAnsi="Arial" w:cs="Arial"/>
                <w:b/>
                <w:sz w:val="22"/>
                <w:szCs w:val="19"/>
                <w:lang w:val="es-ES_tradnl" w:eastAsia="en-US"/>
              </w:rPr>
            </w:pPr>
            <w:r w:rsidRPr="008C7EDF">
              <w:rPr>
                <w:rFonts w:ascii="Arial" w:eastAsia="MS Mincho" w:hAnsi="Arial" w:cs="Arial"/>
                <w:b/>
                <w:sz w:val="22"/>
                <w:szCs w:val="19"/>
                <w:lang w:val="es-ES_tradnl" w:eastAsia="en-US"/>
              </w:rPr>
              <w:t>Rango de Trabajadores</w:t>
            </w:r>
          </w:p>
        </w:tc>
        <w:tc>
          <w:tcPr>
            <w:tcW w:w="2300" w:type="dxa"/>
            <w:shd w:val="clear" w:color="auto" w:fill="auto"/>
            <w:vAlign w:val="center"/>
          </w:tcPr>
          <w:p w:rsidR="008C7EDF" w:rsidRPr="008C7EDF" w:rsidRDefault="008C7EDF" w:rsidP="0013653E">
            <w:pPr>
              <w:spacing w:after="200" w:line="276" w:lineRule="auto"/>
              <w:jc w:val="center"/>
              <w:rPr>
                <w:rFonts w:ascii="Arial" w:eastAsia="MS Mincho" w:hAnsi="Arial" w:cs="Arial"/>
                <w:b/>
                <w:sz w:val="22"/>
                <w:szCs w:val="19"/>
                <w:lang w:val="es-ES_tradnl" w:eastAsia="en-US"/>
              </w:rPr>
            </w:pPr>
            <w:r w:rsidRPr="008C7EDF">
              <w:rPr>
                <w:rFonts w:ascii="Arial" w:eastAsia="MS Mincho" w:hAnsi="Arial" w:cs="Arial"/>
                <w:b/>
                <w:sz w:val="22"/>
                <w:szCs w:val="19"/>
                <w:lang w:val="es-ES_tradnl" w:eastAsia="en-US"/>
              </w:rPr>
              <w:t>Estímulo Fiscal</w:t>
            </w:r>
          </w:p>
        </w:tc>
      </w:tr>
      <w:tr w:rsidR="008C7EDF" w:rsidRPr="008C7EDF" w:rsidTr="0013653E">
        <w:trPr>
          <w:trHeight w:val="362"/>
        </w:trPr>
        <w:tc>
          <w:tcPr>
            <w:tcW w:w="2656"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Microempresas</w:t>
            </w:r>
          </w:p>
        </w:tc>
        <w:tc>
          <w:tcPr>
            <w:tcW w:w="3105"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1 a 10</w:t>
            </w:r>
          </w:p>
        </w:tc>
        <w:tc>
          <w:tcPr>
            <w:tcW w:w="2300"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25 por ciento</w:t>
            </w:r>
          </w:p>
        </w:tc>
      </w:tr>
      <w:tr w:rsidR="008C7EDF" w:rsidRPr="008C7EDF" w:rsidTr="0013653E">
        <w:trPr>
          <w:trHeight w:val="281"/>
        </w:trPr>
        <w:tc>
          <w:tcPr>
            <w:tcW w:w="2656"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Pequeñas empresas</w:t>
            </w:r>
          </w:p>
        </w:tc>
        <w:tc>
          <w:tcPr>
            <w:tcW w:w="3105"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11 a 50</w:t>
            </w:r>
          </w:p>
        </w:tc>
        <w:tc>
          <w:tcPr>
            <w:tcW w:w="2300" w:type="dxa"/>
            <w:shd w:val="clear" w:color="auto" w:fill="auto"/>
            <w:vAlign w:val="center"/>
          </w:tcPr>
          <w:p w:rsidR="008C7EDF" w:rsidRPr="008C7EDF" w:rsidRDefault="008C7EDF" w:rsidP="0013653E">
            <w:pPr>
              <w:spacing w:after="200" w:line="276" w:lineRule="auto"/>
              <w:jc w:val="center"/>
              <w:rPr>
                <w:rFonts w:ascii="Arial" w:eastAsia="MS Mincho" w:hAnsi="Arial" w:cs="Arial"/>
                <w:sz w:val="22"/>
                <w:szCs w:val="19"/>
                <w:lang w:val="es-ES_tradnl" w:eastAsia="en-US"/>
              </w:rPr>
            </w:pPr>
            <w:r w:rsidRPr="008C7EDF">
              <w:rPr>
                <w:rFonts w:ascii="Arial" w:eastAsia="MS Mincho" w:hAnsi="Arial" w:cs="Arial"/>
                <w:sz w:val="22"/>
                <w:szCs w:val="19"/>
                <w:lang w:val="es-ES_tradnl" w:eastAsia="en-US"/>
              </w:rPr>
              <w:t>10 por ciento</w:t>
            </w:r>
          </w:p>
        </w:tc>
      </w:tr>
    </w:tbl>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jc w:val="both"/>
        <w:rPr>
          <w:rFonts w:ascii="Arial" w:eastAsia="Calibri" w:hAnsi="Arial" w:cs="Arial"/>
          <w:lang w:val="es-MX" w:eastAsia="en-US"/>
        </w:rPr>
      </w:pPr>
    </w:p>
    <w:p w:rsidR="008C7EDF" w:rsidRPr="008C7EDF" w:rsidRDefault="008C7EDF" w:rsidP="008C7EDF">
      <w:pPr>
        <w:spacing w:after="200" w:line="360" w:lineRule="auto"/>
        <w:ind w:left="567"/>
        <w:jc w:val="both"/>
        <w:rPr>
          <w:rFonts w:ascii="Arial" w:eastAsia="Calibri" w:hAnsi="Arial" w:cs="Arial"/>
          <w:lang w:val="es-MX" w:eastAsia="en-US"/>
        </w:rPr>
      </w:pPr>
      <w:r w:rsidRPr="008C7EDF">
        <w:rPr>
          <w:rFonts w:ascii="Arial" w:eastAsia="Calibri" w:hAnsi="Arial" w:cs="Arial"/>
          <w:lang w:val="es-MX" w:eastAsia="en-US"/>
        </w:rPr>
        <w:t>Para ser beneficiario del estímulo deberán cumplir con lo siguiente:</w:t>
      </w:r>
    </w:p>
    <w:p w:rsidR="008C7EDF" w:rsidRPr="008C7EDF" w:rsidRDefault="008C7EDF" w:rsidP="008C7EDF">
      <w:pPr>
        <w:spacing w:after="200" w:line="360" w:lineRule="auto"/>
        <w:jc w:val="both"/>
        <w:rPr>
          <w:rFonts w:ascii="Arial" w:eastAsia="Calibri" w:hAnsi="Arial" w:cs="Arial"/>
          <w:lang w:val="es-MX" w:eastAsia="en-US"/>
        </w:rPr>
      </w:pPr>
    </w:p>
    <w:p w:rsidR="008C7EDF" w:rsidRPr="008C7EDF" w:rsidRDefault="008C7EDF" w:rsidP="00243817">
      <w:pPr>
        <w:numPr>
          <w:ilvl w:val="0"/>
          <w:numId w:val="8"/>
        </w:numPr>
        <w:spacing w:after="200"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 xml:space="preserve">Estar al corriente en el pago de los impuestos estatales, conforme a las leyes fiscales correspondientes, y </w:t>
      </w:r>
    </w:p>
    <w:p w:rsidR="008C7EDF" w:rsidRPr="008C7EDF" w:rsidRDefault="008C7EDF" w:rsidP="008C7EDF">
      <w:pPr>
        <w:spacing w:after="200" w:line="360" w:lineRule="auto"/>
        <w:ind w:left="851" w:hanging="142"/>
        <w:jc w:val="both"/>
        <w:rPr>
          <w:rFonts w:ascii="Arial" w:eastAsia="Calibri" w:hAnsi="Arial" w:cs="Arial"/>
          <w:lang w:val="es-MX" w:eastAsia="en-US"/>
        </w:rPr>
      </w:pPr>
    </w:p>
    <w:p w:rsidR="008C7EDF" w:rsidRPr="008C7EDF" w:rsidRDefault="008C7EDF" w:rsidP="00243817">
      <w:pPr>
        <w:numPr>
          <w:ilvl w:val="0"/>
          <w:numId w:val="8"/>
        </w:numPr>
        <w:spacing w:after="200"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 xml:space="preserve">Que el número de trabajadores que se declara, no sea inferior al del bimestre inmediato anterior. </w:t>
      </w: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ind w:left="567"/>
        <w:jc w:val="both"/>
        <w:rPr>
          <w:rFonts w:ascii="Arial" w:eastAsia="Calibri" w:hAnsi="Arial" w:cs="Arial"/>
          <w:lang w:val="es-MX" w:eastAsia="en-US"/>
        </w:rPr>
      </w:pPr>
      <w:r w:rsidRPr="008C7EDF">
        <w:rPr>
          <w:rFonts w:ascii="Arial" w:eastAsia="Calibri" w:hAnsi="Arial" w:cs="Arial"/>
          <w:b/>
          <w:bCs/>
          <w:lang w:val="es-MX" w:eastAsia="en-US"/>
        </w:rPr>
        <w:t>Artículo 14.-</w:t>
      </w:r>
      <w:r w:rsidRPr="008C7EDF">
        <w:rPr>
          <w:rFonts w:ascii="Arial" w:eastAsia="Calibri" w:hAnsi="Arial" w:cs="Arial"/>
          <w:lang w:val="es-MX" w:eastAsia="en-US"/>
        </w:rPr>
        <w:t xml:space="preserve"> Se otorgará estímulo fiscal del 50 por ciento sobre el Impuesto Sobre Erogaciones por Remuneraciones al Trabajo Personal a favor de las personas físicas, morales o unidades económicas que inicien operaciones empresariales en el territorio del Estado de Oaxaca y generen más de 50 empleos directos. Este beneficio aplicará durante los dos primeros años de operación y durante el tercer año el estímulo será del 25 por ciento.</w:t>
      </w: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ind w:left="567"/>
        <w:jc w:val="both"/>
        <w:rPr>
          <w:rFonts w:ascii="Arial" w:eastAsia="Calibri" w:hAnsi="Arial" w:cs="Arial"/>
          <w:lang w:val="es-MX" w:eastAsia="en-US"/>
        </w:rPr>
      </w:pPr>
      <w:r w:rsidRPr="008C7EDF">
        <w:rPr>
          <w:rFonts w:ascii="Arial" w:eastAsia="Calibri" w:hAnsi="Arial" w:cs="Arial"/>
          <w:lang w:val="es-MX" w:eastAsia="en-US"/>
        </w:rPr>
        <w:t>El plazo iniciará a partir de la fecha del registro ante el Registro Estatal de Contribuyentes; no quedan comprendidas las empresas que con anterioridad al año 2020 se encuentren operando, ni aquellas que provengan de escisión o fusión de sociedades, cambien de nombre o razón social, de domicilio, actividad o traspaso de la empresa.</w:t>
      </w: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Para ser beneficiados con el estímulo, los sujetos obligados deberán:</w:t>
      </w:r>
    </w:p>
    <w:p w:rsidR="008C7EDF" w:rsidRPr="008C7EDF" w:rsidRDefault="008C7EDF" w:rsidP="008C7EDF">
      <w:pPr>
        <w:spacing w:line="360" w:lineRule="auto"/>
        <w:ind w:left="567" w:firstLine="708"/>
        <w:jc w:val="both"/>
        <w:rPr>
          <w:rFonts w:ascii="Arial" w:eastAsia="Calibri" w:hAnsi="Arial" w:cs="Arial"/>
          <w:lang w:val="es-MX" w:eastAsia="en-US"/>
        </w:rPr>
      </w:pPr>
    </w:p>
    <w:p w:rsidR="008C7EDF" w:rsidRPr="008C7EDF" w:rsidRDefault="008C7EDF" w:rsidP="00243817">
      <w:pPr>
        <w:numPr>
          <w:ilvl w:val="0"/>
          <w:numId w:val="10"/>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Solicitar por escrito el beneficio, manifestando cumplir con los supuestos establecidos en el segundo párrafo de este artículo;</w:t>
      </w:r>
    </w:p>
    <w:p w:rsidR="008C7EDF" w:rsidRPr="008C7EDF" w:rsidRDefault="008C7EDF" w:rsidP="008C7EDF">
      <w:pPr>
        <w:spacing w:line="360" w:lineRule="auto"/>
        <w:ind w:left="851" w:hanging="142"/>
        <w:jc w:val="both"/>
        <w:rPr>
          <w:rFonts w:ascii="Arial" w:eastAsia="Calibri" w:hAnsi="Arial" w:cs="Arial"/>
          <w:lang w:val="es-MX" w:eastAsia="en-US"/>
        </w:rPr>
      </w:pPr>
    </w:p>
    <w:p w:rsidR="008C7EDF" w:rsidRPr="008C7EDF" w:rsidRDefault="008C7EDF" w:rsidP="00243817">
      <w:pPr>
        <w:numPr>
          <w:ilvl w:val="0"/>
          <w:numId w:val="10"/>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lastRenderedPageBreak/>
        <w:t xml:space="preserve">Que el número de trabajadores que se declara, no sea inferior al del bimestre inmediato anterior; y </w:t>
      </w:r>
    </w:p>
    <w:p w:rsidR="008C7EDF" w:rsidRPr="008C7EDF" w:rsidRDefault="008C7EDF" w:rsidP="008C7EDF">
      <w:pPr>
        <w:spacing w:line="360" w:lineRule="auto"/>
        <w:ind w:left="851" w:hanging="142"/>
        <w:rPr>
          <w:rFonts w:ascii="Arial" w:eastAsia="Calibri" w:hAnsi="Arial" w:cs="Arial"/>
          <w:lang w:val="es-MX" w:eastAsia="en-US"/>
        </w:rPr>
      </w:pPr>
    </w:p>
    <w:p w:rsidR="008C7EDF" w:rsidRPr="008C7EDF" w:rsidRDefault="008C7EDF" w:rsidP="00243817">
      <w:pPr>
        <w:numPr>
          <w:ilvl w:val="0"/>
          <w:numId w:val="10"/>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Estar al corriente en el pago de los impuestos estatales, conforme a las leyes fiscales correspondientes.</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15.-</w:t>
      </w:r>
      <w:r w:rsidRPr="008C7EDF">
        <w:rPr>
          <w:rFonts w:ascii="Arial" w:eastAsia="Calibri" w:hAnsi="Arial" w:cs="Arial"/>
          <w:lang w:val="es-MX" w:eastAsia="en-US"/>
        </w:rPr>
        <w:t xml:space="preserve"> Se otorgará estímulo fiscal del 100 por ciento a las personas físicas, morales o unidades económicas por los adeudos del Impuesto Sobre Erogaciones por Remuneraciones al Trabajo Personal, actualizaciones, recargos, multas y gastos de ejecución generados por la falta de pago oportuno en los ejercicios fiscales 2019 y anteriores, siempre y cuando regularicen su situación fiscal mediante el pago de la cuota de cien millones de pesos en una sola exhibición, mediante alguna de las formas previstas en el artículo 6 de la presente Ley.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Para ser beneficiados con el estímulo anterior, los sujetos obligados deberán:</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243817">
      <w:pPr>
        <w:numPr>
          <w:ilvl w:val="0"/>
          <w:numId w:val="11"/>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Presentar las declaraciones para la determinación del impuesto y accesorios de los períodos sujetos al estímulo; y</w:t>
      </w:r>
    </w:p>
    <w:p w:rsidR="008C7EDF" w:rsidRPr="008C7EDF" w:rsidRDefault="008C7EDF" w:rsidP="008C7EDF">
      <w:pPr>
        <w:spacing w:line="360" w:lineRule="auto"/>
        <w:ind w:left="851" w:hanging="142"/>
        <w:jc w:val="both"/>
        <w:rPr>
          <w:rFonts w:ascii="Arial" w:eastAsia="Calibri" w:hAnsi="Arial" w:cs="Arial"/>
          <w:lang w:val="es-MX" w:eastAsia="en-US"/>
        </w:rPr>
      </w:pPr>
    </w:p>
    <w:p w:rsidR="008C7EDF" w:rsidRPr="008C7EDF" w:rsidRDefault="008C7EDF" w:rsidP="00243817">
      <w:pPr>
        <w:numPr>
          <w:ilvl w:val="0"/>
          <w:numId w:val="11"/>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 xml:space="preserve">Solicitar por escrito el estímulo, manifestando el total del adeudo desglosado en forma bimestral.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16.-</w:t>
      </w:r>
      <w:r w:rsidRPr="008C7EDF">
        <w:rPr>
          <w:rFonts w:ascii="Arial" w:eastAsia="Calibri" w:hAnsi="Arial" w:cs="Arial"/>
          <w:lang w:val="es-MX" w:eastAsia="en-US"/>
        </w:rPr>
        <w:t xml:space="preserve"> Se otorgará estímulo fiscal del 100 por ciento a los propietarios y/o tenedores de vehículos, por los cuales deban pagar el Impuesto sobre Tenencia o Uso de Vehículos en el ejercicio fiscal 2020, excepto aeronaves, embarcaciones y vehículos nuevos.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Para acogerse a este beneficio deberán:</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243817">
      <w:pPr>
        <w:numPr>
          <w:ilvl w:val="0"/>
          <w:numId w:val="9"/>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lastRenderedPageBreak/>
        <w:t xml:space="preserve">Estar al corriente en el pago del Impuesto sobre Tenencia o Uso de Vehículos y derechos vehiculares, y </w:t>
      </w:r>
    </w:p>
    <w:p w:rsidR="008C7EDF" w:rsidRPr="008C7EDF" w:rsidRDefault="008C7EDF" w:rsidP="008C7EDF">
      <w:pPr>
        <w:spacing w:line="360" w:lineRule="auto"/>
        <w:ind w:left="851" w:hanging="142"/>
        <w:jc w:val="both"/>
        <w:rPr>
          <w:rFonts w:ascii="Arial" w:eastAsia="Calibri" w:hAnsi="Arial" w:cs="Arial"/>
          <w:lang w:val="es-MX" w:eastAsia="en-US"/>
        </w:rPr>
      </w:pPr>
    </w:p>
    <w:p w:rsidR="008C7EDF" w:rsidRPr="008C7EDF" w:rsidRDefault="008C7EDF" w:rsidP="00243817">
      <w:pPr>
        <w:numPr>
          <w:ilvl w:val="0"/>
          <w:numId w:val="9"/>
        </w:numPr>
        <w:spacing w:line="360" w:lineRule="auto"/>
        <w:ind w:left="851" w:hanging="142"/>
        <w:jc w:val="both"/>
        <w:rPr>
          <w:rFonts w:ascii="Arial" w:eastAsia="Calibri" w:hAnsi="Arial" w:cs="Arial"/>
          <w:lang w:val="es-MX" w:eastAsia="en-US"/>
        </w:rPr>
      </w:pPr>
      <w:r w:rsidRPr="008C7EDF">
        <w:rPr>
          <w:rFonts w:ascii="Arial" w:eastAsia="Calibri" w:hAnsi="Arial" w:cs="Arial"/>
          <w:lang w:val="es-MX" w:eastAsia="en-US"/>
        </w:rPr>
        <w:t>Efectuar el pago del Impuesto sobre Tenencia o Uso de Vehículos, derechos de control vehicular y el primer semestre de la verificación de emisión a la atmosfera que corresponda, a más tardar el 30 de junio del ejercicio fiscal 2020.</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17.-</w:t>
      </w:r>
      <w:r w:rsidRPr="008C7EDF">
        <w:rPr>
          <w:rFonts w:ascii="Arial" w:eastAsia="Calibri" w:hAnsi="Arial" w:cs="Arial"/>
          <w:lang w:val="es-MX" w:eastAsia="en-US"/>
        </w:rPr>
        <w:t xml:space="preserve"> A los propietarios y/o tenedores de vehículos, enajenados por primera vez al consumidor por el fabricante, ensamblador, distribuidor o comerciantes en el ramo de vehículos, excepto aeronaves y embarcaciones, por los cuales deban pagar el Impuesto sobre Tenencia o Uso de Vehículos del servicio privado, se les otorgará un estímulo fiscal del 100 por ciento del Impuesto sobre Tenencia o Uso de vehículos en el ejercicio fiscal 2020.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 xml:space="preserve">Para ser beneficiario de lo anterior, deberá realizar el registro (alta) dentro de los 30 días hábiles siguientes a la fecha de adquisición y efectuar de manera conjunta el pago de los derechos de control vehicular y el primer semestre de la verificación de emisiones a la atmósfera.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 xml:space="preserve">Artículo 18. </w:t>
      </w:r>
      <w:r w:rsidRPr="008C7EDF">
        <w:rPr>
          <w:rFonts w:ascii="Arial" w:eastAsia="Calibri" w:hAnsi="Arial" w:cs="Arial"/>
          <w:lang w:val="es-MX" w:eastAsia="en-US"/>
        </w:rPr>
        <w:t xml:space="preserve">Se exime del pago del Impuesto Sobre Tenencia o Uso de Vehículos y Derechos Vehiculares relacionados que correspondan, a los propietarios y/o tenedores de vehículos que no hayan realizado el trámite de baja por pérdida total, por robo o siniestro en los ejercicios fiscales 2015 al 2020, según corresponda, considerando el ejercicio fiscal inmediato posterior en el que ocurrió lo antes señalado.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 xml:space="preserve">Para acogerse a este beneficio, se deberá presentar ante las oficinas de la autoridad fiscal copia certificada de la Averiguación Previa y/o Carpeta de Investigación, según corresponda. Tratándose de pérdida total por siniestro, </w:t>
      </w:r>
      <w:r w:rsidRPr="008C7EDF">
        <w:rPr>
          <w:rFonts w:ascii="Arial" w:eastAsia="Calibri" w:hAnsi="Arial" w:cs="Arial"/>
          <w:lang w:val="es-MX" w:eastAsia="en-US"/>
        </w:rPr>
        <w:lastRenderedPageBreak/>
        <w:t xml:space="preserve">se presentará el dictamen emitido por la aseguradora o el acta levantada por la autoridad correspondiente, que haya tomado parte del siniestro.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19.-</w:t>
      </w:r>
      <w:r w:rsidRPr="008C7EDF">
        <w:rPr>
          <w:rFonts w:ascii="Arial" w:eastAsia="Calibri" w:hAnsi="Arial" w:cs="Arial"/>
          <w:lang w:val="es-MX" w:eastAsia="en-US"/>
        </w:rPr>
        <w:t xml:space="preserve"> A los grupos y artistas independientes oaxaqueños, se les otorgará el 50 por ciento del Impuesto para el Desarrollo Social que resulte de la cuota que se genere por el uso, goce y aprovechamiento de los bienes de dominio público en custodia de la Secretaría de las Culturas y Artes de Oaxaca.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 xml:space="preserve">Las Empresas Culturales Oaxaqueñas, a las que se les otorgue el uso, goce o aprovechamiento de los bienes de dominio público en custodia de la Secretaría de las Culturas y Artes de Oaxaca se les otorgará un estímulo fiscal del 50 por ciento de la cuota que le corresponda pagar como derechos por actividades empresariales, y el 50 por ciento sobre el monto a pagar por el Impuesto para el Desarrollo Social.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20.-</w:t>
      </w:r>
      <w:r w:rsidRPr="008C7EDF">
        <w:rPr>
          <w:rFonts w:ascii="Arial" w:eastAsia="Calibri" w:hAnsi="Arial" w:cs="Arial"/>
          <w:lang w:val="es-MX" w:eastAsia="en-US"/>
        </w:rPr>
        <w:t xml:space="preserve"> Las personas físicas que sean beneficiarias en el Estado de Oaxaca del Programa de Regularización y Registros de Actos Jurídicos Agrarios (RRAJA-FANAR) y del Programa para Regularizar Asentamientos Humanos a cargo del Registro Agrario Nacional y del Instituto Nacional del Suelo Sustentable respectivamente, de acuerdo a los lineamientos que para su operación hubieran sido expedidos, serán acreedoras de los estímulos fiscales del 100 por ciento de los derechos previstos en el artículo 35 fracción I y 44 fracción I de la Ley Estatal de Derechos de Oaxaca, del 100 por ciento sobre las multas generadas ante el Instituto Catastral y el Instituto de la Función Registral del Estado de Oaxaca por presentación extemporánea de los trámites conducentes y del 100 por ciento sobre el monto a pagar por el Impuesto para el Desarrollo Social.</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strike/>
          <w:lang w:val="es-MX" w:eastAsia="en-US"/>
        </w:rPr>
      </w:pPr>
      <w:r w:rsidRPr="008C7EDF">
        <w:rPr>
          <w:rFonts w:ascii="Arial" w:eastAsia="Calibri" w:hAnsi="Arial" w:cs="Arial"/>
          <w:lang w:val="es-MX" w:eastAsia="en-US"/>
        </w:rPr>
        <w:t xml:space="preserve">El Registro Agrario Nacional y del Instituto Nacional del Suelo Sustentable a través de las Delegaciones en el Estado de Oaxaca, serán las instancias </w:t>
      </w:r>
      <w:r w:rsidRPr="008C7EDF">
        <w:rPr>
          <w:rFonts w:ascii="Arial" w:eastAsia="Calibri" w:hAnsi="Arial" w:cs="Arial"/>
          <w:lang w:val="es-MX" w:eastAsia="en-US"/>
        </w:rPr>
        <w:lastRenderedPageBreak/>
        <w:t>públicas que soliciten los trámites correspondientes respecto de los beneficiarios de los programas referidos en el párrafo anterior ante el Instituto Catastral del Estado de Oaxaca y el Instituto de la Función Registral del Estado de Oaxaca.</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21.-</w:t>
      </w:r>
      <w:r w:rsidRPr="008C7EDF">
        <w:rPr>
          <w:rFonts w:ascii="Arial" w:eastAsia="Calibri" w:hAnsi="Arial" w:cs="Arial"/>
          <w:lang w:val="es-MX" w:eastAsia="en-US"/>
        </w:rPr>
        <w:t xml:space="preserve"> Se aplicará una reducción del 100 por ciento de la cuota establecida por concepto de cancelación total o parcial de la inscripción de los actos relacionados con hipotecas o contratos de crédito con garantía hipotecaria ante el Instituto de la Función Registral del Estado de Oaxaca y del 100 por ciento sobre el monto a pagar por el Impuesto para el Desarrollo Social, siempre que el valor catastral no exceda $1,000,000.00 y se destine a vivienda de casa habitación.</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22.-</w:t>
      </w:r>
      <w:r w:rsidRPr="008C7EDF">
        <w:rPr>
          <w:rFonts w:ascii="Arial" w:eastAsia="Calibri" w:hAnsi="Arial" w:cs="Arial"/>
          <w:lang w:val="es-MX" w:eastAsia="en-US"/>
        </w:rPr>
        <w:t xml:space="preserve"> A los usuarios de los servicios de seguridad y vigilancia integral especializada se otorgará un estímulo fiscal del 100 por ciento de los accesorios que se generaron en el ejercicio fiscal 2019 y años anteriores, así como que se generen en el primer cuatrimestre del año en curso.</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23.</w:t>
      </w:r>
      <w:r w:rsidRPr="008C7EDF">
        <w:rPr>
          <w:rFonts w:ascii="Cambria Math" w:eastAsia="Calibri" w:hAnsi="Cambria Math" w:cs="Cambria Math"/>
          <w:b/>
          <w:lang w:val="es-MX" w:eastAsia="en-US"/>
        </w:rPr>
        <w:t>‐</w:t>
      </w:r>
      <w:r w:rsidRPr="008C7EDF">
        <w:rPr>
          <w:rFonts w:ascii="Arial" w:eastAsia="Calibri" w:hAnsi="Arial" w:cs="Arial"/>
          <w:lang w:val="es-MX" w:eastAsia="en-US"/>
        </w:rPr>
        <w:t xml:space="preserve"> A los niños, estudiantes, maestros, adultos mayores y personas con discapacidades, que sean oaxaqueños o tengan su domicilio en el Estado de Oaxaca, se les otorgará el estímulo fiscal del 100 por ciento equivalente al costo de la entrada a los museos a cargo de la Secretaría de las Culturas y Artes de Oaxaca y del 100 por ciento sobre el monto a pagar por el Impuesto para el Desarrollo Social los días martes.</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El Servicio de guía para grupos de estudiantes provenientes de instituciones públicas nacionales será gratuita, previa solicitud en la que se señale el día y horario de visita.</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t xml:space="preserve">Para acogerse a estos beneficios se deberán cumplir con los requisitos que para tal efecto establezca dicha Secretaría.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24.-</w:t>
      </w:r>
      <w:r w:rsidRPr="008C7EDF">
        <w:rPr>
          <w:rFonts w:ascii="Arial" w:eastAsia="Calibri" w:hAnsi="Arial" w:cs="Arial"/>
          <w:lang w:val="es-MX" w:eastAsia="en-US"/>
        </w:rPr>
        <w:t xml:space="preserve"> A los usuarios sujetos al pago de derechos por los servicios públicos en materia de servicios de agua potable y alcantarillado, se les otorgará un estímulo fiscal del 100 por ciento sobre actualizaciones, recargos y multas que se hubieran generado por la falta de pago oportuno en los ejercicios fiscales 2015 al 2019, así como del 100 por ciento del Impuesto al Desarrollo Social generado por las erogaciones antes mencionadas, siempre y cuando realicen su pago a más tardar el 30 de junio del ejercicio fiscal 2020.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bCs/>
          <w:lang w:val="es-MX" w:eastAsia="en-US"/>
        </w:rPr>
        <w:t xml:space="preserve">Artículo 25.- </w:t>
      </w:r>
      <w:r w:rsidRPr="008C7EDF">
        <w:rPr>
          <w:rFonts w:ascii="Arial" w:eastAsia="Calibri" w:hAnsi="Arial" w:cs="Arial"/>
          <w:lang w:val="es-MX" w:eastAsia="en-US"/>
        </w:rPr>
        <w:t xml:space="preserve">Las personas físicas identificadas como beneficiarios del </w:t>
      </w:r>
      <w:r w:rsidRPr="008C7EDF">
        <w:rPr>
          <w:rFonts w:ascii="Arial" w:eastAsia="Calibri" w:hAnsi="Arial" w:cs="Arial"/>
          <w:i/>
          <w:lang w:val="es-MX" w:eastAsia="en-US"/>
        </w:rPr>
        <w:t xml:space="preserve">Programa Mi Capacitación Ahora </w:t>
      </w:r>
      <w:r w:rsidRPr="008C7EDF">
        <w:rPr>
          <w:rFonts w:ascii="Arial" w:eastAsia="Calibri" w:hAnsi="Arial" w:cs="Arial"/>
          <w:lang w:val="es-MX" w:eastAsia="en-US"/>
        </w:rPr>
        <w:t>del Instituto de Capacitación y Productividad para el Trabajo del Estado de Oaxaca, de acuerdo a los lineamientos que para su operación hubieran sido expedidos, serán beneficiados de los estímulos fiscales de hasta el 100 por ciento de los derechos previstos en el artículo 40 fracciones VI, VIII, IX, X y XI de la Ley Estatal de Derechos de Oaxaca y hasta del 100 por ciento sobre el monto a pagar del Impuesto para el Desarrollo Social, por lo que se faculta a su Director General para que en la aplicación de los estímulos se consideren los grados de marginación municipal y de vulnerabilidad del grupo al que pertenezcan los beneficiarios del programa.</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26.-</w:t>
      </w:r>
      <w:r w:rsidRPr="008C7EDF">
        <w:rPr>
          <w:rFonts w:ascii="Arial" w:eastAsia="Calibri" w:hAnsi="Arial" w:cs="Arial"/>
          <w:lang w:val="es-MX" w:eastAsia="en-US"/>
        </w:rPr>
        <w:t xml:space="preserve"> Se otorga un estímulo fiscal del 50% del derecho por la expedición de licencias de conducir unidades de seguridad pública, salvamento y rescate, tipo “E”, previsto en el artículo 30 fracción V de la Ley Estatal de Derechos de Oaxaca, a los contribuyentes que por motivo de su actividad ya sea policía, bombero o rescatista a los cuales se les haya asignado una unidad oficial de la Secretaría de Seguridad Pública de Oaxaca o a la Coordinación Estatal de Protección Civil de Oaxaca, quienes para hacerse acreedores a dicho estimulo deberán presentar la documentación comprobatoria que les sea solicitada por la Secretaria de Movilidad.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lastRenderedPageBreak/>
        <w:t>Artículo 27.-</w:t>
      </w:r>
      <w:r w:rsidRPr="008C7EDF">
        <w:rPr>
          <w:rFonts w:ascii="Arial" w:eastAsia="Calibri" w:hAnsi="Arial" w:cs="Arial"/>
          <w:lang w:val="es-MX" w:eastAsia="en-US"/>
        </w:rPr>
        <w:t xml:space="preserve"> Las Dependencias prestadoras de los servicios que se encuentran sujetos a estímulos fiscales, referidos en los artículos 19, 20, 21, 22, 24, 25 y 26 de esta Ley, deberán informar trimestralmente a la Secretaría la relación de los contribuyentes beneficiarios de los servicios públicos contenidos en la presente Ley; identificando nombre completo, denominación o razón social, clave del registro federal de los contribuyentes, localidad, servicios prestados y el monto del beneficio fiscal otorgado.</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28.-</w:t>
      </w:r>
      <w:r w:rsidRPr="008C7EDF">
        <w:rPr>
          <w:rFonts w:ascii="Arial" w:eastAsia="Calibri" w:hAnsi="Arial" w:cs="Arial"/>
          <w:lang w:val="es-MX" w:eastAsia="en-US"/>
        </w:rPr>
        <w:t xml:space="preserve"> Se autoriza al Ejecutivo Estatal, por conducto de la Secretaría, para condonar contribuciones cuando se susciten contingencias generadas por fenómenos naturales antropogénicos, grupos sociales en situación de vulnerabilidad, así como con el objetivo de favorecer la reactivación económica estatal.</w:t>
      </w:r>
    </w:p>
    <w:p w:rsidR="008C7EDF" w:rsidRPr="008C7EDF" w:rsidRDefault="008C7EDF" w:rsidP="008C7EDF">
      <w:pPr>
        <w:spacing w:after="200" w:line="360" w:lineRule="auto"/>
        <w:ind w:left="567"/>
        <w:jc w:val="both"/>
        <w:rPr>
          <w:rFonts w:ascii="Arial" w:eastAsia="Calibri" w:hAnsi="Arial" w:cs="Arial"/>
          <w:lang w:val="es-MX" w:eastAsia="en-US"/>
        </w:rPr>
      </w:pPr>
    </w:p>
    <w:p w:rsidR="008C7EDF" w:rsidRPr="008C7EDF" w:rsidRDefault="008C7EDF" w:rsidP="008C7EDF">
      <w:pPr>
        <w:spacing w:after="200" w:line="360" w:lineRule="auto"/>
        <w:ind w:left="567"/>
        <w:jc w:val="center"/>
        <w:rPr>
          <w:rFonts w:ascii="Arial" w:eastAsia="Calibri" w:hAnsi="Arial" w:cs="Arial"/>
          <w:b/>
          <w:lang w:val="es-MX" w:eastAsia="en-US"/>
        </w:rPr>
      </w:pPr>
      <w:r w:rsidRPr="008C7EDF">
        <w:rPr>
          <w:rFonts w:ascii="Arial" w:eastAsia="Calibri" w:hAnsi="Arial" w:cs="Arial"/>
          <w:b/>
          <w:lang w:val="es-MX" w:eastAsia="en-US"/>
        </w:rPr>
        <w:t>TÍTULO TERCERO</w:t>
      </w:r>
    </w:p>
    <w:p w:rsidR="008C7EDF" w:rsidRPr="008C7EDF" w:rsidRDefault="008C7EDF" w:rsidP="008C7EDF">
      <w:pPr>
        <w:spacing w:after="200" w:line="360" w:lineRule="auto"/>
        <w:ind w:left="567"/>
        <w:jc w:val="center"/>
        <w:rPr>
          <w:rFonts w:ascii="Arial" w:eastAsia="Calibri" w:hAnsi="Arial" w:cs="Arial"/>
          <w:b/>
          <w:lang w:val="es-MX" w:eastAsia="en-US"/>
        </w:rPr>
      </w:pPr>
      <w:r w:rsidRPr="008C7EDF">
        <w:rPr>
          <w:rFonts w:ascii="Arial" w:eastAsia="Calibri" w:hAnsi="Arial" w:cs="Arial"/>
          <w:b/>
          <w:lang w:val="es-MX" w:eastAsia="en-US"/>
        </w:rPr>
        <w:t>DE LA INFORMACIÓN Y TRANSPARENCIA</w:t>
      </w:r>
    </w:p>
    <w:p w:rsidR="008C7EDF" w:rsidRPr="008C7EDF" w:rsidRDefault="008C7EDF" w:rsidP="008C7EDF">
      <w:pPr>
        <w:spacing w:after="200" w:line="360" w:lineRule="auto"/>
        <w:ind w:left="567"/>
        <w:jc w:val="center"/>
        <w:rPr>
          <w:rFonts w:ascii="Arial" w:eastAsia="Calibri" w:hAnsi="Arial" w:cs="Arial"/>
          <w:b/>
          <w:lang w:val="es-MX" w:eastAsia="en-US"/>
        </w:rPr>
      </w:pPr>
    </w:p>
    <w:p w:rsidR="008C7EDF" w:rsidRPr="008C7EDF" w:rsidRDefault="008C7EDF" w:rsidP="008C7EDF">
      <w:pPr>
        <w:spacing w:line="360" w:lineRule="auto"/>
        <w:ind w:left="567"/>
        <w:jc w:val="center"/>
        <w:rPr>
          <w:rFonts w:ascii="Arial" w:eastAsia="Calibri" w:hAnsi="Arial" w:cs="Arial"/>
          <w:b/>
          <w:lang w:val="es-MX" w:eastAsia="en-US"/>
        </w:rPr>
      </w:pPr>
      <w:r w:rsidRPr="008C7EDF">
        <w:rPr>
          <w:rFonts w:ascii="Arial" w:eastAsia="Calibri" w:hAnsi="Arial" w:cs="Arial"/>
          <w:b/>
          <w:lang w:val="es-MX" w:eastAsia="en-US"/>
        </w:rPr>
        <w:t>CAPÍTULO ÚNICO</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29.-</w:t>
      </w:r>
      <w:r w:rsidRPr="008C7EDF">
        <w:rPr>
          <w:rFonts w:ascii="Arial" w:eastAsia="Calibri" w:hAnsi="Arial" w:cs="Arial"/>
          <w:lang w:val="es-MX" w:eastAsia="en-US"/>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Ingresos y Decreto de Presupuesto de Egresos de la Federación del Ejercicio Fiscal 2020, de las facilidades administrativas, estímulos y subsidios fiscales otorgados, de los créditos u obligaciones de pago, situación económica y de las finanzas públicas en los términos previstos en normativa aplicable.</w:t>
      </w:r>
    </w:p>
    <w:p w:rsidR="008C7EDF" w:rsidRPr="008C7EDF" w:rsidRDefault="008C7EDF" w:rsidP="008C7EDF">
      <w:pPr>
        <w:spacing w:line="360" w:lineRule="auto"/>
        <w:ind w:left="567"/>
        <w:jc w:val="center"/>
        <w:rPr>
          <w:rFonts w:ascii="Arial" w:eastAsia="Calibri" w:hAnsi="Arial" w:cs="Arial"/>
          <w:b/>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lang w:val="es-MX" w:eastAsia="en-US"/>
        </w:rPr>
        <w:lastRenderedPageBreak/>
        <w:t xml:space="preserve">La información a que se refiere en el párrafo anterior, deberá ser difundida en la página de internet respectiva. </w:t>
      </w:r>
    </w:p>
    <w:p w:rsidR="008C7EDF" w:rsidRPr="008C7EDF" w:rsidRDefault="008C7EDF" w:rsidP="008C7EDF">
      <w:pPr>
        <w:spacing w:line="360" w:lineRule="auto"/>
        <w:ind w:left="567"/>
        <w:jc w:val="both"/>
        <w:rPr>
          <w:rFonts w:ascii="Arial" w:eastAsia="Calibri" w:hAnsi="Arial" w:cs="Arial"/>
          <w:lang w:val="es-MX" w:eastAsia="en-US"/>
        </w:rPr>
      </w:pPr>
    </w:p>
    <w:p w:rsidR="008C7EDF" w:rsidRPr="008C7EDF" w:rsidRDefault="008C7EDF" w:rsidP="008C7EDF">
      <w:pPr>
        <w:spacing w:line="360" w:lineRule="auto"/>
        <w:ind w:left="567"/>
        <w:jc w:val="both"/>
        <w:rPr>
          <w:rFonts w:ascii="Arial" w:eastAsia="Calibri" w:hAnsi="Arial" w:cs="Arial"/>
          <w:lang w:val="es-MX" w:eastAsia="en-US"/>
        </w:rPr>
      </w:pPr>
      <w:r w:rsidRPr="008C7EDF">
        <w:rPr>
          <w:rFonts w:ascii="Arial" w:eastAsia="Calibri" w:hAnsi="Arial" w:cs="Arial"/>
          <w:b/>
          <w:lang w:val="es-MX" w:eastAsia="en-US"/>
        </w:rPr>
        <w:t>Artículo 30.-</w:t>
      </w:r>
      <w:r w:rsidRPr="008C7EDF">
        <w:rPr>
          <w:rFonts w:ascii="Arial" w:eastAsia="Calibri" w:hAnsi="Arial" w:cs="Arial"/>
          <w:lang w:val="es-MX" w:eastAsia="en-US"/>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rsidR="008C7EDF" w:rsidRPr="008C7EDF" w:rsidRDefault="008C7EDF" w:rsidP="008C7EDF">
      <w:pPr>
        <w:tabs>
          <w:tab w:val="left" w:pos="9072"/>
        </w:tabs>
        <w:spacing w:line="360" w:lineRule="auto"/>
        <w:ind w:right="1134"/>
        <w:rPr>
          <w:rFonts w:ascii="Arial" w:hAnsi="Arial" w:cs="Arial"/>
          <w:lang w:val="es-MX"/>
        </w:rPr>
      </w:pPr>
    </w:p>
    <w:p w:rsidR="008C7EDF" w:rsidRPr="008C7EDF" w:rsidRDefault="008C7EDF" w:rsidP="008C7EDF">
      <w:pPr>
        <w:tabs>
          <w:tab w:val="left" w:pos="9072"/>
        </w:tabs>
        <w:spacing w:line="360" w:lineRule="auto"/>
        <w:ind w:left="567"/>
        <w:jc w:val="center"/>
        <w:rPr>
          <w:rFonts w:ascii="Arial Narrow" w:hAnsi="Arial Narrow" w:cs="Arial"/>
          <w:b/>
          <w:lang w:val="es-MX"/>
        </w:rPr>
      </w:pPr>
      <w:r w:rsidRPr="008C7EDF">
        <w:rPr>
          <w:rFonts w:ascii="Arial Narrow" w:hAnsi="Arial Narrow" w:cs="Arial"/>
          <w:b/>
          <w:lang w:val="es-MX"/>
        </w:rPr>
        <w:t>TRANSITORIOS:</w:t>
      </w:r>
    </w:p>
    <w:p w:rsidR="008C7EDF" w:rsidRPr="008C7EDF" w:rsidRDefault="008C7EDF" w:rsidP="008C7EDF">
      <w:pPr>
        <w:spacing w:line="360" w:lineRule="auto"/>
        <w:ind w:left="567"/>
        <w:jc w:val="both"/>
        <w:rPr>
          <w:rFonts w:ascii="Arial Narrow" w:hAnsi="Arial Narrow" w:cs="Arial"/>
          <w:b/>
          <w:lang w:val="es-MX"/>
        </w:rPr>
      </w:pPr>
    </w:p>
    <w:p w:rsidR="008C7EDF" w:rsidRPr="008C7EDF" w:rsidRDefault="008C7EDF" w:rsidP="008C7EDF">
      <w:pPr>
        <w:spacing w:line="360" w:lineRule="auto"/>
        <w:ind w:left="567"/>
        <w:jc w:val="both"/>
        <w:rPr>
          <w:rFonts w:ascii="Arial Narrow" w:hAnsi="Arial Narrow" w:cs="Arial"/>
          <w:lang w:val="es-MX"/>
        </w:rPr>
      </w:pPr>
      <w:r w:rsidRPr="008C7EDF">
        <w:rPr>
          <w:rFonts w:ascii="Arial Narrow" w:hAnsi="Arial Narrow" w:cs="Arial"/>
          <w:b/>
          <w:lang w:val="es-MX"/>
        </w:rPr>
        <w:t>PRIMERO.</w:t>
      </w:r>
      <w:r w:rsidRPr="008C7EDF">
        <w:rPr>
          <w:rFonts w:ascii="Arial Narrow" w:hAnsi="Arial Narrow" w:cs="Arial"/>
          <w:lang w:val="es-MX"/>
        </w:rPr>
        <w:t xml:space="preserve"> Publíquese el presente Decreto en el Periódico Oficial del Gobierno del Estado.</w:t>
      </w:r>
    </w:p>
    <w:p w:rsidR="008C7EDF" w:rsidRPr="008C7EDF" w:rsidRDefault="008C7EDF" w:rsidP="008C7EDF">
      <w:pPr>
        <w:spacing w:line="360" w:lineRule="auto"/>
        <w:ind w:left="567"/>
        <w:jc w:val="both"/>
        <w:rPr>
          <w:rFonts w:ascii="Arial Narrow" w:hAnsi="Arial Narrow" w:cs="Arial"/>
          <w:lang w:val="es-MX"/>
        </w:rPr>
      </w:pPr>
    </w:p>
    <w:p w:rsidR="008C7EDF" w:rsidRPr="008C7EDF" w:rsidRDefault="008C7EDF" w:rsidP="008C7EDF">
      <w:pPr>
        <w:spacing w:line="360" w:lineRule="auto"/>
        <w:ind w:left="567"/>
        <w:jc w:val="both"/>
        <w:rPr>
          <w:rFonts w:ascii="Arial Narrow" w:hAnsi="Arial Narrow" w:cs="Arial"/>
          <w:lang w:val="es-MX"/>
        </w:rPr>
      </w:pPr>
      <w:r w:rsidRPr="008C7EDF">
        <w:rPr>
          <w:rFonts w:ascii="Arial Narrow" w:hAnsi="Arial Narrow" w:cs="Arial"/>
          <w:b/>
          <w:lang w:val="es-MX"/>
        </w:rPr>
        <w:t>SEGUNDO.</w:t>
      </w:r>
      <w:r w:rsidRPr="008C7EDF">
        <w:rPr>
          <w:rFonts w:ascii="Arial Narrow" w:hAnsi="Arial Narrow" w:cs="Arial"/>
          <w:lang w:val="es-MX"/>
        </w:rPr>
        <w:t xml:space="preserve"> </w:t>
      </w:r>
      <w:r w:rsidRPr="008C7EDF">
        <w:rPr>
          <w:rFonts w:ascii="Arial Narrow" w:eastAsia="Calibri" w:hAnsi="Arial Narrow" w:cs="Arial"/>
          <w:lang w:val="es-MX"/>
        </w:rPr>
        <w:t>El presente Decreto entrará en vigor el uno de enero de dos mil veinte, previa publicación en el Periódico Oficial del Gobierno del Estado</w:t>
      </w:r>
      <w:r w:rsidRPr="008C7EDF">
        <w:rPr>
          <w:rFonts w:ascii="Arial Narrow" w:hAnsi="Arial Narrow" w:cs="Arial"/>
          <w:lang w:val="es-MX"/>
        </w:rPr>
        <w:t>.</w:t>
      </w:r>
    </w:p>
    <w:p w:rsidR="008C7EDF" w:rsidRPr="008C7EDF" w:rsidRDefault="008C7EDF" w:rsidP="008C7EDF">
      <w:pPr>
        <w:spacing w:after="200" w:line="360" w:lineRule="auto"/>
        <w:ind w:left="567" w:right="51"/>
        <w:jc w:val="both"/>
        <w:rPr>
          <w:rFonts w:ascii="Arial Narrow" w:eastAsia="Calibri" w:hAnsi="Arial Narrow" w:cs="Arial"/>
          <w:lang w:val="es-MX" w:eastAsia="en-US"/>
        </w:rPr>
      </w:pPr>
    </w:p>
    <w:p w:rsidR="008C7EDF" w:rsidRPr="008C7EDF" w:rsidRDefault="008C7EDF" w:rsidP="008C7EDF">
      <w:pPr>
        <w:spacing w:after="200" w:line="360" w:lineRule="auto"/>
        <w:ind w:left="567" w:right="51"/>
        <w:jc w:val="both"/>
        <w:rPr>
          <w:rFonts w:ascii="Arial Narrow" w:eastAsia="Calibri" w:hAnsi="Arial Narrow" w:cs="Arial"/>
          <w:lang w:val="es-MX" w:eastAsia="en-US"/>
        </w:rPr>
      </w:pPr>
      <w:r w:rsidRPr="008C7EDF">
        <w:rPr>
          <w:rFonts w:ascii="Arial Narrow" w:eastAsia="Calibri" w:hAnsi="Arial Narrow" w:cs="Arial"/>
          <w:b/>
          <w:lang w:val="es-MX" w:eastAsia="en-US"/>
        </w:rPr>
        <w:t>TERCERO</w:t>
      </w:r>
      <w:r w:rsidRPr="008C7EDF">
        <w:rPr>
          <w:rFonts w:ascii="Arial Narrow" w:eastAsia="Calibri" w:hAnsi="Arial Narrow" w:cs="Arial"/>
          <w:lang w:val="es-MX" w:eastAsia="en-US"/>
        </w:rPr>
        <w:t>.</w:t>
      </w:r>
      <w:r w:rsidRPr="008C7EDF">
        <w:rPr>
          <w:rFonts w:ascii="Arial Narrow" w:eastAsia="Calibri" w:hAnsi="Arial Narrow" w:cs="Arial"/>
          <w:b/>
          <w:lang w:val="es-MX" w:eastAsia="ar-SA"/>
        </w:rPr>
        <w:t xml:space="preserve"> </w:t>
      </w:r>
      <w:r w:rsidRPr="008C7EDF">
        <w:rPr>
          <w:rFonts w:ascii="Arial Narrow" w:eastAsia="Calibri" w:hAnsi="Arial Narrow" w:cs="Arial"/>
          <w:lang w:val="es-MX" w:eastAsia="ar-SA"/>
        </w:rPr>
        <w:t>Se derogan todas aquellas disposiciones, de igual o menor jerarquía, que se oponga al presente Decreto</w:t>
      </w:r>
      <w:r w:rsidRPr="008C7EDF">
        <w:rPr>
          <w:rFonts w:ascii="Arial Narrow" w:eastAsia="Calibri" w:hAnsi="Arial Narrow" w:cs="Arial"/>
          <w:spacing w:val="1"/>
          <w:lang w:val="es-MX" w:eastAsia="en-US"/>
        </w:rPr>
        <w:t>, aun cuando no estén expresamente derogadas.</w:t>
      </w:r>
    </w:p>
    <w:p w:rsidR="008C7EDF" w:rsidRPr="008C7EDF" w:rsidRDefault="008C7EDF" w:rsidP="008C7EDF">
      <w:pPr>
        <w:spacing w:line="360" w:lineRule="auto"/>
        <w:jc w:val="both"/>
        <w:rPr>
          <w:rFonts w:ascii="Arial Narrow" w:hAnsi="Arial Narrow" w:cs="Arial"/>
          <w:lang w:val="es-MX"/>
        </w:rPr>
      </w:pPr>
    </w:p>
    <w:p w:rsidR="008C7EDF" w:rsidRPr="008C7EDF" w:rsidRDefault="008C7EDF" w:rsidP="008C7EDF">
      <w:pPr>
        <w:spacing w:line="360" w:lineRule="auto"/>
        <w:jc w:val="both"/>
        <w:rPr>
          <w:rFonts w:ascii="Arial" w:hAnsi="Arial" w:cs="Arial"/>
          <w:lang w:val="es-MX"/>
        </w:rPr>
      </w:pPr>
    </w:p>
    <w:p w:rsidR="008C7EDF" w:rsidRPr="008C7EDF" w:rsidRDefault="008C7EDF" w:rsidP="008C7EDF">
      <w:pPr>
        <w:spacing w:line="360" w:lineRule="auto"/>
        <w:jc w:val="both"/>
        <w:rPr>
          <w:rFonts w:ascii="Arial" w:hAnsi="Arial" w:cs="Arial"/>
          <w:lang w:val="es-MX"/>
        </w:rPr>
      </w:pPr>
      <w:bookmarkStart w:id="0" w:name="_GoBack"/>
      <w:bookmarkEnd w:id="0"/>
    </w:p>
    <w:sectPr w:rsidR="008C7EDF" w:rsidRPr="008C7EDF">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C0" w:rsidRDefault="00006DC0" w:rsidP="00AF5EA8">
      <w:r>
        <w:separator/>
      </w:r>
    </w:p>
  </w:endnote>
  <w:endnote w:type="continuationSeparator" w:id="0">
    <w:p w:rsidR="00006DC0" w:rsidRDefault="00006DC0"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C0" w:rsidRDefault="00006DC0" w:rsidP="00AF5EA8">
      <w:r>
        <w:separator/>
      </w:r>
    </w:p>
  </w:footnote>
  <w:footnote w:type="continuationSeparator" w:id="0">
    <w:p w:rsidR="00006DC0" w:rsidRDefault="00006DC0"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1285"/>
      <w:gridCol w:w="3767"/>
      <w:gridCol w:w="3786"/>
    </w:tblGrid>
    <w:tr w:rsidR="006C0712" w:rsidRPr="008C7EDF" w:rsidTr="00206A60">
      <w:trPr>
        <w:cantSplit/>
        <w:trHeight w:val="333"/>
      </w:trPr>
      <w:tc>
        <w:tcPr>
          <w:tcW w:w="1390" w:type="dxa"/>
          <w:vMerge w:val="restart"/>
          <w:vAlign w:val="center"/>
        </w:tcPr>
        <w:p w:rsidR="006C0712" w:rsidRPr="00AF5EA8" w:rsidRDefault="006C0712"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CF7F2FB" wp14:editId="1F31387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C0712" w:rsidRPr="00737A4E" w:rsidRDefault="006C0712" w:rsidP="00737A4E">
          <w:pPr>
            <w:pStyle w:val="Ttulo1"/>
            <w:jc w:val="right"/>
            <w:rPr>
              <w:rFonts w:ascii="Tahoma" w:hAnsi="Tahoma" w:cs="Tahoma"/>
              <w:b/>
              <w:kern w:val="0"/>
              <w:sz w:val="16"/>
              <w:szCs w:val="16"/>
              <w:lang w:val="es-MX"/>
            </w:rPr>
          </w:pPr>
          <w:r w:rsidRPr="003B7220">
            <w:rPr>
              <w:rFonts w:ascii="Tahoma" w:hAnsi="Tahoma" w:cs="Tahoma"/>
              <w:b/>
              <w:kern w:val="0"/>
              <w:sz w:val="16"/>
              <w:szCs w:val="16"/>
              <w:lang w:val="es-MX"/>
            </w:rPr>
            <w:t>LEY DE INGRESOS DEL ESTADO DE OAXACA PARA EL EJERCICIO FISCAL</w:t>
          </w:r>
          <w:r>
            <w:rPr>
              <w:rFonts w:ascii="Tahoma" w:hAnsi="Tahoma" w:cs="Tahoma"/>
              <w:b/>
              <w:kern w:val="0"/>
              <w:sz w:val="16"/>
              <w:szCs w:val="16"/>
              <w:lang w:val="es-MX"/>
            </w:rPr>
            <w:t xml:space="preserve"> 20</w:t>
          </w:r>
          <w:r w:rsidR="008C7EDF">
            <w:rPr>
              <w:rFonts w:ascii="Tahoma" w:hAnsi="Tahoma" w:cs="Tahoma"/>
              <w:b/>
              <w:kern w:val="0"/>
              <w:sz w:val="16"/>
              <w:szCs w:val="16"/>
              <w:lang w:val="es-MX"/>
            </w:rPr>
            <w:t>20</w:t>
          </w:r>
        </w:p>
      </w:tc>
    </w:tr>
    <w:tr w:rsidR="006C0712" w:rsidRPr="008C7EDF" w:rsidTr="00206A60">
      <w:trPr>
        <w:cantSplit/>
        <w:trHeight w:val="50"/>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C0712" w:rsidRPr="00E97E8A" w:rsidRDefault="006C0712" w:rsidP="00AF5EA8">
          <w:pPr>
            <w:tabs>
              <w:tab w:val="center" w:pos="4252"/>
              <w:tab w:val="right" w:pos="8504"/>
            </w:tabs>
            <w:ind w:left="-70"/>
            <w:jc w:val="right"/>
            <w:rPr>
              <w:rFonts w:ascii="Arial Narrow" w:hAnsi="Arial Narrow" w:cs="Arial"/>
              <w:sz w:val="4"/>
              <w:lang w:val="es-MX"/>
            </w:rPr>
          </w:pPr>
        </w:p>
      </w:tc>
    </w:tr>
    <w:tr w:rsidR="006C0712" w:rsidRPr="00AF5EA8" w:rsidTr="00206A60">
      <w:trPr>
        <w:cantSplit/>
        <w:trHeight w:val="295"/>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4077" w:type="dxa"/>
        </w:tcPr>
        <w:p w:rsidR="006C0712" w:rsidRPr="00E97E8A" w:rsidRDefault="006C0712" w:rsidP="00AF5EA8">
          <w:pPr>
            <w:tabs>
              <w:tab w:val="center" w:pos="4252"/>
              <w:tab w:val="right" w:pos="8504"/>
            </w:tabs>
            <w:ind w:left="-70"/>
            <w:rPr>
              <w:rFonts w:ascii="Arial Narrow" w:hAnsi="Arial Narrow" w:cs="Arial"/>
              <w:sz w:val="4"/>
              <w:lang w:val="es-MX"/>
            </w:rPr>
          </w:pPr>
        </w:p>
      </w:tc>
      <w:tc>
        <w:tcPr>
          <w:tcW w:w="4077" w:type="dxa"/>
        </w:tcPr>
        <w:p w:rsidR="006C0712" w:rsidRPr="00AF5EA8" w:rsidRDefault="006C0712" w:rsidP="00796DF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PPOE 2</w:t>
          </w:r>
          <w:r w:rsidR="008C7EDF">
            <w:rPr>
              <w:rFonts w:ascii="Arial" w:hAnsi="Arial" w:cs="Arial"/>
              <w:i/>
              <w:iCs/>
              <w:color w:val="181818"/>
              <w:sz w:val="14"/>
            </w:rPr>
            <w:t>4</w:t>
          </w:r>
          <w:r>
            <w:rPr>
              <w:rFonts w:ascii="Arial" w:hAnsi="Arial" w:cs="Arial"/>
              <w:i/>
              <w:iCs/>
              <w:color w:val="181818"/>
              <w:sz w:val="14"/>
            </w:rPr>
            <w:t>-12-201</w:t>
          </w:r>
          <w:r w:rsidR="008C7EDF">
            <w:rPr>
              <w:rFonts w:ascii="Arial" w:hAnsi="Arial" w:cs="Arial"/>
              <w:i/>
              <w:iCs/>
              <w:color w:val="181818"/>
              <w:sz w:val="14"/>
            </w:rPr>
            <w:t>9</w:t>
          </w:r>
          <w:r w:rsidRPr="00AF5EA8">
            <w:rPr>
              <w:rFonts w:ascii="Arial" w:hAnsi="Arial" w:cs="Arial"/>
              <w:i/>
              <w:iCs/>
              <w:color w:val="181818"/>
              <w:sz w:val="14"/>
            </w:rPr>
            <w:t xml:space="preserve"> </w:t>
          </w:r>
        </w:p>
      </w:tc>
    </w:tr>
  </w:tbl>
  <w:p w:rsidR="006C0712" w:rsidRDefault="006C07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F9A09ED"/>
    <w:multiLevelType w:val="hybridMultilevel"/>
    <w:tmpl w:val="D4E02F68"/>
    <w:lvl w:ilvl="0" w:tplc="05F27384">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230D6DC2"/>
    <w:multiLevelType w:val="hybridMultilevel"/>
    <w:tmpl w:val="44CEDF2C"/>
    <w:lvl w:ilvl="0" w:tplc="080A0013">
      <w:start w:val="1"/>
      <w:numFmt w:val="upperRoman"/>
      <w:lvlText w:val="%1."/>
      <w:lvlJc w:val="righ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BBE4F8A"/>
    <w:multiLevelType w:val="hybridMultilevel"/>
    <w:tmpl w:val="9DEAA986"/>
    <w:lvl w:ilvl="0" w:tplc="1AD83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6454C5"/>
    <w:multiLevelType w:val="hybridMultilevel"/>
    <w:tmpl w:val="32869D6E"/>
    <w:lvl w:ilvl="0" w:tplc="036A69A6">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44B21496"/>
    <w:multiLevelType w:val="hybridMultilevel"/>
    <w:tmpl w:val="90E8A23C"/>
    <w:lvl w:ilvl="0" w:tplc="7BE2EF08">
      <w:start w:val="1"/>
      <w:numFmt w:val="upperRoman"/>
      <w:lvlText w:val="%1."/>
      <w:lvlJc w:val="right"/>
      <w:pPr>
        <w:ind w:left="644"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FC51F0"/>
    <w:multiLevelType w:val="hybridMultilevel"/>
    <w:tmpl w:val="C3401A66"/>
    <w:lvl w:ilvl="0" w:tplc="16425A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4E44D7"/>
    <w:multiLevelType w:val="hybridMultilevel"/>
    <w:tmpl w:val="F3D49422"/>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8" w15:restartNumberingAfterBreak="0">
    <w:nsid w:val="64A56287"/>
    <w:multiLevelType w:val="hybridMultilevel"/>
    <w:tmpl w:val="3708A000"/>
    <w:lvl w:ilvl="0" w:tplc="A44EAF0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0E6E3D"/>
    <w:multiLevelType w:val="hybridMultilevel"/>
    <w:tmpl w:val="EDF0A1D2"/>
    <w:lvl w:ilvl="0" w:tplc="70DE5D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21500F"/>
    <w:multiLevelType w:val="hybridMultilevel"/>
    <w:tmpl w:val="7068A736"/>
    <w:lvl w:ilvl="0" w:tplc="728008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0"/>
  </w:num>
  <w:num w:numId="5">
    <w:abstractNumId w:val="8"/>
  </w:num>
  <w:num w:numId="6">
    <w:abstractNumId w:val="1"/>
  </w:num>
  <w:num w:numId="7">
    <w:abstractNumId w:val="7"/>
  </w:num>
  <w:num w:numId="8">
    <w:abstractNumId w:val="4"/>
  </w:num>
  <w:num w:numId="9">
    <w:abstractNumId w:val="2"/>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033B1"/>
    <w:rsid w:val="000059BB"/>
    <w:rsid w:val="00006DC0"/>
    <w:rsid w:val="000152F5"/>
    <w:rsid w:val="000270B3"/>
    <w:rsid w:val="00054FA9"/>
    <w:rsid w:val="00061CCB"/>
    <w:rsid w:val="000633C9"/>
    <w:rsid w:val="00064751"/>
    <w:rsid w:val="000731A1"/>
    <w:rsid w:val="000909EA"/>
    <w:rsid w:val="00092AAC"/>
    <w:rsid w:val="000B45BD"/>
    <w:rsid w:val="000D20EC"/>
    <w:rsid w:val="000D2C4C"/>
    <w:rsid w:val="000E30ED"/>
    <w:rsid w:val="001068B3"/>
    <w:rsid w:val="00112275"/>
    <w:rsid w:val="00126590"/>
    <w:rsid w:val="00136E82"/>
    <w:rsid w:val="00146684"/>
    <w:rsid w:val="00150871"/>
    <w:rsid w:val="0015239D"/>
    <w:rsid w:val="001568DC"/>
    <w:rsid w:val="001577AA"/>
    <w:rsid w:val="00162FF0"/>
    <w:rsid w:val="00170F67"/>
    <w:rsid w:val="001842F4"/>
    <w:rsid w:val="00185E35"/>
    <w:rsid w:val="001900B9"/>
    <w:rsid w:val="001918E4"/>
    <w:rsid w:val="0019397C"/>
    <w:rsid w:val="001C17E2"/>
    <w:rsid w:val="001E1157"/>
    <w:rsid w:val="00206A60"/>
    <w:rsid w:val="002121E7"/>
    <w:rsid w:val="0021652C"/>
    <w:rsid w:val="00224002"/>
    <w:rsid w:val="00243817"/>
    <w:rsid w:val="00254EC9"/>
    <w:rsid w:val="00260F07"/>
    <w:rsid w:val="00263FAD"/>
    <w:rsid w:val="0026487B"/>
    <w:rsid w:val="0026593C"/>
    <w:rsid w:val="00290A82"/>
    <w:rsid w:val="00292079"/>
    <w:rsid w:val="002A5540"/>
    <w:rsid w:val="002B55E8"/>
    <w:rsid w:val="002D664D"/>
    <w:rsid w:val="002E63E3"/>
    <w:rsid w:val="002F4821"/>
    <w:rsid w:val="0031450B"/>
    <w:rsid w:val="00322622"/>
    <w:rsid w:val="0033299A"/>
    <w:rsid w:val="00356303"/>
    <w:rsid w:val="003578E3"/>
    <w:rsid w:val="00361C4C"/>
    <w:rsid w:val="00362105"/>
    <w:rsid w:val="003642BA"/>
    <w:rsid w:val="00384DF0"/>
    <w:rsid w:val="00385EBE"/>
    <w:rsid w:val="00387651"/>
    <w:rsid w:val="00391E43"/>
    <w:rsid w:val="00393F68"/>
    <w:rsid w:val="003B7220"/>
    <w:rsid w:val="003C2785"/>
    <w:rsid w:val="003D115E"/>
    <w:rsid w:val="003F542B"/>
    <w:rsid w:val="0044565D"/>
    <w:rsid w:val="00450C2E"/>
    <w:rsid w:val="00463055"/>
    <w:rsid w:val="004652CD"/>
    <w:rsid w:val="004707BD"/>
    <w:rsid w:val="00484D8A"/>
    <w:rsid w:val="00494797"/>
    <w:rsid w:val="00494EB8"/>
    <w:rsid w:val="004B2B85"/>
    <w:rsid w:val="004C3243"/>
    <w:rsid w:val="004D6AFA"/>
    <w:rsid w:val="00504F54"/>
    <w:rsid w:val="00510E54"/>
    <w:rsid w:val="00511088"/>
    <w:rsid w:val="00513A85"/>
    <w:rsid w:val="00520B18"/>
    <w:rsid w:val="00525800"/>
    <w:rsid w:val="00526F77"/>
    <w:rsid w:val="005318C1"/>
    <w:rsid w:val="005473FA"/>
    <w:rsid w:val="00551A03"/>
    <w:rsid w:val="0056192E"/>
    <w:rsid w:val="00572FAD"/>
    <w:rsid w:val="00573818"/>
    <w:rsid w:val="00575170"/>
    <w:rsid w:val="00576FC2"/>
    <w:rsid w:val="005847C4"/>
    <w:rsid w:val="005A04A3"/>
    <w:rsid w:val="005D099F"/>
    <w:rsid w:val="005D5EA4"/>
    <w:rsid w:val="005E6DAF"/>
    <w:rsid w:val="005F1A65"/>
    <w:rsid w:val="00630458"/>
    <w:rsid w:val="006419B1"/>
    <w:rsid w:val="006459BD"/>
    <w:rsid w:val="00647C6E"/>
    <w:rsid w:val="006611F4"/>
    <w:rsid w:val="0067561F"/>
    <w:rsid w:val="00684556"/>
    <w:rsid w:val="00687AEF"/>
    <w:rsid w:val="0069061D"/>
    <w:rsid w:val="0069313A"/>
    <w:rsid w:val="00693B60"/>
    <w:rsid w:val="00695859"/>
    <w:rsid w:val="00696770"/>
    <w:rsid w:val="006B08F0"/>
    <w:rsid w:val="006C0712"/>
    <w:rsid w:val="006E5CFF"/>
    <w:rsid w:val="006F0E35"/>
    <w:rsid w:val="007132EC"/>
    <w:rsid w:val="007318D7"/>
    <w:rsid w:val="007372B3"/>
    <w:rsid w:val="00737A4E"/>
    <w:rsid w:val="00741DF0"/>
    <w:rsid w:val="00763F68"/>
    <w:rsid w:val="0077209F"/>
    <w:rsid w:val="00776971"/>
    <w:rsid w:val="00787917"/>
    <w:rsid w:val="00796DF0"/>
    <w:rsid w:val="007A1087"/>
    <w:rsid w:val="007A5054"/>
    <w:rsid w:val="007A737D"/>
    <w:rsid w:val="007B7762"/>
    <w:rsid w:val="007C5770"/>
    <w:rsid w:val="007D4AB2"/>
    <w:rsid w:val="007F61A3"/>
    <w:rsid w:val="00817AEE"/>
    <w:rsid w:val="00821F57"/>
    <w:rsid w:val="008306EE"/>
    <w:rsid w:val="00840A03"/>
    <w:rsid w:val="00864111"/>
    <w:rsid w:val="00866759"/>
    <w:rsid w:val="00885C0C"/>
    <w:rsid w:val="008A3648"/>
    <w:rsid w:val="008A7C06"/>
    <w:rsid w:val="008B51D3"/>
    <w:rsid w:val="008C2197"/>
    <w:rsid w:val="008C7EDF"/>
    <w:rsid w:val="008E03E0"/>
    <w:rsid w:val="008E61D4"/>
    <w:rsid w:val="008F5DE6"/>
    <w:rsid w:val="009073C2"/>
    <w:rsid w:val="00917C21"/>
    <w:rsid w:val="00917DDF"/>
    <w:rsid w:val="009208B5"/>
    <w:rsid w:val="00922582"/>
    <w:rsid w:val="009363D0"/>
    <w:rsid w:val="00941E50"/>
    <w:rsid w:val="0094244A"/>
    <w:rsid w:val="0094407C"/>
    <w:rsid w:val="00960029"/>
    <w:rsid w:val="00964546"/>
    <w:rsid w:val="009741AE"/>
    <w:rsid w:val="009B1188"/>
    <w:rsid w:val="009B3968"/>
    <w:rsid w:val="009E54A3"/>
    <w:rsid w:val="009E7ED8"/>
    <w:rsid w:val="009F3918"/>
    <w:rsid w:val="00A001A2"/>
    <w:rsid w:val="00A022E0"/>
    <w:rsid w:val="00A062AF"/>
    <w:rsid w:val="00A15DBF"/>
    <w:rsid w:val="00A37BEB"/>
    <w:rsid w:val="00A37E8E"/>
    <w:rsid w:val="00A40B7C"/>
    <w:rsid w:val="00A65D18"/>
    <w:rsid w:val="00A8214E"/>
    <w:rsid w:val="00A87DED"/>
    <w:rsid w:val="00A92369"/>
    <w:rsid w:val="00AC2192"/>
    <w:rsid w:val="00AC6F22"/>
    <w:rsid w:val="00AE397C"/>
    <w:rsid w:val="00AF5EA8"/>
    <w:rsid w:val="00B266B8"/>
    <w:rsid w:val="00B30D28"/>
    <w:rsid w:val="00B34A51"/>
    <w:rsid w:val="00B40C50"/>
    <w:rsid w:val="00B42F3C"/>
    <w:rsid w:val="00B71752"/>
    <w:rsid w:val="00B75ABB"/>
    <w:rsid w:val="00B81057"/>
    <w:rsid w:val="00B813A6"/>
    <w:rsid w:val="00B832F9"/>
    <w:rsid w:val="00B93807"/>
    <w:rsid w:val="00B97B12"/>
    <w:rsid w:val="00BA1A4D"/>
    <w:rsid w:val="00BB292B"/>
    <w:rsid w:val="00BC18DD"/>
    <w:rsid w:val="00BF5C6D"/>
    <w:rsid w:val="00C03B73"/>
    <w:rsid w:val="00C14BD0"/>
    <w:rsid w:val="00C31B58"/>
    <w:rsid w:val="00C41B2F"/>
    <w:rsid w:val="00C44071"/>
    <w:rsid w:val="00C6276F"/>
    <w:rsid w:val="00C64848"/>
    <w:rsid w:val="00C70223"/>
    <w:rsid w:val="00C72C60"/>
    <w:rsid w:val="00C732FB"/>
    <w:rsid w:val="00C8778C"/>
    <w:rsid w:val="00C90778"/>
    <w:rsid w:val="00CB0371"/>
    <w:rsid w:val="00CB22FE"/>
    <w:rsid w:val="00CB56B1"/>
    <w:rsid w:val="00CB6C73"/>
    <w:rsid w:val="00CC7151"/>
    <w:rsid w:val="00CF54A5"/>
    <w:rsid w:val="00D1045A"/>
    <w:rsid w:val="00D20F29"/>
    <w:rsid w:val="00D366FC"/>
    <w:rsid w:val="00D42E33"/>
    <w:rsid w:val="00D475A7"/>
    <w:rsid w:val="00D53E22"/>
    <w:rsid w:val="00D63CC2"/>
    <w:rsid w:val="00D71032"/>
    <w:rsid w:val="00D83755"/>
    <w:rsid w:val="00D910B7"/>
    <w:rsid w:val="00D94E65"/>
    <w:rsid w:val="00DA1146"/>
    <w:rsid w:val="00DB13E9"/>
    <w:rsid w:val="00DB6983"/>
    <w:rsid w:val="00DD4711"/>
    <w:rsid w:val="00DE5219"/>
    <w:rsid w:val="00DE745F"/>
    <w:rsid w:val="00DF0393"/>
    <w:rsid w:val="00E2723A"/>
    <w:rsid w:val="00E5123A"/>
    <w:rsid w:val="00E569F3"/>
    <w:rsid w:val="00E72E60"/>
    <w:rsid w:val="00E73B04"/>
    <w:rsid w:val="00E87149"/>
    <w:rsid w:val="00E877FB"/>
    <w:rsid w:val="00E9123C"/>
    <w:rsid w:val="00E933B8"/>
    <w:rsid w:val="00E97E8A"/>
    <w:rsid w:val="00EB3A62"/>
    <w:rsid w:val="00EC63B5"/>
    <w:rsid w:val="00EC7317"/>
    <w:rsid w:val="00ED55CB"/>
    <w:rsid w:val="00ED6B65"/>
    <w:rsid w:val="00EF3512"/>
    <w:rsid w:val="00EF520F"/>
    <w:rsid w:val="00F0686C"/>
    <w:rsid w:val="00F21E07"/>
    <w:rsid w:val="00F30A65"/>
    <w:rsid w:val="00F343E1"/>
    <w:rsid w:val="00F367CE"/>
    <w:rsid w:val="00F55054"/>
    <w:rsid w:val="00F56FB5"/>
    <w:rsid w:val="00F656F4"/>
    <w:rsid w:val="00F6607C"/>
    <w:rsid w:val="00F679AA"/>
    <w:rsid w:val="00F71B8C"/>
    <w:rsid w:val="00F87C43"/>
    <w:rsid w:val="00FA1391"/>
    <w:rsid w:val="00FB081D"/>
    <w:rsid w:val="00FB22E2"/>
    <w:rsid w:val="00FB6FAF"/>
    <w:rsid w:val="00FD2D5B"/>
    <w:rsid w:val="00FE4CB0"/>
    <w:rsid w:val="00FF45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3BFC6"/>
  <w15:docId w15:val="{5678B766-2B3F-43EB-A207-6C42BB31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qFormat/>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Arial12pt">
    <w:name w:val="Arial +12 pt"/>
    <w:aliases w:val="justificadoo"/>
    <w:basedOn w:val="Normal"/>
    <w:rsid w:val="008C7EDF"/>
    <w:pPr>
      <w:pBdr>
        <w:bottom w:val="single" w:sz="4" w:space="1" w:color="auto"/>
      </w:pBdr>
      <w:jc w:val="both"/>
    </w:pPr>
    <w:rPr>
      <w:rFonts w:ascii="Arial" w:hAnsi="Arial" w:cs="Arial"/>
      <w:lang w:val="es-ES"/>
    </w:rPr>
  </w:style>
  <w:style w:type="paragraph" w:customStyle="1" w:styleId="NoSpacing1">
    <w:name w:val="No Spacing1"/>
    <w:rsid w:val="008C7EDF"/>
    <w:pPr>
      <w:spacing w:after="0" w:line="240" w:lineRule="auto"/>
    </w:pPr>
    <w:rPr>
      <w:rFonts w:ascii="Calibri" w:eastAsia="Times New Roman" w:hAnsi="Calibri" w:cs="Times New Roman"/>
    </w:rPr>
  </w:style>
  <w:style w:type="character" w:styleId="Refdecomentario">
    <w:name w:val="annotation reference"/>
    <w:basedOn w:val="Fuentedeprrafopredeter"/>
    <w:uiPriority w:val="99"/>
    <w:semiHidden/>
    <w:unhideWhenUsed/>
    <w:rsid w:val="008C7EDF"/>
    <w:rPr>
      <w:sz w:val="16"/>
      <w:szCs w:val="16"/>
    </w:rPr>
  </w:style>
  <w:style w:type="paragraph" w:styleId="Textocomentario">
    <w:name w:val="annotation text"/>
    <w:basedOn w:val="Normal"/>
    <w:link w:val="TextocomentarioCar"/>
    <w:uiPriority w:val="99"/>
    <w:semiHidden/>
    <w:unhideWhenUsed/>
    <w:rsid w:val="008C7EDF"/>
    <w:rPr>
      <w:sz w:val="20"/>
      <w:szCs w:val="20"/>
    </w:rPr>
  </w:style>
  <w:style w:type="character" w:customStyle="1" w:styleId="TextocomentarioCar">
    <w:name w:val="Texto comentario Car"/>
    <w:basedOn w:val="Fuentedeprrafopredeter"/>
    <w:link w:val="Textocomentario"/>
    <w:uiPriority w:val="99"/>
    <w:semiHidden/>
    <w:rsid w:val="008C7EDF"/>
    <w:rPr>
      <w:rFonts w:ascii="Times New Roman" w:eastAsia="Times New Roman" w:hAnsi="Times New Roman" w:cs="Times New Roman"/>
      <w:sz w:val="20"/>
      <w:szCs w:val="20"/>
      <w:lang w:val="en-US" w:eastAsia="es-ES"/>
    </w:rPr>
  </w:style>
  <w:style w:type="paragraph" w:customStyle="1" w:styleId="Asuntodelcomentario1">
    <w:name w:val="Asunto del comentario1"/>
    <w:basedOn w:val="Textocomentario"/>
    <w:next w:val="Textocomentario"/>
    <w:uiPriority w:val="99"/>
    <w:semiHidden/>
    <w:unhideWhenUsed/>
    <w:rsid w:val="008C7EDF"/>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8C7EDF"/>
    <w:rPr>
      <w:rFonts w:ascii="Times New Roman" w:eastAsia="Times New Roman" w:hAnsi="Times New Roman" w:cs="Times New Roman"/>
      <w:b/>
      <w:bCs/>
      <w:sz w:val="20"/>
      <w:szCs w:val="20"/>
      <w:lang w:val="en-US" w:eastAsia="es-ES"/>
    </w:rPr>
  </w:style>
  <w:style w:type="paragraph" w:customStyle="1" w:styleId="xl139">
    <w:name w:val="xl139"/>
    <w:basedOn w:val="Normal"/>
    <w:rsid w:val="008C7EDF"/>
    <w:pPr>
      <w:spacing w:before="100" w:beforeAutospacing="1" w:after="100" w:afterAutospacing="1"/>
    </w:pPr>
    <w:rPr>
      <w:rFonts w:ascii="Arial" w:hAnsi="Arial" w:cs="Arial"/>
      <w:sz w:val="20"/>
      <w:szCs w:val="20"/>
      <w:lang w:val="es-MX" w:eastAsia="es-MX"/>
    </w:rPr>
  </w:style>
  <w:style w:type="paragraph" w:customStyle="1" w:styleId="xl140">
    <w:name w:val="xl140"/>
    <w:basedOn w:val="Normal"/>
    <w:rsid w:val="008C7EDF"/>
    <w:pPr>
      <w:spacing w:before="100" w:beforeAutospacing="1" w:after="100" w:afterAutospacing="1"/>
      <w:ind w:firstLineChars="100" w:firstLine="100"/>
    </w:pPr>
    <w:rPr>
      <w:rFonts w:ascii="Arial" w:hAnsi="Arial" w:cs="Arial"/>
      <w:sz w:val="20"/>
      <w:szCs w:val="20"/>
      <w:lang w:val="es-MX" w:eastAsia="es-MX"/>
    </w:rPr>
  </w:style>
  <w:style w:type="paragraph" w:customStyle="1" w:styleId="xl141">
    <w:name w:val="xl141"/>
    <w:basedOn w:val="Normal"/>
    <w:rsid w:val="008C7EDF"/>
    <w:pPr>
      <w:spacing w:before="100" w:beforeAutospacing="1" w:after="100" w:afterAutospacing="1"/>
      <w:textAlignment w:val="center"/>
    </w:pPr>
    <w:rPr>
      <w:rFonts w:ascii="Arial" w:hAnsi="Arial" w:cs="Arial"/>
      <w:sz w:val="20"/>
      <w:szCs w:val="20"/>
      <w:lang w:val="es-MX" w:eastAsia="es-MX"/>
    </w:rPr>
  </w:style>
  <w:style w:type="paragraph" w:customStyle="1" w:styleId="xl142">
    <w:name w:val="xl142"/>
    <w:basedOn w:val="Normal"/>
    <w:rsid w:val="008C7EDF"/>
    <w:pPr>
      <w:spacing w:before="100" w:beforeAutospacing="1" w:after="100" w:afterAutospacing="1"/>
    </w:pPr>
    <w:rPr>
      <w:rFonts w:ascii="Arial" w:hAnsi="Arial" w:cs="Arial"/>
      <w:sz w:val="20"/>
      <w:szCs w:val="20"/>
      <w:lang w:val="es-MX" w:eastAsia="es-MX"/>
    </w:rPr>
  </w:style>
  <w:style w:type="paragraph" w:customStyle="1" w:styleId="xl143">
    <w:name w:val="xl143"/>
    <w:basedOn w:val="Normal"/>
    <w:rsid w:val="008C7EDF"/>
    <w:pPr>
      <w:spacing w:before="100" w:beforeAutospacing="1" w:after="100" w:afterAutospacing="1"/>
    </w:pPr>
    <w:rPr>
      <w:rFonts w:ascii="Arial" w:hAnsi="Arial" w:cs="Arial"/>
      <w:sz w:val="16"/>
      <w:szCs w:val="16"/>
      <w:lang w:val="es-MX" w:eastAsia="es-MX"/>
    </w:rPr>
  </w:style>
  <w:style w:type="paragraph" w:customStyle="1" w:styleId="xl144">
    <w:name w:val="xl144"/>
    <w:basedOn w:val="Normal"/>
    <w:rsid w:val="008C7EDF"/>
    <w:pPr>
      <w:pBdr>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45">
    <w:name w:val="xl145"/>
    <w:basedOn w:val="Normal"/>
    <w:rsid w:val="008C7EDF"/>
    <w:pPr>
      <w:spacing w:before="100" w:beforeAutospacing="1" w:after="100" w:afterAutospacing="1"/>
      <w:jc w:val="both"/>
      <w:textAlignment w:val="center"/>
    </w:pPr>
    <w:rPr>
      <w:rFonts w:ascii="Arial" w:hAnsi="Arial" w:cs="Arial"/>
      <w:b/>
      <w:bCs/>
      <w:lang w:val="es-MX" w:eastAsia="es-MX"/>
    </w:rPr>
  </w:style>
  <w:style w:type="paragraph" w:customStyle="1" w:styleId="xl146">
    <w:name w:val="xl146"/>
    <w:basedOn w:val="Normal"/>
    <w:rsid w:val="008C7EDF"/>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47">
    <w:name w:val="xl147"/>
    <w:basedOn w:val="Normal"/>
    <w:rsid w:val="008C7EDF"/>
    <w:pPr>
      <w:spacing w:before="100" w:beforeAutospacing="1" w:after="100" w:afterAutospacing="1"/>
      <w:textAlignment w:val="center"/>
    </w:pPr>
    <w:rPr>
      <w:rFonts w:ascii="Arial" w:hAnsi="Arial" w:cs="Arial"/>
      <w:b/>
      <w:bCs/>
      <w:lang w:val="es-MX" w:eastAsia="es-MX"/>
    </w:rPr>
  </w:style>
  <w:style w:type="paragraph" w:customStyle="1" w:styleId="xl148">
    <w:name w:val="xl148"/>
    <w:basedOn w:val="Normal"/>
    <w:rsid w:val="008C7EDF"/>
    <w:pPr>
      <w:spacing w:before="100" w:beforeAutospacing="1" w:after="100" w:afterAutospacing="1"/>
    </w:pPr>
    <w:rPr>
      <w:rFonts w:ascii="Arial" w:hAnsi="Arial" w:cs="Arial"/>
      <w:lang w:val="es-MX" w:eastAsia="es-MX"/>
    </w:rPr>
  </w:style>
  <w:style w:type="paragraph" w:customStyle="1" w:styleId="xl149">
    <w:name w:val="xl149"/>
    <w:basedOn w:val="Normal"/>
    <w:rsid w:val="008C7ED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150">
    <w:name w:val="xl150"/>
    <w:basedOn w:val="Normal"/>
    <w:rsid w:val="008C7EDF"/>
    <w:pPr>
      <w:spacing w:before="100" w:beforeAutospacing="1" w:after="100" w:afterAutospacing="1"/>
    </w:pPr>
    <w:rPr>
      <w:rFonts w:ascii="Arial" w:hAnsi="Arial" w:cs="Arial"/>
      <w:lang w:val="es-MX" w:eastAsia="es-MX"/>
    </w:rPr>
  </w:style>
  <w:style w:type="paragraph" w:customStyle="1" w:styleId="xl151">
    <w:name w:val="xl151"/>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152">
    <w:name w:val="xl152"/>
    <w:basedOn w:val="Normal"/>
    <w:rsid w:val="008C7EDF"/>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53">
    <w:name w:val="xl153"/>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154">
    <w:name w:val="xl154"/>
    <w:basedOn w:val="Normal"/>
    <w:rsid w:val="008C7EDF"/>
    <w:pPr>
      <w:spacing w:before="100" w:beforeAutospacing="1" w:after="100" w:afterAutospacing="1"/>
    </w:pPr>
    <w:rPr>
      <w:rFonts w:ascii="Arial" w:hAnsi="Arial" w:cs="Arial"/>
      <w:lang w:val="es-MX" w:eastAsia="es-MX"/>
    </w:rPr>
  </w:style>
  <w:style w:type="paragraph" w:customStyle="1" w:styleId="xl155">
    <w:name w:val="xl155"/>
    <w:basedOn w:val="Normal"/>
    <w:rsid w:val="008C7EDF"/>
    <w:pPr>
      <w:spacing w:before="100" w:beforeAutospacing="1" w:after="100" w:afterAutospacing="1"/>
      <w:jc w:val="both"/>
      <w:textAlignment w:val="center"/>
    </w:pPr>
    <w:rPr>
      <w:rFonts w:ascii="Arial" w:hAnsi="Arial" w:cs="Arial"/>
      <w:b/>
      <w:bCs/>
      <w:lang w:val="es-MX" w:eastAsia="es-MX"/>
    </w:rPr>
  </w:style>
  <w:style w:type="paragraph" w:customStyle="1" w:styleId="xl156">
    <w:name w:val="xl156"/>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157">
    <w:name w:val="xl157"/>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158">
    <w:name w:val="xl158"/>
    <w:basedOn w:val="Normal"/>
    <w:rsid w:val="008C7EDF"/>
    <w:pPr>
      <w:spacing w:before="100" w:beforeAutospacing="1" w:after="100" w:afterAutospacing="1"/>
      <w:textAlignment w:val="center"/>
    </w:pPr>
    <w:rPr>
      <w:rFonts w:ascii="Arial" w:hAnsi="Arial" w:cs="Arial"/>
      <w:lang w:val="es-MX" w:eastAsia="es-MX"/>
    </w:rPr>
  </w:style>
  <w:style w:type="paragraph" w:customStyle="1" w:styleId="xl159">
    <w:name w:val="xl159"/>
    <w:basedOn w:val="Normal"/>
    <w:rsid w:val="008C7EDF"/>
    <w:pPr>
      <w:spacing w:before="100" w:beforeAutospacing="1" w:after="100" w:afterAutospacing="1"/>
      <w:jc w:val="both"/>
      <w:textAlignment w:val="center"/>
    </w:pPr>
    <w:rPr>
      <w:rFonts w:ascii="Arial" w:hAnsi="Arial" w:cs="Arial"/>
      <w:b/>
      <w:bCs/>
      <w:i/>
      <w:iCs/>
      <w:lang w:val="es-MX" w:eastAsia="es-MX"/>
    </w:rPr>
  </w:style>
  <w:style w:type="paragraph" w:customStyle="1" w:styleId="xl160">
    <w:name w:val="xl160"/>
    <w:basedOn w:val="Normal"/>
    <w:rsid w:val="008C7EDF"/>
    <w:pPr>
      <w:spacing w:before="100" w:beforeAutospacing="1" w:after="100" w:afterAutospacing="1"/>
      <w:textAlignment w:val="center"/>
    </w:pPr>
    <w:rPr>
      <w:rFonts w:ascii="Arial" w:hAnsi="Arial" w:cs="Arial"/>
      <w:lang w:val="es-MX" w:eastAsia="es-MX"/>
    </w:rPr>
  </w:style>
  <w:style w:type="paragraph" w:customStyle="1" w:styleId="xl161">
    <w:name w:val="xl161"/>
    <w:basedOn w:val="Normal"/>
    <w:rsid w:val="008C7EDF"/>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62">
    <w:name w:val="xl162"/>
    <w:basedOn w:val="Normal"/>
    <w:rsid w:val="008C7EDF"/>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3">
    <w:name w:val="xl163"/>
    <w:basedOn w:val="Normal"/>
    <w:rsid w:val="008C7EDF"/>
    <w:pPr>
      <w:pBdr>
        <w:left w:val="single" w:sz="4" w:space="0" w:color="auto"/>
      </w:pBdr>
      <w:spacing w:before="100" w:beforeAutospacing="1" w:after="100" w:afterAutospacing="1"/>
    </w:pPr>
    <w:rPr>
      <w:rFonts w:ascii="Arial" w:hAnsi="Arial" w:cs="Arial"/>
      <w:sz w:val="20"/>
      <w:szCs w:val="20"/>
      <w:lang w:val="es-MX" w:eastAsia="es-MX"/>
    </w:rPr>
  </w:style>
  <w:style w:type="paragraph" w:customStyle="1" w:styleId="xl164">
    <w:name w:val="xl164"/>
    <w:basedOn w:val="Normal"/>
    <w:rsid w:val="008C7EDF"/>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5">
    <w:name w:val="xl165"/>
    <w:basedOn w:val="Normal"/>
    <w:rsid w:val="008C7EDF"/>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66">
    <w:name w:val="xl166"/>
    <w:basedOn w:val="Normal"/>
    <w:rsid w:val="008C7EDF"/>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7">
    <w:name w:val="xl167"/>
    <w:basedOn w:val="Normal"/>
    <w:rsid w:val="008C7EDF"/>
    <w:pPr>
      <w:pBdr>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68">
    <w:name w:val="xl168"/>
    <w:basedOn w:val="Normal"/>
    <w:rsid w:val="008C7EDF"/>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69">
    <w:name w:val="xl169"/>
    <w:basedOn w:val="Normal"/>
    <w:rsid w:val="008C7EDF"/>
    <w:pPr>
      <w:pBdr>
        <w:right w:val="single" w:sz="4" w:space="0" w:color="auto"/>
      </w:pBdr>
      <w:spacing w:before="100" w:beforeAutospacing="1" w:after="100" w:afterAutospacing="1"/>
    </w:pPr>
    <w:rPr>
      <w:rFonts w:ascii="Arial" w:hAnsi="Arial" w:cs="Arial"/>
      <w:lang w:val="es-MX" w:eastAsia="es-MX"/>
    </w:rPr>
  </w:style>
  <w:style w:type="paragraph" w:customStyle="1" w:styleId="xl170">
    <w:name w:val="xl170"/>
    <w:basedOn w:val="Normal"/>
    <w:rsid w:val="008C7EDF"/>
    <w:pPr>
      <w:pBdr>
        <w:left w:val="single" w:sz="4" w:space="0" w:color="auto"/>
      </w:pBdr>
      <w:spacing w:before="100" w:beforeAutospacing="1" w:after="100" w:afterAutospacing="1"/>
    </w:pPr>
    <w:rPr>
      <w:rFonts w:ascii="Arial" w:hAnsi="Arial" w:cs="Arial"/>
      <w:lang w:val="es-MX" w:eastAsia="es-MX"/>
    </w:rPr>
  </w:style>
  <w:style w:type="paragraph" w:customStyle="1" w:styleId="xl171">
    <w:name w:val="xl171"/>
    <w:basedOn w:val="Normal"/>
    <w:rsid w:val="008C7EDF"/>
    <w:pPr>
      <w:pBdr>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72">
    <w:name w:val="xl172"/>
    <w:basedOn w:val="Normal"/>
    <w:rsid w:val="008C7EDF"/>
    <w:pPr>
      <w:pBdr>
        <w:right w:val="single" w:sz="4" w:space="0" w:color="auto"/>
      </w:pBdr>
      <w:spacing w:before="100" w:beforeAutospacing="1" w:after="100" w:afterAutospacing="1"/>
      <w:jc w:val="both"/>
      <w:textAlignment w:val="center"/>
    </w:pPr>
    <w:rPr>
      <w:rFonts w:ascii="Arial" w:hAnsi="Arial" w:cs="Arial"/>
      <w:sz w:val="18"/>
      <w:szCs w:val="18"/>
      <w:lang w:val="es-MX" w:eastAsia="es-MX"/>
    </w:rPr>
  </w:style>
  <w:style w:type="paragraph" w:customStyle="1" w:styleId="xl173">
    <w:name w:val="xl173"/>
    <w:basedOn w:val="Normal"/>
    <w:rsid w:val="008C7EDF"/>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74">
    <w:name w:val="xl174"/>
    <w:basedOn w:val="Normal"/>
    <w:rsid w:val="008C7EDF"/>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75">
    <w:name w:val="xl175"/>
    <w:basedOn w:val="Normal"/>
    <w:rsid w:val="008C7EDF"/>
    <w:pPr>
      <w:spacing w:before="100" w:beforeAutospacing="1" w:after="100" w:afterAutospacing="1"/>
    </w:pPr>
    <w:rPr>
      <w:rFonts w:ascii="Arial" w:hAnsi="Arial" w:cs="Arial"/>
      <w:lang w:val="es-MX" w:eastAsia="es-MX"/>
    </w:rPr>
  </w:style>
  <w:style w:type="paragraph" w:customStyle="1" w:styleId="xl176">
    <w:name w:val="xl176"/>
    <w:basedOn w:val="Normal"/>
    <w:rsid w:val="008C7EDF"/>
    <w:pPr>
      <w:spacing w:before="100" w:beforeAutospacing="1" w:after="100" w:afterAutospacing="1"/>
      <w:jc w:val="both"/>
      <w:textAlignment w:val="center"/>
    </w:pPr>
    <w:rPr>
      <w:rFonts w:ascii="Arial" w:hAnsi="Arial" w:cs="Arial"/>
      <w:b/>
      <w:bCs/>
      <w:color w:val="44546A"/>
      <w:sz w:val="18"/>
      <w:szCs w:val="18"/>
      <w:lang w:val="es-MX" w:eastAsia="es-MX"/>
    </w:rPr>
  </w:style>
  <w:style w:type="paragraph" w:customStyle="1" w:styleId="xl177">
    <w:name w:val="xl177"/>
    <w:basedOn w:val="Normal"/>
    <w:rsid w:val="008C7EDF"/>
    <w:pPr>
      <w:pBdr>
        <w:left w:val="single" w:sz="4" w:space="7"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8">
    <w:name w:val="xl178"/>
    <w:basedOn w:val="Normal"/>
    <w:rsid w:val="008C7EDF"/>
    <w:pPr>
      <w:pBdr>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79">
    <w:name w:val="xl179"/>
    <w:basedOn w:val="Normal"/>
    <w:rsid w:val="008C7EDF"/>
    <w:pPr>
      <w:pBdr>
        <w:left w:val="single" w:sz="4" w:space="0" w:color="auto"/>
        <w:right w:val="single" w:sz="4" w:space="0" w:color="auto"/>
      </w:pBdr>
      <w:spacing w:before="100" w:beforeAutospacing="1" w:after="100" w:afterAutospacing="1"/>
      <w:jc w:val="center"/>
    </w:pPr>
    <w:rPr>
      <w:rFonts w:ascii="Arial" w:hAnsi="Arial" w:cs="Arial"/>
      <w:b/>
      <w:bCs/>
      <w:lang w:val="es-MX" w:eastAsia="es-MX"/>
    </w:rPr>
  </w:style>
  <w:style w:type="paragraph" w:customStyle="1" w:styleId="xl180">
    <w:name w:val="xl180"/>
    <w:basedOn w:val="Normal"/>
    <w:rsid w:val="008C7EDF"/>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1">
    <w:name w:val="xl181"/>
    <w:basedOn w:val="Normal"/>
    <w:rsid w:val="008C7EDF"/>
    <w:pPr>
      <w:pBdr>
        <w:left w:val="single" w:sz="4" w:space="7"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182">
    <w:name w:val="xl182"/>
    <w:basedOn w:val="Normal"/>
    <w:rsid w:val="008C7EDF"/>
    <w:pPr>
      <w:pBdr>
        <w:left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83">
    <w:name w:val="xl183"/>
    <w:basedOn w:val="Normal"/>
    <w:rsid w:val="008C7EDF"/>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4">
    <w:name w:val="xl184"/>
    <w:basedOn w:val="Normal"/>
    <w:rsid w:val="008C7EDF"/>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85">
    <w:name w:val="xl185"/>
    <w:basedOn w:val="Normal"/>
    <w:rsid w:val="008C7EDF"/>
    <w:pPr>
      <w:pBdr>
        <w:left w:val="single" w:sz="4" w:space="0" w:color="auto"/>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186">
    <w:name w:val="xl186"/>
    <w:basedOn w:val="Normal"/>
    <w:rsid w:val="008C7ED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0"/>
      <w:szCs w:val="20"/>
      <w:lang w:val="es-MX" w:eastAsia="es-MX"/>
    </w:rPr>
  </w:style>
  <w:style w:type="paragraph" w:customStyle="1" w:styleId="xl187">
    <w:name w:val="xl187"/>
    <w:basedOn w:val="Normal"/>
    <w:rsid w:val="008C7EDF"/>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88">
    <w:name w:val="xl188"/>
    <w:basedOn w:val="Normal"/>
    <w:rsid w:val="008C7EDF"/>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189">
    <w:name w:val="xl189"/>
    <w:basedOn w:val="Normal"/>
    <w:rsid w:val="008C7EDF"/>
    <w:pPr>
      <w:pBdr>
        <w:left w:val="single" w:sz="4" w:space="7" w:color="auto"/>
        <w:right w:val="single" w:sz="4" w:space="0" w:color="auto"/>
      </w:pBdr>
      <w:spacing w:before="100" w:beforeAutospacing="1" w:after="100" w:afterAutospacing="1"/>
      <w:ind w:firstLineChars="100" w:firstLine="100"/>
    </w:pPr>
    <w:rPr>
      <w:rFonts w:ascii="Arial" w:hAnsi="Arial" w:cs="Arial"/>
      <w:b/>
      <w:bCs/>
      <w:sz w:val="20"/>
      <w:szCs w:val="20"/>
      <w:lang w:val="es-MX" w:eastAsia="es-MX"/>
    </w:rPr>
  </w:style>
  <w:style w:type="paragraph" w:customStyle="1" w:styleId="xl190">
    <w:name w:val="xl190"/>
    <w:basedOn w:val="Normal"/>
    <w:rsid w:val="008C7EDF"/>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1">
    <w:name w:val="xl191"/>
    <w:basedOn w:val="Normal"/>
    <w:rsid w:val="008C7EDF"/>
    <w:pPr>
      <w:pBdr>
        <w:left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192">
    <w:name w:val="xl192"/>
    <w:basedOn w:val="Normal"/>
    <w:rsid w:val="008C7EDF"/>
    <w:pPr>
      <w:pBdr>
        <w:left w:val="single" w:sz="4" w:space="2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93">
    <w:name w:val="xl193"/>
    <w:basedOn w:val="Normal"/>
    <w:rsid w:val="008C7EDF"/>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94">
    <w:name w:val="xl194"/>
    <w:basedOn w:val="Normal"/>
    <w:rsid w:val="008C7EDF"/>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5">
    <w:name w:val="xl195"/>
    <w:basedOn w:val="Normal"/>
    <w:rsid w:val="008C7EDF"/>
    <w:pPr>
      <w:pBdr>
        <w:left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96">
    <w:name w:val="xl196"/>
    <w:basedOn w:val="Normal"/>
    <w:rsid w:val="008C7EDF"/>
    <w:pPr>
      <w:pBdr>
        <w:left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197">
    <w:name w:val="xl197"/>
    <w:basedOn w:val="Normal"/>
    <w:rsid w:val="008C7EDF"/>
    <w:pPr>
      <w:pBdr>
        <w:left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xl198">
    <w:name w:val="xl198"/>
    <w:basedOn w:val="Normal"/>
    <w:rsid w:val="008C7EDF"/>
    <w:pPr>
      <w:pBdr>
        <w:left w:val="single" w:sz="4" w:space="14" w:color="auto"/>
        <w:right w:val="single" w:sz="4" w:space="0" w:color="auto"/>
      </w:pBdr>
      <w:spacing w:before="100" w:beforeAutospacing="1" w:after="100" w:afterAutospacing="1"/>
      <w:ind w:firstLineChars="200" w:firstLine="200"/>
      <w:textAlignment w:val="center"/>
    </w:pPr>
    <w:rPr>
      <w:rFonts w:ascii="Arial" w:hAnsi="Arial" w:cs="Arial"/>
      <w:b/>
      <w:bCs/>
      <w:sz w:val="20"/>
      <w:szCs w:val="20"/>
      <w:lang w:val="es-MX" w:eastAsia="es-MX"/>
    </w:rPr>
  </w:style>
  <w:style w:type="paragraph" w:customStyle="1" w:styleId="xl199">
    <w:name w:val="xl199"/>
    <w:basedOn w:val="Normal"/>
    <w:rsid w:val="008C7EDF"/>
    <w:pPr>
      <w:pBdr>
        <w:left w:val="single" w:sz="4" w:space="0" w:color="auto"/>
        <w:right w:val="single" w:sz="4" w:space="0" w:color="auto"/>
      </w:pBdr>
      <w:spacing w:before="100" w:beforeAutospacing="1" w:after="100" w:afterAutospacing="1"/>
      <w:jc w:val="both"/>
    </w:pPr>
    <w:rPr>
      <w:rFonts w:ascii="Arial" w:hAnsi="Arial" w:cs="Arial"/>
      <w:b/>
      <w:bCs/>
      <w:sz w:val="20"/>
      <w:szCs w:val="20"/>
      <w:lang w:val="es-MX" w:eastAsia="es-MX"/>
    </w:rPr>
  </w:style>
  <w:style w:type="paragraph" w:customStyle="1" w:styleId="xl200">
    <w:name w:val="xl200"/>
    <w:basedOn w:val="Normal"/>
    <w:rsid w:val="008C7EDF"/>
    <w:pPr>
      <w:pBdr>
        <w:left w:val="single" w:sz="4" w:space="14"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201">
    <w:name w:val="xl201"/>
    <w:basedOn w:val="Normal"/>
    <w:rsid w:val="008C7EDF"/>
    <w:pPr>
      <w:pBdr>
        <w:left w:val="single" w:sz="4" w:space="0" w:color="auto"/>
        <w:right w:val="single" w:sz="4" w:space="0" w:color="auto"/>
      </w:pBdr>
      <w:spacing w:before="100" w:beforeAutospacing="1" w:after="100" w:afterAutospacing="1"/>
      <w:jc w:val="both"/>
    </w:pPr>
    <w:rPr>
      <w:rFonts w:ascii="Arial" w:hAnsi="Arial" w:cs="Arial"/>
      <w:sz w:val="18"/>
      <w:szCs w:val="18"/>
      <w:lang w:val="es-MX" w:eastAsia="es-MX"/>
    </w:rPr>
  </w:style>
  <w:style w:type="paragraph" w:customStyle="1" w:styleId="xl202">
    <w:name w:val="xl202"/>
    <w:basedOn w:val="Normal"/>
    <w:rsid w:val="008C7EDF"/>
    <w:pPr>
      <w:pBdr>
        <w:left w:val="single" w:sz="4" w:space="2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203">
    <w:name w:val="xl203"/>
    <w:basedOn w:val="Normal"/>
    <w:rsid w:val="008C7EDF"/>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4">
    <w:name w:val="xl204"/>
    <w:basedOn w:val="Normal"/>
    <w:rsid w:val="008C7EDF"/>
    <w:pPr>
      <w:pBdr>
        <w:left w:val="single" w:sz="4" w:space="0" w:color="auto"/>
        <w:right w:val="single" w:sz="4" w:space="0" w:color="auto"/>
      </w:pBdr>
      <w:spacing w:before="100" w:beforeAutospacing="1" w:after="100" w:afterAutospacing="1"/>
      <w:textAlignment w:val="center"/>
    </w:pPr>
    <w:rPr>
      <w:rFonts w:ascii="Arial" w:hAnsi="Arial" w:cs="Arial"/>
      <w:b/>
      <w:bCs/>
      <w:sz w:val="18"/>
      <w:szCs w:val="18"/>
      <w:lang w:val="es-MX" w:eastAsia="es-MX"/>
    </w:rPr>
  </w:style>
  <w:style w:type="paragraph" w:customStyle="1" w:styleId="xl205">
    <w:name w:val="xl205"/>
    <w:basedOn w:val="Normal"/>
    <w:rsid w:val="008C7EDF"/>
    <w:pPr>
      <w:pBdr>
        <w:left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206">
    <w:name w:val="xl206"/>
    <w:basedOn w:val="Normal"/>
    <w:rsid w:val="008C7EDF"/>
    <w:pPr>
      <w:spacing w:before="100" w:beforeAutospacing="1" w:after="100" w:afterAutospacing="1"/>
      <w:textAlignment w:val="center"/>
    </w:pPr>
    <w:rPr>
      <w:rFonts w:ascii="Arial" w:hAnsi="Arial" w:cs="Arial"/>
      <w:b/>
      <w:bCs/>
      <w:lang w:val="es-MX" w:eastAsia="es-MX"/>
    </w:rPr>
  </w:style>
  <w:style w:type="paragraph" w:customStyle="1" w:styleId="xl207">
    <w:name w:val="xl207"/>
    <w:basedOn w:val="Normal"/>
    <w:rsid w:val="008C7EDF"/>
    <w:pPr>
      <w:pBdr>
        <w:top w:val="single" w:sz="4" w:space="0" w:color="auto"/>
        <w:left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8">
    <w:name w:val="xl208"/>
    <w:basedOn w:val="Normal"/>
    <w:rsid w:val="008C7EDF"/>
    <w:pPr>
      <w:pBdr>
        <w:top w:val="single" w:sz="4" w:space="0" w:color="auto"/>
        <w:bottom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09">
    <w:name w:val="xl209"/>
    <w:basedOn w:val="Normal"/>
    <w:rsid w:val="008C7EDF"/>
    <w:pPr>
      <w:pBdr>
        <w:top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rFonts w:ascii="Arial" w:hAnsi="Arial" w:cs="Arial"/>
      <w:b/>
      <w:bCs/>
      <w:color w:val="FFFFFF"/>
      <w:sz w:val="26"/>
      <w:szCs w:val="26"/>
      <w:lang w:val="es-MX" w:eastAsia="es-MX"/>
    </w:rPr>
  </w:style>
  <w:style w:type="paragraph" w:customStyle="1" w:styleId="xl210">
    <w:name w:val="xl210"/>
    <w:basedOn w:val="Normal"/>
    <w:rsid w:val="008C7EDF"/>
    <w:pPr>
      <w:pBdr>
        <w:top w:val="single" w:sz="4" w:space="0" w:color="auto"/>
        <w:lef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1">
    <w:name w:val="xl211"/>
    <w:basedOn w:val="Normal"/>
    <w:rsid w:val="008C7EDF"/>
    <w:pPr>
      <w:pBdr>
        <w:top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2">
    <w:name w:val="xl212"/>
    <w:basedOn w:val="Normal"/>
    <w:rsid w:val="008C7EDF"/>
    <w:pPr>
      <w:pBdr>
        <w:top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213">
    <w:name w:val="xl213"/>
    <w:basedOn w:val="Normal"/>
    <w:rsid w:val="008C7EDF"/>
    <w:pPr>
      <w:spacing w:before="100" w:beforeAutospacing="1" w:after="100" w:afterAutospacing="1"/>
      <w:jc w:val="both"/>
      <w:textAlignment w:val="center"/>
    </w:pPr>
    <w:rPr>
      <w:rFonts w:ascii="Arial" w:hAnsi="Arial" w:cs="Arial"/>
      <w:color w:val="000000"/>
      <w:lang w:val="es-MX" w:eastAsia="es-MX"/>
    </w:rPr>
  </w:style>
  <w:style w:type="paragraph" w:customStyle="1" w:styleId="xl214">
    <w:name w:val="xl214"/>
    <w:basedOn w:val="Normal"/>
    <w:rsid w:val="008C7EDF"/>
    <w:pPr>
      <w:pBdr>
        <w:right w:val="single" w:sz="4" w:space="0" w:color="auto"/>
      </w:pBdr>
      <w:spacing w:before="100" w:beforeAutospacing="1" w:after="100" w:afterAutospacing="1"/>
      <w:jc w:val="both"/>
      <w:textAlignment w:val="center"/>
    </w:pPr>
    <w:rPr>
      <w:rFonts w:ascii="Arial" w:hAnsi="Arial" w:cs="Arial"/>
      <w:color w:val="000000"/>
      <w:lang w:val="es-MX" w:eastAsia="es-MX"/>
    </w:rPr>
  </w:style>
  <w:style w:type="paragraph" w:customStyle="1" w:styleId="xl215">
    <w:name w:val="xl215"/>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216">
    <w:name w:val="xl216"/>
    <w:basedOn w:val="Normal"/>
    <w:rsid w:val="008C7EDF"/>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17">
    <w:name w:val="xl217"/>
    <w:basedOn w:val="Normal"/>
    <w:rsid w:val="008C7EDF"/>
    <w:pPr>
      <w:spacing w:before="100" w:beforeAutospacing="1" w:after="100" w:afterAutospacing="1"/>
      <w:jc w:val="both"/>
      <w:textAlignment w:val="center"/>
    </w:pPr>
    <w:rPr>
      <w:rFonts w:ascii="Arial" w:hAnsi="Arial" w:cs="Arial"/>
      <w:b/>
      <w:bCs/>
      <w:color w:val="000000"/>
      <w:lang w:val="es-MX" w:eastAsia="es-MX"/>
    </w:rPr>
  </w:style>
  <w:style w:type="paragraph" w:customStyle="1" w:styleId="xl218">
    <w:name w:val="xl218"/>
    <w:basedOn w:val="Normal"/>
    <w:rsid w:val="008C7EDF"/>
    <w:pPr>
      <w:pBdr>
        <w:right w:val="single" w:sz="4" w:space="0" w:color="auto"/>
      </w:pBdr>
      <w:spacing w:before="100" w:beforeAutospacing="1" w:after="100" w:afterAutospacing="1"/>
      <w:jc w:val="both"/>
      <w:textAlignment w:val="center"/>
    </w:pPr>
    <w:rPr>
      <w:rFonts w:ascii="Arial" w:hAnsi="Arial" w:cs="Arial"/>
      <w:b/>
      <w:bCs/>
      <w:color w:val="000000"/>
      <w:lang w:val="es-MX" w:eastAsia="es-MX"/>
    </w:rPr>
  </w:style>
  <w:style w:type="paragraph" w:customStyle="1" w:styleId="xl219">
    <w:name w:val="xl219"/>
    <w:basedOn w:val="Normal"/>
    <w:rsid w:val="008C7EDF"/>
    <w:pPr>
      <w:spacing w:before="100" w:beforeAutospacing="1" w:after="100" w:afterAutospacing="1"/>
      <w:textAlignment w:val="center"/>
    </w:pPr>
    <w:rPr>
      <w:rFonts w:ascii="Arial" w:hAnsi="Arial" w:cs="Arial"/>
      <w:lang w:val="es-MX" w:eastAsia="es-MX"/>
    </w:rPr>
  </w:style>
  <w:style w:type="paragraph" w:customStyle="1" w:styleId="xl220">
    <w:name w:val="xl220"/>
    <w:basedOn w:val="Normal"/>
    <w:rsid w:val="008C7EDF"/>
    <w:pPr>
      <w:pBdr>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221">
    <w:name w:val="xl221"/>
    <w:basedOn w:val="Normal"/>
    <w:rsid w:val="008C7EDF"/>
    <w:pPr>
      <w:spacing w:before="100" w:beforeAutospacing="1" w:after="100" w:afterAutospacing="1"/>
      <w:jc w:val="both"/>
    </w:pPr>
    <w:rPr>
      <w:rFonts w:ascii="Arial" w:hAnsi="Arial" w:cs="Arial"/>
      <w:lang w:val="es-MX" w:eastAsia="es-MX"/>
    </w:rPr>
  </w:style>
  <w:style w:type="paragraph" w:customStyle="1" w:styleId="xl222">
    <w:name w:val="xl222"/>
    <w:basedOn w:val="Normal"/>
    <w:rsid w:val="008C7EDF"/>
    <w:pPr>
      <w:pBdr>
        <w:right w:val="single" w:sz="4" w:space="0" w:color="auto"/>
      </w:pBdr>
      <w:spacing w:before="100" w:beforeAutospacing="1" w:after="100" w:afterAutospacing="1"/>
      <w:jc w:val="both"/>
    </w:pPr>
    <w:rPr>
      <w:rFonts w:ascii="Arial" w:hAnsi="Arial" w:cs="Arial"/>
      <w:lang w:val="es-MX" w:eastAsia="es-MX"/>
    </w:rPr>
  </w:style>
  <w:style w:type="paragraph" w:customStyle="1" w:styleId="xl223">
    <w:name w:val="xl223"/>
    <w:basedOn w:val="Normal"/>
    <w:rsid w:val="008C7EDF"/>
    <w:pPr>
      <w:pBdr>
        <w:righ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224">
    <w:name w:val="xl224"/>
    <w:basedOn w:val="Normal"/>
    <w:rsid w:val="008C7EDF"/>
    <w:pPr>
      <w:spacing w:before="100" w:beforeAutospacing="1" w:after="100" w:afterAutospacing="1"/>
      <w:textAlignment w:val="center"/>
    </w:pPr>
    <w:rPr>
      <w:rFonts w:ascii="Arial" w:hAnsi="Arial" w:cs="Arial"/>
      <w:b/>
      <w:bCs/>
      <w:lang w:val="es-MX" w:eastAsia="es-MX"/>
    </w:rPr>
  </w:style>
  <w:style w:type="paragraph" w:customStyle="1" w:styleId="xl225">
    <w:name w:val="xl225"/>
    <w:basedOn w:val="Normal"/>
    <w:rsid w:val="008C7EDF"/>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6">
    <w:name w:val="xl226"/>
    <w:basedOn w:val="Normal"/>
    <w:rsid w:val="008C7EDF"/>
    <w:pPr>
      <w:pBdr>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227">
    <w:name w:val="xl227"/>
    <w:basedOn w:val="Normal"/>
    <w:rsid w:val="008C7EDF"/>
    <w:pPr>
      <w:pBdr>
        <w:left w:val="single" w:sz="4" w:space="0" w:color="auto"/>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8">
    <w:name w:val="xl228"/>
    <w:basedOn w:val="Normal"/>
    <w:rsid w:val="008C7EDF"/>
    <w:pPr>
      <w:pBdr>
        <w:bottom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29">
    <w:name w:val="xl229"/>
    <w:basedOn w:val="Normal"/>
    <w:rsid w:val="008C7EDF"/>
    <w:pPr>
      <w:pBdr>
        <w:bottom w:val="single" w:sz="4" w:space="0" w:color="auto"/>
        <w:right w:val="single" w:sz="4" w:space="0" w:color="auto"/>
      </w:pBdr>
      <w:shd w:val="clear" w:color="000000" w:fill="375623"/>
      <w:spacing w:before="100" w:beforeAutospacing="1" w:after="100" w:afterAutospacing="1"/>
      <w:jc w:val="center"/>
      <w:textAlignment w:val="center"/>
    </w:pPr>
    <w:rPr>
      <w:rFonts w:ascii="Arial" w:hAnsi="Arial" w:cs="Arial"/>
      <w:b/>
      <w:bCs/>
      <w:color w:val="FFFFFF"/>
      <w:sz w:val="20"/>
      <w:szCs w:val="20"/>
      <w:lang w:val="es-MX" w:eastAsia="es-MX"/>
    </w:rPr>
  </w:style>
  <w:style w:type="paragraph" w:customStyle="1" w:styleId="xl230">
    <w:name w:val="xl230"/>
    <w:basedOn w:val="Normal"/>
    <w:rsid w:val="008C7EDF"/>
    <w:pPr>
      <w:pBdr>
        <w:lef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7">
    <w:name w:val="xl137"/>
    <w:basedOn w:val="Normal"/>
    <w:rsid w:val="008C7EDF"/>
    <w:pPr>
      <w:spacing w:before="100" w:beforeAutospacing="1" w:after="100" w:afterAutospacing="1"/>
    </w:pPr>
    <w:rPr>
      <w:rFonts w:ascii="Arial" w:hAnsi="Arial" w:cs="Arial"/>
      <w:sz w:val="20"/>
      <w:szCs w:val="20"/>
      <w:lang w:val="es-MX" w:eastAsia="es-MX"/>
    </w:rPr>
  </w:style>
  <w:style w:type="paragraph" w:customStyle="1" w:styleId="xl138">
    <w:name w:val="xl138"/>
    <w:basedOn w:val="Normal"/>
    <w:rsid w:val="008C7EDF"/>
    <w:pPr>
      <w:spacing w:before="100" w:beforeAutospacing="1" w:after="100" w:afterAutospacing="1"/>
      <w:ind w:firstLineChars="100" w:firstLine="100"/>
    </w:pPr>
    <w:rPr>
      <w:rFonts w:ascii="Arial" w:hAnsi="Arial" w:cs="Arial"/>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8C7EDF"/>
    <w:rPr>
      <w:b/>
      <w:bCs/>
    </w:rPr>
  </w:style>
  <w:style w:type="character" w:customStyle="1" w:styleId="AsuntodelcomentarioCar1">
    <w:name w:val="Asunto del comentario Car1"/>
    <w:basedOn w:val="TextocomentarioCar"/>
    <w:uiPriority w:val="99"/>
    <w:semiHidden/>
    <w:rsid w:val="008C7EDF"/>
    <w:rPr>
      <w:rFonts w:ascii="Times New Roman" w:eastAsia="Times New Roman" w:hAnsi="Times New Roman" w:cs="Times New Roman"/>
      <w:b/>
      <w:bCs/>
      <w:sz w:val="20"/>
      <w:szCs w:val="20"/>
      <w:lang w:val="en-US" w:eastAsia="es-ES"/>
    </w:rPr>
  </w:style>
  <w:style w:type="paragraph" w:customStyle="1" w:styleId="xl85">
    <w:name w:val="xl85"/>
    <w:basedOn w:val="Normal"/>
    <w:rsid w:val="008C7ED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pPr>
    <w:rPr>
      <w:rFonts w:ascii="Arial" w:hAnsi="Arial" w:cs="Arial"/>
      <w:b/>
      <w:bCs/>
      <w:sz w:val="20"/>
      <w:szCs w:val="20"/>
      <w:lang w:val="es-MX" w:eastAsia="es-MX"/>
    </w:rPr>
  </w:style>
  <w:style w:type="paragraph" w:customStyle="1" w:styleId="xl86">
    <w:name w:val="xl86"/>
    <w:basedOn w:val="Normal"/>
    <w:rsid w:val="008C7EDF"/>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sz w:val="20"/>
      <w:szCs w:val="20"/>
      <w:lang w:val="es-MX" w:eastAsia="es-MX"/>
    </w:rPr>
  </w:style>
  <w:style w:type="paragraph" w:customStyle="1" w:styleId="xl87">
    <w:name w:val="xl87"/>
    <w:basedOn w:val="Normal"/>
    <w:rsid w:val="008C7EDF"/>
    <w:pPr>
      <w:spacing w:before="100" w:beforeAutospacing="1" w:after="100" w:afterAutospacing="1"/>
    </w:pPr>
    <w:rPr>
      <w:rFonts w:ascii="Arial" w:hAnsi="Arial" w:cs="Arial"/>
      <w:lang w:val="es-MX" w:eastAsia="es-MX"/>
    </w:rPr>
  </w:style>
  <w:style w:type="paragraph" w:customStyle="1" w:styleId="xl88">
    <w:name w:val="xl88"/>
    <w:basedOn w:val="Normal"/>
    <w:rsid w:val="008C7EDF"/>
    <w:pPr>
      <w:spacing w:before="100" w:beforeAutospacing="1" w:after="100" w:afterAutospacing="1"/>
    </w:pPr>
    <w:rPr>
      <w:rFonts w:ascii="Arial" w:hAnsi="Arial" w:cs="Arial"/>
      <w:sz w:val="20"/>
      <w:szCs w:val="20"/>
      <w:lang w:val="es-MX" w:eastAsia="es-MX"/>
    </w:rPr>
  </w:style>
  <w:style w:type="paragraph" w:customStyle="1" w:styleId="xl89">
    <w:name w:val="xl89"/>
    <w:basedOn w:val="Normal"/>
    <w:rsid w:val="008C7ED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ascii="Arial" w:hAnsi="Arial" w:cs="Arial"/>
      <w:b/>
      <w:bCs/>
      <w:sz w:val="20"/>
      <w:szCs w:val="20"/>
      <w:lang w:val="es-MX" w:eastAsia="es-MX"/>
    </w:rPr>
  </w:style>
  <w:style w:type="paragraph" w:customStyle="1" w:styleId="xl90">
    <w:name w:val="xl90"/>
    <w:basedOn w:val="Normal"/>
    <w:rsid w:val="008C7EDF"/>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1">
    <w:name w:val="xl91"/>
    <w:basedOn w:val="Normal"/>
    <w:rsid w:val="008C7EDF"/>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2">
    <w:name w:val="xl92"/>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0"/>
      <w:szCs w:val="20"/>
      <w:lang w:val="es-MX" w:eastAsia="es-MX"/>
    </w:rPr>
  </w:style>
  <w:style w:type="paragraph" w:customStyle="1" w:styleId="xl93">
    <w:name w:val="xl93"/>
    <w:basedOn w:val="Normal"/>
    <w:rsid w:val="008C7EDF"/>
    <w:pPr>
      <w:pBdr>
        <w:left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94">
    <w:name w:val="xl94"/>
    <w:basedOn w:val="Normal"/>
    <w:rsid w:val="008C7EDF"/>
    <w:pPr>
      <w:spacing w:before="100" w:beforeAutospacing="1" w:after="100" w:afterAutospacing="1"/>
      <w:jc w:val="both"/>
      <w:textAlignment w:val="center"/>
    </w:pPr>
    <w:rPr>
      <w:rFonts w:ascii="Arial" w:hAnsi="Arial" w:cs="Arial"/>
      <w:lang w:val="es-MX" w:eastAsia="es-MX"/>
    </w:rPr>
  </w:style>
  <w:style w:type="paragraph" w:customStyle="1" w:styleId="xl95">
    <w:name w:val="xl95"/>
    <w:basedOn w:val="Normal"/>
    <w:rsid w:val="008C7EDF"/>
    <w:pP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96">
    <w:name w:val="xl96"/>
    <w:basedOn w:val="Normal"/>
    <w:rsid w:val="008C7EDF"/>
    <w:pPr>
      <w:pBdr>
        <w:top w:val="single" w:sz="4" w:space="0" w:color="auto"/>
        <w:left w:val="single" w:sz="4" w:space="0" w:color="auto"/>
        <w:bottom w:val="single" w:sz="4" w:space="0" w:color="auto"/>
      </w:pBdr>
      <w:shd w:val="clear" w:color="000000" w:fill="FFD966"/>
      <w:spacing w:before="100" w:beforeAutospacing="1" w:after="100" w:afterAutospacing="1"/>
      <w:jc w:val="both"/>
      <w:textAlignment w:val="center"/>
    </w:pPr>
    <w:rPr>
      <w:rFonts w:ascii="Arial" w:hAnsi="Arial" w:cs="Arial"/>
      <w:lang w:val="es-MX" w:eastAsia="es-MX"/>
    </w:rPr>
  </w:style>
  <w:style w:type="paragraph" w:customStyle="1" w:styleId="xl97">
    <w:name w:val="xl97"/>
    <w:basedOn w:val="Normal"/>
    <w:rsid w:val="008C7EDF"/>
    <w:pP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MX" w:eastAsia="es-MX"/>
    </w:rPr>
  </w:style>
  <w:style w:type="paragraph" w:customStyle="1" w:styleId="xl99">
    <w:name w:val="xl99"/>
    <w:basedOn w:val="Normal"/>
    <w:rsid w:val="008C7EDF"/>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lang w:val="es-MX" w:eastAsia="es-MX"/>
    </w:rPr>
  </w:style>
  <w:style w:type="paragraph" w:customStyle="1" w:styleId="xl100">
    <w:name w:val="xl100"/>
    <w:basedOn w:val="Normal"/>
    <w:rsid w:val="008C7ED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sz w:val="20"/>
      <w:szCs w:val="20"/>
      <w:lang w:val="es-MX" w:eastAsia="es-MX"/>
    </w:rPr>
  </w:style>
  <w:style w:type="paragraph" w:customStyle="1" w:styleId="xl101">
    <w:name w:val="xl101"/>
    <w:basedOn w:val="Normal"/>
    <w:rsid w:val="008C7EDF"/>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rFonts w:ascii="Arial" w:hAnsi="Arial" w:cs="Arial"/>
      <w:b/>
      <w:bCs/>
      <w:sz w:val="20"/>
      <w:szCs w:val="20"/>
      <w:lang w:val="es-MX" w:eastAsia="es-MX"/>
    </w:rPr>
  </w:style>
  <w:style w:type="paragraph" w:customStyle="1" w:styleId="xl102">
    <w:name w:val="xl102"/>
    <w:basedOn w:val="Normal"/>
    <w:rsid w:val="008C7EDF"/>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3">
    <w:name w:val="xl103"/>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04">
    <w:name w:val="xl104"/>
    <w:basedOn w:val="Normal"/>
    <w:rsid w:val="008C7EDF"/>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05">
    <w:name w:val="xl105"/>
    <w:basedOn w:val="Normal"/>
    <w:rsid w:val="008C7EDF"/>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lang w:val="es-MX" w:eastAsia="es-MX"/>
    </w:rPr>
  </w:style>
  <w:style w:type="paragraph" w:customStyle="1" w:styleId="xl106">
    <w:name w:val="xl106"/>
    <w:basedOn w:val="Normal"/>
    <w:rsid w:val="008C7EDF"/>
    <w:pPr>
      <w:pBdr>
        <w:top w:val="single" w:sz="4" w:space="0" w:color="auto"/>
        <w:left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7">
    <w:name w:val="xl107"/>
    <w:basedOn w:val="Normal"/>
    <w:rsid w:val="008C7EDF"/>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8">
    <w:name w:val="xl108"/>
    <w:basedOn w:val="Normal"/>
    <w:rsid w:val="008C7EDF"/>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09">
    <w:name w:val="xl109"/>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es-MX" w:eastAsia="es-MX"/>
    </w:rPr>
  </w:style>
  <w:style w:type="paragraph" w:customStyle="1" w:styleId="xl110">
    <w:name w:val="xl110"/>
    <w:basedOn w:val="Normal"/>
    <w:rsid w:val="008C7EDF"/>
    <w:pPr>
      <w:pBdr>
        <w:top w:val="single" w:sz="4" w:space="0" w:color="auto"/>
        <w:bottom w:val="single" w:sz="4" w:space="0" w:color="auto"/>
      </w:pBdr>
      <w:spacing w:before="100" w:beforeAutospacing="1" w:after="100" w:afterAutospacing="1"/>
    </w:pPr>
    <w:rPr>
      <w:rFonts w:ascii="Arial" w:hAnsi="Arial" w:cs="Arial"/>
      <w:lang w:val="es-MX" w:eastAsia="es-MX"/>
    </w:rPr>
  </w:style>
  <w:style w:type="paragraph" w:customStyle="1" w:styleId="xl111">
    <w:name w:val="xl111"/>
    <w:basedOn w:val="Normal"/>
    <w:rsid w:val="008C7EDF"/>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2">
    <w:name w:val="xl112"/>
    <w:basedOn w:val="Normal"/>
    <w:rsid w:val="008C7EDF"/>
    <w:pPr>
      <w:pBdr>
        <w:top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113">
    <w:name w:val="xl113"/>
    <w:basedOn w:val="Normal"/>
    <w:rsid w:val="008C7EDF"/>
    <w:pPr>
      <w:pBdr>
        <w:top w:val="single" w:sz="4" w:space="0" w:color="auto"/>
        <w:bottom w:val="single" w:sz="4" w:space="0" w:color="auto"/>
      </w:pBdr>
      <w:spacing w:before="100" w:beforeAutospacing="1" w:after="100" w:afterAutospacing="1"/>
      <w:jc w:val="both"/>
      <w:textAlignment w:val="center"/>
    </w:pPr>
    <w:rPr>
      <w:rFonts w:ascii="Arial" w:hAnsi="Arial" w:cs="Arial"/>
      <w:lang w:val="es-MX" w:eastAsia="es-MX"/>
    </w:rPr>
  </w:style>
  <w:style w:type="paragraph" w:customStyle="1" w:styleId="xl114">
    <w:name w:val="xl114"/>
    <w:basedOn w:val="Normal"/>
    <w:rsid w:val="008C7EDF"/>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15">
    <w:name w:val="xl115"/>
    <w:basedOn w:val="Normal"/>
    <w:rsid w:val="008C7ED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eastAsia="es-MX"/>
    </w:rPr>
  </w:style>
  <w:style w:type="paragraph" w:customStyle="1" w:styleId="xl116">
    <w:name w:val="xl116"/>
    <w:basedOn w:val="Normal"/>
    <w:rsid w:val="008C7E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7">
    <w:name w:val="xl117"/>
    <w:basedOn w:val="Normal"/>
    <w:rsid w:val="008C7EDF"/>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44546A"/>
      <w:lang w:val="es-MX" w:eastAsia="es-MX"/>
    </w:rPr>
  </w:style>
  <w:style w:type="paragraph" w:customStyle="1" w:styleId="xl118">
    <w:name w:val="xl118"/>
    <w:basedOn w:val="Normal"/>
    <w:rsid w:val="008C7EDF"/>
    <w:pPr>
      <w:pBdr>
        <w:top w:val="single" w:sz="4" w:space="0" w:color="auto"/>
        <w:bottom w:val="single" w:sz="4" w:space="0" w:color="auto"/>
      </w:pBdr>
      <w:spacing w:before="100" w:beforeAutospacing="1" w:after="100" w:afterAutospacing="1"/>
      <w:jc w:val="center"/>
      <w:textAlignment w:val="center"/>
    </w:pPr>
    <w:rPr>
      <w:rFonts w:ascii="Arial" w:hAnsi="Arial" w:cs="Arial"/>
      <w:lang w:val="es-MX" w:eastAsia="es-MX"/>
    </w:rPr>
  </w:style>
  <w:style w:type="paragraph" w:customStyle="1" w:styleId="xl119">
    <w:name w:val="xl119"/>
    <w:basedOn w:val="Normal"/>
    <w:rsid w:val="008C7EDF"/>
    <w:pPr>
      <w:spacing w:before="100" w:beforeAutospacing="1" w:after="100" w:afterAutospacing="1"/>
      <w:jc w:val="center"/>
      <w:textAlignment w:val="center"/>
    </w:pPr>
    <w:rPr>
      <w:rFonts w:ascii="Arial" w:hAnsi="Arial" w:cs="Arial"/>
      <w:sz w:val="20"/>
      <w:szCs w:val="20"/>
      <w:lang w:val="es-MX" w:eastAsia="es-MX"/>
    </w:rPr>
  </w:style>
  <w:style w:type="paragraph" w:customStyle="1" w:styleId="xl120">
    <w:name w:val="xl120"/>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1">
    <w:name w:val="xl121"/>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22">
    <w:name w:val="xl122"/>
    <w:basedOn w:val="Normal"/>
    <w:rsid w:val="008C7EDF"/>
    <w:pPr>
      <w:pBdr>
        <w:top w:val="single" w:sz="4" w:space="0" w:color="auto"/>
        <w:bottom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3">
    <w:name w:val="xl123"/>
    <w:basedOn w:val="Normal"/>
    <w:rsid w:val="008C7EDF"/>
    <w:pPr>
      <w:pBdr>
        <w:top w:val="single" w:sz="4" w:space="0" w:color="auto"/>
        <w:bottom w:val="single" w:sz="4" w:space="0" w:color="auto"/>
      </w:pBdr>
      <w:spacing w:before="100" w:beforeAutospacing="1" w:after="100" w:afterAutospacing="1"/>
      <w:jc w:val="both"/>
      <w:textAlignment w:val="center"/>
    </w:pPr>
    <w:rPr>
      <w:rFonts w:ascii="Arial" w:hAnsi="Arial" w:cs="Arial"/>
      <w:b/>
      <w:bCs/>
      <w:i/>
      <w:iCs/>
      <w:lang w:val="es-MX" w:eastAsia="es-MX"/>
    </w:rPr>
  </w:style>
  <w:style w:type="paragraph" w:customStyle="1" w:styleId="xl124">
    <w:name w:val="xl124"/>
    <w:basedOn w:val="Normal"/>
    <w:rsid w:val="008C7EDF"/>
    <w:pPr>
      <w:pBdr>
        <w:top w:val="single" w:sz="4" w:space="0" w:color="auto"/>
        <w:bottom w:val="single" w:sz="4" w:space="0" w:color="auto"/>
      </w:pBdr>
      <w:shd w:val="clear" w:color="000000" w:fill="FFFFFF"/>
      <w:spacing w:before="100" w:beforeAutospacing="1" w:after="100" w:afterAutospacing="1"/>
      <w:jc w:val="both"/>
      <w:textAlignment w:val="center"/>
    </w:pPr>
    <w:rPr>
      <w:rFonts w:ascii="Arial" w:hAnsi="Arial" w:cs="Arial"/>
      <w:b/>
      <w:bCs/>
      <w:i/>
      <w:iCs/>
      <w:lang w:val="es-MX" w:eastAsia="es-MX"/>
    </w:rPr>
  </w:style>
  <w:style w:type="paragraph" w:customStyle="1" w:styleId="xl125">
    <w:name w:val="xl125"/>
    <w:basedOn w:val="Normal"/>
    <w:rsid w:val="008C7ED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6">
    <w:name w:val="xl126"/>
    <w:basedOn w:val="Normal"/>
    <w:rsid w:val="008C7ED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MX" w:eastAsia="es-MX"/>
    </w:rPr>
  </w:style>
  <w:style w:type="paragraph" w:customStyle="1" w:styleId="xl127">
    <w:name w:val="xl127"/>
    <w:basedOn w:val="Normal"/>
    <w:rsid w:val="008C7EDF"/>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lang w:val="es-MX" w:eastAsia="es-MX"/>
    </w:rPr>
  </w:style>
  <w:style w:type="paragraph" w:customStyle="1" w:styleId="xl128">
    <w:name w:val="xl128"/>
    <w:basedOn w:val="Normal"/>
    <w:rsid w:val="008C7EDF"/>
    <w:pPr>
      <w:spacing w:before="100" w:beforeAutospacing="1" w:after="100" w:afterAutospacing="1"/>
      <w:ind w:firstLineChars="100" w:firstLine="100"/>
    </w:pPr>
    <w:rPr>
      <w:rFonts w:ascii="Arial" w:hAnsi="Arial" w:cs="Arial"/>
      <w:lang w:val="es-MX" w:eastAsia="es-MX"/>
    </w:rPr>
  </w:style>
  <w:style w:type="paragraph" w:customStyle="1" w:styleId="xl129">
    <w:name w:val="xl129"/>
    <w:basedOn w:val="Normal"/>
    <w:rsid w:val="008C7EDF"/>
    <w:pPr>
      <w:spacing w:before="100" w:beforeAutospacing="1" w:after="100" w:afterAutospacing="1"/>
      <w:ind w:firstLineChars="100" w:firstLine="100"/>
    </w:pPr>
    <w:rPr>
      <w:rFonts w:ascii="Arial" w:hAnsi="Arial" w:cs="Arial"/>
      <w:sz w:val="20"/>
      <w:szCs w:val="20"/>
      <w:lang w:val="es-MX" w:eastAsia="es-MX"/>
    </w:rPr>
  </w:style>
  <w:style w:type="paragraph" w:customStyle="1" w:styleId="xl130">
    <w:name w:val="xl130"/>
    <w:basedOn w:val="Normal"/>
    <w:rsid w:val="008C7EDF"/>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center"/>
    </w:pPr>
    <w:rPr>
      <w:rFonts w:ascii="Arial" w:hAnsi="Arial" w:cs="Arial"/>
      <w:b/>
      <w:bCs/>
      <w:sz w:val="20"/>
      <w:szCs w:val="20"/>
      <w:lang w:val="es-MX" w:eastAsia="es-MX"/>
    </w:rPr>
  </w:style>
  <w:style w:type="paragraph" w:customStyle="1" w:styleId="xl131">
    <w:name w:val="xl131"/>
    <w:basedOn w:val="Normal"/>
    <w:rsid w:val="008C7EDF"/>
    <w:pPr>
      <w:pBdr>
        <w:top w:val="single" w:sz="4" w:space="0" w:color="auto"/>
        <w:bottom w:val="single" w:sz="4" w:space="0" w:color="auto"/>
      </w:pBdr>
      <w:spacing w:before="100" w:beforeAutospacing="1" w:after="100" w:afterAutospacing="1"/>
      <w:textAlignment w:val="center"/>
    </w:pPr>
    <w:rPr>
      <w:rFonts w:ascii="Arial" w:hAnsi="Arial" w:cs="Arial"/>
      <w:lang w:val="es-MX" w:eastAsia="es-MX"/>
    </w:rPr>
  </w:style>
  <w:style w:type="paragraph" w:customStyle="1" w:styleId="xl132">
    <w:name w:val="xl132"/>
    <w:basedOn w:val="Normal"/>
    <w:rsid w:val="008C7EDF"/>
    <w:pPr>
      <w:pBdr>
        <w:top w:val="single" w:sz="4" w:space="0" w:color="auto"/>
        <w:bottom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33">
    <w:name w:val="xl133"/>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134">
    <w:name w:val="xl134"/>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0"/>
      <w:szCs w:val="20"/>
      <w:lang w:val="es-MX" w:eastAsia="es-MX"/>
    </w:rPr>
  </w:style>
  <w:style w:type="paragraph" w:customStyle="1" w:styleId="xl135">
    <w:name w:val="xl135"/>
    <w:basedOn w:val="Normal"/>
    <w:rsid w:val="008C7EDF"/>
    <w:pPr>
      <w:spacing w:before="100" w:beforeAutospacing="1" w:after="100" w:afterAutospacing="1"/>
      <w:jc w:val="right"/>
      <w:textAlignment w:val="center"/>
    </w:pPr>
    <w:rPr>
      <w:rFonts w:ascii="Arial" w:hAnsi="Arial" w:cs="Arial"/>
      <w:color w:val="000000"/>
      <w:sz w:val="20"/>
      <w:szCs w:val="20"/>
      <w:lang w:val="es-MX" w:eastAsia="es-MX"/>
    </w:rPr>
  </w:style>
  <w:style w:type="paragraph" w:customStyle="1" w:styleId="xl136">
    <w:name w:val="xl136"/>
    <w:basedOn w:val="Normal"/>
    <w:rsid w:val="008C7E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es-MX" w:eastAsia="es-MX"/>
    </w:rPr>
  </w:style>
  <w:style w:type="paragraph" w:customStyle="1" w:styleId="msonormal0">
    <w:name w:val="msonormal"/>
    <w:basedOn w:val="Normal"/>
    <w:rsid w:val="008C7ED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C83B-AD3E-4CDF-AF0C-B5018FBC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5960</Words>
  <Characters>32783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shunashi caballero</cp:lastModifiedBy>
  <cp:revision>3</cp:revision>
  <cp:lastPrinted>2019-01-08T19:18:00Z</cp:lastPrinted>
  <dcterms:created xsi:type="dcterms:W3CDTF">2020-01-24T20:34:00Z</dcterms:created>
  <dcterms:modified xsi:type="dcterms:W3CDTF">2020-01-24T21:29:00Z</dcterms:modified>
</cp:coreProperties>
</file>