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0F" w:rsidRDefault="00D820F4">
      <w:pPr>
        <w:spacing w:after="5294"/>
        <w:ind w:left="-456"/>
      </w:pPr>
      <w:r>
        <w:rPr>
          <w:noProof/>
        </w:rPr>
        <w:drawing>
          <wp:inline distT="0" distB="0" distL="0" distR="0">
            <wp:extent cx="1267968" cy="6096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7"/>
                    <a:stretch>
                      <a:fillRect/>
                    </a:stretch>
                  </pic:blipFill>
                  <pic:spPr>
                    <a:xfrm>
                      <a:off x="0" y="0"/>
                      <a:ext cx="1267968" cy="609600"/>
                    </a:xfrm>
                    <a:prstGeom prst="rect">
                      <a:avLst/>
                    </a:prstGeom>
                  </pic:spPr>
                </pic:pic>
              </a:graphicData>
            </a:graphic>
          </wp:inline>
        </w:drawing>
      </w:r>
    </w:p>
    <w:p w:rsidR="0054300F" w:rsidRDefault="00D820F4">
      <w:pPr>
        <w:spacing w:after="0" w:line="279" w:lineRule="auto"/>
        <w:ind w:left="3020"/>
      </w:pPr>
      <w:r w:rsidRPr="00D820F4">
        <w:rPr>
          <w:sz w:val="24"/>
          <w:lang w:val="es-MX"/>
        </w:rPr>
        <w:t>“</w:t>
      </w:r>
      <w:r w:rsidRPr="00D820F4">
        <w:rPr>
          <w:sz w:val="24"/>
          <w:lang w:val="es-MX"/>
        </w:rPr>
        <w:t>S&amp;P Global Ratings le envía este borrador para darle la oportunidad de hacernos notar cual</w:t>
      </w:r>
      <w:bookmarkStart w:id="0" w:name="_GoBack"/>
      <w:bookmarkEnd w:id="0"/>
      <w:r w:rsidRPr="00D820F4">
        <w:rPr>
          <w:sz w:val="24"/>
          <w:lang w:val="es-MX"/>
        </w:rPr>
        <w:t xml:space="preserve">quier error fáctico o la mención inadvertida de información confidencial en el mismo. En caso de que surgieran preguntas o comentarios sobre nuestro análisis, que no </w:t>
      </w:r>
      <w:r w:rsidRPr="00D820F4">
        <w:rPr>
          <w:sz w:val="24"/>
          <w:lang w:val="es-MX"/>
        </w:rPr>
        <w:t xml:space="preserve">sean de naturaleza fáctica, le solicitamos abordar estos temas con nosotros. Utilizaremos nuestra sola discrecionalidad respecto de cualquier modificación en la edición de este documento, el cual refleja nuestra opinión independiente. </w:t>
      </w:r>
      <w:r>
        <w:rPr>
          <w:sz w:val="24"/>
        </w:rPr>
        <w:t>Finalizaremos y difun</w:t>
      </w:r>
      <w:r>
        <w:rPr>
          <w:sz w:val="24"/>
        </w:rPr>
        <w:t>diremos nuestro reporte tan pronto como nos sea posible a partir del momento en que enviamos este correo electrónico, independientemente de que recibamos una respuesta por parte de ustedes. El reporte reemplazará la información en el borrador; la informaci</w:t>
      </w:r>
      <w:r>
        <w:rPr>
          <w:sz w:val="24"/>
        </w:rPr>
        <w:t>ón en el borrador es de carácter confidencial y permanece como tal tras la publicación del reporte y no podrá ser diseminada o publicada antes ni después de la difusión pública del reporte.”</w:t>
      </w:r>
    </w:p>
    <w:p w:rsidR="0054300F" w:rsidRDefault="00D820F4">
      <w:pPr>
        <w:spacing w:after="266"/>
      </w:pPr>
      <w:r>
        <w:rPr>
          <w:rFonts w:ascii="Arial" w:eastAsia="Arial" w:hAnsi="Arial" w:cs="Arial"/>
          <w:b/>
          <w:sz w:val="18"/>
        </w:rPr>
        <w:t xml:space="preserve"> </w:t>
      </w:r>
    </w:p>
    <w:p w:rsidR="0054300F" w:rsidRDefault="00D820F4">
      <w:pPr>
        <w:spacing w:after="0"/>
      </w:pPr>
      <w:r>
        <w:rPr>
          <w:noProof/>
        </w:rPr>
        <w:drawing>
          <wp:inline distT="0" distB="0" distL="0" distR="0">
            <wp:extent cx="1544867" cy="689088"/>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1544867" cy="689088"/>
                    </a:xfrm>
                    <a:prstGeom prst="rect">
                      <a:avLst/>
                    </a:prstGeom>
                  </pic:spPr>
                </pic:pic>
              </a:graphicData>
            </a:graphic>
          </wp:inline>
        </w:drawing>
      </w:r>
    </w:p>
    <w:p w:rsidR="0054300F" w:rsidRDefault="00D820F4">
      <w:pPr>
        <w:spacing w:after="335"/>
      </w:pPr>
      <w:r>
        <w:rPr>
          <w:rFonts w:ascii="Arial" w:eastAsia="Arial" w:hAnsi="Arial" w:cs="Arial"/>
        </w:rPr>
        <w:t xml:space="preserve"> </w:t>
      </w:r>
    </w:p>
    <w:p w:rsidR="0054300F" w:rsidRDefault="00D820F4">
      <w:pPr>
        <w:spacing w:after="0"/>
        <w:ind w:right="449"/>
        <w:jc w:val="right"/>
      </w:pPr>
      <w:r>
        <w:rPr>
          <w:rFonts w:ascii="Arial" w:eastAsia="Arial" w:hAnsi="Arial" w:cs="Arial"/>
          <w:b/>
          <w:sz w:val="24"/>
        </w:rPr>
        <w:t xml:space="preserve">Comunicado de prensa </w:t>
      </w:r>
    </w:p>
    <w:p w:rsidR="0054300F" w:rsidRDefault="00D820F4">
      <w:pPr>
        <w:spacing w:after="0"/>
        <w:ind w:right="422"/>
        <w:jc w:val="right"/>
      </w:pPr>
      <w:r>
        <w:rPr>
          <w:rFonts w:ascii="Arial" w:eastAsia="Arial" w:hAnsi="Arial" w:cs="Arial"/>
          <w:sz w:val="10"/>
        </w:rPr>
        <w:lastRenderedPageBreak/>
        <w:t xml:space="preserve"> </w:t>
      </w:r>
    </w:p>
    <w:p w:rsidR="0054300F" w:rsidRDefault="00D820F4">
      <w:pPr>
        <w:spacing w:after="7"/>
        <w:ind w:left="-28"/>
      </w:pPr>
      <w:r>
        <w:rPr>
          <w:noProof/>
        </w:rPr>
        <mc:AlternateContent>
          <mc:Choice Requires="wpg">
            <w:drawing>
              <wp:inline distT="0" distB="0" distL="0" distR="0">
                <wp:extent cx="5980176" cy="18288"/>
                <wp:effectExtent l="0" t="0" r="0" b="0"/>
                <wp:docPr id="29196" name="Group 29196"/>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07" name="Shape 107"/>
                        <wps:cNvSpPr/>
                        <wps:spPr>
                          <a:xfrm>
                            <a:off x="0" y="0"/>
                            <a:ext cx="5980176" cy="0"/>
                          </a:xfrm>
                          <a:custGeom>
                            <a:avLst/>
                            <a:gdLst/>
                            <a:ahLst/>
                            <a:cxnLst/>
                            <a:rect l="0" t="0" r="0" b="0"/>
                            <a:pathLst>
                              <a:path w="5980176">
                                <a:moveTo>
                                  <a:pt x="0" y="0"/>
                                </a:moveTo>
                                <a:lnTo>
                                  <a:pt x="5980176" y="0"/>
                                </a:lnTo>
                              </a:path>
                            </a:pathLst>
                          </a:custGeom>
                          <a:ln w="18288" cap="sq">
                            <a:custDash>
                              <a:ds d="144000" sp="288000"/>
                            </a:custDash>
                            <a:miter lim="127000"/>
                          </a:ln>
                        </wps:spPr>
                        <wps:style>
                          <a:lnRef idx="1">
                            <a:srgbClr val="81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96" style="width:470.88pt;height:1.44pt;mso-position-horizontal-relative:char;mso-position-vertical-relative:line" coordsize="59801,182">
                <v:shape id="Shape 107" style="position:absolute;width:59801;height:0;left:0;top:0;" coordsize="5980176,0" path="m0,0l5980176,0">
                  <v:stroke weight="1.44pt" endcap="square" dashstyle="1 2" joinstyle="miter" miterlimit="10" on="true" color="#818181"/>
                  <v:fill on="false" color="#000000" opacity="0"/>
                </v:shape>
              </v:group>
            </w:pict>
          </mc:Fallback>
        </mc:AlternateContent>
      </w:r>
    </w:p>
    <w:p w:rsidR="0054300F" w:rsidRDefault="00D820F4">
      <w:pPr>
        <w:spacing w:after="81"/>
        <w:ind w:right="422"/>
        <w:jc w:val="right"/>
      </w:pPr>
      <w:r>
        <w:rPr>
          <w:rFonts w:ascii="Arial" w:eastAsia="Arial" w:hAnsi="Arial" w:cs="Arial"/>
          <w:sz w:val="10"/>
        </w:rPr>
        <w:t xml:space="preserve"> </w:t>
      </w:r>
    </w:p>
    <w:p w:rsidR="0054300F" w:rsidRDefault="00D820F4">
      <w:pPr>
        <w:spacing w:after="144"/>
        <w:ind w:right="448"/>
        <w:jc w:val="right"/>
      </w:pPr>
      <w:r>
        <w:rPr>
          <w:rFonts w:ascii="Arial" w:eastAsia="Arial" w:hAnsi="Arial" w:cs="Arial"/>
          <w:sz w:val="18"/>
        </w:rPr>
        <w:t xml:space="preserve">29 de septiembre de 2017 </w:t>
      </w:r>
    </w:p>
    <w:p w:rsidR="0054300F" w:rsidRDefault="00D820F4">
      <w:pPr>
        <w:spacing w:after="26"/>
        <w:ind w:right="362"/>
        <w:jc w:val="right"/>
      </w:pPr>
      <w:r>
        <w:rPr>
          <w:rFonts w:ascii="Arial" w:eastAsia="Arial" w:hAnsi="Arial" w:cs="Arial"/>
          <w:color w:val="E2163D"/>
          <w:sz w:val="32"/>
        </w:rPr>
        <w:t xml:space="preserve"> </w:t>
      </w:r>
    </w:p>
    <w:p w:rsidR="0054300F" w:rsidRDefault="00D820F4">
      <w:pPr>
        <w:spacing w:after="26"/>
        <w:ind w:left="-5" w:hanging="10"/>
      </w:pPr>
      <w:r>
        <w:rPr>
          <w:rFonts w:ascii="Arial" w:eastAsia="Arial" w:hAnsi="Arial" w:cs="Arial"/>
          <w:color w:val="E2163D"/>
          <w:sz w:val="32"/>
        </w:rPr>
        <w:t>S&amp;P</w:t>
      </w:r>
      <w:r>
        <w:rPr>
          <w:rFonts w:ascii="Arial" w:eastAsia="Arial" w:hAnsi="Arial" w:cs="Arial"/>
          <w:color w:val="E2163D"/>
          <w:sz w:val="32"/>
        </w:rPr>
        <w:t xml:space="preserve"> Global Ratings confirma calificación en escala nacional de </w:t>
      </w:r>
    </w:p>
    <w:p w:rsidR="0054300F" w:rsidRDefault="00D820F4">
      <w:pPr>
        <w:spacing w:after="0"/>
        <w:ind w:left="-5" w:hanging="10"/>
      </w:pPr>
      <w:r>
        <w:rPr>
          <w:rFonts w:ascii="Arial" w:eastAsia="Arial" w:hAnsi="Arial" w:cs="Arial"/>
          <w:color w:val="E2163D"/>
          <w:sz w:val="32"/>
        </w:rPr>
        <w:t xml:space="preserve">'mxA-' del Estado de Oaxaca; la perspectiva se mantiene estable </w:t>
      </w:r>
      <w:r>
        <w:rPr>
          <w:rFonts w:ascii="Arial" w:eastAsia="Arial" w:hAnsi="Arial" w:cs="Arial"/>
          <w:sz w:val="32"/>
        </w:rPr>
        <w:t xml:space="preserve"> </w:t>
      </w:r>
    </w:p>
    <w:p w:rsidR="0054300F" w:rsidRDefault="00D820F4">
      <w:pPr>
        <w:spacing w:after="9"/>
      </w:pPr>
      <w:r>
        <w:rPr>
          <w:rFonts w:ascii="Arial" w:eastAsia="Arial" w:hAnsi="Arial" w:cs="Arial"/>
          <w:b/>
          <w:sz w:val="21"/>
        </w:rPr>
        <w:t xml:space="preserve"> </w:t>
      </w:r>
    </w:p>
    <w:p w:rsidR="0054300F" w:rsidRDefault="00D820F4">
      <w:pPr>
        <w:spacing w:after="0"/>
        <w:ind w:left="-5" w:hanging="10"/>
      </w:pPr>
      <w:r>
        <w:rPr>
          <w:rFonts w:ascii="Arial" w:eastAsia="Arial" w:hAnsi="Arial" w:cs="Arial"/>
          <w:b/>
          <w:sz w:val="20"/>
        </w:rPr>
        <w:t xml:space="preserve">Contactos analíticos:  </w:t>
      </w:r>
    </w:p>
    <w:p w:rsidR="0054300F" w:rsidRDefault="00D820F4">
      <w:pPr>
        <w:spacing w:after="4" w:line="270" w:lineRule="auto"/>
        <w:ind w:left="-5" w:right="454" w:hanging="10"/>
      </w:pPr>
      <w:r>
        <w:rPr>
          <w:rFonts w:ascii="Arial" w:eastAsia="Arial" w:hAnsi="Arial" w:cs="Arial"/>
          <w:sz w:val="20"/>
        </w:rPr>
        <w:t xml:space="preserve">Omar De la Torre, Ciudad de México 52 (55) 5081-2870; omar.delatorre@spglobal.com </w:t>
      </w:r>
    </w:p>
    <w:p w:rsidR="0054300F" w:rsidRDefault="00D820F4">
      <w:pPr>
        <w:spacing w:after="4" w:line="270" w:lineRule="auto"/>
        <w:ind w:left="-5" w:right="454" w:hanging="10"/>
      </w:pPr>
      <w:r>
        <w:rPr>
          <w:rFonts w:ascii="Arial" w:eastAsia="Arial" w:hAnsi="Arial" w:cs="Arial"/>
          <w:sz w:val="20"/>
        </w:rPr>
        <w:t xml:space="preserve">Sebastián Briozzo, Ciudad de México 52 (55) 5081-4524; sebastian.briozzo@spglobal.com </w:t>
      </w:r>
    </w:p>
    <w:p w:rsidR="0054300F" w:rsidRDefault="00D820F4">
      <w:pPr>
        <w:spacing w:after="0"/>
      </w:pPr>
      <w:r>
        <w:rPr>
          <w:rFonts w:ascii="Arial" w:eastAsia="Arial" w:hAnsi="Arial" w:cs="Arial"/>
          <w:sz w:val="20"/>
        </w:rPr>
        <w:t xml:space="preserve"> </w:t>
      </w:r>
    </w:p>
    <w:p w:rsidR="0054300F" w:rsidRDefault="00D820F4">
      <w:pPr>
        <w:spacing w:after="296"/>
        <w:ind w:left="-28"/>
      </w:pPr>
      <w:r>
        <w:rPr>
          <w:noProof/>
        </w:rPr>
        <mc:AlternateContent>
          <mc:Choice Requires="wpg">
            <w:drawing>
              <wp:inline distT="0" distB="0" distL="0" distR="0">
                <wp:extent cx="5980176" cy="18288"/>
                <wp:effectExtent l="0" t="0" r="0" b="0"/>
                <wp:docPr id="29197" name="Group 29197"/>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19" name="Shape 119"/>
                        <wps:cNvSpPr/>
                        <wps:spPr>
                          <a:xfrm>
                            <a:off x="0" y="0"/>
                            <a:ext cx="5980176" cy="0"/>
                          </a:xfrm>
                          <a:custGeom>
                            <a:avLst/>
                            <a:gdLst/>
                            <a:ahLst/>
                            <a:cxnLst/>
                            <a:rect l="0" t="0" r="0" b="0"/>
                            <a:pathLst>
                              <a:path w="5980176">
                                <a:moveTo>
                                  <a:pt x="0" y="0"/>
                                </a:moveTo>
                                <a:lnTo>
                                  <a:pt x="5980176" y="0"/>
                                </a:lnTo>
                              </a:path>
                            </a:pathLst>
                          </a:custGeom>
                          <a:ln w="18288" cap="sq">
                            <a:custDash>
                              <a:ds d="144000" sp="288000"/>
                            </a:custDash>
                            <a:miter lim="127000"/>
                          </a:ln>
                        </wps:spPr>
                        <wps:style>
                          <a:lnRef idx="1">
                            <a:srgbClr val="81818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97" style="width:470.88pt;height:1.44pt;mso-position-horizontal-relative:char;mso-position-vertical-relative:line" coordsize="59801,182">
                <v:shape id="Shape 119" style="position:absolute;width:59801;height:0;left:0;top:0;" coordsize="5980176,0" path="m0,0l5980176,0">
                  <v:stroke weight="1.44pt" endcap="square" dashstyle="1 2" joinstyle="miter" miterlimit="10" on="true" color="#818181"/>
                  <v:fill on="false" color="#000000" opacity="0"/>
                </v:shape>
              </v:group>
            </w:pict>
          </mc:Fallback>
        </mc:AlternateContent>
      </w:r>
    </w:p>
    <w:p w:rsidR="0054300F" w:rsidRDefault="00D820F4">
      <w:pPr>
        <w:pStyle w:val="Ttulo1"/>
        <w:ind w:left="-5" w:right="3854"/>
      </w:pPr>
      <w:r>
        <w:t xml:space="preserve">Resumen </w:t>
      </w:r>
      <w:r>
        <w:rPr>
          <w:sz w:val="20"/>
        </w:rPr>
        <w:t xml:space="preserve"> </w:t>
      </w:r>
    </w:p>
    <w:p w:rsidR="0054300F" w:rsidRDefault="00D820F4">
      <w:pPr>
        <w:numPr>
          <w:ilvl w:val="0"/>
          <w:numId w:val="1"/>
        </w:numPr>
        <w:spacing w:after="4" w:line="270" w:lineRule="auto"/>
        <w:ind w:right="454" w:hanging="360"/>
      </w:pPr>
      <w:r>
        <w:rPr>
          <w:rFonts w:ascii="Arial" w:eastAsia="Arial" w:hAnsi="Arial" w:cs="Arial"/>
          <w:sz w:val="20"/>
        </w:rPr>
        <w:t xml:space="preserve">Esperamos que Oaxaca mantenga un desempeño presupuestal equilibrado y que continúe con la implementación de políticas financieras prudentes durante los próximos dos años. </w:t>
      </w:r>
    </w:p>
    <w:p w:rsidR="0054300F" w:rsidRDefault="00D820F4">
      <w:pPr>
        <w:numPr>
          <w:ilvl w:val="0"/>
          <w:numId w:val="1"/>
        </w:numPr>
        <w:spacing w:after="4" w:line="270" w:lineRule="auto"/>
        <w:ind w:right="454" w:hanging="360"/>
      </w:pPr>
      <w:r>
        <w:rPr>
          <w:rFonts w:ascii="Arial" w:eastAsia="Arial" w:hAnsi="Arial" w:cs="Arial"/>
          <w:sz w:val="20"/>
        </w:rPr>
        <w:t xml:space="preserve">Prevemos que los daños en la infraestructura de Oaxaca provocados por los recientes </w:t>
      </w:r>
      <w:r>
        <w:rPr>
          <w:rFonts w:ascii="Arial" w:eastAsia="Arial" w:hAnsi="Arial" w:cs="Arial"/>
          <w:sz w:val="20"/>
        </w:rPr>
        <w:t xml:space="preserve">terremotos sean compensados en gran medida por medio de los seguros contra desastres naturales y los fondos federales, lo cual evitará un incremento significativo en la deuda del Estado. </w:t>
      </w:r>
    </w:p>
    <w:p w:rsidR="0054300F" w:rsidRDefault="00D820F4">
      <w:pPr>
        <w:numPr>
          <w:ilvl w:val="0"/>
          <w:numId w:val="1"/>
        </w:numPr>
        <w:spacing w:after="340" w:line="270" w:lineRule="auto"/>
        <w:ind w:right="454" w:hanging="360"/>
      </w:pPr>
      <w:r>
        <w:rPr>
          <w:rFonts w:ascii="Arial" w:eastAsia="Arial" w:hAnsi="Arial" w:cs="Arial"/>
          <w:sz w:val="20"/>
        </w:rPr>
        <w:t>Confirmamos nuestra calificación en escala nacional de 'mxA-' del Es</w:t>
      </w:r>
      <w:r>
        <w:rPr>
          <w:rFonts w:ascii="Arial" w:eastAsia="Arial" w:hAnsi="Arial" w:cs="Arial"/>
          <w:sz w:val="20"/>
        </w:rPr>
        <w:t xml:space="preserve">tado de Oaxaca, México; la perspectiva es estable. </w:t>
      </w:r>
    </w:p>
    <w:p w:rsidR="0054300F" w:rsidRDefault="00D820F4">
      <w:pPr>
        <w:pStyle w:val="Ttulo1"/>
        <w:ind w:left="-5" w:right="3854"/>
      </w:pPr>
      <w:r>
        <w:t>Acción de Calificación</w:t>
      </w:r>
      <w:r>
        <w:rPr>
          <w:sz w:val="20"/>
        </w:rPr>
        <w:t xml:space="preserve"> </w:t>
      </w:r>
    </w:p>
    <w:p w:rsidR="0054300F" w:rsidRDefault="00D820F4">
      <w:pPr>
        <w:spacing w:after="343" w:line="270" w:lineRule="auto"/>
        <w:ind w:left="-5" w:right="454" w:hanging="10"/>
      </w:pPr>
      <w:r>
        <w:rPr>
          <w:rFonts w:ascii="Arial" w:eastAsia="Arial" w:hAnsi="Arial" w:cs="Arial"/>
          <w:b/>
          <w:sz w:val="20"/>
        </w:rPr>
        <w:t>Ciudad de México, 29 de septiembre de 2017</w:t>
      </w:r>
      <w:r>
        <w:rPr>
          <w:rFonts w:ascii="Arial" w:eastAsia="Arial" w:hAnsi="Arial" w:cs="Arial"/>
          <w:sz w:val="20"/>
        </w:rPr>
        <w:t xml:space="preserve"> – S&amp;P Global Ratings confirmó hoy su calificación de riesgo crediticio de largo plazo en escala nacional –CaVal– de 'mxA-' del Estado de </w:t>
      </w:r>
      <w:r>
        <w:rPr>
          <w:rFonts w:ascii="Arial" w:eastAsia="Arial" w:hAnsi="Arial" w:cs="Arial"/>
          <w:sz w:val="20"/>
        </w:rPr>
        <w:t xml:space="preserve">Oaxaca. La perspectiva es estable. </w:t>
      </w:r>
    </w:p>
    <w:p w:rsidR="0054300F" w:rsidRDefault="00D820F4">
      <w:pPr>
        <w:pStyle w:val="Ttulo1"/>
        <w:ind w:left="-5" w:right="3854"/>
      </w:pPr>
      <w:r>
        <w:t>Perspectiva</w:t>
      </w:r>
      <w:r>
        <w:rPr>
          <w:sz w:val="20"/>
        </w:rPr>
        <w:t xml:space="preserve"> </w:t>
      </w:r>
    </w:p>
    <w:p w:rsidR="0054300F" w:rsidRDefault="00D820F4">
      <w:pPr>
        <w:spacing w:after="4" w:line="270" w:lineRule="auto"/>
        <w:ind w:left="-5" w:right="454" w:hanging="10"/>
      </w:pPr>
      <w:r>
        <w:rPr>
          <w:rFonts w:ascii="Arial" w:eastAsia="Arial" w:hAnsi="Arial" w:cs="Arial"/>
          <w:sz w:val="20"/>
        </w:rPr>
        <w:t>Estimamos que Oaxaca reportará superávits operativos equivalentes a 2% de sus ingresos operativos y déficits después de gastos de inversión en torno a 1% del total de sus ingresos en los próximos dos años. A</w:t>
      </w:r>
      <w:r>
        <w:rPr>
          <w:rFonts w:ascii="Arial" w:eastAsia="Arial" w:hAnsi="Arial" w:cs="Arial"/>
          <w:sz w:val="20"/>
        </w:rPr>
        <w:t xml:space="preserve">demás, esperamos que la presión sobre los gastos del Estado, derivada de los daños en la infraestructura por los recientes sismos, sean aliviados por los seguros contra desastres naturales tanto estatales como federales, así como por el Fondo de Desastres </w:t>
      </w:r>
      <w:r>
        <w:rPr>
          <w:rFonts w:ascii="Arial" w:eastAsia="Arial" w:hAnsi="Arial" w:cs="Arial"/>
          <w:sz w:val="20"/>
        </w:rPr>
        <w:t xml:space="preserve">Naturales (Fonden). Lo que permitirá que el nivel de deuda estatal se mantenga por debajo de 30% de los ingresos operativos durante los próximos dos años. </w:t>
      </w:r>
    </w:p>
    <w:p w:rsidR="0054300F" w:rsidRDefault="00D820F4">
      <w:pPr>
        <w:spacing w:after="14"/>
      </w:pPr>
      <w:r>
        <w:rPr>
          <w:rFonts w:ascii="Arial" w:eastAsia="Arial" w:hAnsi="Arial" w:cs="Arial"/>
          <w:sz w:val="20"/>
        </w:rPr>
        <w:t xml:space="preserve"> </w:t>
      </w:r>
    </w:p>
    <w:p w:rsidR="0054300F" w:rsidRDefault="00D820F4">
      <w:pPr>
        <w:spacing w:after="9" w:line="268" w:lineRule="auto"/>
        <w:ind w:left="-4" w:hanging="10"/>
      </w:pPr>
      <w:r>
        <w:rPr>
          <w:rFonts w:ascii="Arial" w:eastAsia="Arial" w:hAnsi="Arial" w:cs="Arial"/>
          <w:i/>
          <w:sz w:val="20"/>
        </w:rPr>
        <w:t xml:space="preserve">Escenario negativo </w:t>
      </w:r>
    </w:p>
    <w:p w:rsidR="0054300F" w:rsidRDefault="00D820F4">
      <w:pPr>
        <w:spacing w:after="4" w:line="270" w:lineRule="auto"/>
        <w:ind w:left="-5" w:right="454" w:hanging="10"/>
      </w:pPr>
      <w:r>
        <w:rPr>
          <w:rFonts w:ascii="Arial" w:eastAsia="Arial" w:hAnsi="Arial" w:cs="Arial"/>
          <w:sz w:val="20"/>
        </w:rPr>
        <w:t>Podríamos bajar la calificación de Oaxaca en los próximos 12 meses si la presi</w:t>
      </w:r>
      <w:r>
        <w:rPr>
          <w:rFonts w:ascii="Arial" w:eastAsia="Arial" w:hAnsi="Arial" w:cs="Arial"/>
          <w:sz w:val="20"/>
        </w:rPr>
        <w:t>ón sobre el gasto genera déficits después de gastos de inversión mayores al 5% del total de sus ingresos, si su nivel de deuda aumenta por arriba de 30% de sus ingresos operativos y/o si el Estado cambia a una estrategia financiera agresiva con mayor depen</w:t>
      </w:r>
      <w:r>
        <w:rPr>
          <w:rFonts w:ascii="Arial" w:eastAsia="Arial" w:hAnsi="Arial" w:cs="Arial"/>
          <w:sz w:val="20"/>
        </w:rPr>
        <w:t xml:space="preserve">dencia del financiamiento de corto plazo. </w:t>
      </w:r>
    </w:p>
    <w:p w:rsidR="0054300F" w:rsidRDefault="00D820F4">
      <w:pPr>
        <w:spacing w:after="14"/>
      </w:pPr>
      <w:r>
        <w:rPr>
          <w:rFonts w:ascii="Arial" w:eastAsia="Arial" w:hAnsi="Arial" w:cs="Arial"/>
          <w:sz w:val="20"/>
        </w:rPr>
        <w:t xml:space="preserve"> </w:t>
      </w:r>
    </w:p>
    <w:p w:rsidR="0054300F" w:rsidRDefault="00D820F4">
      <w:pPr>
        <w:spacing w:after="9" w:line="268" w:lineRule="auto"/>
        <w:ind w:left="-4" w:hanging="10"/>
      </w:pPr>
      <w:r>
        <w:rPr>
          <w:rFonts w:ascii="Arial" w:eastAsia="Arial" w:hAnsi="Arial" w:cs="Arial"/>
          <w:i/>
          <w:sz w:val="20"/>
        </w:rPr>
        <w:t xml:space="preserve">Escenario positivo </w:t>
      </w:r>
    </w:p>
    <w:p w:rsidR="0054300F" w:rsidRDefault="00D820F4">
      <w:pPr>
        <w:spacing w:after="341" w:line="270" w:lineRule="auto"/>
        <w:ind w:left="-5" w:right="454" w:hanging="10"/>
      </w:pPr>
      <w:r>
        <w:rPr>
          <w:rFonts w:ascii="Arial" w:eastAsia="Arial" w:hAnsi="Arial" w:cs="Arial"/>
          <w:sz w:val="20"/>
        </w:rPr>
        <w:t>Podríamos subir la calificación del Estado en los próximos 12 meses si mejora nuestra evaluación de la administración financiera como resultado de un continuo y eficiente control presupuestal e institucionalización de prudentes políticas de deuda y liquide</w:t>
      </w:r>
      <w:r>
        <w:rPr>
          <w:rFonts w:ascii="Arial" w:eastAsia="Arial" w:hAnsi="Arial" w:cs="Arial"/>
          <w:sz w:val="20"/>
        </w:rPr>
        <w:t xml:space="preserve">z. Asimismo, un manejo eficiente de las </w:t>
      </w:r>
      <w:r>
        <w:rPr>
          <w:rFonts w:ascii="Arial" w:eastAsia="Arial" w:hAnsi="Arial" w:cs="Arial"/>
          <w:sz w:val="20"/>
        </w:rPr>
        <w:lastRenderedPageBreak/>
        <w:t xml:space="preserve">contingencias relacionadas con los recientes desastres naturales podría tener un impacto positivo en la calificación.  </w:t>
      </w:r>
    </w:p>
    <w:p w:rsidR="0054300F" w:rsidRDefault="00D820F4">
      <w:pPr>
        <w:pStyle w:val="Ttulo1"/>
        <w:ind w:left="-5" w:right="3854"/>
      </w:pPr>
      <w:r>
        <w:t>Fundamento</w:t>
      </w:r>
      <w:r>
        <w:rPr>
          <w:sz w:val="20"/>
        </w:rPr>
        <w:t xml:space="preserve"> </w:t>
      </w:r>
    </w:p>
    <w:p w:rsidR="0054300F" w:rsidRDefault="00D820F4">
      <w:pPr>
        <w:spacing w:after="4" w:line="270" w:lineRule="auto"/>
        <w:ind w:left="-5" w:right="454" w:hanging="10"/>
      </w:pPr>
      <w:r>
        <w:rPr>
          <w:rFonts w:ascii="Arial" w:eastAsia="Arial" w:hAnsi="Arial" w:cs="Arial"/>
          <w:sz w:val="20"/>
        </w:rPr>
        <w:t>La calificación de Oaxaca refleja nuestra opinión de que sus disciplinadas políticas</w:t>
      </w:r>
      <w:r>
        <w:rPr>
          <w:rFonts w:ascii="Arial" w:eastAsia="Arial" w:hAnsi="Arial" w:cs="Arial"/>
          <w:sz w:val="20"/>
        </w:rPr>
        <w:t xml:space="preserve"> financieras le permitirán mantener un desempeño presupuestal equilibrado, para lo cual, una política efectiva y duradera en el control del gasto representa un desafío clave. La calificación también toma en cuenta el nivel de deuda muy bajo del Estado, el </w:t>
      </w:r>
      <w:r>
        <w:rPr>
          <w:rFonts w:ascii="Arial" w:eastAsia="Arial" w:hAnsi="Arial" w:cs="Arial"/>
          <w:sz w:val="20"/>
        </w:rPr>
        <w:t xml:space="preserve">cual no consideramos que aumente significativamente durante 2017-2019.  </w:t>
      </w:r>
    </w:p>
    <w:p w:rsidR="0054300F" w:rsidRDefault="00D820F4">
      <w:pPr>
        <w:spacing w:after="17"/>
        <w:ind w:left="1"/>
      </w:pPr>
      <w:r>
        <w:rPr>
          <w:rFonts w:ascii="Arial" w:eastAsia="Arial" w:hAnsi="Arial" w:cs="Arial"/>
          <w:sz w:val="20"/>
        </w:rPr>
        <w:t xml:space="preserve"> </w:t>
      </w:r>
    </w:p>
    <w:p w:rsidR="0054300F" w:rsidRDefault="00D820F4">
      <w:pPr>
        <w:spacing w:after="9" w:line="268" w:lineRule="auto"/>
        <w:ind w:left="-4" w:right="152" w:hanging="10"/>
      </w:pPr>
      <w:r>
        <w:rPr>
          <w:rFonts w:ascii="Arial" w:eastAsia="Arial" w:hAnsi="Arial" w:cs="Arial"/>
          <w:i/>
          <w:sz w:val="20"/>
        </w:rPr>
        <w:t xml:space="preserve">El desempeño presupuestal del Estado sigue siendo balanceado y el nivel de deuda mantiene una tendencia descendente.  </w:t>
      </w:r>
    </w:p>
    <w:p w:rsidR="0054300F" w:rsidRDefault="00D820F4">
      <w:pPr>
        <w:spacing w:after="17"/>
        <w:ind w:left="1"/>
      </w:pPr>
      <w:r>
        <w:rPr>
          <w:rFonts w:ascii="Arial" w:eastAsia="Arial" w:hAnsi="Arial" w:cs="Arial"/>
          <w:sz w:val="20"/>
        </w:rPr>
        <w:t xml:space="preserve"> </w:t>
      </w:r>
    </w:p>
    <w:p w:rsidR="0054300F" w:rsidRDefault="00D820F4">
      <w:pPr>
        <w:spacing w:after="4" w:line="270" w:lineRule="auto"/>
        <w:ind w:left="-5" w:right="454" w:hanging="10"/>
      </w:pPr>
      <w:r>
        <w:rPr>
          <w:rFonts w:ascii="Arial" w:eastAsia="Arial" w:hAnsi="Arial" w:cs="Arial"/>
          <w:sz w:val="20"/>
        </w:rPr>
        <w:t>En nuestro escenario base consideramos un desempeño presupue</w:t>
      </w:r>
      <w:r>
        <w:rPr>
          <w:rFonts w:ascii="Arial" w:eastAsia="Arial" w:hAnsi="Arial" w:cs="Arial"/>
          <w:sz w:val="20"/>
        </w:rPr>
        <w:t>stal balanceado, derivado de mejoras en la política de recaudación de ingresos, aunado a los controles de gasto más estrictos que esperamos el Estado mantenga en los próximos dos años. Estimamos superávits operativos en torno a 2% de los ingresos operativo</w:t>
      </w:r>
      <w:r>
        <w:rPr>
          <w:rFonts w:ascii="Arial" w:eastAsia="Arial" w:hAnsi="Arial" w:cs="Arial"/>
          <w:sz w:val="20"/>
        </w:rPr>
        <w:t>s durante 2017-2019. Además, después de un gasto de inversión promedio de $7,000 millones de pesos mexicanos (MXN, 10% del gasto total), los déficits no superarán 1% de los ingresos totales. Esperamos que el seguro contra desastres naturales del Estado (po</w:t>
      </w:r>
      <w:r>
        <w:rPr>
          <w:rFonts w:ascii="Arial" w:eastAsia="Arial" w:hAnsi="Arial" w:cs="Arial"/>
          <w:sz w:val="20"/>
        </w:rPr>
        <w:t>r hasta MXN786 millones), así como el bono catastrófico y los recursosdel Fonden, contrarresten los daños en la infraestructura de Oaxaca provocados por los recientes sismos. El monto del bono catastrófico es de US$150 millones y los recursos presupuestado</w:t>
      </w:r>
      <w:r>
        <w:rPr>
          <w:rFonts w:ascii="Arial" w:eastAsia="Arial" w:hAnsi="Arial" w:cs="Arial"/>
          <w:sz w:val="20"/>
        </w:rPr>
        <w:t xml:space="preserve">s en 2017 del Fonden ascienden a MXN6,036 millones; no obstante, los montos específicos que se aplicarán en Oaxaca aún no han sido definidos.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right="454" w:hanging="10"/>
      </w:pPr>
      <w:r>
        <w:rPr>
          <w:rFonts w:ascii="Arial" w:eastAsia="Arial" w:hAnsi="Arial" w:cs="Arial"/>
          <w:sz w:val="20"/>
        </w:rPr>
        <w:t xml:space="preserve">El desempeño presupuestal balanceado debería evitar incrementos significativos en el nivel de endeudamiento de </w:t>
      </w:r>
      <w:r>
        <w:rPr>
          <w:rFonts w:ascii="Arial" w:eastAsia="Arial" w:hAnsi="Arial" w:cs="Arial"/>
          <w:sz w:val="20"/>
        </w:rPr>
        <w:t>Oaxaca en los próximos dos años. En nuestro escenario base consideramos que la deuda al cierre de 2019 se ubicaría en 17% de los ingresos operativos, una reducción desde 20% en 2016. Con base en las condiciones crediticias de la deuda, proyectamos el servi</w:t>
      </w:r>
      <w:r>
        <w:rPr>
          <w:rFonts w:ascii="Arial" w:eastAsia="Arial" w:hAnsi="Arial" w:cs="Arial"/>
          <w:sz w:val="20"/>
        </w:rPr>
        <w:t xml:space="preserve">cio de la deuda del Estado en torno a 5% de sus ingresos operativos para los próximos tres años. Al 30 de junio de 2017, el total de la deuda de Oaxaca se ubicaba en MXN11,728 millones, la cual integra de la siguiente manera:  </w:t>
      </w:r>
    </w:p>
    <w:p w:rsidR="0054300F" w:rsidRDefault="00D820F4">
      <w:pPr>
        <w:spacing w:after="29"/>
      </w:pPr>
      <w:r>
        <w:rPr>
          <w:rFonts w:ascii="Arial" w:eastAsia="Arial" w:hAnsi="Arial" w:cs="Arial"/>
          <w:sz w:val="20"/>
        </w:rPr>
        <w:t xml:space="preserve"> </w:t>
      </w:r>
    </w:p>
    <w:p w:rsidR="0054300F" w:rsidRDefault="00D820F4">
      <w:pPr>
        <w:numPr>
          <w:ilvl w:val="0"/>
          <w:numId w:val="2"/>
        </w:numPr>
        <w:spacing w:after="4" w:line="270" w:lineRule="auto"/>
        <w:ind w:right="557" w:hanging="360"/>
      </w:pPr>
      <w:r>
        <w:rPr>
          <w:rFonts w:ascii="Arial" w:eastAsia="Arial" w:hAnsi="Arial" w:cs="Arial"/>
          <w:sz w:val="20"/>
        </w:rPr>
        <w:t>Tres bursatilizaciones (OA</w:t>
      </w:r>
      <w:r>
        <w:rPr>
          <w:rFonts w:ascii="Arial" w:eastAsia="Arial" w:hAnsi="Arial" w:cs="Arial"/>
          <w:sz w:val="20"/>
        </w:rPr>
        <w:t xml:space="preserve">XCB 07U ['mxAA'], OAXACA 11 ['mxAAA'], y OAXACA 13 ['mxAAA'], las cuales representan 51% del total de la deuda;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Cuatro créditos a largo plazo (39%), y  </w:t>
      </w:r>
    </w:p>
    <w:p w:rsidR="0054300F" w:rsidRDefault="00D820F4">
      <w:pPr>
        <w:numPr>
          <w:ilvl w:val="0"/>
          <w:numId w:val="2"/>
        </w:numPr>
        <w:spacing w:after="4" w:line="270" w:lineRule="auto"/>
        <w:ind w:right="557" w:hanging="360"/>
      </w:pPr>
      <w:r>
        <w:rPr>
          <w:rFonts w:ascii="Arial" w:eastAsia="Arial" w:hAnsi="Arial" w:cs="Arial"/>
          <w:sz w:val="20"/>
        </w:rPr>
        <w:t xml:space="preserve">Deuda a corto plazo (10%).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right="454" w:hanging="10"/>
      </w:pPr>
      <w:r>
        <w:rPr>
          <w:rFonts w:ascii="Arial" w:eastAsia="Arial" w:hAnsi="Arial" w:cs="Arial"/>
          <w:sz w:val="20"/>
        </w:rPr>
        <w:t>Adicionalmente, Oaxaca tiene obligaciones 'tipo deuda' de Oaxaca por u</w:t>
      </w:r>
      <w:r>
        <w:rPr>
          <w:rFonts w:ascii="Arial" w:eastAsia="Arial" w:hAnsi="Arial" w:cs="Arial"/>
          <w:sz w:val="20"/>
        </w:rPr>
        <w:t>n total de MXN3,465 millones que corresponden al Fondo Nacional de Reconstrucción (FONAREC), al Fondo de Apoyo para la Infraestructura y Seguridad (PROFISE) y el Fondo para la Implementación del Sistema de Justicia Penal de las Entidades Federativas, otorg</w:t>
      </w:r>
      <w:r>
        <w:rPr>
          <w:rFonts w:ascii="Arial" w:eastAsia="Arial" w:hAnsi="Arial" w:cs="Arial"/>
          <w:sz w:val="20"/>
        </w:rPr>
        <w:t>ados todos por el Banco Nacional de Obras y Servicios Públicos S.N.C. (escala global: BBB+/Estable/A-2; escala nacional: mxAAA/Estable/mxA-1+). Por otra parte, no prevemos que las erogaciones relacionadas con el pago de pensiones representen una presión ad</w:t>
      </w:r>
      <w:r>
        <w:rPr>
          <w:rFonts w:ascii="Arial" w:eastAsia="Arial" w:hAnsi="Arial" w:cs="Arial"/>
          <w:sz w:val="20"/>
        </w:rPr>
        <w:t xml:space="preserve">icional en el mediano plazo, ya que, derivado de la reforma realizada en 2012 al sistema estatal de pensiones, se estima que el sistema es sustentable hasta 2023. </w:t>
      </w:r>
    </w:p>
    <w:p w:rsidR="0054300F" w:rsidRDefault="0054300F">
      <w:pPr>
        <w:sectPr w:rsidR="0054300F">
          <w:footerReference w:type="even" r:id="rId9"/>
          <w:footerReference w:type="default" r:id="rId10"/>
          <w:footerReference w:type="first" r:id="rId11"/>
          <w:pgSz w:w="12240" w:h="15840"/>
          <w:pgMar w:top="700" w:right="990" w:bottom="1126" w:left="1440" w:header="720" w:footer="720" w:gutter="0"/>
          <w:pgNumType w:start="0"/>
          <w:cols w:space="720"/>
          <w:titlePg/>
        </w:sectPr>
      </w:pPr>
    </w:p>
    <w:p w:rsidR="0054300F" w:rsidRDefault="00D820F4">
      <w:pPr>
        <w:spacing w:after="17"/>
      </w:pPr>
      <w:r>
        <w:rPr>
          <w:rFonts w:ascii="Arial" w:eastAsia="Arial" w:hAnsi="Arial" w:cs="Arial"/>
          <w:sz w:val="20"/>
        </w:rPr>
        <w:lastRenderedPageBreak/>
        <w:t xml:space="preserve"> </w:t>
      </w:r>
    </w:p>
    <w:p w:rsidR="0054300F" w:rsidRDefault="00D820F4">
      <w:pPr>
        <w:spacing w:after="4" w:line="270" w:lineRule="auto"/>
        <w:ind w:left="-5" w:right="454" w:hanging="10"/>
      </w:pPr>
      <w:r>
        <w:rPr>
          <w:rFonts w:ascii="Arial" w:eastAsia="Arial" w:hAnsi="Arial" w:cs="Arial"/>
          <w:sz w:val="20"/>
        </w:rPr>
        <w:t>Consideramos que las obligaciones 'tipo deuda', junto con la exposición del Estado a desastres naturales, como el sismo ocurrido el pasado 7 de septiembre, siguen siendo sus principales pasivos contingentes. Los desastres naturales que han afectado al Esta</w:t>
      </w:r>
      <w:r>
        <w:rPr>
          <w:rFonts w:ascii="Arial" w:eastAsia="Arial" w:hAnsi="Arial" w:cs="Arial"/>
          <w:sz w:val="20"/>
        </w:rPr>
        <w:t xml:space="preserve">do requieren de recursos financieros extraordinarios para reparar los daños en la infraestructura.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hanging="10"/>
      </w:pPr>
      <w:r>
        <w:rPr>
          <w:rFonts w:ascii="Arial" w:eastAsia="Arial" w:hAnsi="Arial" w:cs="Arial"/>
          <w:sz w:val="20"/>
        </w:rPr>
        <w:t>La liquidez de Oaxaca se mantiene menos que adecuada en comparación con sus obligaciones financieras para los próximos 12 meses. El efectivo libre promed</w:t>
      </w:r>
      <w:r>
        <w:rPr>
          <w:rFonts w:ascii="Arial" w:eastAsia="Arial" w:hAnsi="Arial" w:cs="Arial"/>
          <w:sz w:val="20"/>
        </w:rPr>
        <w:t>io mensual reportado en 2016, las necesidades de flujo de efectivo interno esperadas para 2017, y las líneas disponibles de crédito bancario comprometidas cubrirán 81% del servicio de deuda del Estado. El Estado cuenta con una línea de crédito de corto pla</w:t>
      </w:r>
      <w:r>
        <w:rPr>
          <w:rFonts w:ascii="Arial" w:eastAsia="Arial" w:hAnsi="Arial" w:cs="Arial"/>
          <w:sz w:val="20"/>
        </w:rPr>
        <w:t>zo por hasta MXN2,000 millones para cubrir necesidades de liquidez, que al 30 de junio de 2017 presentó un saldo de MXN1,226 millones. Además, el Estado tiene dos líneas de factoraje financiero, cadenas productivas, autorizadas por hasta MXN550 millones, l</w:t>
      </w:r>
      <w:r>
        <w:rPr>
          <w:rFonts w:ascii="Arial" w:eastAsia="Arial" w:hAnsi="Arial" w:cs="Arial"/>
          <w:sz w:val="20"/>
        </w:rPr>
        <w:t>as cuales registraron un saldo de MXN67 millones. Consideramos que la posición de liquidez de Oaxaca podría verse afectada negativamente por las elevadas necesidades de infraestructura, las cuales se agudizan debido a los daños causados por los recientes s</w:t>
      </w:r>
      <w:r>
        <w:rPr>
          <w:rFonts w:ascii="Arial" w:eastAsia="Arial" w:hAnsi="Arial" w:cs="Arial"/>
          <w:sz w:val="20"/>
        </w:rPr>
        <w:t>ismos. También consideramos que el acceso de Oaxaca a la liquidez externa es satisfactorio, dado el fuerte y diversificado grupo de bancos locales que se refleja en nuestra clasificación de ‘4’ en nuestro Análisis de Riesgos de la Industria Bancaria por Pa</w:t>
      </w:r>
      <w:r>
        <w:rPr>
          <w:rFonts w:ascii="Arial" w:eastAsia="Arial" w:hAnsi="Arial" w:cs="Arial"/>
          <w:sz w:val="20"/>
        </w:rPr>
        <w:t xml:space="preserve">ís (BICRA, por sus siglas en inglés) para México. </w:t>
      </w:r>
    </w:p>
    <w:p w:rsidR="0054300F" w:rsidRDefault="00D820F4">
      <w:pPr>
        <w:spacing w:after="14"/>
      </w:pPr>
      <w:r>
        <w:rPr>
          <w:rFonts w:ascii="Arial" w:eastAsia="Arial" w:hAnsi="Arial" w:cs="Arial"/>
          <w:sz w:val="20"/>
        </w:rPr>
        <w:t xml:space="preserve"> </w:t>
      </w:r>
    </w:p>
    <w:p w:rsidR="0054300F" w:rsidRDefault="00D820F4">
      <w:pPr>
        <w:spacing w:after="9" w:line="268" w:lineRule="auto"/>
        <w:ind w:left="-4" w:hanging="10"/>
      </w:pPr>
      <w:r>
        <w:rPr>
          <w:rFonts w:ascii="Arial" w:eastAsia="Arial" w:hAnsi="Arial" w:cs="Arial"/>
          <w:i/>
          <w:sz w:val="20"/>
        </w:rPr>
        <w:t xml:space="preserve">Los bajos ingresos propios y el producto interno bruto (PIB) per cápita del Estado limitan su calificación.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hanging="10"/>
      </w:pPr>
      <w:r>
        <w:rPr>
          <w:rFonts w:ascii="Arial" w:eastAsia="Arial" w:hAnsi="Arial" w:cs="Arial"/>
          <w:sz w:val="20"/>
        </w:rPr>
        <w:t xml:space="preserve">Con respecto a su flexibilidad presupuestal, el bajo nivel de ingresos propios de Oaxaca (8.1% de sus ingresos operativos en 2016) se compara negativamente con sus pares nacionales como </w:t>
      </w:r>
      <w:hyperlink r:id="rId12">
        <w:r>
          <w:rPr>
            <w:rFonts w:ascii="Arial" w:eastAsia="Arial" w:hAnsi="Arial" w:cs="Arial"/>
            <w:color w:val="0000FF"/>
            <w:sz w:val="20"/>
            <w:u w:val="single" w:color="0000FF"/>
          </w:rPr>
          <w:t>Nuevo León</w:t>
        </w:r>
      </w:hyperlink>
      <w:hyperlink r:id="rId13">
        <w:r>
          <w:rPr>
            <w:rFonts w:ascii="Arial" w:eastAsia="Arial" w:hAnsi="Arial" w:cs="Arial"/>
            <w:sz w:val="20"/>
          </w:rPr>
          <w:t xml:space="preserve"> </w:t>
        </w:r>
      </w:hyperlink>
      <w:r>
        <w:rPr>
          <w:rFonts w:ascii="Arial" w:eastAsia="Arial" w:hAnsi="Arial" w:cs="Arial"/>
          <w:sz w:val="20"/>
        </w:rPr>
        <w:t>(21.8%). Aunque esperaríamos que los ingresos propios aumen</w:t>
      </w:r>
      <w:r>
        <w:rPr>
          <w:rFonts w:ascii="Arial" w:eastAsia="Arial" w:hAnsi="Arial" w:cs="Arial"/>
          <w:sz w:val="20"/>
        </w:rPr>
        <w:t>ten en términos nominales, no consideramos que superen el 8% de los ingresos operativos en el periodo 2017-2019. El PIB per cápita estimado en 2016 de Oaxaca equivalente a US$3,851 se mantiene por debajo del promedio nacional (US$8,554) y de el de sus pare</w:t>
      </w:r>
      <w:r>
        <w:rPr>
          <w:rFonts w:ascii="Arial" w:eastAsia="Arial" w:hAnsi="Arial" w:cs="Arial"/>
          <w:sz w:val="20"/>
        </w:rPr>
        <w:t xml:space="preserve">s locales como </w:t>
      </w:r>
      <w:hyperlink r:id="rId14">
        <w:r>
          <w:rPr>
            <w:rFonts w:ascii="Arial" w:eastAsia="Arial" w:hAnsi="Arial" w:cs="Arial"/>
            <w:color w:val="0000FF"/>
            <w:sz w:val="20"/>
            <w:u w:val="single" w:color="0000FF"/>
          </w:rPr>
          <w:t xml:space="preserve">Hidalgo </w:t>
        </w:r>
      </w:hyperlink>
      <w:hyperlink r:id="rId15">
        <w:r>
          <w:rPr>
            <w:rFonts w:ascii="Arial" w:eastAsia="Arial" w:hAnsi="Arial" w:cs="Arial"/>
            <w:sz w:val="20"/>
          </w:rPr>
          <w:t>(</w:t>
        </w:r>
      </w:hyperlink>
      <w:r>
        <w:rPr>
          <w:rFonts w:ascii="Arial" w:eastAsia="Arial" w:hAnsi="Arial" w:cs="Arial"/>
          <w:sz w:val="20"/>
        </w:rPr>
        <w:t>US$5,659) y Nuevo León (US$13,814). Pese al continuo esfuerzo de Oaxaca para reducir sus niveles de pobreza, el bajo PIB per cápita limita su capacidad para ampliar su base tributaria. La administración sigue colaborando con el proy</w:t>
      </w:r>
      <w:r>
        <w:rPr>
          <w:rFonts w:ascii="Arial" w:eastAsia="Arial" w:hAnsi="Arial" w:cs="Arial"/>
          <w:sz w:val="20"/>
        </w:rPr>
        <w:t xml:space="preserve">ecto federal de las Zonas Económicas Especiales, a fin de diversificar sus actividades económicas e incrementar la productividad del Estado en el mediano plazo. </w:t>
      </w:r>
    </w:p>
    <w:p w:rsidR="0054300F" w:rsidRDefault="00D820F4">
      <w:pPr>
        <w:spacing w:after="19"/>
      </w:pPr>
      <w:r>
        <w:rPr>
          <w:rFonts w:ascii="Arial" w:eastAsia="Arial" w:hAnsi="Arial" w:cs="Arial"/>
          <w:sz w:val="20"/>
        </w:rPr>
        <w:t xml:space="preserve"> </w:t>
      </w:r>
    </w:p>
    <w:p w:rsidR="0054300F" w:rsidRDefault="00D820F4">
      <w:pPr>
        <w:spacing w:after="4" w:line="270" w:lineRule="auto"/>
        <w:ind w:left="-5" w:hanging="10"/>
      </w:pPr>
      <w:r>
        <w:rPr>
          <w:rFonts w:ascii="Arial" w:eastAsia="Arial" w:hAnsi="Arial" w:cs="Arial"/>
          <w:sz w:val="20"/>
        </w:rPr>
        <w:t>La actual administración (PRI; 2016-2022) está comprometida con la implementación de polític</w:t>
      </w:r>
      <w:r>
        <w:rPr>
          <w:rFonts w:ascii="Arial" w:eastAsia="Arial" w:hAnsi="Arial" w:cs="Arial"/>
          <w:sz w:val="20"/>
        </w:rPr>
        <w:t xml:space="preserve">as de liquidez y deuda prudentes, esperamos que mantenga una política de recaudación de ingresos activa y refuerce el control de gastos. El Estado mantiene una adecuada política de transparencia fiscal. En el futuro, los desafíos prevalecerán con respecto </w:t>
      </w:r>
      <w:r>
        <w:rPr>
          <w:rFonts w:ascii="Arial" w:eastAsia="Arial" w:hAnsi="Arial" w:cs="Arial"/>
          <w:sz w:val="20"/>
        </w:rPr>
        <w:t xml:space="preserve">a la institucionalización políticas financieras disciplinadas para garantizar la estabilidad fiscal del Estado.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hanging="10"/>
      </w:pPr>
      <w:r>
        <w:rPr>
          <w:rFonts w:ascii="Arial" w:eastAsia="Arial" w:hAnsi="Arial" w:cs="Arial"/>
          <w:sz w:val="20"/>
        </w:rPr>
        <w:t>Al igual que sus pares nacionales, el Estado de Oaxaca opera bajo un marco institucional en evolución y desbalanceado. De acuerdo con nuestro</w:t>
      </w:r>
      <w:r>
        <w:rPr>
          <w:rFonts w:ascii="Arial" w:eastAsia="Arial" w:hAnsi="Arial" w:cs="Arial"/>
          <w:sz w:val="20"/>
        </w:rPr>
        <w:t>s criterios, los factores analíticos, como la previsibilidad del sistema, el balance general de ingresos y gastos, la transparencia, la rendición de cuentas y el respaldo del sistema, reflejan que el Estado tiene un margen adicional de mejora, y actualment</w:t>
      </w:r>
      <w:r>
        <w:rPr>
          <w:rFonts w:ascii="Arial" w:eastAsia="Arial" w:hAnsi="Arial" w:cs="Arial"/>
          <w:sz w:val="20"/>
        </w:rPr>
        <w:t xml:space="preserve">e representan un obstáculo, que comparten los estados mexicanos, para las calificaciones. </w:t>
      </w:r>
    </w:p>
    <w:p w:rsidR="0054300F" w:rsidRDefault="00D820F4">
      <w:pPr>
        <w:spacing w:after="86"/>
      </w:pPr>
      <w:r>
        <w:rPr>
          <w:rFonts w:ascii="Arial" w:eastAsia="Arial" w:hAnsi="Arial" w:cs="Arial"/>
          <w:sz w:val="20"/>
        </w:rPr>
        <w:t xml:space="preserve"> </w:t>
      </w:r>
    </w:p>
    <w:p w:rsidR="0054300F" w:rsidRDefault="00D820F4">
      <w:pPr>
        <w:spacing w:after="0"/>
      </w:pPr>
      <w:r>
        <w:t xml:space="preserve"> </w:t>
      </w:r>
      <w:r>
        <w:tab/>
      </w:r>
      <w:r>
        <w:rPr>
          <w:rFonts w:ascii="Arial" w:eastAsia="Arial" w:hAnsi="Arial" w:cs="Arial"/>
          <w:color w:val="E2163D"/>
          <w:sz w:val="24"/>
        </w:rPr>
        <w:t xml:space="preserve"> </w:t>
      </w:r>
    </w:p>
    <w:p w:rsidR="0054300F" w:rsidRDefault="00D820F4">
      <w:pPr>
        <w:pStyle w:val="Ttulo1"/>
        <w:ind w:left="-5" w:right="3854"/>
      </w:pPr>
      <w:r>
        <w:lastRenderedPageBreak/>
        <w:t xml:space="preserve">Estadísticas principales  </w:t>
      </w:r>
    </w:p>
    <w:p w:rsidR="0054300F" w:rsidRDefault="00D820F4">
      <w:pPr>
        <w:spacing w:after="0"/>
      </w:pPr>
      <w:r>
        <w:rPr>
          <w:rFonts w:ascii="Arial" w:eastAsia="Arial" w:hAnsi="Arial" w:cs="Arial"/>
          <w:sz w:val="21"/>
        </w:rPr>
        <w:t xml:space="preserve"> </w:t>
      </w:r>
    </w:p>
    <w:tbl>
      <w:tblPr>
        <w:tblStyle w:val="TableGrid"/>
        <w:tblW w:w="9595" w:type="dxa"/>
        <w:tblInd w:w="-120" w:type="dxa"/>
        <w:tblCellMar>
          <w:top w:w="42" w:type="dxa"/>
          <w:left w:w="0" w:type="dxa"/>
          <w:bottom w:w="0" w:type="dxa"/>
          <w:right w:w="17" w:type="dxa"/>
        </w:tblCellMar>
        <w:tblLook w:val="04A0" w:firstRow="1" w:lastRow="0" w:firstColumn="1" w:lastColumn="0" w:noHBand="0" w:noVBand="1"/>
      </w:tblPr>
      <w:tblGrid>
        <w:gridCol w:w="4605"/>
        <w:gridCol w:w="1039"/>
        <w:gridCol w:w="984"/>
        <w:gridCol w:w="1094"/>
        <w:gridCol w:w="1097"/>
        <w:gridCol w:w="776"/>
      </w:tblGrid>
      <w:tr w:rsidR="0054300F">
        <w:trPr>
          <w:trHeight w:val="530"/>
        </w:trPr>
        <w:tc>
          <w:tcPr>
            <w:tcW w:w="4606" w:type="dxa"/>
            <w:tcBorders>
              <w:top w:val="single" w:sz="12" w:space="0" w:color="818181"/>
              <w:left w:val="nil"/>
              <w:bottom w:val="single" w:sz="12" w:space="0" w:color="818181"/>
              <w:right w:val="nil"/>
            </w:tcBorders>
          </w:tcPr>
          <w:p w:rsidR="0054300F" w:rsidRDefault="00D820F4">
            <w:pPr>
              <w:spacing w:after="0"/>
              <w:ind w:left="120"/>
            </w:pPr>
            <w:r>
              <w:rPr>
                <w:rFonts w:ascii="Arial" w:eastAsia="Arial" w:hAnsi="Arial" w:cs="Arial"/>
                <w:color w:val="E21737"/>
                <w:sz w:val="18"/>
              </w:rPr>
              <w:t xml:space="preserve">TABLA 1 </w:t>
            </w:r>
          </w:p>
          <w:p w:rsidR="0054300F" w:rsidRDefault="00D820F4">
            <w:pPr>
              <w:spacing w:after="0"/>
              <w:ind w:left="120"/>
            </w:pPr>
            <w:r>
              <w:rPr>
                <w:rFonts w:ascii="Arial" w:eastAsia="Arial" w:hAnsi="Arial" w:cs="Arial"/>
                <w:color w:val="E21737"/>
                <w:sz w:val="18"/>
              </w:rPr>
              <w:t xml:space="preserve">ESTADO DE OAXACA </w:t>
            </w:r>
            <w:r>
              <w:rPr>
                <w:rFonts w:ascii="Arial" w:eastAsia="Arial" w:hAnsi="Arial" w:cs="Arial"/>
                <w:sz w:val="18"/>
              </w:rPr>
              <w:t xml:space="preserve"> </w:t>
            </w:r>
          </w:p>
        </w:tc>
        <w:tc>
          <w:tcPr>
            <w:tcW w:w="4990" w:type="dxa"/>
            <w:gridSpan w:val="5"/>
            <w:tcBorders>
              <w:top w:val="single" w:sz="12" w:space="0" w:color="818181"/>
              <w:left w:val="nil"/>
              <w:bottom w:val="single" w:sz="12" w:space="0" w:color="818181"/>
              <w:right w:val="nil"/>
            </w:tcBorders>
          </w:tcPr>
          <w:p w:rsidR="0054300F" w:rsidRDefault="0054300F"/>
        </w:tc>
      </w:tr>
      <w:tr w:rsidR="0054300F">
        <w:trPr>
          <w:trHeight w:val="422"/>
        </w:trPr>
        <w:tc>
          <w:tcPr>
            <w:tcW w:w="4606" w:type="dxa"/>
            <w:tcBorders>
              <w:top w:val="single" w:sz="12" w:space="0" w:color="818181"/>
              <w:left w:val="nil"/>
              <w:bottom w:val="dashed" w:sz="4" w:space="0" w:color="A7A8A8"/>
              <w:right w:val="nil"/>
            </w:tcBorders>
          </w:tcPr>
          <w:p w:rsidR="0054300F" w:rsidRDefault="00D820F4">
            <w:pPr>
              <w:spacing w:after="0"/>
              <w:ind w:left="120"/>
            </w:pPr>
            <w:r>
              <w:rPr>
                <w:rFonts w:ascii="Arial" w:eastAsia="Arial" w:hAnsi="Arial" w:cs="Arial"/>
                <w:sz w:val="18"/>
              </w:rPr>
              <w:t xml:space="preserve">(En millones de pesos mexicanos) </w:t>
            </w:r>
          </w:p>
        </w:tc>
        <w:tc>
          <w:tcPr>
            <w:tcW w:w="4990" w:type="dxa"/>
            <w:gridSpan w:val="5"/>
            <w:tcBorders>
              <w:top w:val="single" w:sz="12" w:space="0" w:color="818181"/>
              <w:left w:val="nil"/>
              <w:bottom w:val="dashed" w:sz="4" w:space="0" w:color="A7A8A8"/>
              <w:right w:val="nil"/>
            </w:tcBorders>
          </w:tcPr>
          <w:p w:rsidR="0054300F" w:rsidRDefault="00D820F4">
            <w:pPr>
              <w:spacing w:after="0"/>
              <w:ind w:left="269"/>
            </w:pPr>
            <w:r>
              <w:rPr>
                <w:rFonts w:ascii="Arial" w:eastAsia="Arial" w:hAnsi="Arial" w:cs="Arial"/>
                <w:b/>
                <w:sz w:val="18"/>
              </w:rPr>
              <w:t xml:space="preserve">Ejercicio fiscal que concluye el 31 de diciembre </w:t>
            </w:r>
          </w:p>
        </w:tc>
      </w:tr>
      <w:tr w:rsidR="0054300F">
        <w:trPr>
          <w:trHeight w:val="422"/>
        </w:trPr>
        <w:tc>
          <w:tcPr>
            <w:tcW w:w="4606" w:type="dxa"/>
            <w:tcBorders>
              <w:top w:val="dashed" w:sz="4" w:space="0" w:color="A7A8A8"/>
              <w:left w:val="nil"/>
              <w:bottom w:val="single" w:sz="12" w:space="0" w:color="818181"/>
              <w:right w:val="nil"/>
            </w:tcBorders>
          </w:tcPr>
          <w:p w:rsidR="0054300F" w:rsidRDefault="00D820F4">
            <w:pPr>
              <w:spacing w:after="0"/>
              <w:ind w:left="120"/>
            </w:pPr>
            <w:r>
              <w:rPr>
                <w:rFonts w:ascii="Arial" w:eastAsia="Arial" w:hAnsi="Arial" w:cs="Arial"/>
                <w:sz w:val="18"/>
              </w:rPr>
              <w:t xml:space="preserve"> </w:t>
            </w:r>
          </w:p>
        </w:tc>
        <w:tc>
          <w:tcPr>
            <w:tcW w:w="1039" w:type="dxa"/>
            <w:tcBorders>
              <w:top w:val="dashed" w:sz="4" w:space="0" w:color="A7A8A8"/>
              <w:left w:val="nil"/>
              <w:bottom w:val="single" w:sz="12" w:space="0" w:color="818181"/>
              <w:right w:val="nil"/>
            </w:tcBorders>
          </w:tcPr>
          <w:p w:rsidR="0054300F" w:rsidRDefault="00D820F4">
            <w:pPr>
              <w:spacing w:after="0"/>
              <w:ind w:left="149"/>
            </w:pPr>
            <w:r>
              <w:rPr>
                <w:rFonts w:ascii="Arial" w:eastAsia="Arial" w:hAnsi="Arial" w:cs="Arial"/>
                <w:b/>
                <w:sz w:val="18"/>
              </w:rPr>
              <w:t xml:space="preserve">2015 </w:t>
            </w:r>
          </w:p>
        </w:tc>
        <w:tc>
          <w:tcPr>
            <w:tcW w:w="984" w:type="dxa"/>
            <w:tcBorders>
              <w:top w:val="dashed" w:sz="4" w:space="0" w:color="A7A8A8"/>
              <w:left w:val="nil"/>
              <w:bottom w:val="single" w:sz="12" w:space="0" w:color="818181"/>
              <w:right w:val="nil"/>
            </w:tcBorders>
          </w:tcPr>
          <w:p w:rsidR="0054300F" w:rsidRDefault="00D820F4">
            <w:pPr>
              <w:spacing w:after="0"/>
              <w:ind w:left="149"/>
            </w:pPr>
            <w:r>
              <w:rPr>
                <w:rFonts w:ascii="Arial" w:eastAsia="Arial" w:hAnsi="Arial" w:cs="Arial"/>
                <w:b/>
                <w:sz w:val="18"/>
              </w:rPr>
              <w:t xml:space="preserve">2016 </w:t>
            </w:r>
          </w:p>
        </w:tc>
        <w:tc>
          <w:tcPr>
            <w:tcW w:w="1094" w:type="dxa"/>
            <w:tcBorders>
              <w:top w:val="dashed" w:sz="4" w:space="0" w:color="A7A8A8"/>
              <w:left w:val="nil"/>
              <w:bottom w:val="single" w:sz="12" w:space="0" w:color="818181"/>
              <w:right w:val="nil"/>
            </w:tcBorders>
          </w:tcPr>
          <w:p w:rsidR="0054300F" w:rsidRDefault="00D820F4">
            <w:pPr>
              <w:spacing w:after="0"/>
            </w:pPr>
            <w:r>
              <w:rPr>
                <w:rFonts w:ascii="Arial" w:eastAsia="Arial" w:hAnsi="Arial" w:cs="Arial"/>
                <w:b/>
                <w:sz w:val="18"/>
              </w:rPr>
              <w:t xml:space="preserve">2017 eb </w:t>
            </w:r>
          </w:p>
        </w:tc>
        <w:tc>
          <w:tcPr>
            <w:tcW w:w="1097" w:type="dxa"/>
            <w:tcBorders>
              <w:top w:val="dashed" w:sz="4" w:space="0" w:color="A7A8A8"/>
              <w:left w:val="nil"/>
              <w:bottom w:val="single" w:sz="12" w:space="0" w:color="818181"/>
              <w:right w:val="nil"/>
            </w:tcBorders>
          </w:tcPr>
          <w:p w:rsidR="0054300F" w:rsidRDefault="00D820F4">
            <w:pPr>
              <w:spacing w:after="0"/>
            </w:pPr>
            <w:r>
              <w:rPr>
                <w:rFonts w:ascii="Arial" w:eastAsia="Arial" w:hAnsi="Arial" w:cs="Arial"/>
                <w:b/>
                <w:sz w:val="18"/>
              </w:rPr>
              <w:t xml:space="preserve">2018 eb </w:t>
            </w:r>
          </w:p>
        </w:tc>
        <w:tc>
          <w:tcPr>
            <w:tcW w:w="775" w:type="dxa"/>
            <w:tcBorders>
              <w:top w:val="dashed" w:sz="4" w:space="0" w:color="A7A8A8"/>
              <w:left w:val="nil"/>
              <w:bottom w:val="single" w:sz="12" w:space="0" w:color="818181"/>
              <w:right w:val="nil"/>
            </w:tcBorders>
          </w:tcPr>
          <w:p w:rsidR="0054300F" w:rsidRDefault="00D820F4">
            <w:pPr>
              <w:spacing w:after="0"/>
              <w:jc w:val="both"/>
            </w:pPr>
            <w:r>
              <w:rPr>
                <w:rFonts w:ascii="Arial" w:eastAsia="Arial" w:hAnsi="Arial" w:cs="Arial"/>
                <w:b/>
                <w:sz w:val="18"/>
              </w:rPr>
              <w:t xml:space="preserve">2019 eb </w:t>
            </w:r>
          </w:p>
        </w:tc>
      </w:tr>
      <w:tr w:rsidR="0054300F">
        <w:trPr>
          <w:trHeight w:val="432"/>
        </w:trPr>
        <w:tc>
          <w:tcPr>
            <w:tcW w:w="4606" w:type="dxa"/>
            <w:tcBorders>
              <w:top w:val="single" w:sz="12" w:space="0" w:color="818181"/>
              <w:left w:val="nil"/>
              <w:bottom w:val="single" w:sz="12" w:space="0" w:color="818181"/>
              <w:right w:val="nil"/>
            </w:tcBorders>
          </w:tcPr>
          <w:p w:rsidR="0054300F" w:rsidRDefault="00D820F4">
            <w:pPr>
              <w:spacing w:after="0"/>
              <w:ind w:left="120"/>
            </w:pPr>
            <w:r>
              <w:rPr>
                <w:rFonts w:ascii="Arial" w:eastAsia="Arial" w:hAnsi="Arial" w:cs="Arial"/>
                <w:color w:val="C00000"/>
                <w:sz w:val="18"/>
              </w:rPr>
              <w:t xml:space="preserve">Principales indicadores </w:t>
            </w:r>
          </w:p>
        </w:tc>
        <w:tc>
          <w:tcPr>
            <w:tcW w:w="1039" w:type="dxa"/>
            <w:tcBorders>
              <w:top w:val="single" w:sz="12" w:space="0" w:color="818181"/>
              <w:left w:val="nil"/>
              <w:bottom w:val="single" w:sz="12" w:space="0" w:color="818181"/>
              <w:right w:val="nil"/>
            </w:tcBorders>
          </w:tcPr>
          <w:p w:rsidR="0054300F" w:rsidRDefault="00D820F4">
            <w:pPr>
              <w:spacing w:after="0"/>
              <w:ind w:left="76"/>
              <w:jc w:val="center"/>
            </w:pPr>
            <w:r>
              <w:rPr>
                <w:rFonts w:ascii="Arial" w:eastAsia="Arial" w:hAnsi="Arial" w:cs="Arial"/>
                <w:sz w:val="18"/>
              </w:rPr>
              <w:t xml:space="preserve">  </w:t>
            </w:r>
          </w:p>
        </w:tc>
        <w:tc>
          <w:tcPr>
            <w:tcW w:w="984" w:type="dxa"/>
            <w:tcBorders>
              <w:top w:val="single" w:sz="12" w:space="0" w:color="818181"/>
              <w:left w:val="nil"/>
              <w:bottom w:val="single" w:sz="12" w:space="0" w:color="818181"/>
              <w:right w:val="nil"/>
            </w:tcBorders>
          </w:tcPr>
          <w:p w:rsidR="0054300F" w:rsidRDefault="00D820F4">
            <w:pPr>
              <w:spacing w:after="0"/>
              <w:ind w:left="132"/>
              <w:jc w:val="center"/>
            </w:pPr>
            <w:r>
              <w:rPr>
                <w:rFonts w:ascii="Arial" w:eastAsia="Arial" w:hAnsi="Arial" w:cs="Arial"/>
                <w:sz w:val="18"/>
              </w:rPr>
              <w:t xml:space="preserve">  </w:t>
            </w:r>
          </w:p>
        </w:tc>
        <w:tc>
          <w:tcPr>
            <w:tcW w:w="1094" w:type="dxa"/>
            <w:tcBorders>
              <w:top w:val="single" w:sz="12" w:space="0" w:color="818181"/>
              <w:left w:val="nil"/>
              <w:bottom w:val="single" w:sz="12" w:space="0" w:color="818181"/>
              <w:right w:val="nil"/>
            </w:tcBorders>
          </w:tcPr>
          <w:p w:rsidR="0054300F" w:rsidRDefault="00D820F4">
            <w:pPr>
              <w:spacing w:after="0"/>
              <w:ind w:left="242"/>
              <w:jc w:val="center"/>
            </w:pPr>
            <w:r>
              <w:rPr>
                <w:rFonts w:ascii="Arial" w:eastAsia="Arial" w:hAnsi="Arial" w:cs="Arial"/>
                <w:sz w:val="18"/>
              </w:rPr>
              <w:t xml:space="preserve">  </w:t>
            </w:r>
          </w:p>
        </w:tc>
        <w:tc>
          <w:tcPr>
            <w:tcW w:w="1097" w:type="dxa"/>
            <w:tcBorders>
              <w:top w:val="single" w:sz="12" w:space="0" w:color="818181"/>
              <w:left w:val="nil"/>
              <w:bottom w:val="single" w:sz="12" w:space="0" w:color="818181"/>
              <w:right w:val="nil"/>
            </w:tcBorders>
          </w:tcPr>
          <w:p w:rsidR="0054300F" w:rsidRDefault="00D820F4">
            <w:pPr>
              <w:spacing w:after="0"/>
              <w:ind w:left="240"/>
              <w:jc w:val="center"/>
            </w:pPr>
            <w:r>
              <w:rPr>
                <w:rFonts w:ascii="Arial" w:eastAsia="Arial" w:hAnsi="Arial" w:cs="Arial"/>
                <w:sz w:val="18"/>
              </w:rPr>
              <w:t xml:space="preserve">  </w:t>
            </w:r>
          </w:p>
        </w:tc>
        <w:tc>
          <w:tcPr>
            <w:tcW w:w="775" w:type="dxa"/>
            <w:tcBorders>
              <w:top w:val="single" w:sz="12" w:space="0" w:color="818181"/>
              <w:left w:val="nil"/>
              <w:bottom w:val="single" w:sz="12" w:space="0" w:color="818181"/>
              <w:right w:val="nil"/>
            </w:tcBorders>
          </w:tcPr>
          <w:p w:rsidR="0054300F" w:rsidRDefault="00D820F4">
            <w:pPr>
              <w:spacing w:after="0"/>
              <w:ind w:right="48"/>
              <w:jc w:val="right"/>
            </w:pPr>
            <w:r>
              <w:rPr>
                <w:rFonts w:ascii="Arial" w:eastAsia="Arial" w:hAnsi="Arial" w:cs="Arial"/>
                <w:sz w:val="18"/>
              </w:rPr>
              <w:t xml:space="preserve">  </w:t>
            </w:r>
          </w:p>
        </w:tc>
      </w:tr>
      <w:tr w:rsidR="0054300F">
        <w:trPr>
          <w:trHeight w:val="422"/>
        </w:trPr>
        <w:tc>
          <w:tcPr>
            <w:tcW w:w="4606" w:type="dxa"/>
            <w:tcBorders>
              <w:top w:val="single" w:sz="12" w:space="0" w:color="818181"/>
              <w:left w:val="nil"/>
              <w:bottom w:val="dashed" w:sz="4" w:space="0" w:color="A7A8A8"/>
              <w:right w:val="nil"/>
            </w:tcBorders>
          </w:tcPr>
          <w:p w:rsidR="0054300F" w:rsidRDefault="00D820F4">
            <w:pPr>
              <w:spacing w:after="0"/>
              <w:ind w:left="120"/>
            </w:pPr>
            <w:r>
              <w:rPr>
                <w:rFonts w:ascii="Arial" w:eastAsia="Arial" w:hAnsi="Arial" w:cs="Arial"/>
                <w:sz w:val="18"/>
              </w:rPr>
              <w:t xml:space="preserve">Ingresos operativos </w:t>
            </w:r>
          </w:p>
        </w:tc>
        <w:tc>
          <w:tcPr>
            <w:tcW w:w="1039" w:type="dxa"/>
            <w:tcBorders>
              <w:top w:val="single" w:sz="12" w:space="0" w:color="818181"/>
              <w:left w:val="nil"/>
              <w:bottom w:val="dashed" w:sz="4" w:space="0" w:color="A7A8A8"/>
              <w:right w:val="nil"/>
            </w:tcBorders>
          </w:tcPr>
          <w:p w:rsidR="0054300F" w:rsidRDefault="00D820F4">
            <w:pPr>
              <w:spacing w:after="0"/>
            </w:pPr>
            <w:r>
              <w:rPr>
                <w:rFonts w:ascii="Arial" w:eastAsia="Arial" w:hAnsi="Arial" w:cs="Arial"/>
                <w:sz w:val="18"/>
              </w:rPr>
              <w:t xml:space="preserve">54,705 </w:t>
            </w:r>
          </w:p>
        </w:tc>
        <w:tc>
          <w:tcPr>
            <w:tcW w:w="984" w:type="dxa"/>
            <w:tcBorders>
              <w:top w:val="single" w:sz="12" w:space="0" w:color="818181"/>
              <w:left w:val="nil"/>
              <w:bottom w:val="dashed" w:sz="4" w:space="0" w:color="A7A8A8"/>
              <w:right w:val="nil"/>
            </w:tcBorders>
          </w:tcPr>
          <w:p w:rsidR="0054300F" w:rsidRDefault="00D820F4">
            <w:pPr>
              <w:spacing w:after="0"/>
            </w:pPr>
            <w:r>
              <w:rPr>
                <w:rFonts w:ascii="Arial" w:eastAsia="Arial" w:hAnsi="Arial" w:cs="Arial"/>
                <w:sz w:val="18"/>
              </w:rPr>
              <w:t xml:space="preserve">57,597 </w:t>
            </w:r>
          </w:p>
        </w:tc>
        <w:tc>
          <w:tcPr>
            <w:tcW w:w="1094" w:type="dxa"/>
            <w:tcBorders>
              <w:top w:val="single" w:sz="12" w:space="0" w:color="818181"/>
              <w:left w:val="nil"/>
              <w:bottom w:val="dashed" w:sz="4" w:space="0" w:color="A7A8A8"/>
              <w:right w:val="nil"/>
            </w:tcBorders>
          </w:tcPr>
          <w:p w:rsidR="0054300F" w:rsidRDefault="00D820F4">
            <w:pPr>
              <w:spacing w:after="0"/>
              <w:ind w:left="110"/>
            </w:pPr>
            <w:r>
              <w:rPr>
                <w:rFonts w:ascii="Arial" w:eastAsia="Arial" w:hAnsi="Arial" w:cs="Arial"/>
                <w:sz w:val="18"/>
              </w:rPr>
              <w:t xml:space="preserve">61,074 </w:t>
            </w:r>
          </w:p>
        </w:tc>
        <w:tc>
          <w:tcPr>
            <w:tcW w:w="1097" w:type="dxa"/>
            <w:tcBorders>
              <w:top w:val="single" w:sz="12" w:space="0" w:color="818181"/>
              <w:left w:val="nil"/>
              <w:bottom w:val="dashed" w:sz="4" w:space="0" w:color="A7A8A8"/>
              <w:right w:val="nil"/>
            </w:tcBorders>
          </w:tcPr>
          <w:p w:rsidR="0054300F" w:rsidRDefault="00D820F4">
            <w:pPr>
              <w:spacing w:after="0"/>
              <w:ind w:left="110"/>
            </w:pPr>
            <w:r>
              <w:rPr>
                <w:rFonts w:ascii="Arial" w:eastAsia="Arial" w:hAnsi="Arial" w:cs="Arial"/>
                <w:sz w:val="18"/>
              </w:rPr>
              <w:t xml:space="preserve">63,991 </w:t>
            </w:r>
          </w:p>
        </w:tc>
        <w:tc>
          <w:tcPr>
            <w:tcW w:w="775" w:type="dxa"/>
            <w:tcBorders>
              <w:top w:val="single" w:sz="12" w:space="0" w:color="818181"/>
              <w:left w:val="nil"/>
              <w:bottom w:val="dashed" w:sz="4" w:space="0" w:color="A7A8A8"/>
              <w:right w:val="nil"/>
            </w:tcBorders>
          </w:tcPr>
          <w:p w:rsidR="0054300F" w:rsidRDefault="00D820F4">
            <w:pPr>
              <w:spacing w:after="0"/>
              <w:ind w:left="110"/>
            </w:pPr>
            <w:r>
              <w:rPr>
                <w:rFonts w:ascii="Arial" w:eastAsia="Arial" w:hAnsi="Arial" w:cs="Arial"/>
                <w:sz w:val="18"/>
              </w:rPr>
              <w:t xml:space="preserve">67,051 </w:t>
            </w:r>
          </w:p>
        </w:tc>
      </w:tr>
      <w:tr w:rsidR="0054300F">
        <w:trPr>
          <w:trHeight w:val="410"/>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Gastos operativos </w:t>
            </w:r>
          </w:p>
        </w:tc>
        <w:tc>
          <w:tcPr>
            <w:tcW w:w="1039" w:type="dxa"/>
            <w:tcBorders>
              <w:top w:val="dashed" w:sz="4" w:space="0" w:color="A7A8A8"/>
              <w:left w:val="nil"/>
              <w:bottom w:val="dashed" w:sz="4" w:space="0" w:color="A7A8A8"/>
              <w:right w:val="nil"/>
            </w:tcBorders>
          </w:tcPr>
          <w:p w:rsidR="0054300F" w:rsidRDefault="00D820F4">
            <w:pPr>
              <w:spacing w:after="0"/>
            </w:pPr>
            <w:r>
              <w:rPr>
                <w:rFonts w:ascii="Arial" w:eastAsia="Arial" w:hAnsi="Arial" w:cs="Arial"/>
                <w:sz w:val="18"/>
              </w:rPr>
              <w:t xml:space="preserve">54,520 </w:t>
            </w:r>
          </w:p>
        </w:tc>
        <w:tc>
          <w:tcPr>
            <w:tcW w:w="984" w:type="dxa"/>
            <w:tcBorders>
              <w:top w:val="dashed" w:sz="4" w:space="0" w:color="A7A8A8"/>
              <w:left w:val="nil"/>
              <w:bottom w:val="dashed" w:sz="4" w:space="0" w:color="A7A8A8"/>
              <w:right w:val="nil"/>
            </w:tcBorders>
          </w:tcPr>
          <w:p w:rsidR="0054300F" w:rsidRDefault="00D820F4">
            <w:pPr>
              <w:spacing w:after="0"/>
            </w:pPr>
            <w:r>
              <w:rPr>
                <w:rFonts w:ascii="Arial" w:eastAsia="Arial" w:hAnsi="Arial" w:cs="Arial"/>
                <w:sz w:val="18"/>
              </w:rPr>
              <w:t xml:space="preserve">56,728 </w:t>
            </w:r>
          </w:p>
        </w:tc>
        <w:tc>
          <w:tcPr>
            <w:tcW w:w="1094" w:type="dxa"/>
            <w:tcBorders>
              <w:top w:val="dashed" w:sz="4" w:space="0" w:color="A7A8A8"/>
              <w:left w:val="nil"/>
              <w:bottom w:val="dashed" w:sz="4" w:space="0" w:color="A7A8A8"/>
              <w:right w:val="nil"/>
            </w:tcBorders>
          </w:tcPr>
          <w:p w:rsidR="0054300F" w:rsidRDefault="00D820F4">
            <w:pPr>
              <w:spacing w:after="0"/>
              <w:ind w:left="110"/>
            </w:pPr>
            <w:r>
              <w:rPr>
                <w:rFonts w:ascii="Arial" w:eastAsia="Arial" w:hAnsi="Arial" w:cs="Arial"/>
                <w:sz w:val="18"/>
              </w:rPr>
              <w:t xml:space="preserve">60,115 </w:t>
            </w:r>
          </w:p>
        </w:tc>
        <w:tc>
          <w:tcPr>
            <w:tcW w:w="1097" w:type="dxa"/>
            <w:tcBorders>
              <w:top w:val="dashed" w:sz="4" w:space="0" w:color="A7A8A8"/>
              <w:left w:val="nil"/>
              <w:bottom w:val="dashed" w:sz="4" w:space="0" w:color="A7A8A8"/>
              <w:right w:val="nil"/>
            </w:tcBorders>
          </w:tcPr>
          <w:p w:rsidR="0054300F" w:rsidRDefault="00D820F4">
            <w:pPr>
              <w:spacing w:after="0"/>
              <w:ind w:left="110"/>
            </w:pPr>
            <w:r>
              <w:rPr>
                <w:rFonts w:ascii="Arial" w:eastAsia="Arial" w:hAnsi="Arial" w:cs="Arial"/>
                <w:sz w:val="18"/>
              </w:rPr>
              <w:t xml:space="preserve">62,655 </w:t>
            </w:r>
          </w:p>
        </w:tc>
        <w:tc>
          <w:tcPr>
            <w:tcW w:w="775" w:type="dxa"/>
            <w:tcBorders>
              <w:top w:val="dashed" w:sz="4" w:space="0" w:color="A7A8A8"/>
              <w:left w:val="nil"/>
              <w:bottom w:val="dashed" w:sz="4" w:space="0" w:color="A7A8A8"/>
              <w:right w:val="nil"/>
            </w:tcBorders>
          </w:tcPr>
          <w:p w:rsidR="0054300F" w:rsidRDefault="00D820F4">
            <w:pPr>
              <w:spacing w:after="0"/>
              <w:ind w:left="110"/>
            </w:pPr>
            <w:r>
              <w:rPr>
                <w:rFonts w:ascii="Arial" w:eastAsia="Arial" w:hAnsi="Arial" w:cs="Arial"/>
                <w:sz w:val="18"/>
              </w:rPr>
              <w:t xml:space="preserve">65,230 </w:t>
            </w:r>
          </w:p>
        </w:tc>
      </w:tr>
      <w:tr w:rsidR="0054300F">
        <w:trPr>
          <w:trHeight w:val="413"/>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Balance operativo </w:t>
            </w:r>
          </w:p>
        </w:tc>
        <w:tc>
          <w:tcPr>
            <w:tcW w:w="1039" w:type="dxa"/>
            <w:tcBorders>
              <w:top w:val="dashed" w:sz="4" w:space="0" w:color="A7A8A8"/>
              <w:left w:val="nil"/>
              <w:bottom w:val="dashed" w:sz="4" w:space="0" w:color="A7A8A8"/>
              <w:right w:val="nil"/>
            </w:tcBorders>
          </w:tcPr>
          <w:p w:rsidR="0054300F" w:rsidRDefault="00D820F4">
            <w:pPr>
              <w:spacing w:after="0"/>
              <w:ind w:left="250"/>
            </w:pPr>
            <w:r>
              <w:rPr>
                <w:rFonts w:ascii="Arial" w:eastAsia="Arial" w:hAnsi="Arial" w:cs="Arial"/>
                <w:sz w:val="18"/>
              </w:rPr>
              <w:t xml:space="preserve">185 </w:t>
            </w:r>
          </w:p>
        </w:tc>
        <w:tc>
          <w:tcPr>
            <w:tcW w:w="984" w:type="dxa"/>
            <w:tcBorders>
              <w:top w:val="dashed" w:sz="4" w:space="0" w:color="A7A8A8"/>
              <w:left w:val="nil"/>
              <w:bottom w:val="dashed" w:sz="4" w:space="0" w:color="A7A8A8"/>
              <w:right w:val="nil"/>
            </w:tcBorders>
          </w:tcPr>
          <w:p w:rsidR="0054300F" w:rsidRDefault="00D820F4">
            <w:pPr>
              <w:spacing w:after="0"/>
              <w:ind w:left="250"/>
            </w:pPr>
            <w:r>
              <w:rPr>
                <w:rFonts w:ascii="Arial" w:eastAsia="Arial" w:hAnsi="Arial" w:cs="Arial"/>
                <w:sz w:val="18"/>
              </w:rPr>
              <w:t xml:space="preserve">869 </w:t>
            </w:r>
          </w:p>
        </w:tc>
        <w:tc>
          <w:tcPr>
            <w:tcW w:w="1094" w:type="dxa"/>
            <w:tcBorders>
              <w:top w:val="dashed" w:sz="4" w:space="0" w:color="A7A8A8"/>
              <w:left w:val="nil"/>
              <w:bottom w:val="dashed" w:sz="4" w:space="0" w:color="A7A8A8"/>
              <w:right w:val="nil"/>
            </w:tcBorders>
          </w:tcPr>
          <w:p w:rsidR="0054300F" w:rsidRDefault="00D820F4">
            <w:pPr>
              <w:spacing w:after="0"/>
              <w:ind w:right="56"/>
              <w:jc w:val="center"/>
            </w:pPr>
            <w:r>
              <w:rPr>
                <w:rFonts w:ascii="Arial" w:eastAsia="Arial" w:hAnsi="Arial" w:cs="Arial"/>
                <w:sz w:val="18"/>
              </w:rPr>
              <w:t xml:space="preserve">959 </w:t>
            </w:r>
          </w:p>
        </w:tc>
        <w:tc>
          <w:tcPr>
            <w:tcW w:w="1097"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1,336 </w:t>
            </w:r>
          </w:p>
        </w:tc>
        <w:tc>
          <w:tcPr>
            <w:tcW w:w="775" w:type="dxa"/>
            <w:tcBorders>
              <w:top w:val="dashed" w:sz="4" w:space="0" w:color="A7A8A8"/>
              <w:left w:val="nil"/>
              <w:bottom w:val="dashed" w:sz="4" w:space="0" w:color="A7A8A8"/>
              <w:right w:val="nil"/>
            </w:tcBorders>
          </w:tcPr>
          <w:p w:rsidR="0054300F" w:rsidRDefault="00D820F4">
            <w:pPr>
              <w:spacing w:after="0"/>
              <w:ind w:right="96"/>
              <w:jc w:val="right"/>
            </w:pPr>
            <w:r>
              <w:rPr>
                <w:rFonts w:ascii="Arial" w:eastAsia="Arial" w:hAnsi="Arial" w:cs="Arial"/>
                <w:sz w:val="18"/>
              </w:rPr>
              <w:t xml:space="preserve">1,821 </w:t>
            </w:r>
          </w:p>
        </w:tc>
      </w:tr>
      <w:tr w:rsidR="0054300F">
        <w:trPr>
          <w:trHeight w:val="552"/>
        </w:trPr>
        <w:tc>
          <w:tcPr>
            <w:tcW w:w="4606" w:type="dxa"/>
            <w:tcBorders>
              <w:top w:val="dashed" w:sz="4" w:space="0" w:color="A7A8A8"/>
              <w:left w:val="nil"/>
              <w:bottom w:val="dashed" w:sz="4" w:space="0" w:color="A7A8A8"/>
              <w:right w:val="nil"/>
            </w:tcBorders>
          </w:tcPr>
          <w:p w:rsidR="0054300F" w:rsidRDefault="00D820F4">
            <w:pPr>
              <w:spacing w:after="0"/>
              <w:ind w:left="120" w:right="63"/>
            </w:pPr>
            <w:r>
              <w:rPr>
                <w:rFonts w:ascii="Arial" w:eastAsia="Arial" w:hAnsi="Arial" w:cs="Arial"/>
                <w:sz w:val="18"/>
              </w:rPr>
              <w:t xml:space="preserve">Balance operativo (como % de los ingresos operativos) </w:t>
            </w:r>
          </w:p>
        </w:tc>
        <w:tc>
          <w:tcPr>
            <w:tcW w:w="1039" w:type="dxa"/>
            <w:tcBorders>
              <w:top w:val="dashed" w:sz="4" w:space="0" w:color="A7A8A8"/>
              <w:left w:val="nil"/>
              <w:bottom w:val="dashed" w:sz="4" w:space="0" w:color="A7A8A8"/>
              <w:right w:val="nil"/>
            </w:tcBorders>
            <w:vAlign w:val="center"/>
          </w:tcPr>
          <w:p w:rsidR="0054300F" w:rsidRDefault="00D820F4">
            <w:pPr>
              <w:spacing w:after="0"/>
              <w:ind w:left="298"/>
            </w:pPr>
            <w:r>
              <w:rPr>
                <w:rFonts w:ascii="Arial" w:eastAsia="Arial" w:hAnsi="Arial" w:cs="Arial"/>
                <w:sz w:val="18"/>
              </w:rPr>
              <w:t xml:space="preserve">0.3  </w:t>
            </w:r>
          </w:p>
        </w:tc>
        <w:tc>
          <w:tcPr>
            <w:tcW w:w="984" w:type="dxa"/>
            <w:tcBorders>
              <w:top w:val="dashed" w:sz="4" w:space="0" w:color="A7A8A8"/>
              <w:left w:val="nil"/>
              <w:bottom w:val="dashed" w:sz="4" w:space="0" w:color="A7A8A8"/>
              <w:right w:val="nil"/>
            </w:tcBorders>
            <w:vAlign w:val="center"/>
          </w:tcPr>
          <w:p w:rsidR="0054300F" w:rsidRDefault="00D820F4">
            <w:pPr>
              <w:spacing w:after="0"/>
              <w:ind w:right="120"/>
              <w:jc w:val="center"/>
            </w:pPr>
            <w:r>
              <w:rPr>
                <w:rFonts w:ascii="Arial" w:eastAsia="Arial" w:hAnsi="Arial" w:cs="Arial"/>
                <w:sz w:val="18"/>
              </w:rPr>
              <w:t xml:space="preserve">1.5  </w:t>
            </w:r>
          </w:p>
        </w:tc>
        <w:tc>
          <w:tcPr>
            <w:tcW w:w="1094" w:type="dxa"/>
            <w:tcBorders>
              <w:top w:val="dashed" w:sz="4" w:space="0" w:color="A7A8A8"/>
              <w:left w:val="nil"/>
              <w:bottom w:val="dashed" w:sz="4" w:space="0" w:color="A7A8A8"/>
              <w:right w:val="nil"/>
            </w:tcBorders>
            <w:vAlign w:val="center"/>
          </w:tcPr>
          <w:p w:rsidR="0054300F" w:rsidRDefault="00D820F4">
            <w:pPr>
              <w:spacing w:after="0"/>
              <w:ind w:right="10"/>
              <w:jc w:val="center"/>
            </w:pPr>
            <w:r>
              <w:rPr>
                <w:rFonts w:ascii="Arial" w:eastAsia="Arial" w:hAnsi="Arial" w:cs="Arial"/>
                <w:sz w:val="18"/>
              </w:rPr>
              <w:t xml:space="preserve">1.6  </w:t>
            </w:r>
          </w:p>
        </w:tc>
        <w:tc>
          <w:tcPr>
            <w:tcW w:w="1097" w:type="dxa"/>
            <w:tcBorders>
              <w:top w:val="dashed" w:sz="4" w:space="0" w:color="A7A8A8"/>
              <w:left w:val="nil"/>
              <w:bottom w:val="dashed" w:sz="4" w:space="0" w:color="A7A8A8"/>
              <w:right w:val="nil"/>
            </w:tcBorders>
            <w:vAlign w:val="center"/>
          </w:tcPr>
          <w:p w:rsidR="0054300F" w:rsidRDefault="00D820F4">
            <w:pPr>
              <w:spacing w:after="0"/>
              <w:ind w:right="12"/>
              <w:jc w:val="center"/>
            </w:pPr>
            <w:r>
              <w:rPr>
                <w:rFonts w:ascii="Arial" w:eastAsia="Arial" w:hAnsi="Arial" w:cs="Arial"/>
                <w:sz w:val="18"/>
              </w:rPr>
              <w:t xml:space="preserve">2.1  </w:t>
            </w:r>
          </w:p>
        </w:tc>
        <w:tc>
          <w:tcPr>
            <w:tcW w:w="775" w:type="dxa"/>
            <w:tcBorders>
              <w:top w:val="dashed" w:sz="4" w:space="0" w:color="A7A8A8"/>
              <w:left w:val="nil"/>
              <w:bottom w:val="dashed" w:sz="4" w:space="0" w:color="A7A8A8"/>
              <w:right w:val="nil"/>
            </w:tcBorders>
            <w:vAlign w:val="center"/>
          </w:tcPr>
          <w:p w:rsidR="0054300F" w:rsidRDefault="00D820F4">
            <w:pPr>
              <w:spacing w:after="0"/>
              <w:ind w:right="99"/>
              <w:jc w:val="right"/>
            </w:pPr>
            <w:r>
              <w:rPr>
                <w:rFonts w:ascii="Arial" w:eastAsia="Arial" w:hAnsi="Arial" w:cs="Arial"/>
                <w:sz w:val="18"/>
              </w:rPr>
              <w:t xml:space="preserve">2.7  </w:t>
            </w:r>
          </w:p>
        </w:tc>
      </w:tr>
      <w:tr w:rsidR="0054300F">
        <w:trPr>
          <w:trHeight w:val="353"/>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Ingresos de capital </w:t>
            </w:r>
          </w:p>
        </w:tc>
        <w:tc>
          <w:tcPr>
            <w:tcW w:w="1039"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4,797 </w:t>
            </w:r>
          </w:p>
        </w:tc>
        <w:tc>
          <w:tcPr>
            <w:tcW w:w="984"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4,460 </w:t>
            </w:r>
          </w:p>
        </w:tc>
        <w:tc>
          <w:tcPr>
            <w:tcW w:w="1094"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5,500 </w:t>
            </w:r>
          </w:p>
        </w:tc>
        <w:tc>
          <w:tcPr>
            <w:tcW w:w="1097"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4,500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4,500 </w:t>
            </w:r>
          </w:p>
        </w:tc>
      </w:tr>
      <w:tr w:rsidR="0054300F">
        <w:trPr>
          <w:trHeight w:val="360"/>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Gastos de inversión </w:t>
            </w:r>
          </w:p>
        </w:tc>
        <w:tc>
          <w:tcPr>
            <w:tcW w:w="1039"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4,725 </w:t>
            </w:r>
          </w:p>
        </w:tc>
        <w:tc>
          <w:tcPr>
            <w:tcW w:w="984"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6,089 </w:t>
            </w:r>
          </w:p>
        </w:tc>
        <w:tc>
          <w:tcPr>
            <w:tcW w:w="1094"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7,500 </w:t>
            </w:r>
          </w:p>
        </w:tc>
        <w:tc>
          <w:tcPr>
            <w:tcW w:w="1097"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6,500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6,500 </w:t>
            </w:r>
          </w:p>
        </w:tc>
      </w:tr>
      <w:tr w:rsidR="0054300F">
        <w:trPr>
          <w:trHeight w:val="454"/>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Balance después de gastos de inversión </w:t>
            </w:r>
          </w:p>
        </w:tc>
        <w:tc>
          <w:tcPr>
            <w:tcW w:w="1039" w:type="dxa"/>
            <w:tcBorders>
              <w:top w:val="dashed" w:sz="4" w:space="0" w:color="A7A8A8"/>
              <w:left w:val="nil"/>
              <w:bottom w:val="dashed" w:sz="4" w:space="0" w:color="A7A8A8"/>
              <w:right w:val="nil"/>
            </w:tcBorders>
          </w:tcPr>
          <w:p w:rsidR="0054300F" w:rsidRDefault="00D820F4">
            <w:pPr>
              <w:spacing w:after="0"/>
              <w:ind w:left="250"/>
            </w:pPr>
            <w:r>
              <w:rPr>
                <w:rFonts w:ascii="Arial" w:eastAsia="Arial" w:hAnsi="Arial" w:cs="Arial"/>
                <w:sz w:val="18"/>
              </w:rPr>
              <w:t xml:space="preserve">257 </w:t>
            </w:r>
          </w:p>
        </w:tc>
        <w:tc>
          <w:tcPr>
            <w:tcW w:w="984" w:type="dxa"/>
            <w:tcBorders>
              <w:top w:val="dashed" w:sz="4" w:space="0" w:color="A7A8A8"/>
              <w:left w:val="nil"/>
              <w:bottom w:val="dashed" w:sz="4" w:space="0" w:color="A7A8A8"/>
              <w:right w:val="nil"/>
            </w:tcBorders>
          </w:tcPr>
          <w:p w:rsidR="0054300F" w:rsidRDefault="00D820F4">
            <w:pPr>
              <w:spacing w:after="0"/>
              <w:ind w:left="190"/>
            </w:pPr>
            <w:r>
              <w:rPr>
                <w:rFonts w:ascii="Arial" w:eastAsia="Arial" w:hAnsi="Arial" w:cs="Arial"/>
                <w:sz w:val="18"/>
              </w:rPr>
              <w:t xml:space="preserve">-761 </w:t>
            </w:r>
          </w:p>
        </w:tc>
        <w:tc>
          <w:tcPr>
            <w:tcW w:w="1094" w:type="dxa"/>
            <w:tcBorders>
              <w:top w:val="dashed" w:sz="4" w:space="0" w:color="A7A8A8"/>
              <w:left w:val="nil"/>
              <w:bottom w:val="dashed" w:sz="4" w:space="0" w:color="A7A8A8"/>
              <w:right w:val="nil"/>
            </w:tcBorders>
          </w:tcPr>
          <w:p w:rsidR="0054300F" w:rsidRDefault="00D820F4">
            <w:pPr>
              <w:spacing w:after="0"/>
              <w:ind w:left="149"/>
            </w:pPr>
            <w:r>
              <w:rPr>
                <w:rFonts w:ascii="Arial" w:eastAsia="Arial" w:hAnsi="Arial" w:cs="Arial"/>
                <w:sz w:val="18"/>
              </w:rPr>
              <w:t xml:space="preserve">-1,041 </w:t>
            </w:r>
          </w:p>
        </w:tc>
        <w:tc>
          <w:tcPr>
            <w:tcW w:w="1097" w:type="dxa"/>
            <w:tcBorders>
              <w:top w:val="dashed" w:sz="4" w:space="0" w:color="A7A8A8"/>
              <w:left w:val="nil"/>
              <w:bottom w:val="dashed" w:sz="4" w:space="0" w:color="A7A8A8"/>
              <w:right w:val="nil"/>
            </w:tcBorders>
          </w:tcPr>
          <w:p w:rsidR="0054300F" w:rsidRDefault="00D820F4">
            <w:pPr>
              <w:spacing w:after="0"/>
              <w:ind w:right="118"/>
              <w:jc w:val="center"/>
            </w:pPr>
            <w:r>
              <w:rPr>
                <w:rFonts w:ascii="Arial" w:eastAsia="Arial" w:hAnsi="Arial" w:cs="Arial"/>
                <w:sz w:val="18"/>
              </w:rPr>
              <w:t xml:space="preserve">-664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-179 </w:t>
            </w:r>
          </w:p>
        </w:tc>
      </w:tr>
      <w:tr w:rsidR="0054300F">
        <w:trPr>
          <w:trHeight w:val="631"/>
        </w:trPr>
        <w:tc>
          <w:tcPr>
            <w:tcW w:w="4606" w:type="dxa"/>
            <w:tcBorders>
              <w:top w:val="dashed" w:sz="4" w:space="0" w:color="A7A8A8"/>
              <w:left w:val="nil"/>
              <w:bottom w:val="dashed" w:sz="4" w:space="0" w:color="A7A8A8"/>
              <w:right w:val="nil"/>
            </w:tcBorders>
          </w:tcPr>
          <w:p w:rsidR="0054300F" w:rsidRDefault="00D820F4">
            <w:pPr>
              <w:spacing w:after="0"/>
              <w:ind w:left="120" w:right="224"/>
            </w:pPr>
            <w:r>
              <w:rPr>
                <w:rFonts w:ascii="Arial" w:eastAsia="Arial" w:hAnsi="Arial" w:cs="Arial"/>
                <w:sz w:val="18"/>
              </w:rPr>
              <w:t xml:space="preserve">Balance después de gastos de inversión (como % de los ingresos totales) </w:t>
            </w:r>
          </w:p>
        </w:tc>
        <w:tc>
          <w:tcPr>
            <w:tcW w:w="1039" w:type="dxa"/>
            <w:tcBorders>
              <w:top w:val="dashed" w:sz="4" w:space="0" w:color="A7A8A8"/>
              <w:left w:val="nil"/>
              <w:bottom w:val="dashed" w:sz="4" w:space="0" w:color="A7A8A8"/>
              <w:right w:val="nil"/>
            </w:tcBorders>
            <w:vAlign w:val="center"/>
          </w:tcPr>
          <w:p w:rsidR="0054300F" w:rsidRDefault="00D820F4">
            <w:pPr>
              <w:spacing w:after="0"/>
              <w:ind w:left="298"/>
            </w:pPr>
            <w:r>
              <w:rPr>
                <w:rFonts w:ascii="Arial" w:eastAsia="Arial" w:hAnsi="Arial" w:cs="Arial"/>
                <w:sz w:val="18"/>
              </w:rPr>
              <w:t xml:space="preserve">0.4  </w:t>
            </w:r>
          </w:p>
        </w:tc>
        <w:tc>
          <w:tcPr>
            <w:tcW w:w="984" w:type="dxa"/>
            <w:tcBorders>
              <w:top w:val="dashed" w:sz="4" w:space="0" w:color="A7A8A8"/>
              <w:left w:val="nil"/>
              <w:bottom w:val="dashed" w:sz="4" w:space="0" w:color="A7A8A8"/>
              <w:right w:val="nil"/>
            </w:tcBorders>
            <w:vAlign w:val="center"/>
          </w:tcPr>
          <w:p w:rsidR="0054300F" w:rsidRDefault="00D820F4">
            <w:pPr>
              <w:spacing w:after="0"/>
              <w:ind w:left="180"/>
            </w:pPr>
            <w:r>
              <w:rPr>
                <w:rFonts w:ascii="Arial" w:eastAsia="Arial" w:hAnsi="Arial" w:cs="Arial"/>
                <w:sz w:val="18"/>
              </w:rPr>
              <w:t xml:space="preserve">(1.2) </w:t>
            </w:r>
          </w:p>
        </w:tc>
        <w:tc>
          <w:tcPr>
            <w:tcW w:w="1094" w:type="dxa"/>
            <w:tcBorders>
              <w:top w:val="dashed" w:sz="4" w:space="0" w:color="A7A8A8"/>
              <w:left w:val="nil"/>
              <w:bottom w:val="dashed" w:sz="4" w:space="0" w:color="A7A8A8"/>
              <w:right w:val="nil"/>
            </w:tcBorders>
            <w:vAlign w:val="center"/>
          </w:tcPr>
          <w:p w:rsidR="0054300F" w:rsidRDefault="00D820F4">
            <w:pPr>
              <w:spacing w:after="0"/>
              <w:ind w:left="290"/>
            </w:pPr>
            <w:r>
              <w:rPr>
                <w:rFonts w:ascii="Arial" w:eastAsia="Arial" w:hAnsi="Arial" w:cs="Arial"/>
                <w:sz w:val="18"/>
              </w:rPr>
              <w:t xml:space="preserve">(1.6) </w:t>
            </w:r>
          </w:p>
        </w:tc>
        <w:tc>
          <w:tcPr>
            <w:tcW w:w="1097" w:type="dxa"/>
            <w:tcBorders>
              <w:top w:val="dashed" w:sz="4" w:space="0" w:color="A7A8A8"/>
              <w:left w:val="nil"/>
              <w:bottom w:val="dashed" w:sz="4" w:space="0" w:color="A7A8A8"/>
              <w:right w:val="nil"/>
            </w:tcBorders>
            <w:vAlign w:val="center"/>
          </w:tcPr>
          <w:p w:rsidR="0054300F" w:rsidRDefault="00D820F4">
            <w:pPr>
              <w:spacing w:after="0"/>
              <w:ind w:left="290"/>
            </w:pPr>
            <w:r>
              <w:rPr>
                <w:rFonts w:ascii="Arial" w:eastAsia="Arial" w:hAnsi="Arial" w:cs="Arial"/>
                <w:sz w:val="18"/>
              </w:rPr>
              <w:t xml:space="preserve">(1.0) </w:t>
            </w:r>
          </w:p>
        </w:tc>
        <w:tc>
          <w:tcPr>
            <w:tcW w:w="775" w:type="dxa"/>
            <w:tcBorders>
              <w:top w:val="dashed" w:sz="4" w:space="0" w:color="A7A8A8"/>
              <w:left w:val="nil"/>
              <w:bottom w:val="dashed" w:sz="4" w:space="0" w:color="A7A8A8"/>
              <w:right w:val="nil"/>
            </w:tcBorders>
            <w:vAlign w:val="center"/>
          </w:tcPr>
          <w:p w:rsidR="0054300F" w:rsidRDefault="00D820F4">
            <w:pPr>
              <w:spacing w:after="0"/>
              <w:ind w:right="96"/>
              <w:jc w:val="right"/>
            </w:pPr>
            <w:r>
              <w:rPr>
                <w:rFonts w:ascii="Arial" w:eastAsia="Arial" w:hAnsi="Arial" w:cs="Arial"/>
                <w:sz w:val="18"/>
              </w:rPr>
              <w:t xml:space="preserve">(0.2) </w:t>
            </w:r>
          </w:p>
        </w:tc>
      </w:tr>
      <w:tr w:rsidR="0054300F">
        <w:trPr>
          <w:trHeight w:val="362"/>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Amortización de deuda </w:t>
            </w:r>
          </w:p>
        </w:tc>
        <w:tc>
          <w:tcPr>
            <w:tcW w:w="1039"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9,079 </w:t>
            </w:r>
          </w:p>
        </w:tc>
        <w:tc>
          <w:tcPr>
            <w:tcW w:w="984"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6,204 </w:t>
            </w:r>
          </w:p>
        </w:tc>
        <w:tc>
          <w:tcPr>
            <w:tcW w:w="1094"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2,174 </w:t>
            </w:r>
          </w:p>
        </w:tc>
        <w:tc>
          <w:tcPr>
            <w:tcW w:w="1097"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2,206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2,239 </w:t>
            </w:r>
          </w:p>
        </w:tc>
      </w:tr>
      <w:tr w:rsidR="0054300F">
        <w:trPr>
          <w:trHeight w:val="362"/>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Endeudamiento bruto </w:t>
            </w:r>
          </w:p>
        </w:tc>
        <w:tc>
          <w:tcPr>
            <w:tcW w:w="1039" w:type="dxa"/>
            <w:tcBorders>
              <w:top w:val="dashed" w:sz="4" w:space="0" w:color="A7A8A8"/>
              <w:left w:val="nil"/>
              <w:bottom w:val="dashed" w:sz="4" w:space="0" w:color="A7A8A8"/>
              <w:right w:val="nil"/>
            </w:tcBorders>
          </w:tcPr>
          <w:p w:rsidR="0054300F" w:rsidRDefault="00D820F4">
            <w:pPr>
              <w:spacing w:after="0"/>
            </w:pPr>
            <w:r>
              <w:rPr>
                <w:rFonts w:ascii="Arial" w:eastAsia="Arial" w:hAnsi="Arial" w:cs="Arial"/>
                <w:sz w:val="18"/>
              </w:rPr>
              <w:t xml:space="preserve">11,876 </w:t>
            </w:r>
          </w:p>
        </w:tc>
        <w:tc>
          <w:tcPr>
            <w:tcW w:w="984"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5,032 </w:t>
            </w:r>
          </w:p>
        </w:tc>
        <w:tc>
          <w:tcPr>
            <w:tcW w:w="1094"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2,184 </w:t>
            </w:r>
          </w:p>
        </w:tc>
        <w:tc>
          <w:tcPr>
            <w:tcW w:w="1097" w:type="dxa"/>
            <w:tcBorders>
              <w:top w:val="dashed" w:sz="4" w:space="0" w:color="A7A8A8"/>
              <w:left w:val="nil"/>
              <w:bottom w:val="dashed" w:sz="4" w:space="0" w:color="A7A8A8"/>
              <w:right w:val="nil"/>
            </w:tcBorders>
          </w:tcPr>
          <w:p w:rsidR="0054300F" w:rsidRDefault="00D820F4">
            <w:pPr>
              <w:spacing w:after="0"/>
              <w:ind w:left="209"/>
            </w:pPr>
            <w:r>
              <w:rPr>
                <w:rFonts w:ascii="Arial" w:eastAsia="Arial" w:hAnsi="Arial" w:cs="Arial"/>
                <w:sz w:val="18"/>
              </w:rPr>
              <w:t xml:space="preserve">2,217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2,250 </w:t>
            </w:r>
          </w:p>
        </w:tc>
      </w:tr>
      <w:tr w:rsidR="0054300F">
        <w:trPr>
          <w:trHeight w:val="353"/>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Balance después de endeudamiento </w:t>
            </w:r>
          </w:p>
        </w:tc>
        <w:tc>
          <w:tcPr>
            <w:tcW w:w="1039" w:type="dxa"/>
            <w:tcBorders>
              <w:top w:val="dashed" w:sz="4" w:space="0" w:color="A7A8A8"/>
              <w:left w:val="nil"/>
              <w:bottom w:val="dashed" w:sz="4" w:space="0" w:color="A7A8A8"/>
              <w:right w:val="nil"/>
            </w:tcBorders>
          </w:tcPr>
          <w:p w:rsidR="0054300F" w:rsidRDefault="00D820F4">
            <w:pPr>
              <w:spacing w:after="0"/>
              <w:ind w:left="98"/>
            </w:pPr>
            <w:r>
              <w:rPr>
                <w:rFonts w:ascii="Arial" w:eastAsia="Arial" w:hAnsi="Arial" w:cs="Arial"/>
                <w:sz w:val="18"/>
              </w:rPr>
              <w:t xml:space="preserve">3,053 </w:t>
            </w:r>
          </w:p>
        </w:tc>
        <w:tc>
          <w:tcPr>
            <w:tcW w:w="984" w:type="dxa"/>
            <w:tcBorders>
              <w:top w:val="dashed" w:sz="4" w:space="0" w:color="A7A8A8"/>
              <w:left w:val="nil"/>
              <w:bottom w:val="dashed" w:sz="4" w:space="0" w:color="A7A8A8"/>
              <w:right w:val="nil"/>
            </w:tcBorders>
          </w:tcPr>
          <w:p w:rsidR="0054300F" w:rsidRDefault="00D820F4">
            <w:pPr>
              <w:spacing w:after="0"/>
              <w:ind w:left="38"/>
            </w:pPr>
            <w:r>
              <w:rPr>
                <w:rFonts w:ascii="Arial" w:eastAsia="Arial" w:hAnsi="Arial" w:cs="Arial"/>
                <w:sz w:val="18"/>
              </w:rPr>
              <w:t xml:space="preserve">-1,932 </w:t>
            </w:r>
          </w:p>
        </w:tc>
        <w:tc>
          <w:tcPr>
            <w:tcW w:w="1094" w:type="dxa"/>
            <w:tcBorders>
              <w:top w:val="dashed" w:sz="4" w:space="0" w:color="A7A8A8"/>
              <w:left w:val="nil"/>
              <w:bottom w:val="dashed" w:sz="4" w:space="0" w:color="A7A8A8"/>
              <w:right w:val="nil"/>
            </w:tcBorders>
          </w:tcPr>
          <w:p w:rsidR="0054300F" w:rsidRDefault="00D820F4">
            <w:pPr>
              <w:spacing w:after="0"/>
              <w:ind w:left="149"/>
            </w:pPr>
            <w:r>
              <w:rPr>
                <w:rFonts w:ascii="Arial" w:eastAsia="Arial" w:hAnsi="Arial" w:cs="Arial"/>
                <w:sz w:val="18"/>
              </w:rPr>
              <w:t xml:space="preserve">-1,031 </w:t>
            </w:r>
          </w:p>
        </w:tc>
        <w:tc>
          <w:tcPr>
            <w:tcW w:w="1097" w:type="dxa"/>
            <w:tcBorders>
              <w:top w:val="dashed" w:sz="4" w:space="0" w:color="A7A8A8"/>
              <w:left w:val="nil"/>
              <w:bottom w:val="dashed" w:sz="4" w:space="0" w:color="A7A8A8"/>
              <w:right w:val="nil"/>
            </w:tcBorders>
          </w:tcPr>
          <w:p w:rsidR="0054300F" w:rsidRDefault="00D820F4">
            <w:pPr>
              <w:spacing w:after="0"/>
              <w:ind w:right="118"/>
              <w:jc w:val="center"/>
            </w:pPr>
            <w:r>
              <w:rPr>
                <w:rFonts w:ascii="Arial" w:eastAsia="Arial" w:hAnsi="Arial" w:cs="Arial"/>
                <w:sz w:val="18"/>
              </w:rPr>
              <w:t xml:space="preserve">-654 </w:t>
            </w:r>
          </w:p>
        </w:tc>
        <w:tc>
          <w:tcPr>
            <w:tcW w:w="775" w:type="dxa"/>
            <w:tcBorders>
              <w:top w:val="dashed" w:sz="4" w:space="0" w:color="A7A8A8"/>
              <w:left w:val="nil"/>
              <w:bottom w:val="dashed" w:sz="4" w:space="0" w:color="A7A8A8"/>
              <w:right w:val="nil"/>
            </w:tcBorders>
          </w:tcPr>
          <w:p w:rsidR="0054300F" w:rsidRDefault="00D820F4">
            <w:pPr>
              <w:spacing w:after="0"/>
              <w:ind w:right="97"/>
              <w:jc w:val="right"/>
            </w:pPr>
            <w:r>
              <w:rPr>
                <w:rFonts w:ascii="Arial" w:eastAsia="Arial" w:hAnsi="Arial" w:cs="Arial"/>
                <w:sz w:val="18"/>
              </w:rPr>
              <w:t xml:space="preserve">-168 </w:t>
            </w:r>
          </w:p>
        </w:tc>
      </w:tr>
      <w:tr w:rsidR="0054300F">
        <w:trPr>
          <w:trHeight w:val="622"/>
        </w:trPr>
        <w:tc>
          <w:tcPr>
            <w:tcW w:w="4606" w:type="dxa"/>
            <w:tcBorders>
              <w:top w:val="dashed" w:sz="4" w:space="0" w:color="A7A8A8"/>
              <w:left w:val="nil"/>
              <w:bottom w:val="dashed" w:sz="4" w:space="0" w:color="A7A8A8"/>
              <w:right w:val="nil"/>
            </w:tcBorders>
          </w:tcPr>
          <w:p w:rsidR="0054300F" w:rsidRDefault="00D820F4">
            <w:pPr>
              <w:spacing w:after="0"/>
              <w:ind w:left="120" w:right="452"/>
            </w:pPr>
            <w:r>
              <w:rPr>
                <w:rFonts w:ascii="Arial" w:eastAsia="Arial" w:hAnsi="Arial" w:cs="Arial"/>
                <w:sz w:val="18"/>
              </w:rPr>
              <w:t xml:space="preserve">Ingresos propios (como % de ingresos operativos) </w:t>
            </w:r>
          </w:p>
        </w:tc>
        <w:tc>
          <w:tcPr>
            <w:tcW w:w="1039" w:type="dxa"/>
            <w:tcBorders>
              <w:top w:val="dashed" w:sz="4" w:space="0" w:color="A7A8A8"/>
              <w:left w:val="nil"/>
              <w:bottom w:val="dashed" w:sz="4" w:space="0" w:color="A7A8A8"/>
              <w:right w:val="nil"/>
            </w:tcBorders>
            <w:vAlign w:val="center"/>
          </w:tcPr>
          <w:p w:rsidR="0054300F" w:rsidRDefault="00D820F4">
            <w:pPr>
              <w:spacing w:after="0"/>
              <w:ind w:left="298"/>
            </w:pPr>
            <w:r>
              <w:rPr>
                <w:rFonts w:ascii="Arial" w:eastAsia="Arial" w:hAnsi="Arial" w:cs="Arial"/>
                <w:sz w:val="18"/>
              </w:rPr>
              <w:t xml:space="preserve">8.4  </w:t>
            </w:r>
          </w:p>
        </w:tc>
        <w:tc>
          <w:tcPr>
            <w:tcW w:w="984" w:type="dxa"/>
            <w:tcBorders>
              <w:top w:val="dashed" w:sz="4" w:space="0" w:color="A7A8A8"/>
              <w:left w:val="nil"/>
              <w:bottom w:val="dashed" w:sz="4" w:space="0" w:color="A7A8A8"/>
              <w:right w:val="nil"/>
            </w:tcBorders>
            <w:vAlign w:val="center"/>
          </w:tcPr>
          <w:p w:rsidR="0054300F" w:rsidRDefault="00D820F4">
            <w:pPr>
              <w:spacing w:after="0"/>
              <w:ind w:right="120"/>
              <w:jc w:val="center"/>
            </w:pPr>
            <w:r>
              <w:rPr>
                <w:rFonts w:ascii="Arial" w:eastAsia="Arial" w:hAnsi="Arial" w:cs="Arial"/>
                <w:sz w:val="18"/>
              </w:rPr>
              <w:t xml:space="preserve">8.1  </w:t>
            </w:r>
          </w:p>
        </w:tc>
        <w:tc>
          <w:tcPr>
            <w:tcW w:w="1094" w:type="dxa"/>
            <w:tcBorders>
              <w:top w:val="dashed" w:sz="4" w:space="0" w:color="A7A8A8"/>
              <w:left w:val="nil"/>
              <w:bottom w:val="dashed" w:sz="4" w:space="0" w:color="A7A8A8"/>
              <w:right w:val="nil"/>
            </w:tcBorders>
            <w:vAlign w:val="center"/>
          </w:tcPr>
          <w:p w:rsidR="0054300F" w:rsidRDefault="00D820F4">
            <w:pPr>
              <w:spacing w:after="0"/>
              <w:ind w:right="10"/>
              <w:jc w:val="center"/>
            </w:pPr>
            <w:r>
              <w:rPr>
                <w:rFonts w:ascii="Arial" w:eastAsia="Arial" w:hAnsi="Arial" w:cs="Arial"/>
                <w:sz w:val="18"/>
              </w:rPr>
              <w:t xml:space="preserve">7.9  </w:t>
            </w:r>
          </w:p>
        </w:tc>
        <w:tc>
          <w:tcPr>
            <w:tcW w:w="1097" w:type="dxa"/>
            <w:tcBorders>
              <w:top w:val="dashed" w:sz="4" w:space="0" w:color="A7A8A8"/>
              <w:left w:val="nil"/>
              <w:bottom w:val="dashed" w:sz="4" w:space="0" w:color="A7A8A8"/>
              <w:right w:val="nil"/>
            </w:tcBorders>
            <w:vAlign w:val="center"/>
          </w:tcPr>
          <w:p w:rsidR="0054300F" w:rsidRDefault="00D820F4">
            <w:pPr>
              <w:spacing w:after="0"/>
              <w:ind w:right="12"/>
              <w:jc w:val="center"/>
            </w:pPr>
            <w:r>
              <w:rPr>
                <w:rFonts w:ascii="Arial" w:eastAsia="Arial" w:hAnsi="Arial" w:cs="Arial"/>
                <w:sz w:val="18"/>
              </w:rPr>
              <w:t xml:space="preserve">7.9  </w:t>
            </w:r>
          </w:p>
        </w:tc>
        <w:tc>
          <w:tcPr>
            <w:tcW w:w="775" w:type="dxa"/>
            <w:tcBorders>
              <w:top w:val="dashed" w:sz="4" w:space="0" w:color="A7A8A8"/>
              <w:left w:val="nil"/>
              <w:bottom w:val="dashed" w:sz="4" w:space="0" w:color="A7A8A8"/>
              <w:right w:val="nil"/>
            </w:tcBorders>
            <w:vAlign w:val="center"/>
          </w:tcPr>
          <w:p w:rsidR="0054300F" w:rsidRDefault="00D820F4">
            <w:pPr>
              <w:spacing w:after="0"/>
              <w:ind w:right="99"/>
              <w:jc w:val="right"/>
            </w:pPr>
            <w:r>
              <w:rPr>
                <w:rFonts w:ascii="Arial" w:eastAsia="Arial" w:hAnsi="Arial" w:cs="Arial"/>
                <w:sz w:val="18"/>
              </w:rPr>
              <w:t xml:space="preserve">7.9  </w:t>
            </w:r>
          </w:p>
        </w:tc>
      </w:tr>
      <w:tr w:rsidR="0054300F">
        <w:trPr>
          <w:trHeight w:val="660"/>
        </w:trPr>
        <w:tc>
          <w:tcPr>
            <w:tcW w:w="4606" w:type="dxa"/>
            <w:tcBorders>
              <w:top w:val="dashed" w:sz="4" w:space="0" w:color="A7A8A8"/>
              <w:left w:val="nil"/>
              <w:bottom w:val="dashed" w:sz="4" w:space="0" w:color="A7A8A8"/>
              <w:right w:val="nil"/>
            </w:tcBorders>
            <w:vAlign w:val="center"/>
          </w:tcPr>
          <w:p w:rsidR="0054300F" w:rsidRDefault="00D820F4">
            <w:pPr>
              <w:spacing w:after="0"/>
              <w:ind w:left="120"/>
            </w:pPr>
            <w:r>
              <w:rPr>
                <w:rFonts w:ascii="Arial" w:eastAsia="Arial" w:hAnsi="Arial" w:cs="Arial"/>
                <w:sz w:val="18"/>
              </w:rPr>
              <w:t xml:space="preserve">Gastos de inversión (como % de gastos totales) </w:t>
            </w:r>
          </w:p>
        </w:tc>
        <w:tc>
          <w:tcPr>
            <w:tcW w:w="1039" w:type="dxa"/>
            <w:tcBorders>
              <w:top w:val="dashed" w:sz="4" w:space="0" w:color="A7A8A8"/>
              <w:left w:val="nil"/>
              <w:bottom w:val="dashed" w:sz="4" w:space="0" w:color="A7A8A8"/>
              <w:right w:val="nil"/>
            </w:tcBorders>
            <w:vAlign w:val="center"/>
          </w:tcPr>
          <w:p w:rsidR="0054300F" w:rsidRDefault="00D820F4">
            <w:pPr>
              <w:spacing w:after="0"/>
              <w:ind w:left="298"/>
            </w:pPr>
            <w:r>
              <w:rPr>
                <w:rFonts w:ascii="Arial" w:eastAsia="Arial" w:hAnsi="Arial" w:cs="Arial"/>
                <w:sz w:val="18"/>
              </w:rPr>
              <w:t xml:space="preserve">8.0  </w:t>
            </w:r>
          </w:p>
        </w:tc>
        <w:tc>
          <w:tcPr>
            <w:tcW w:w="984" w:type="dxa"/>
            <w:tcBorders>
              <w:top w:val="dashed" w:sz="4" w:space="0" w:color="A7A8A8"/>
              <w:left w:val="nil"/>
              <w:bottom w:val="dashed" w:sz="4" w:space="0" w:color="A7A8A8"/>
              <w:right w:val="nil"/>
            </w:tcBorders>
            <w:vAlign w:val="center"/>
          </w:tcPr>
          <w:p w:rsidR="0054300F" w:rsidRDefault="00D820F4">
            <w:pPr>
              <w:spacing w:after="0"/>
              <w:ind w:right="120"/>
              <w:jc w:val="center"/>
            </w:pPr>
            <w:r>
              <w:rPr>
                <w:rFonts w:ascii="Arial" w:eastAsia="Arial" w:hAnsi="Arial" w:cs="Arial"/>
                <w:sz w:val="18"/>
              </w:rPr>
              <w:t xml:space="preserve">9.7  </w:t>
            </w:r>
          </w:p>
        </w:tc>
        <w:tc>
          <w:tcPr>
            <w:tcW w:w="1094" w:type="dxa"/>
            <w:tcBorders>
              <w:top w:val="dashed" w:sz="4" w:space="0" w:color="A7A8A8"/>
              <w:left w:val="nil"/>
              <w:bottom w:val="dashed" w:sz="4" w:space="0" w:color="A7A8A8"/>
              <w:right w:val="nil"/>
            </w:tcBorders>
            <w:vAlign w:val="center"/>
          </w:tcPr>
          <w:p w:rsidR="0054300F" w:rsidRDefault="00D820F4">
            <w:pPr>
              <w:spacing w:after="0"/>
              <w:ind w:right="111"/>
              <w:jc w:val="center"/>
            </w:pPr>
            <w:r>
              <w:rPr>
                <w:rFonts w:ascii="Arial" w:eastAsia="Arial" w:hAnsi="Arial" w:cs="Arial"/>
                <w:sz w:val="18"/>
              </w:rPr>
              <w:t xml:space="preserve">11.1  </w:t>
            </w:r>
          </w:p>
        </w:tc>
        <w:tc>
          <w:tcPr>
            <w:tcW w:w="1097" w:type="dxa"/>
            <w:tcBorders>
              <w:top w:val="dashed" w:sz="4" w:space="0" w:color="A7A8A8"/>
              <w:left w:val="nil"/>
              <w:bottom w:val="dashed" w:sz="4" w:space="0" w:color="A7A8A8"/>
              <w:right w:val="nil"/>
            </w:tcBorders>
            <w:vAlign w:val="center"/>
          </w:tcPr>
          <w:p w:rsidR="0054300F" w:rsidRDefault="00D820F4">
            <w:pPr>
              <w:spacing w:after="0"/>
              <w:ind w:right="12"/>
              <w:jc w:val="center"/>
            </w:pPr>
            <w:r>
              <w:rPr>
                <w:rFonts w:ascii="Arial" w:eastAsia="Arial" w:hAnsi="Arial" w:cs="Arial"/>
                <w:sz w:val="18"/>
              </w:rPr>
              <w:t xml:space="preserve">9.4  </w:t>
            </w:r>
          </w:p>
        </w:tc>
        <w:tc>
          <w:tcPr>
            <w:tcW w:w="775" w:type="dxa"/>
            <w:tcBorders>
              <w:top w:val="dashed" w:sz="4" w:space="0" w:color="A7A8A8"/>
              <w:left w:val="nil"/>
              <w:bottom w:val="dashed" w:sz="4" w:space="0" w:color="A7A8A8"/>
              <w:right w:val="nil"/>
            </w:tcBorders>
            <w:vAlign w:val="center"/>
          </w:tcPr>
          <w:p w:rsidR="0054300F" w:rsidRDefault="00D820F4">
            <w:pPr>
              <w:spacing w:after="0"/>
              <w:ind w:right="99"/>
              <w:jc w:val="right"/>
            </w:pPr>
            <w:r>
              <w:rPr>
                <w:rFonts w:ascii="Arial" w:eastAsia="Arial" w:hAnsi="Arial" w:cs="Arial"/>
                <w:sz w:val="18"/>
              </w:rPr>
              <w:t xml:space="preserve">9.1  </w:t>
            </w:r>
          </w:p>
        </w:tc>
      </w:tr>
      <w:tr w:rsidR="0054300F">
        <w:trPr>
          <w:trHeight w:val="542"/>
        </w:trPr>
        <w:tc>
          <w:tcPr>
            <w:tcW w:w="4606" w:type="dxa"/>
            <w:tcBorders>
              <w:top w:val="dashed" w:sz="4" w:space="0" w:color="A7A8A8"/>
              <w:left w:val="nil"/>
              <w:bottom w:val="dashed" w:sz="4" w:space="0" w:color="A7A8A8"/>
              <w:right w:val="nil"/>
            </w:tcBorders>
            <w:vAlign w:val="center"/>
          </w:tcPr>
          <w:p w:rsidR="0054300F" w:rsidRDefault="00D820F4">
            <w:pPr>
              <w:spacing w:after="0"/>
              <w:ind w:left="120"/>
            </w:pPr>
            <w:r>
              <w:rPr>
                <w:rFonts w:ascii="Arial" w:eastAsia="Arial" w:hAnsi="Arial" w:cs="Arial"/>
                <w:sz w:val="18"/>
              </w:rPr>
              <w:t xml:space="preserve">Deuda directa (saldo insoluto al cierre fiscal) </w:t>
            </w:r>
          </w:p>
        </w:tc>
        <w:tc>
          <w:tcPr>
            <w:tcW w:w="1039" w:type="dxa"/>
            <w:tcBorders>
              <w:top w:val="dashed" w:sz="4" w:space="0" w:color="A7A8A8"/>
              <w:left w:val="nil"/>
              <w:bottom w:val="dashed" w:sz="4" w:space="0" w:color="A7A8A8"/>
              <w:right w:val="nil"/>
            </w:tcBorders>
            <w:vAlign w:val="center"/>
          </w:tcPr>
          <w:p w:rsidR="0054300F" w:rsidRDefault="00D820F4">
            <w:pPr>
              <w:spacing w:after="0"/>
            </w:pPr>
            <w:r>
              <w:rPr>
                <w:rFonts w:ascii="Arial" w:eastAsia="Arial" w:hAnsi="Arial" w:cs="Arial"/>
                <w:sz w:val="18"/>
              </w:rPr>
              <w:t xml:space="preserve">12,772 </w:t>
            </w:r>
          </w:p>
        </w:tc>
        <w:tc>
          <w:tcPr>
            <w:tcW w:w="984" w:type="dxa"/>
            <w:tcBorders>
              <w:top w:val="dashed" w:sz="4" w:space="0" w:color="A7A8A8"/>
              <w:left w:val="nil"/>
              <w:bottom w:val="dashed" w:sz="4" w:space="0" w:color="A7A8A8"/>
              <w:right w:val="nil"/>
            </w:tcBorders>
            <w:vAlign w:val="center"/>
          </w:tcPr>
          <w:p w:rsidR="0054300F" w:rsidRDefault="00D820F4">
            <w:pPr>
              <w:spacing w:after="0"/>
            </w:pPr>
            <w:r>
              <w:rPr>
                <w:rFonts w:ascii="Arial" w:eastAsia="Arial" w:hAnsi="Arial" w:cs="Arial"/>
                <w:sz w:val="18"/>
              </w:rPr>
              <w:t xml:space="preserve">11,688 </w:t>
            </w:r>
          </w:p>
        </w:tc>
        <w:tc>
          <w:tcPr>
            <w:tcW w:w="1094" w:type="dxa"/>
            <w:tcBorders>
              <w:top w:val="dashed" w:sz="4" w:space="0" w:color="A7A8A8"/>
              <w:left w:val="nil"/>
              <w:bottom w:val="dashed" w:sz="4" w:space="0" w:color="A7A8A8"/>
              <w:right w:val="nil"/>
            </w:tcBorders>
            <w:vAlign w:val="center"/>
          </w:tcPr>
          <w:p w:rsidR="0054300F" w:rsidRDefault="00D820F4">
            <w:pPr>
              <w:spacing w:after="0"/>
              <w:ind w:left="110"/>
            </w:pPr>
            <w:r>
              <w:rPr>
                <w:rFonts w:ascii="Arial" w:eastAsia="Arial" w:hAnsi="Arial" w:cs="Arial"/>
                <w:sz w:val="18"/>
              </w:rPr>
              <w:t xml:space="preserve">11,699 </w:t>
            </w:r>
          </w:p>
        </w:tc>
        <w:tc>
          <w:tcPr>
            <w:tcW w:w="1097" w:type="dxa"/>
            <w:tcBorders>
              <w:top w:val="dashed" w:sz="4" w:space="0" w:color="A7A8A8"/>
              <w:left w:val="nil"/>
              <w:bottom w:val="dashed" w:sz="4" w:space="0" w:color="A7A8A8"/>
              <w:right w:val="nil"/>
            </w:tcBorders>
            <w:vAlign w:val="center"/>
          </w:tcPr>
          <w:p w:rsidR="0054300F" w:rsidRDefault="00D820F4">
            <w:pPr>
              <w:spacing w:after="0"/>
              <w:ind w:left="110"/>
            </w:pPr>
            <w:r>
              <w:rPr>
                <w:rFonts w:ascii="Arial" w:eastAsia="Arial" w:hAnsi="Arial" w:cs="Arial"/>
                <w:sz w:val="18"/>
              </w:rPr>
              <w:t xml:space="preserve">11,709 </w:t>
            </w:r>
          </w:p>
        </w:tc>
        <w:tc>
          <w:tcPr>
            <w:tcW w:w="775" w:type="dxa"/>
            <w:tcBorders>
              <w:top w:val="dashed" w:sz="4" w:space="0" w:color="A7A8A8"/>
              <w:left w:val="nil"/>
              <w:bottom w:val="dashed" w:sz="4" w:space="0" w:color="A7A8A8"/>
              <w:right w:val="nil"/>
            </w:tcBorders>
            <w:vAlign w:val="center"/>
          </w:tcPr>
          <w:p w:rsidR="0054300F" w:rsidRDefault="00D820F4">
            <w:pPr>
              <w:spacing w:after="0"/>
              <w:ind w:left="110"/>
            </w:pPr>
            <w:r>
              <w:rPr>
                <w:rFonts w:ascii="Arial" w:eastAsia="Arial" w:hAnsi="Arial" w:cs="Arial"/>
                <w:sz w:val="18"/>
              </w:rPr>
              <w:t xml:space="preserve">11,720 </w:t>
            </w:r>
          </w:p>
        </w:tc>
      </w:tr>
      <w:tr w:rsidR="0054300F">
        <w:trPr>
          <w:trHeight w:val="631"/>
        </w:trPr>
        <w:tc>
          <w:tcPr>
            <w:tcW w:w="4606" w:type="dxa"/>
            <w:tcBorders>
              <w:top w:val="dashed" w:sz="4" w:space="0" w:color="A7A8A8"/>
              <w:left w:val="nil"/>
              <w:bottom w:val="dashed" w:sz="4" w:space="0" w:color="A7A8A8"/>
              <w:right w:val="nil"/>
            </w:tcBorders>
          </w:tcPr>
          <w:p w:rsidR="0054300F" w:rsidRDefault="00D820F4">
            <w:pPr>
              <w:spacing w:after="0"/>
              <w:ind w:left="120" w:right="382"/>
            </w:pPr>
            <w:r>
              <w:rPr>
                <w:rFonts w:ascii="Arial" w:eastAsia="Arial" w:hAnsi="Arial" w:cs="Arial"/>
                <w:sz w:val="18"/>
              </w:rPr>
              <w:t xml:space="preserve">Deuda directa (como % de los ingresos operativos) </w:t>
            </w:r>
          </w:p>
        </w:tc>
        <w:tc>
          <w:tcPr>
            <w:tcW w:w="1039" w:type="dxa"/>
            <w:tcBorders>
              <w:top w:val="dashed" w:sz="4" w:space="0" w:color="A7A8A8"/>
              <w:left w:val="nil"/>
              <w:bottom w:val="dashed" w:sz="4" w:space="0" w:color="A7A8A8"/>
              <w:right w:val="nil"/>
            </w:tcBorders>
            <w:vAlign w:val="center"/>
          </w:tcPr>
          <w:p w:rsidR="0054300F" w:rsidRDefault="00D820F4">
            <w:pPr>
              <w:spacing w:after="0"/>
              <w:ind w:right="121"/>
              <w:jc w:val="center"/>
            </w:pPr>
            <w:r>
              <w:rPr>
                <w:rFonts w:ascii="Arial" w:eastAsia="Arial" w:hAnsi="Arial" w:cs="Arial"/>
                <w:sz w:val="18"/>
              </w:rPr>
              <w:t xml:space="preserve">23 </w:t>
            </w:r>
          </w:p>
        </w:tc>
        <w:tc>
          <w:tcPr>
            <w:tcW w:w="984" w:type="dxa"/>
            <w:tcBorders>
              <w:top w:val="dashed" w:sz="4" w:space="0" w:color="A7A8A8"/>
              <w:left w:val="nil"/>
              <w:bottom w:val="dashed" w:sz="4" w:space="0" w:color="A7A8A8"/>
              <w:right w:val="nil"/>
            </w:tcBorders>
            <w:vAlign w:val="center"/>
          </w:tcPr>
          <w:p w:rsidR="0054300F" w:rsidRDefault="00D820F4">
            <w:pPr>
              <w:spacing w:after="0"/>
              <w:ind w:right="65"/>
              <w:jc w:val="center"/>
            </w:pPr>
            <w:r>
              <w:rPr>
                <w:rFonts w:ascii="Arial" w:eastAsia="Arial" w:hAnsi="Arial" w:cs="Arial"/>
                <w:sz w:val="18"/>
              </w:rPr>
              <w:t xml:space="preserve">20 </w:t>
            </w:r>
          </w:p>
        </w:tc>
        <w:tc>
          <w:tcPr>
            <w:tcW w:w="1094" w:type="dxa"/>
            <w:tcBorders>
              <w:top w:val="dashed" w:sz="4" w:space="0" w:color="A7A8A8"/>
              <w:left w:val="nil"/>
              <w:bottom w:val="dashed" w:sz="4" w:space="0" w:color="A7A8A8"/>
              <w:right w:val="nil"/>
            </w:tcBorders>
            <w:vAlign w:val="center"/>
          </w:tcPr>
          <w:p w:rsidR="0054300F" w:rsidRDefault="00D820F4">
            <w:pPr>
              <w:spacing w:after="0"/>
              <w:ind w:left="45"/>
              <w:jc w:val="center"/>
            </w:pPr>
            <w:r>
              <w:rPr>
                <w:rFonts w:ascii="Arial" w:eastAsia="Arial" w:hAnsi="Arial" w:cs="Arial"/>
                <w:sz w:val="18"/>
              </w:rPr>
              <w:t xml:space="preserve">19 </w:t>
            </w:r>
          </w:p>
        </w:tc>
        <w:tc>
          <w:tcPr>
            <w:tcW w:w="1097" w:type="dxa"/>
            <w:tcBorders>
              <w:top w:val="dashed" w:sz="4" w:space="0" w:color="A7A8A8"/>
              <w:left w:val="nil"/>
              <w:bottom w:val="dashed" w:sz="4" w:space="0" w:color="A7A8A8"/>
              <w:right w:val="nil"/>
            </w:tcBorders>
            <w:vAlign w:val="center"/>
          </w:tcPr>
          <w:p w:rsidR="0054300F" w:rsidRDefault="00D820F4">
            <w:pPr>
              <w:spacing w:after="0"/>
              <w:ind w:left="43"/>
              <w:jc w:val="center"/>
            </w:pPr>
            <w:r>
              <w:rPr>
                <w:rFonts w:ascii="Arial" w:eastAsia="Arial" w:hAnsi="Arial" w:cs="Arial"/>
                <w:sz w:val="18"/>
              </w:rPr>
              <w:t xml:space="preserve">18 </w:t>
            </w:r>
          </w:p>
        </w:tc>
        <w:tc>
          <w:tcPr>
            <w:tcW w:w="775" w:type="dxa"/>
            <w:tcBorders>
              <w:top w:val="dashed" w:sz="4" w:space="0" w:color="A7A8A8"/>
              <w:left w:val="nil"/>
              <w:bottom w:val="dashed" w:sz="4" w:space="0" w:color="A7A8A8"/>
              <w:right w:val="nil"/>
            </w:tcBorders>
            <w:vAlign w:val="center"/>
          </w:tcPr>
          <w:p w:rsidR="0054300F" w:rsidRDefault="00D820F4">
            <w:pPr>
              <w:spacing w:after="0"/>
              <w:ind w:right="96"/>
              <w:jc w:val="right"/>
            </w:pPr>
            <w:r>
              <w:rPr>
                <w:rFonts w:ascii="Arial" w:eastAsia="Arial" w:hAnsi="Arial" w:cs="Arial"/>
                <w:sz w:val="18"/>
              </w:rPr>
              <w:t xml:space="preserve">17 </w:t>
            </w:r>
          </w:p>
        </w:tc>
      </w:tr>
      <w:tr w:rsidR="0054300F">
        <w:trPr>
          <w:trHeight w:val="444"/>
        </w:trPr>
        <w:tc>
          <w:tcPr>
            <w:tcW w:w="4606" w:type="dxa"/>
            <w:tcBorders>
              <w:top w:val="dashed" w:sz="4" w:space="0" w:color="A7A8A8"/>
              <w:left w:val="nil"/>
              <w:bottom w:val="dashed" w:sz="4" w:space="0" w:color="A7A8A8"/>
              <w:right w:val="nil"/>
            </w:tcBorders>
          </w:tcPr>
          <w:p w:rsidR="0054300F" w:rsidRDefault="00D820F4">
            <w:pPr>
              <w:spacing w:after="0"/>
              <w:ind w:left="120"/>
            </w:pPr>
            <w:r>
              <w:rPr>
                <w:rFonts w:ascii="Arial" w:eastAsia="Arial" w:hAnsi="Arial" w:cs="Arial"/>
                <w:sz w:val="18"/>
              </w:rPr>
              <w:t xml:space="preserve">Intereses (como % de ingresos operativos) </w:t>
            </w:r>
          </w:p>
        </w:tc>
        <w:tc>
          <w:tcPr>
            <w:tcW w:w="1039" w:type="dxa"/>
            <w:tcBorders>
              <w:top w:val="dashed" w:sz="4" w:space="0" w:color="A7A8A8"/>
              <w:left w:val="nil"/>
              <w:bottom w:val="dashed" w:sz="4" w:space="0" w:color="A7A8A8"/>
              <w:right w:val="nil"/>
            </w:tcBorders>
          </w:tcPr>
          <w:p w:rsidR="0054300F" w:rsidRDefault="00D820F4">
            <w:pPr>
              <w:spacing w:after="0"/>
              <w:ind w:right="25"/>
              <w:jc w:val="center"/>
            </w:pPr>
            <w:r>
              <w:rPr>
                <w:rFonts w:ascii="Arial" w:eastAsia="Arial" w:hAnsi="Arial" w:cs="Arial"/>
                <w:sz w:val="18"/>
              </w:rPr>
              <w:t xml:space="preserve">2 </w:t>
            </w:r>
          </w:p>
        </w:tc>
        <w:tc>
          <w:tcPr>
            <w:tcW w:w="984" w:type="dxa"/>
            <w:tcBorders>
              <w:top w:val="dashed" w:sz="4" w:space="0" w:color="A7A8A8"/>
              <w:left w:val="nil"/>
              <w:bottom w:val="dashed" w:sz="4" w:space="0" w:color="A7A8A8"/>
              <w:right w:val="nil"/>
            </w:tcBorders>
          </w:tcPr>
          <w:p w:rsidR="0054300F" w:rsidRDefault="00D820F4">
            <w:pPr>
              <w:spacing w:after="0"/>
              <w:ind w:left="30"/>
              <w:jc w:val="center"/>
            </w:pPr>
            <w:r>
              <w:rPr>
                <w:rFonts w:ascii="Arial" w:eastAsia="Arial" w:hAnsi="Arial" w:cs="Arial"/>
                <w:sz w:val="18"/>
              </w:rPr>
              <w:t xml:space="preserve">2 </w:t>
            </w:r>
          </w:p>
        </w:tc>
        <w:tc>
          <w:tcPr>
            <w:tcW w:w="1094" w:type="dxa"/>
            <w:tcBorders>
              <w:top w:val="dashed" w:sz="4" w:space="0" w:color="A7A8A8"/>
              <w:left w:val="nil"/>
              <w:bottom w:val="dashed" w:sz="4" w:space="0" w:color="A7A8A8"/>
              <w:right w:val="nil"/>
            </w:tcBorders>
          </w:tcPr>
          <w:p w:rsidR="0054300F" w:rsidRDefault="00D820F4">
            <w:pPr>
              <w:spacing w:after="0"/>
              <w:ind w:left="141"/>
              <w:jc w:val="center"/>
            </w:pPr>
            <w:r>
              <w:rPr>
                <w:rFonts w:ascii="Arial" w:eastAsia="Arial" w:hAnsi="Arial" w:cs="Arial"/>
                <w:sz w:val="18"/>
              </w:rPr>
              <w:t xml:space="preserve">2 </w:t>
            </w:r>
          </w:p>
        </w:tc>
        <w:tc>
          <w:tcPr>
            <w:tcW w:w="1097" w:type="dxa"/>
            <w:tcBorders>
              <w:top w:val="dashed" w:sz="4" w:space="0" w:color="A7A8A8"/>
              <w:left w:val="nil"/>
              <w:bottom w:val="dashed" w:sz="4" w:space="0" w:color="A7A8A8"/>
              <w:right w:val="nil"/>
            </w:tcBorders>
          </w:tcPr>
          <w:p w:rsidR="0054300F" w:rsidRDefault="00D820F4">
            <w:pPr>
              <w:spacing w:after="0"/>
              <w:ind w:left="138"/>
              <w:jc w:val="center"/>
            </w:pPr>
            <w:r>
              <w:rPr>
                <w:rFonts w:ascii="Arial" w:eastAsia="Arial" w:hAnsi="Arial" w:cs="Arial"/>
                <w:sz w:val="18"/>
              </w:rPr>
              <w:t xml:space="preserve">2 </w:t>
            </w:r>
          </w:p>
        </w:tc>
        <w:tc>
          <w:tcPr>
            <w:tcW w:w="775" w:type="dxa"/>
            <w:tcBorders>
              <w:top w:val="dashed" w:sz="4" w:space="0" w:color="A7A8A8"/>
              <w:left w:val="nil"/>
              <w:bottom w:val="dashed" w:sz="4" w:space="0" w:color="A7A8A8"/>
              <w:right w:val="nil"/>
            </w:tcBorders>
          </w:tcPr>
          <w:p w:rsidR="0054300F" w:rsidRDefault="00D820F4">
            <w:pPr>
              <w:spacing w:after="0"/>
              <w:ind w:right="99"/>
              <w:jc w:val="right"/>
            </w:pPr>
            <w:r>
              <w:rPr>
                <w:rFonts w:ascii="Arial" w:eastAsia="Arial" w:hAnsi="Arial" w:cs="Arial"/>
                <w:sz w:val="18"/>
              </w:rPr>
              <w:t xml:space="preserve">2 </w:t>
            </w:r>
          </w:p>
        </w:tc>
      </w:tr>
      <w:tr w:rsidR="0054300F">
        <w:trPr>
          <w:trHeight w:val="420"/>
        </w:trPr>
        <w:tc>
          <w:tcPr>
            <w:tcW w:w="4606" w:type="dxa"/>
            <w:tcBorders>
              <w:top w:val="dashed" w:sz="4" w:space="0" w:color="A7A8A8"/>
              <w:left w:val="nil"/>
              <w:bottom w:val="single" w:sz="12" w:space="0" w:color="818181"/>
              <w:right w:val="nil"/>
            </w:tcBorders>
          </w:tcPr>
          <w:p w:rsidR="0054300F" w:rsidRDefault="00D820F4">
            <w:pPr>
              <w:spacing w:after="0"/>
              <w:ind w:left="120"/>
            </w:pPr>
            <w:r>
              <w:rPr>
                <w:rFonts w:ascii="Arial" w:eastAsia="Arial" w:hAnsi="Arial" w:cs="Arial"/>
                <w:sz w:val="18"/>
              </w:rPr>
              <w:t xml:space="preserve">PIB per cápita (US$) </w:t>
            </w:r>
          </w:p>
        </w:tc>
        <w:tc>
          <w:tcPr>
            <w:tcW w:w="1039" w:type="dxa"/>
            <w:tcBorders>
              <w:top w:val="dashed" w:sz="4" w:space="0" w:color="A7A8A8"/>
              <w:left w:val="nil"/>
              <w:bottom w:val="single" w:sz="12" w:space="0" w:color="818181"/>
              <w:right w:val="nil"/>
            </w:tcBorders>
          </w:tcPr>
          <w:p w:rsidR="0054300F" w:rsidRDefault="00D820F4">
            <w:pPr>
              <w:spacing w:after="0"/>
              <w:ind w:left="98"/>
            </w:pPr>
            <w:r>
              <w:rPr>
                <w:rFonts w:ascii="Arial" w:eastAsia="Arial" w:hAnsi="Arial" w:cs="Arial"/>
                <w:sz w:val="18"/>
              </w:rPr>
              <w:t xml:space="preserve">4,317 </w:t>
            </w:r>
          </w:p>
        </w:tc>
        <w:tc>
          <w:tcPr>
            <w:tcW w:w="984" w:type="dxa"/>
            <w:tcBorders>
              <w:top w:val="dashed" w:sz="4" w:space="0" w:color="A7A8A8"/>
              <w:left w:val="nil"/>
              <w:bottom w:val="single" w:sz="12" w:space="0" w:color="818181"/>
              <w:right w:val="nil"/>
            </w:tcBorders>
          </w:tcPr>
          <w:p w:rsidR="0054300F" w:rsidRDefault="00D820F4">
            <w:pPr>
              <w:spacing w:after="0"/>
              <w:ind w:left="98"/>
            </w:pPr>
            <w:r>
              <w:rPr>
                <w:rFonts w:ascii="Arial" w:eastAsia="Arial" w:hAnsi="Arial" w:cs="Arial"/>
                <w:sz w:val="18"/>
              </w:rPr>
              <w:t xml:space="preserve">3,851 </w:t>
            </w:r>
          </w:p>
        </w:tc>
        <w:tc>
          <w:tcPr>
            <w:tcW w:w="1094" w:type="dxa"/>
            <w:tcBorders>
              <w:top w:val="dashed" w:sz="4" w:space="0" w:color="A7A8A8"/>
              <w:left w:val="nil"/>
              <w:bottom w:val="single" w:sz="12" w:space="0" w:color="818181"/>
              <w:right w:val="nil"/>
            </w:tcBorders>
          </w:tcPr>
          <w:p w:rsidR="0054300F" w:rsidRDefault="00D820F4">
            <w:pPr>
              <w:spacing w:after="0"/>
              <w:ind w:right="108"/>
              <w:jc w:val="center"/>
            </w:pPr>
            <w:r>
              <w:rPr>
                <w:rFonts w:ascii="Arial" w:eastAsia="Arial" w:hAnsi="Arial" w:cs="Arial"/>
                <w:sz w:val="18"/>
              </w:rPr>
              <w:t xml:space="preserve">N.A. </w:t>
            </w:r>
          </w:p>
        </w:tc>
        <w:tc>
          <w:tcPr>
            <w:tcW w:w="1097" w:type="dxa"/>
            <w:tcBorders>
              <w:top w:val="dashed" w:sz="4" w:space="0" w:color="A7A8A8"/>
              <w:left w:val="nil"/>
              <w:bottom w:val="single" w:sz="12" w:space="0" w:color="818181"/>
              <w:right w:val="nil"/>
            </w:tcBorders>
          </w:tcPr>
          <w:p w:rsidR="0054300F" w:rsidRDefault="00D820F4">
            <w:pPr>
              <w:spacing w:after="0"/>
              <w:ind w:right="111"/>
              <w:jc w:val="center"/>
            </w:pPr>
            <w:r>
              <w:rPr>
                <w:rFonts w:ascii="Arial" w:eastAsia="Arial" w:hAnsi="Arial" w:cs="Arial"/>
                <w:sz w:val="18"/>
              </w:rPr>
              <w:t xml:space="preserve">N.A. </w:t>
            </w:r>
          </w:p>
        </w:tc>
        <w:tc>
          <w:tcPr>
            <w:tcW w:w="775" w:type="dxa"/>
            <w:tcBorders>
              <w:top w:val="dashed" w:sz="4" w:space="0" w:color="A7A8A8"/>
              <w:left w:val="nil"/>
              <w:bottom w:val="single" w:sz="12" w:space="0" w:color="818181"/>
              <w:right w:val="nil"/>
            </w:tcBorders>
          </w:tcPr>
          <w:p w:rsidR="0054300F" w:rsidRDefault="00D820F4">
            <w:pPr>
              <w:spacing w:after="0"/>
              <w:ind w:right="99"/>
              <w:jc w:val="right"/>
            </w:pPr>
            <w:r>
              <w:rPr>
                <w:rFonts w:ascii="Arial" w:eastAsia="Arial" w:hAnsi="Arial" w:cs="Arial"/>
                <w:sz w:val="18"/>
              </w:rPr>
              <w:t xml:space="preserve">N.A. </w:t>
            </w:r>
          </w:p>
        </w:tc>
      </w:tr>
    </w:tbl>
    <w:p w:rsidR="0054300F" w:rsidRDefault="00D820F4">
      <w:pPr>
        <w:spacing w:after="0" w:line="249" w:lineRule="auto"/>
        <w:ind w:left="-5" w:hanging="10"/>
      </w:pPr>
      <w:r>
        <w:rPr>
          <w:rFonts w:ascii="Arial" w:eastAsia="Arial" w:hAnsi="Arial" w:cs="Arial"/>
          <w:sz w:val="18"/>
        </w:rPr>
        <w:t>Los datos e índices de la tabla son en parte resultado de los cálculos propios de S&amp;P Global Ratings, obtenidos de fuentes nacionales e internacionales, y reflejan la opinión independiente de S&amp;P Global Ratings sobre la oportunidad, cobertura, precisión, c</w:t>
      </w:r>
      <w:r>
        <w:rPr>
          <w:rFonts w:ascii="Arial" w:eastAsia="Arial" w:hAnsi="Arial" w:cs="Arial"/>
          <w:sz w:val="18"/>
        </w:rPr>
        <w:t xml:space="preserve">redibilidad y viabilidad de la información disponible. Las fuentes principales son los estados financieros y presupuestos, como los entrego el emisor. </w:t>
      </w:r>
    </w:p>
    <w:p w:rsidR="0054300F" w:rsidRDefault="00D820F4">
      <w:pPr>
        <w:spacing w:after="0" w:line="249" w:lineRule="auto"/>
        <w:ind w:left="-5" w:right="857" w:hanging="10"/>
      </w:pPr>
      <w:r>
        <w:rPr>
          <w:rFonts w:ascii="Arial" w:eastAsia="Arial" w:hAnsi="Arial" w:cs="Arial"/>
          <w:sz w:val="18"/>
        </w:rPr>
        <w:lastRenderedPageBreak/>
        <w:t>Eb – escenario base, que refleja las expectativas de S&amp;P Global Ratings en el escenario más probable. N.</w:t>
      </w:r>
      <w:r>
        <w:rPr>
          <w:rFonts w:ascii="Arial" w:eastAsia="Arial" w:hAnsi="Arial" w:cs="Arial"/>
          <w:sz w:val="18"/>
        </w:rPr>
        <w:t xml:space="preserve"> A. – No aplica </w:t>
      </w:r>
    </w:p>
    <w:p w:rsidR="0054300F" w:rsidRDefault="00D820F4">
      <w:pPr>
        <w:spacing w:after="0"/>
        <w:ind w:left="-129" w:right="-125"/>
      </w:pPr>
      <w:r>
        <w:rPr>
          <w:noProof/>
        </w:rPr>
        <mc:AlternateContent>
          <mc:Choice Requires="wpg">
            <w:drawing>
              <wp:inline distT="0" distB="0" distL="0" distR="0">
                <wp:extent cx="6099049" cy="18289"/>
                <wp:effectExtent l="0" t="0" r="0" b="0"/>
                <wp:docPr id="35912" name="Group 35912"/>
                <wp:cNvGraphicFramePr/>
                <a:graphic xmlns:a="http://schemas.openxmlformats.org/drawingml/2006/main">
                  <a:graphicData uri="http://schemas.microsoft.com/office/word/2010/wordprocessingGroup">
                    <wpg:wgp>
                      <wpg:cNvGrpSpPr/>
                      <wpg:grpSpPr>
                        <a:xfrm>
                          <a:off x="0" y="0"/>
                          <a:ext cx="6099049" cy="18289"/>
                          <a:chOff x="0" y="0"/>
                          <a:chExt cx="6099049" cy="18289"/>
                        </a:xfrm>
                      </wpg:grpSpPr>
                      <wps:wsp>
                        <wps:cNvPr id="39420" name="Shape 39420"/>
                        <wps:cNvSpPr/>
                        <wps:spPr>
                          <a:xfrm>
                            <a:off x="0" y="0"/>
                            <a:ext cx="6099049" cy="18289"/>
                          </a:xfrm>
                          <a:custGeom>
                            <a:avLst/>
                            <a:gdLst/>
                            <a:ahLst/>
                            <a:cxnLst/>
                            <a:rect l="0" t="0" r="0" b="0"/>
                            <a:pathLst>
                              <a:path w="6099049" h="18289">
                                <a:moveTo>
                                  <a:pt x="0" y="0"/>
                                </a:moveTo>
                                <a:lnTo>
                                  <a:pt x="6099049" y="0"/>
                                </a:lnTo>
                                <a:lnTo>
                                  <a:pt x="6099049" y="18289"/>
                                </a:lnTo>
                                <a:lnTo>
                                  <a:pt x="0" y="18289"/>
                                </a:lnTo>
                                <a:lnTo>
                                  <a:pt x="0" y="0"/>
                                </a:lnTo>
                              </a:path>
                            </a:pathLst>
                          </a:custGeom>
                          <a:ln w="0" cap="sq">
                            <a:custDash>
                              <a:ds d="192000" sp="96000"/>
                            </a:custDash>
                            <a:miter lim="127000"/>
                          </a:ln>
                        </wps:spPr>
                        <wps:style>
                          <a:lnRef idx="0">
                            <a:srgbClr val="000000">
                              <a:alpha val="0"/>
                            </a:srgbClr>
                          </a:lnRef>
                          <a:fillRef idx="1">
                            <a:srgbClr val="818181"/>
                          </a:fillRef>
                          <a:effectRef idx="0">
                            <a:scrgbClr r="0" g="0" b="0"/>
                          </a:effectRef>
                          <a:fontRef idx="none"/>
                        </wps:style>
                        <wps:bodyPr/>
                      </wps:wsp>
                    </wpg:wgp>
                  </a:graphicData>
                </a:graphic>
              </wp:inline>
            </w:drawing>
          </mc:Choice>
          <mc:Fallback xmlns:a="http://schemas.openxmlformats.org/drawingml/2006/main">
            <w:pict>
              <v:group id="Group 35912" style="width:480.24pt;height:1.44006pt;mso-position-horizontal-relative:char;mso-position-vertical-relative:line" coordsize="60990,182">
                <v:shape id="Shape 39421" style="position:absolute;width:60990;height:182;left:0;top:0;" coordsize="6099049,18289" path="m0,0l6099049,0l6099049,18289l0,18289l0,0">
                  <v:stroke weight="0pt" endcap="square" joinstyle="miter" miterlimit="10" on="false" color="#000000" opacity="0"/>
                  <v:fill on="true" color="#818181"/>
                </v:shape>
              </v:group>
            </w:pict>
          </mc:Fallback>
        </mc:AlternateContent>
      </w:r>
    </w:p>
    <w:p w:rsidR="0054300F" w:rsidRDefault="00D820F4">
      <w:pPr>
        <w:spacing w:after="28"/>
      </w:pPr>
      <w:r>
        <w:rPr>
          <w:rFonts w:ascii="Arial" w:eastAsia="Arial" w:hAnsi="Arial" w:cs="Arial"/>
          <w:sz w:val="21"/>
        </w:rPr>
        <w:t xml:space="preserve"> </w:t>
      </w:r>
    </w:p>
    <w:p w:rsidR="0054300F" w:rsidRDefault="00D820F4">
      <w:pPr>
        <w:spacing w:after="0"/>
      </w:pPr>
      <w:r>
        <w:rPr>
          <w:rFonts w:ascii="Arial" w:eastAsia="Arial" w:hAnsi="Arial" w:cs="Arial"/>
        </w:rPr>
        <w:t xml:space="preserve"> </w:t>
      </w:r>
    </w:p>
    <w:p w:rsidR="0054300F" w:rsidRDefault="00D820F4">
      <w:pPr>
        <w:pStyle w:val="Ttulo1"/>
        <w:ind w:left="-5" w:right="3854"/>
      </w:pPr>
      <w:r>
        <w:t xml:space="preserve">Evaluaciones de los factores de calificación </w:t>
      </w:r>
    </w:p>
    <w:p w:rsidR="0054300F" w:rsidRDefault="00D820F4">
      <w:pPr>
        <w:pStyle w:val="Ttulo2"/>
        <w:ind w:left="-5"/>
      </w:pPr>
      <w:r>
        <w:t xml:space="preserve">Resumen de las evaluaciones de los factores de calificación </w:t>
      </w:r>
    </w:p>
    <w:tbl>
      <w:tblPr>
        <w:tblStyle w:val="TableGrid"/>
        <w:tblW w:w="9499" w:type="dxa"/>
        <w:tblInd w:w="-108" w:type="dxa"/>
        <w:tblCellMar>
          <w:top w:w="0" w:type="dxa"/>
          <w:left w:w="108" w:type="dxa"/>
          <w:bottom w:w="0" w:type="dxa"/>
          <w:right w:w="115" w:type="dxa"/>
        </w:tblCellMar>
        <w:tblLook w:val="04A0" w:firstRow="1" w:lastRow="0" w:firstColumn="1" w:lastColumn="0" w:noHBand="0" w:noVBand="1"/>
      </w:tblPr>
      <w:tblGrid>
        <w:gridCol w:w="2921"/>
        <w:gridCol w:w="6578"/>
      </w:tblGrid>
      <w:tr w:rsidR="0054300F">
        <w:trPr>
          <w:trHeight w:val="346"/>
        </w:trPr>
        <w:tc>
          <w:tcPr>
            <w:tcW w:w="2921" w:type="dxa"/>
            <w:tcBorders>
              <w:top w:val="single" w:sz="12" w:space="0" w:color="A7A8A8"/>
              <w:left w:val="nil"/>
              <w:bottom w:val="single" w:sz="12" w:space="0" w:color="A7A8A8"/>
              <w:right w:val="single" w:sz="8" w:space="0" w:color="000000"/>
            </w:tcBorders>
          </w:tcPr>
          <w:p w:rsidR="0054300F" w:rsidRDefault="00D820F4">
            <w:pPr>
              <w:spacing w:after="0"/>
            </w:pPr>
            <w:r>
              <w:rPr>
                <w:rFonts w:ascii="Arial" w:eastAsia="Arial" w:hAnsi="Arial" w:cs="Arial"/>
                <w:color w:val="E21737"/>
                <w:sz w:val="18"/>
              </w:rPr>
              <w:t>ESTADO DE OAXACA</w:t>
            </w:r>
            <w:r>
              <w:rPr>
                <w:rFonts w:ascii="Arial" w:eastAsia="Arial" w:hAnsi="Arial" w:cs="Arial"/>
                <w:sz w:val="18"/>
              </w:rPr>
              <w:t xml:space="preserve"> </w:t>
            </w:r>
          </w:p>
        </w:tc>
        <w:tc>
          <w:tcPr>
            <w:tcW w:w="6578" w:type="dxa"/>
            <w:tcBorders>
              <w:top w:val="single" w:sz="12" w:space="0" w:color="A7A8A8"/>
              <w:left w:val="single" w:sz="8" w:space="0" w:color="000000"/>
              <w:bottom w:val="single" w:sz="12" w:space="0" w:color="A7A8A8"/>
              <w:right w:val="nil"/>
            </w:tcBorders>
          </w:tcPr>
          <w:p w:rsidR="0054300F" w:rsidRDefault="00D820F4">
            <w:pPr>
              <w:spacing w:after="0"/>
            </w:pPr>
            <w:r>
              <w:rPr>
                <w:rFonts w:ascii="Arial" w:eastAsia="Arial" w:hAnsi="Arial" w:cs="Arial"/>
                <w:sz w:val="18"/>
              </w:rPr>
              <w:t xml:space="preserve"> </w:t>
            </w:r>
          </w:p>
        </w:tc>
      </w:tr>
      <w:tr w:rsidR="0054300F">
        <w:trPr>
          <w:trHeight w:val="341"/>
        </w:trPr>
        <w:tc>
          <w:tcPr>
            <w:tcW w:w="2921" w:type="dxa"/>
            <w:tcBorders>
              <w:top w:val="single" w:sz="12" w:space="0" w:color="A7A8A8"/>
              <w:left w:val="nil"/>
              <w:bottom w:val="single" w:sz="8" w:space="0" w:color="000000"/>
              <w:right w:val="single" w:sz="8" w:space="0" w:color="000000"/>
            </w:tcBorders>
          </w:tcPr>
          <w:p w:rsidR="0054300F" w:rsidRDefault="00D820F4">
            <w:pPr>
              <w:spacing w:after="0"/>
            </w:pPr>
            <w:r>
              <w:rPr>
                <w:rFonts w:ascii="Arial" w:eastAsia="Arial" w:hAnsi="Arial" w:cs="Arial"/>
                <w:b/>
                <w:sz w:val="18"/>
              </w:rPr>
              <w:t xml:space="preserve">Factores Clave de calificación </w:t>
            </w:r>
          </w:p>
        </w:tc>
        <w:tc>
          <w:tcPr>
            <w:tcW w:w="6578" w:type="dxa"/>
            <w:tcBorders>
              <w:top w:val="single" w:sz="12" w:space="0" w:color="A7A8A8"/>
              <w:left w:val="single" w:sz="8" w:space="0" w:color="000000"/>
              <w:bottom w:val="single" w:sz="8" w:space="0" w:color="000000"/>
              <w:right w:val="nil"/>
            </w:tcBorders>
          </w:tcPr>
          <w:p w:rsidR="0054300F" w:rsidRDefault="00D820F4">
            <w:pPr>
              <w:spacing w:after="0"/>
            </w:pPr>
            <w:r>
              <w:rPr>
                <w:rFonts w:ascii="Arial" w:eastAsia="Arial" w:hAnsi="Arial" w:cs="Arial"/>
                <w:b/>
                <w:sz w:val="18"/>
              </w:rPr>
              <w:t xml:space="preserve">Categoría </w:t>
            </w:r>
          </w:p>
        </w:tc>
      </w:tr>
      <w:tr w:rsidR="0054300F">
        <w:trPr>
          <w:trHeight w:val="334"/>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Marco Institucional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Volátil y desbalanceado </w:t>
            </w:r>
          </w:p>
        </w:tc>
      </w:tr>
      <w:tr w:rsidR="0054300F">
        <w:trPr>
          <w:trHeight w:val="336"/>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Economía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Muy débil </w:t>
            </w:r>
          </w:p>
        </w:tc>
      </w:tr>
      <w:tr w:rsidR="0054300F">
        <w:trPr>
          <w:trHeight w:val="334"/>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Administración Financiera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Débil </w:t>
            </w:r>
          </w:p>
        </w:tc>
      </w:tr>
      <w:tr w:rsidR="0054300F">
        <w:trPr>
          <w:trHeight w:val="336"/>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Flexibilidad presupuestal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Muy débil </w:t>
            </w:r>
          </w:p>
        </w:tc>
      </w:tr>
      <w:tr w:rsidR="0054300F">
        <w:trPr>
          <w:trHeight w:val="336"/>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Desempeño presupuestal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Débil </w:t>
            </w:r>
          </w:p>
        </w:tc>
      </w:tr>
      <w:tr w:rsidR="0054300F">
        <w:trPr>
          <w:trHeight w:val="334"/>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Liquidez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Menos que adecuada </w:t>
            </w:r>
          </w:p>
        </w:tc>
      </w:tr>
      <w:tr w:rsidR="0054300F">
        <w:trPr>
          <w:trHeight w:val="336"/>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Deuda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Baja </w:t>
            </w:r>
          </w:p>
        </w:tc>
      </w:tr>
      <w:tr w:rsidR="0054300F">
        <w:trPr>
          <w:trHeight w:val="334"/>
        </w:trPr>
        <w:tc>
          <w:tcPr>
            <w:tcW w:w="2921" w:type="dxa"/>
            <w:tcBorders>
              <w:top w:val="single" w:sz="8" w:space="0" w:color="000000"/>
              <w:left w:val="nil"/>
              <w:bottom w:val="single" w:sz="8" w:space="0" w:color="000000"/>
              <w:right w:val="single" w:sz="8" w:space="0" w:color="000000"/>
            </w:tcBorders>
          </w:tcPr>
          <w:p w:rsidR="0054300F" w:rsidRDefault="00D820F4">
            <w:pPr>
              <w:spacing w:after="0"/>
            </w:pPr>
            <w:r>
              <w:rPr>
                <w:rFonts w:ascii="Arial" w:eastAsia="Arial" w:hAnsi="Arial" w:cs="Arial"/>
                <w:sz w:val="18"/>
              </w:rPr>
              <w:t xml:space="preserve">Pasivos contingentes </w:t>
            </w:r>
          </w:p>
        </w:tc>
        <w:tc>
          <w:tcPr>
            <w:tcW w:w="6578" w:type="dxa"/>
            <w:tcBorders>
              <w:top w:val="single" w:sz="8" w:space="0" w:color="000000"/>
              <w:left w:val="single" w:sz="8" w:space="0" w:color="000000"/>
              <w:bottom w:val="single" w:sz="8" w:space="0" w:color="000000"/>
              <w:right w:val="nil"/>
            </w:tcBorders>
          </w:tcPr>
          <w:p w:rsidR="0054300F" w:rsidRDefault="00D820F4">
            <w:pPr>
              <w:spacing w:after="0"/>
            </w:pPr>
            <w:r>
              <w:rPr>
                <w:rFonts w:ascii="Arial" w:eastAsia="Arial" w:hAnsi="Arial" w:cs="Arial"/>
                <w:sz w:val="18"/>
              </w:rPr>
              <w:t xml:space="preserve">Moderados </w:t>
            </w:r>
          </w:p>
        </w:tc>
      </w:tr>
    </w:tbl>
    <w:p w:rsidR="0054300F" w:rsidRDefault="00D820F4">
      <w:pPr>
        <w:spacing w:after="140" w:line="249" w:lineRule="auto"/>
        <w:ind w:left="-5" w:hanging="10"/>
      </w:pPr>
      <w:r>
        <w:rPr>
          <w:rFonts w:ascii="Arial" w:eastAsia="Arial" w:hAnsi="Arial" w:cs="Arial"/>
          <w:sz w:val="18"/>
        </w:rPr>
        <w:t xml:space="preserve">*Las calificaciones de S&amp;P </w:t>
      </w:r>
      <w:r>
        <w:rPr>
          <w:rFonts w:ascii="Arial" w:eastAsia="Arial" w:hAnsi="Arial" w:cs="Arial"/>
          <w:sz w:val="18"/>
        </w:rPr>
        <w:t>Global Ratings de gobiernos locales y regionales se basan en un sistema de evaluación sobre ocho factores principales, indicados en la tabla. La Sección A de la “Metodología para calificar gobiernos locales y regionales no estadounidenses”, publicado el 30</w:t>
      </w:r>
      <w:r>
        <w:rPr>
          <w:rFonts w:ascii="Arial" w:eastAsia="Arial" w:hAnsi="Arial" w:cs="Arial"/>
          <w:sz w:val="18"/>
        </w:rPr>
        <w:t xml:space="preserve"> de junio de 2014, resume cómo combinamos los ocho factores para obtener la calificación. </w:t>
      </w:r>
    </w:p>
    <w:p w:rsidR="0054300F" w:rsidRDefault="00D820F4">
      <w:pPr>
        <w:spacing w:after="0"/>
        <w:ind w:left="-122" w:right="-41"/>
      </w:pPr>
      <w:r>
        <w:rPr>
          <w:noProof/>
        </w:rPr>
        <mc:AlternateContent>
          <mc:Choice Requires="wpg">
            <w:drawing>
              <wp:inline distT="0" distB="0" distL="0" distR="0">
                <wp:extent cx="6041136" cy="18288"/>
                <wp:effectExtent l="0" t="0" r="0" b="0"/>
                <wp:docPr id="38495" name="Group 38495"/>
                <wp:cNvGraphicFramePr/>
                <a:graphic xmlns:a="http://schemas.openxmlformats.org/drawingml/2006/main">
                  <a:graphicData uri="http://schemas.microsoft.com/office/word/2010/wordprocessingGroup">
                    <wpg:wgp>
                      <wpg:cNvGrpSpPr/>
                      <wpg:grpSpPr>
                        <a:xfrm>
                          <a:off x="0" y="0"/>
                          <a:ext cx="6041136" cy="18288"/>
                          <a:chOff x="0" y="0"/>
                          <a:chExt cx="6041136" cy="18288"/>
                        </a:xfrm>
                      </wpg:grpSpPr>
                      <wps:wsp>
                        <wps:cNvPr id="39422" name="Shape 39422"/>
                        <wps:cNvSpPr/>
                        <wps:spPr>
                          <a:xfrm>
                            <a:off x="0" y="0"/>
                            <a:ext cx="6041136" cy="18288"/>
                          </a:xfrm>
                          <a:custGeom>
                            <a:avLst/>
                            <a:gdLst/>
                            <a:ahLst/>
                            <a:cxnLst/>
                            <a:rect l="0" t="0" r="0" b="0"/>
                            <a:pathLst>
                              <a:path w="6041136" h="18288">
                                <a:moveTo>
                                  <a:pt x="0" y="0"/>
                                </a:moveTo>
                                <a:lnTo>
                                  <a:pt x="6041136" y="0"/>
                                </a:lnTo>
                                <a:lnTo>
                                  <a:pt x="6041136" y="18288"/>
                                </a:lnTo>
                                <a:lnTo>
                                  <a:pt x="0" y="18288"/>
                                </a:lnTo>
                                <a:lnTo>
                                  <a:pt x="0" y="0"/>
                                </a:lnTo>
                              </a:path>
                            </a:pathLst>
                          </a:custGeom>
                          <a:ln w="0" cap="flat">
                            <a:miter lim="127000"/>
                          </a:ln>
                        </wps:spPr>
                        <wps:style>
                          <a:lnRef idx="0">
                            <a:srgbClr val="000000">
                              <a:alpha val="0"/>
                            </a:srgbClr>
                          </a:lnRef>
                          <a:fillRef idx="1">
                            <a:srgbClr val="A7A8A8"/>
                          </a:fillRef>
                          <a:effectRef idx="0">
                            <a:scrgbClr r="0" g="0" b="0"/>
                          </a:effectRef>
                          <a:fontRef idx="none"/>
                        </wps:style>
                        <wps:bodyPr/>
                      </wps:wsp>
                    </wpg:wgp>
                  </a:graphicData>
                </a:graphic>
              </wp:inline>
            </w:drawing>
          </mc:Choice>
          <mc:Fallback xmlns:a="http://schemas.openxmlformats.org/drawingml/2006/main">
            <w:pict>
              <v:group id="Group 38495" style="width:475.68pt;height:1.44pt;mso-position-horizontal-relative:char;mso-position-vertical-relative:line" coordsize="60411,182">
                <v:shape id="Shape 39423" style="position:absolute;width:60411;height:182;left:0;top:0;" coordsize="6041136,18288" path="m0,0l6041136,0l6041136,18288l0,18288l0,0">
                  <v:stroke weight="0pt" endcap="flat" joinstyle="miter" miterlimit="10" on="false" color="#000000" opacity="0"/>
                  <v:fill on="true" color="#a7a8a8"/>
                </v:shape>
              </v:group>
            </w:pict>
          </mc:Fallback>
        </mc:AlternateContent>
      </w:r>
    </w:p>
    <w:p w:rsidR="0054300F" w:rsidRDefault="00D820F4">
      <w:pPr>
        <w:spacing w:after="335"/>
      </w:pPr>
      <w:r>
        <w:rPr>
          <w:rFonts w:ascii="Arial" w:eastAsia="Arial" w:hAnsi="Arial" w:cs="Arial"/>
        </w:rPr>
        <w:t xml:space="preserve"> </w:t>
      </w:r>
    </w:p>
    <w:p w:rsidR="0054300F" w:rsidRDefault="00D820F4">
      <w:pPr>
        <w:pStyle w:val="Ttulo1"/>
        <w:ind w:left="-5" w:right="3854"/>
      </w:pPr>
      <w:r>
        <w:t xml:space="preserve">Comparativo </w:t>
      </w:r>
    </w:p>
    <w:p w:rsidR="0054300F" w:rsidRDefault="00D820F4">
      <w:pPr>
        <w:pStyle w:val="Ttulo2"/>
        <w:ind w:left="-5"/>
      </w:pPr>
      <w:r>
        <w:t xml:space="preserve">Tabla comparativa de algunos indicadores financieros para el Estado de Oaxaca </w:t>
      </w:r>
    </w:p>
    <w:p w:rsidR="0054300F" w:rsidRDefault="00D820F4">
      <w:pPr>
        <w:spacing w:after="0"/>
      </w:pPr>
      <w:r>
        <w:rPr>
          <w:rFonts w:ascii="Arial" w:eastAsia="Arial" w:hAnsi="Arial" w:cs="Arial"/>
          <w:b/>
          <w:sz w:val="21"/>
        </w:rPr>
        <w:t xml:space="preserve"> </w:t>
      </w:r>
    </w:p>
    <w:tbl>
      <w:tblPr>
        <w:tblStyle w:val="TableGrid"/>
        <w:tblW w:w="9590" w:type="dxa"/>
        <w:tblInd w:w="-122" w:type="dxa"/>
        <w:tblCellMar>
          <w:top w:w="0" w:type="dxa"/>
          <w:left w:w="0" w:type="dxa"/>
          <w:bottom w:w="0" w:type="dxa"/>
          <w:right w:w="115" w:type="dxa"/>
        </w:tblCellMar>
        <w:tblLook w:val="04A0" w:firstRow="1" w:lastRow="0" w:firstColumn="1" w:lastColumn="0" w:noHBand="0" w:noVBand="1"/>
      </w:tblPr>
      <w:tblGrid>
        <w:gridCol w:w="2006"/>
        <w:gridCol w:w="132"/>
        <w:gridCol w:w="1210"/>
        <w:gridCol w:w="211"/>
        <w:gridCol w:w="1469"/>
        <w:gridCol w:w="146"/>
        <w:gridCol w:w="1416"/>
        <w:gridCol w:w="31"/>
        <w:gridCol w:w="1251"/>
        <w:gridCol w:w="403"/>
        <w:gridCol w:w="1315"/>
      </w:tblGrid>
      <w:tr w:rsidR="0054300F">
        <w:trPr>
          <w:trHeight w:val="300"/>
        </w:trPr>
        <w:tc>
          <w:tcPr>
            <w:tcW w:w="7872" w:type="dxa"/>
            <w:gridSpan w:val="9"/>
            <w:tcBorders>
              <w:top w:val="single" w:sz="12" w:space="0" w:color="A7A8A8"/>
              <w:left w:val="nil"/>
              <w:bottom w:val="single" w:sz="12" w:space="0" w:color="A7A8A8"/>
              <w:right w:val="nil"/>
            </w:tcBorders>
          </w:tcPr>
          <w:p w:rsidR="0054300F" w:rsidRDefault="00D820F4">
            <w:pPr>
              <w:spacing w:after="0"/>
              <w:ind w:left="122"/>
            </w:pPr>
            <w:r>
              <w:rPr>
                <w:rFonts w:ascii="Arial" w:eastAsia="Arial" w:hAnsi="Arial" w:cs="Arial"/>
                <w:color w:val="E21737"/>
                <w:sz w:val="18"/>
              </w:rPr>
              <w:t>ESTADO DE OAXACA</w:t>
            </w:r>
            <w:r>
              <w:rPr>
                <w:rFonts w:ascii="Arial" w:eastAsia="Arial" w:hAnsi="Arial" w:cs="Arial"/>
                <w:b/>
                <w:sz w:val="18"/>
              </w:rPr>
              <w:t xml:space="preserve"> </w:t>
            </w:r>
          </w:p>
        </w:tc>
        <w:tc>
          <w:tcPr>
            <w:tcW w:w="1718" w:type="dxa"/>
            <w:gridSpan w:val="2"/>
            <w:tcBorders>
              <w:top w:val="single" w:sz="12" w:space="0" w:color="A7A8A8"/>
              <w:left w:val="nil"/>
              <w:bottom w:val="single" w:sz="12" w:space="0" w:color="A7A8A8"/>
              <w:right w:val="nil"/>
            </w:tcBorders>
          </w:tcPr>
          <w:p w:rsidR="0054300F" w:rsidRDefault="0054300F"/>
        </w:tc>
      </w:tr>
      <w:tr w:rsidR="0054300F">
        <w:trPr>
          <w:trHeight w:val="624"/>
        </w:trPr>
        <w:tc>
          <w:tcPr>
            <w:tcW w:w="7872" w:type="dxa"/>
            <w:gridSpan w:val="9"/>
            <w:tcBorders>
              <w:top w:val="single" w:sz="12" w:space="0" w:color="A7A8A8"/>
              <w:left w:val="nil"/>
              <w:bottom w:val="single" w:sz="8" w:space="0" w:color="000000"/>
              <w:right w:val="nil"/>
            </w:tcBorders>
            <w:vAlign w:val="center"/>
          </w:tcPr>
          <w:p w:rsidR="0054300F" w:rsidRDefault="00D820F4">
            <w:pPr>
              <w:tabs>
                <w:tab w:val="center" w:pos="2413"/>
                <w:tab w:val="center" w:pos="3835"/>
                <w:tab w:val="center" w:pos="5329"/>
                <w:tab w:val="center" w:pos="6896"/>
              </w:tabs>
              <w:spacing w:after="0"/>
            </w:pPr>
            <w:r>
              <w:rPr>
                <w:rFonts w:ascii="Arial" w:eastAsia="Arial" w:hAnsi="Arial" w:cs="Arial"/>
                <w:b/>
                <w:sz w:val="18"/>
              </w:rPr>
              <w:t xml:space="preserve">Indicador </w:t>
            </w:r>
            <w:r>
              <w:rPr>
                <w:rFonts w:ascii="Arial" w:eastAsia="Arial" w:hAnsi="Arial" w:cs="Arial"/>
                <w:b/>
                <w:sz w:val="18"/>
              </w:rPr>
              <w:tab/>
            </w:r>
            <w:hyperlink r:id="rId16">
              <w:r>
                <w:rPr>
                  <w:rFonts w:ascii="Arial" w:eastAsia="Arial" w:hAnsi="Arial" w:cs="Arial"/>
                  <w:color w:val="0000FF"/>
                  <w:sz w:val="28"/>
                  <w:u w:val="single" w:color="0000FF"/>
                  <w:vertAlign w:val="superscript"/>
                </w:rPr>
                <w:t>Estado de</w:t>
              </w:r>
            </w:hyperlink>
            <w:hyperlink r:id="rId17">
              <w:r>
                <w:rPr>
                  <w:rFonts w:ascii="Arial" w:eastAsia="Arial" w:hAnsi="Arial" w:cs="Arial"/>
                  <w:color w:val="0000FF"/>
                  <w:sz w:val="18"/>
                  <w:u w:val="single" w:color="0000FF"/>
                </w:rPr>
                <w:t>Oaxaca</w:t>
              </w:r>
            </w:hyperlink>
            <w:hyperlink r:id="rId18">
              <w:r>
                <w:rPr>
                  <w:rFonts w:ascii="Arial" w:eastAsia="Arial" w:hAnsi="Arial" w:cs="Arial"/>
                  <w:b/>
                  <w:sz w:val="18"/>
                </w:rPr>
                <w:t xml:space="preserve"> </w:t>
              </w:r>
            </w:hyperlink>
            <w:hyperlink r:id="rId19">
              <w:r>
                <w:rPr>
                  <w:rFonts w:ascii="Arial" w:eastAsia="Arial" w:hAnsi="Arial" w:cs="Arial"/>
                  <w:color w:val="0000FF"/>
                  <w:sz w:val="28"/>
                  <w:vertAlign w:val="superscript"/>
                </w:rPr>
                <w:t xml:space="preserve"> </w:t>
              </w:r>
            </w:hyperlink>
            <w:r>
              <w:rPr>
                <w:rFonts w:ascii="Arial" w:eastAsia="Arial" w:hAnsi="Arial" w:cs="Arial"/>
                <w:color w:val="0000FF"/>
                <w:sz w:val="28"/>
                <w:vertAlign w:val="superscript"/>
              </w:rPr>
              <w:tab/>
            </w:r>
            <w:hyperlink r:id="rId20">
              <w:r>
                <w:rPr>
                  <w:rFonts w:ascii="Arial" w:eastAsia="Arial" w:hAnsi="Arial" w:cs="Arial"/>
                  <w:color w:val="0000FF"/>
                  <w:sz w:val="18"/>
                  <w:u w:val="single" w:color="0000FF"/>
                </w:rPr>
                <w:t>Nuevo León</w:t>
              </w:r>
            </w:hyperlink>
            <w:hyperlink r:id="rId21">
              <w:r>
                <w:rPr>
                  <w:rFonts w:ascii="Arial" w:eastAsia="Arial" w:hAnsi="Arial" w:cs="Arial"/>
                  <w:b/>
                  <w:sz w:val="18"/>
                </w:rPr>
                <w:t xml:space="preserve"> </w:t>
              </w:r>
            </w:hyperlink>
            <w:r>
              <w:rPr>
                <w:rFonts w:ascii="Arial" w:eastAsia="Arial" w:hAnsi="Arial" w:cs="Arial"/>
                <w:b/>
                <w:sz w:val="18"/>
              </w:rPr>
              <w:tab/>
            </w:r>
            <w:hyperlink r:id="rId22">
              <w:r>
                <w:rPr>
                  <w:rFonts w:ascii="Arial" w:eastAsia="Arial" w:hAnsi="Arial" w:cs="Arial"/>
                  <w:color w:val="0000FF"/>
                  <w:sz w:val="18"/>
                  <w:u w:val="single" w:color="0000FF"/>
                </w:rPr>
                <w:t>Sinaloa</w:t>
              </w:r>
            </w:hyperlink>
            <w:hyperlink r:id="rId23">
              <w:r>
                <w:rPr>
                  <w:rFonts w:ascii="Arial" w:eastAsia="Arial" w:hAnsi="Arial" w:cs="Arial"/>
                  <w:b/>
                  <w:sz w:val="18"/>
                </w:rPr>
                <w:t xml:space="preserve"> </w:t>
              </w:r>
            </w:hyperlink>
            <w:r>
              <w:rPr>
                <w:rFonts w:ascii="Arial" w:eastAsia="Arial" w:hAnsi="Arial" w:cs="Arial"/>
                <w:b/>
                <w:sz w:val="18"/>
              </w:rPr>
              <w:tab/>
            </w:r>
            <w:hyperlink r:id="rId24">
              <w:r>
                <w:rPr>
                  <w:rFonts w:ascii="Arial" w:eastAsia="Arial" w:hAnsi="Arial" w:cs="Arial"/>
                  <w:color w:val="0000FF"/>
                  <w:sz w:val="18"/>
                  <w:u w:val="single" w:color="0000FF"/>
                </w:rPr>
                <w:t>Hidalgo</w:t>
              </w:r>
            </w:hyperlink>
            <w:hyperlink r:id="rId25">
              <w:r>
                <w:rPr>
                  <w:rFonts w:ascii="Arial" w:eastAsia="Arial" w:hAnsi="Arial" w:cs="Arial"/>
                  <w:b/>
                  <w:sz w:val="18"/>
                </w:rPr>
                <w:t xml:space="preserve"> </w:t>
              </w:r>
            </w:hyperlink>
          </w:p>
        </w:tc>
        <w:tc>
          <w:tcPr>
            <w:tcW w:w="1718" w:type="dxa"/>
            <w:gridSpan w:val="2"/>
            <w:tcBorders>
              <w:top w:val="single" w:sz="12" w:space="0" w:color="A7A8A8"/>
              <w:left w:val="nil"/>
              <w:bottom w:val="single" w:sz="8" w:space="0" w:color="000000"/>
              <w:right w:val="nil"/>
            </w:tcBorders>
            <w:vAlign w:val="center"/>
          </w:tcPr>
          <w:p w:rsidR="0054300F" w:rsidRDefault="00D820F4">
            <w:pPr>
              <w:spacing w:after="0"/>
              <w:ind w:left="403"/>
            </w:pPr>
            <w:hyperlink r:id="rId26">
              <w:r>
                <w:rPr>
                  <w:rFonts w:ascii="Arial" w:eastAsia="Arial" w:hAnsi="Arial" w:cs="Arial"/>
                  <w:color w:val="0000FF"/>
                  <w:sz w:val="18"/>
                  <w:u w:val="single" w:color="0000FF"/>
                </w:rPr>
                <w:t>Guerrero</w:t>
              </w:r>
            </w:hyperlink>
            <w:hyperlink r:id="rId27">
              <w:r>
                <w:rPr>
                  <w:rFonts w:ascii="Arial" w:eastAsia="Arial" w:hAnsi="Arial" w:cs="Arial"/>
                  <w:b/>
                  <w:sz w:val="18"/>
                </w:rPr>
                <w:t xml:space="preserve"> </w:t>
              </w:r>
            </w:hyperlink>
          </w:p>
        </w:tc>
      </w:tr>
      <w:tr w:rsidR="0054300F">
        <w:trPr>
          <w:trHeight w:val="622"/>
        </w:trPr>
        <w:tc>
          <w:tcPr>
            <w:tcW w:w="7872" w:type="dxa"/>
            <w:gridSpan w:val="9"/>
            <w:tcBorders>
              <w:top w:val="single" w:sz="8" w:space="0" w:color="000000"/>
              <w:left w:val="nil"/>
              <w:bottom w:val="single" w:sz="8" w:space="0" w:color="000000"/>
              <w:right w:val="nil"/>
            </w:tcBorders>
          </w:tcPr>
          <w:p w:rsidR="0054300F" w:rsidRDefault="00D820F4">
            <w:pPr>
              <w:spacing w:after="0"/>
              <w:ind w:left="122"/>
            </w:pPr>
            <w:r>
              <w:rPr>
                <w:rFonts w:ascii="Arial" w:eastAsia="Arial" w:hAnsi="Arial" w:cs="Arial"/>
                <w:sz w:val="28"/>
                <w:vertAlign w:val="superscript"/>
              </w:rPr>
              <w:t xml:space="preserve">Calificación en </w:t>
            </w:r>
            <w:r>
              <w:rPr>
                <w:rFonts w:ascii="Arial" w:eastAsia="Arial" w:hAnsi="Arial" w:cs="Arial"/>
                <w:sz w:val="28"/>
                <w:vertAlign w:val="superscript"/>
              </w:rPr>
              <w:tab/>
            </w:r>
            <w:r>
              <w:rPr>
                <w:rFonts w:ascii="Arial" w:eastAsia="Arial" w:hAnsi="Arial" w:cs="Arial"/>
                <w:sz w:val="18"/>
              </w:rPr>
              <w:t xml:space="preserve">mxA-/Estable/-- </w:t>
            </w:r>
            <w:r>
              <w:rPr>
                <w:rFonts w:ascii="Arial" w:eastAsia="Arial" w:hAnsi="Arial" w:cs="Arial"/>
                <w:sz w:val="18"/>
              </w:rPr>
              <w:tab/>
              <w:t xml:space="preserve">mxA-/Positiva/-- </w:t>
            </w:r>
            <w:r>
              <w:rPr>
                <w:rFonts w:ascii="Arial" w:eastAsia="Arial" w:hAnsi="Arial" w:cs="Arial"/>
                <w:sz w:val="18"/>
              </w:rPr>
              <w:tab/>
              <w:t xml:space="preserve">mxA/Estable/-- </w:t>
            </w:r>
            <w:r>
              <w:rPr>
                <w:rFonts w:ascii="Arial" w:eastAsia="Arial" w:hAnsi="Arial" w:cs="Arial"/>
                <w:sz w:val="18"/>
              </w:rPr>
              <w:tab/>
              <w:t xml:space="preserve">mxA/Estable/-- escala nacional </w:t>
            </w:r>
          </w:p>
        </w:tc>
        <w:tc>
          <w:tcPr>
            <w:tcW w:w="1718" w:type="dxa"/>
            <w:gridSpan w:val="2"/>
            <w:tcBorders>
              <w:top w:val="single" w:sz="8" w:space="0" w:color="000000"/>
              <w:left w:val="nil"/>
              <w:bottom w:val="single" w:sz="8" w:space="0" w:color="000000"/>
              <w:right w:val="nil"/>
            </w:tcBorders>
            <w:vAlign w:val="center"/>
          </w:tcPr>
          <w:p w:rsidR="0054300F" w:rsidRDefault="00D820F4">
            <w:pPr>
              <w:spacing w:after="0"/>
            </w:pPr>
            <w:r>
              <w:rPr>
                <w:rFonts w:ascii="Arial" w:eastAsia="Arial" w:hAnsi="Arial" w:cs="Arial"/>
                <w:sz w:val="18"/>
              </w:rPr>
              <w:t xml:space="preserve">mxBBB+/Estable/-- </w:t>
            </w:r>
          </w:p>
        </w:tc>
      </w:tr>
      <w:tr w:rsidR="0054300F">
        <w:trPr>
          <w:trHeight w:val="319"/>
        </w:trPr>
        <w:tc>
          <w:tcPr>
            <w:tcW w:w="7872" w:type="dxa"/>
            <w:gridSpan w:val="9"/>
            <w:tcBorders>
              <w:top w:val="single" w:sz="8" w:space="0" w:color="000000"/>
              <w:left w:val="nil"/>
              <w:bottom w:val="single" w:sz="8" w:space="0" w:color="000000"/>
              <w:right w:val="nil"/>
            </w:tcBorders>
          </w:tcPr>
          <w:p w:rsidR="0054300F" w:rsidRDefault="00D820F4">
            <w:pPr>
              <w:spacing w:after="0"/>
              <w:ind w:left="122"/>
            </w:pPr>
            <w:r>
              <w:rPr>
                <w:rFonts w:ascii="Arial" w:eastAsia="Arial" w:hAnsi="Arial" w:cs="Arial"/>
                <w:b/>
                <w:i/>
                <w:sz w:val="18"/>
              </w:rPr>
              <w:t>Promedi</w:t>
            </w:r>
            <w:r>
              <w:rPr>
                <w:rFonts w:ascii="Arial" w:eastAsia="Arial" w:hAnsi="Arial" w:cs="Arial"/>
                <w:b/>
                <w:i/>
                <w:sz w:val="18"/>
              </w:rPr>
              <w:t xml:space="preserve">o cinco años (Información actual 2015-2016 y proyecciones 2017-2019) </w:t>
            </w:r>
          </w:p>
        </w:tc>
        <w:tc>
          <w:tcPr>
            <w:tcW w:w="1718" w:type="dxa"/>
            <w:gridSpan w:val="2"/>
            <w:tcBorders>
              <w:top w:val="single" w:sz="8" w:space="0" w:color="000000"/>
              <w:left w:val="nil"/>
              <w:bottom w:val="single" w:sz="8" w:space="0" w:color="000000"/>
              <w:right w:val="nil"/>
            </w:tcBorders>
          </w:tcPr>
          <w:p w:rsidR="0054300F" w:rsidRDefault="0054300F"/>
        </w:tc>
      </w:tr>
      <w:tr w:rsidR="0054300F">
        <w:trPr>
          <w:trHeight w:val="847"/>
        </w:trPr>
        <w:tc>
          <w:tcPr>
            <w:tcW w:w="2138" w:type="dxa"/>
            <w:gridSpan w:val="2"/>
            <w:tcBorders>
              <w:top w:val="single" w:sz="8" w:space="0" w:color="000000"/>
              <w:left w:val="nil"/>
              <w:bottom w:val="single" w:sz="8" w:space="0" w:color="000000"/>
              <w:right w:val="nil"/>
            </w:tcBorders>
          </w:tcPr>
          <w:p w:rsidR="0054300F" w:rsidRDefault="00D820F4">
            <w:pPr>
              <w:spacing w:after="0"/>
              <w:ind w:left="122"/>
            </w:pPr>
            <w:r>
              <w:rPr>
                <w:rFonts w:ascii="Arial" w:eastAsia="Arial" w:hAnsi="Arial" w:cs="Arial"/>
                <w:sz w:val="18"/>
              </w:rPr>
              <w:t xml:space="preserve">Balance operativo </w:t>
            </w:r>
          </w:p>
          <w:p w:rsidR="0054300F" w:rsidRDefault="00D820F4">
            <w:pPr>
              <w:spacing w:after="0"/>
              <w:ind w:left="122" w:right="417"/>
            </w:pPr>
            <w:r>
              <w:rPr>
                <w:rFonts w:ascii="Arial" w:eastAsia="Arial" w:hAnsi="Arial" w:cs="Arial"/>
                <w:sz w:val="18"/>
              </w:rPr>
              <w:t xml:space="preserve">(% de los ingresos operativos) </w:t>
            </w:r>
          </w:p>
        </w:tc>
        <w:tc>
          <w:tcPr>
            <w:tcW w:w="1421" w:type="dxa"/>
            <w:gridSpan w:val="2"/>
            <w:tcBorders>
              <w:top w:val="single" w:sz="8" w:space="0" w:color="000000"/>
              <w:left w:val="nil"/>
              <w:bottom w:val="single" w:sz="8" w:space="0" w:color="000000"/>
              <w:right w:val="nil"/>
            </w:tcBorders>
            <w:vAlign w:val="center"/>
          </w:tcPr>
          <w:p w:rsidR="0054300F" w:rsidRDefault="00D820F4">
            <w:pPr>
              <w:spacing w:after="0"/>
              <w:ind w:left="151"/>
            </w:pPr>
            <w:r>
              <w:rPr>
                <w:rFonts w:ascii="Arial" w:eastAsia="Arial" w:hAnsi="Arial" w:cs="Arial"/>
                <w:sz w:val="18"/>
              </w:rPr>
              <w:t xml:space="preserve">1.6 </w:t>
            </w:r>
          </w:p>
        </w:tc>
        <w:tc>
          <w:tcPr>
            <w:tcW w:w="1615" w:type="dxa"/>
            <w:gridSpan w:val="2"/>
            <w:tcBorders>
              <w:top w:val="single" w:sz="8" w:space="0" w:color="000000"/>
              <w:left w:val="nil"/>
              <w:bottom w:val="single" w:sz="8" w:space="0" w:color="000000"/>
              <w:right w:val="nil"/>
            </w:tcBorders>
            <w:vAlign w:val="center"/>
          </w:tcPr>
          <w:p w:rsidR="0054300F" w:rsidRDefault="00D820F4">
            <w:pPr>
              <w:spacing w:after="0"/>
              <w:ind w:left="151"/>
            </w:pPr>
            <w:r>
              <w:rPr>
                <w:rFonts w:ascii="Arial" w:eastAsia="Arial" w:hAnsi="Arial" w:cs="Arial"/>
                <w:sz w:val="18"/>
              </w:rPr>
              <w:t xml:space="preserve">4.8 </w:t>
            </w:r>
          </w:p>
        </w:tc>
        <w:tc>
          <w:tcPr>
            <w:tcW w:w="1447" w:type="dxa"/>
            <w:gridSpan w:val="2"/>
            <w:tcBorders>
              <w:top w:val="single" w:sz="8" w:space="0" w:color="000000"/>
              <w:left w:val="nil"/>
              <w:bottom w:val="single" w:sz="8" w:space="0" w:color="000000"/>
              <w:right w:val="nil"/>
            </w:tcBorders>
            <w:vAlign w:val="center"/>
          </w:tcPr>
          <w:p w:rsidR="0054300F" w:rsidRDefault="00D820F4">
            <w:pPr>
              <w:spacing w:after="0"/>
              <w:ind w:left="29"/>
            </w:pPr>
            <w:r>
              <w:rPr>
                <w:rFonts w:ascii="Arial" w:eastAsia="Arial" w:hAnsi="Arial" w:cs="Arial"/>
                <w:sz w:val="18"/>
              </w:rPr>
              <w:t xml:space="preserve">1.3 </w:t>
            </w:r>
          </w:p>
        </w:tc>
        <w:tc>
          <w:tcPr>
            <w:tcW w:w="1251" w:type="dxa"/>
            <w:tcBorders>
              <w:top w:val="single" w:sz="8" w:space="0" w:color="000000"/>
              <w:left w:val="nil"/>
              <w:bottom w:val="single" w:sz="8" w:space="0" w:color="000000"/>
              <w:right w:val="nil"/>
            </w:tcBorders>
            <w:vAlign w:val="center"/>
          </w:tcPr>
          <w:p w:rsidR="0054300F" w:rsidRDefault="00D820F4">
            <w:pPr>
              <w:spacing w:after="0"/>
              <w:ind w:left="149"/>
            </w:pPr>
            <w:r>
              <w:rPr>
                <w:rFonts w:ascii="Arial" w:eastAsia="Arial" w:hAnsi="Arial" w:cs="Arial"/>
                <w:sz w:val="18"/>
              </w:rPr>
              <w:t xml:space="preserve">6.6 </w:t>
            </w:r>
          </w:p>
        </w:tc>
        <w:tc>
          <w:tcPr>
            <w:tcW w:w="1718" w:type="dxa"/>
            <w:gridSpan w:val="2"/>
            <w:tcBorders>
              <w:top w:val="single" w:sz="8" w:space="0" w:color="000000"/>
              <w:left w:val="nil"/>
              <w:bottom w:val="single" w:sz="8" w:space="0" w:color="000000"/>
              <w:right w:val="nil"/>
            </w:tcBorders>
            <w:vAlign w:val="center"/>
          </w:tcPr>
          <w:p w:rsidR="0054300F" w:rsidRDefault="00D820F4">
            <w:pPr>
              <w:spacing w:after="0"/>
              <w:ind w:right="74"/>
              <w:jc w:val="center"/>
            </w:pPr>
            <w:r>
              <w:rPr>
                <w:rFonts w:ascii="Arial" w:eastAsia="Arial" w:hAnsi="Arial" w:cs="Arial"/>
                <w:sz w:val="18"/>
              </w:rPr>
              <w:t xml:space="preserve">3.6° </w:t>
            </w:r>
          </w:p>
        </w:tc>
      </w:tr>
      <w:tr w:rsidR="0054300F">
        <w:trPr>
          <w:trHeight w:val="850"/>
        </w:trPr>
        <w:tc>
          <w:tcPr>
            <w:tcW w:w="2138" w:type="dxa"/>
            <w:gridSpan w:val="2"/>
            <w:tcBorders>
              <w:top w:val="single" w:sz="8" w:space="0" w:color="000000"/>
              <w:left w:val="nil"/>
              <w:bottom w:val="single" w:sz="8" w:space="0" w:color="000000"/>
              <w:right w:val="nil"/>
            </w:tcBorders>
          </w:tcPr>
          <w:p w:rsidR="0054300F" w:rsidRDefault="00D820F4">
            <w:pPr>
              <w:spacing w:after="0"/>
              <w:ind w:left="122" w:right="267"/>
            </w:pPr>
            <w:r>
              <w:rPr>
                <w:rFonts w:ascii="Arial" w:eastAsia="Arial" w:hAnsi="Arial" w:cs="Arial"/>
                <w:sz w:val="18"/>
              </w:rPr>
              <w:t xml:space="preserve">Balance después de gastos de inversión (% del total de ingresos) </w:t>
            </w:r>
          </w:p>
        </w:tc>
        <w:tc>
          <w:tcPr>
            <w:tcW w:w="1421" w:type="dxa"/>
            <w:gridSpan w:val="2"/>
            <w:tcBorders>
              <w:top w:val="single" w:sz="8" w:space="0" w:color="000000"/>
              <w:left w:val="nil"/>
              <w:bottom w:val="single" w:sz="8" w:space="0" w:color="000000"/>
              <w:right w:val="nil"/>
            </w:tcBorders>
            <w:vAlign w:val="center"/>
          </w:tcPr>
          <w:p w:rsidR="0054300F" w:rsidRDefault="00D820F4">
            <w:pPr>
              <w:spacing w:after="0"/>
              <w:ind w:left="120"/>
            </w:pPr>
            <w:r>
              <w:rPr>
                <w:rFonts w:ascii="Arial" w:eastAsia="Arial" w:hAnsi="Arial" w:cs="Arial"/>
                <w:sz w:val="18"/>
              </w:rPr>
              <w:t xml:space="preserve">-0.7 </w:t>
            </w:r>
          </w:p>
        </w:tc>
        <w:tc>
          <w:tcPr>
            <w:tcW w:w="1615" w:type="dxa"/>
            <w:gridSpan w:val="2"/>
            <w:tcBorders>
              <w:top w:val="single" w:sz="8" w:space="0" w:color="000000"/>
              <w:left w:val="nil"/>
              <w:bottom w:val="single" w:sz="8" w:space="0" w:color="000000"/>
              <w:right w:val="nil"/>
            </w:tcBorders>
            <w:vAlign w:val="center"/>
          </w:tcPr>
          <w:p w:rsidR="0054300F" w:rsidRDefault="00D820F4">
            <w:pPr>
              <w:spacing w:after="0"/>
              <w:ind w:left="120"/>
            </w:pPr>
            <w:r>
              <w:rPr>
                <w:rFonts w:ascii="Arial" w:eastAsia="Arial" w:hAnsi="Arial" w:cs="Arial"/>
                <w:sz w:val="18"/>
              </w:rPr>
              <w:t xml:space="preserve">-2.1 </w:t>
            </w:r>
          </w:p>
        </w:tc>
        <w:tc>
          <w:tcPr>
            <w:tcW w:w="1447" w:type="dxa"/>
            <w:gridSpan w:val="2"/>
            <w:tcBorders>
              <w:top w:val="single" w:sz="8" w:space="0" w:color="000000"/>
              <w:left w:val="nil"/>
              <w:bottom w:val="single" w:sz="8" w:space="0" w:color="000000"/>
              <w:right w:val="nil"/>
            </w:tcBorders>
            <w:vAlign w:val="center"/>
          </w:tcPr>
          <w:p w:rsidR="0054300F" w:rsidRDefault="00D820F4">
            <w:pPr>
              <w:spacing w:after="0"/>
            </w:pPr>
            <w:r>
              <w:rPr>
                <w:rFonts w:ascii="Arial" w:eastAsia="Arial" w:hAnsi="Arial" w:cs="Arial"/>
                <w:sz w:val="18"/>
              </w:rPr>
              <w:t xml:space="preserve">-2.4 </w:t>
            </w:r>
          </w:p>
        </w:tc>
        <w:tc>
          <w:tcPr>
            <w:tcW w:w="1251" w:type="dxa"/>
            <w:tcBorders>
              <w:top w:val="single" w:sz="8" w:space="0" w:color="000000"/>
              <w:left w:val="nil"/>
              <w:bottom w:val="single" w:sz="8" w:space="0" w:color="000000"/>
              <w:right w:val="nil"/>
            </w:tcBorders>
            <w:vAlign w:val="center"/>
          </w:tcPr>
          <w:p w:rsidR="0054300F" w:rsidRDefault="00D820F4">
            <w:pPr>
              <w:spacing w:after="0"/>
              <w:ind w:left="149"/>
            </w:pPr>
            <w:r>
              <w:rPr>
                <w:rFonts w:ascii="Arial" w:eastAsia="Arial" w:hAnsi="Arial" w:cs="Arial"/>
                <w:sz w:val="18"/>
              </w:rPr>
              <w:t xml:space="preserve">4.5 </w:t>
            </w:r>
          </w:p>
        </w:tc>
        <w:tc>
          <w:tcPr>
            <w:tcW w:w="1718" w:type="dxa"/>
            <w:gridSpan w:val="2"/>
            <w:tcBorders>
              <w:top w:val="single" w:sz="8" w:space="0" w:color="000000"/>
              <w:left w:val="nil"/>
              <w:bottom w:val="single" w:sz="8" w:space="0" w:color="000000"/>
              <w:right w:val="nil"/>
            </w:tcBorders>
            <w:vAlign w:val="center"/>
          </w:tcPr>
          <w:p w:rsidR="0054300F" w:rsidRDefault="00D820F4">
            <w:pPr>
              <w:spacing w:after="0"/>
              <w:ind w:right="74"/>
              <w:jc w:val="center"/>
            </w:pPr>
            <w:r>
              <w:rPr>
                <w:rFonts w:ascii="Arial" w:eastAsia="Arial" w:hAnsi="Arial" w:cs="Arial"/>
                <w:sz w:val="18"/>
              </w:rPr>
              <w:t xml:space="preserve">1.8° </w:t>
            </w:r>
          </w:p>
        </w:tc>
      </w:tr>
      <w:tr w:rsidR="0054300F">
        <w:trPr>
          <w:trHeight w:val="641"/>
        </w:trPr>
        <w:tc>
          <w:tcPr>
            <w:tcW w:w="2138" w:type="dxa"/>
            <w:gridSpan w:val="2"/>
            <w:tcBorders>
              <w:top w:val="single" w:sz="8" w:space="0" w:color="000000"/>
              <w:left w:val="nil"/>
              <w:bottom w:val="single" w:sz="8" w:space="0" w:color="000000"/>
              <w:right w:val="nil"/>
            </w:tcBorders>
          </w:tcPr>
          <w:p w:rsidR="0054300F" w:rsidRDefault="00D820F4">
            <w:pPr>
              <w:spacing w:after="0"/>
              <w:ind w:left="122" w:right="306"/>
            </w:pPr>
            <w:r>
              <w:rPr>
                <w:rFonts w:ascii="Arial" w:eastAsia="Arial" w:hAnsi="Arial" w:cs="Arial"/>
                <w:sz w:val="18"/>
              </w:rPr>
              <w:lastRenderedPageBreak/>
              <w:t xml:space="preserve">Gastos de inversión (% del total de gastos) </w:t>
            </w:r>
          </w:p>
        </w:tc>
        <w:tc>
          <w:tcPr>
            <w:tcW w:w="1421" w:type="dxa"/>
            <w:gridSpan w:val="2"/>
            <w:tcBorders>
              <w:top w:val="single" w:sz="8" w:space="0" w:color="000000"/>
              <w:left w:val="nil"/>
              <w:bottom w:val="single" w:sz="8" w:space="0" w:color="000000"/>
              <w:right w:val="nil"/>
            </w:tcBorders>
            <w:vAlign w:val="center"/>
          </w:tcPr>
          <w:p w:rsidR="0054300F" w:rsidRDefault="00D820F4">
            <w:pPr>
              <w:spacing w:after="0"/>
              <w:ind w:left="151"/>
            </w:pPr>
            <w:r>
              <w:rPr>
                <w:rFonts w:ascii="Arial" w:eastAsia="Arial" w:hAnsi="Arial" w:cs="Arial"/>
                <w:sz w:val="18"/>
              </w:rPr>
              <w:t xml:space="preserve">9.4 </w:t>
            </w:r>
          </w:p>
        </w:tc>
        <w:tc>
          <w:tcPr>
            <w:tcW w:w="1615" w:type="dxa"/>
            <w:gridSpan w:val="2"/>
            <w:tcBorders>
              <w:top w:val="single" w:sz="8" w:space="0" w:color="000000"/>
              <w:left w:val="nil"/>
              <w:bottom w:val="single" w:sz="8" w:space="0" w:color="000000"/>
              <w:right w:val="nil"/>
            </w:tcBorders>
            <w:vAlign w:val="center"/>
          </w:tcPr>
          <w:p w:rsidR="0054300F" w:rsidRDefault="00D820F4">
            <w:pPr>
              <w:spacing w:after="0"/>
              <w:ind w:left="101"/>
            </w:pPr>
            <w:r>
              <w:rPr>
                <w:rFonts w:ascii="Arial" w:eastAsia="Arial" w:hAnsi="Arial" w:cs="Arial"/>
                <w:sz w:val="18"/>
              </w:rPr>
              <w:t xml:space="preserve">10.7 </w:t>
            </w:r>
          </w:p>
        </w:tc>
        <w:tc>
          <w:tcPr>
            <w:tcW w:w="1447" w:type="dxa"/>
            <w:gridSpan w:val="2"/>
            <w:tcBorders>
              <w:top w:val="single" w:sz="8" w:space="0" w:color="000000"/>
              <w:left w:val="nil"/>
              <w:bottom w:val="single" w:sz="8" w:space="0" w:color="000000"/>
              <w:right w:val="nil"/>
            </w:tcBorders>
            <w:vAlign w:val="center"/>
          </w:tcPr>
          <w:p w:rsidR="0054300F" w:rsidRDefault="00D820F4">
            <w:pPr>
              <w:spacing w:after="0"/>
              <w:ind w:left="29"/>
            </w:pPr>
            <w:r>
              <w:rPr>
                <w:rFonts w:ascii="Arial" w:eastAsia="Arial" w:hAnsi="Arial" w:cs="Arial"/>
                <w:sz w:val="18"/>
              </w:rPr>
              <w:t xml:space="preserve">5.9 </w:t>
            </w:r>
          </w:p>
        </w:tc>
        <w:tc>
          <w:tcPr>
            <w:tcW w:w="1251" w:type="dxa"/>
            <w:tcBorders>
              <w:top w:val="single" w:sz="8" w:space="0" w:color="000000"/>
              <w:left w:val="nil"/>
              <w:bottom w:val="single" w:sz="8" w:space="0" w:color="000000"/>
              <w:right w:val="nil"/>
            </w:tcBorders>
            <w:vAlign w:val="center"/>
          </w:tcPr>
          <w:p w:rsidR="0054300F" w:rsidRDefault="00D820F4">
            <w:pPr>
              <w:spacing w:after="0"/>
              <w:ind w:left="149"/>
            </w:pPr>
            <w:r>
              <w:rPr>
                <w:rFonts w:ascii="Arial" w:eastAsia="Arial" w:hAnsi="Arial" w:cs="Arial"/>
                <w:sz w:val="18"/>
              </w:rPr>
              <w:t xml:space="preserve">5.8 </w:t>
            </w:r>
          </w:p>
        </w:tc>
        <w:tc>
          <w:tcPr>
            <w:tcW w:w="1718" w:type="dxa"/>
            <w:gridSpan w:val="2"/>
            <w:tcBorders>
              <w:top w:val="single" w:sz="8" w:space="0" w:color="000000"/>
              <w:left w:val="nil"/>
              <w:bottom w:val="single" w:sz="8" w:space="0" w:color="000000"/>
              <w:right w:val="nil"/>
            </w:tcBorders>
            <w:vAlign w:val="center"/>
          </w:tcPr>
          <w:p w:rsidR="0054300F" w:rsidRDefault="00D820F4">
            <w:pPr>
              <w:spacing w:after="0"/>
              <w:ind w:right="74"/>
              <w:jc w:val="center"/>
            </w:pPr>
            <w:r>
              <w:rPr>
                <w:rFonts w:ascii="Arial" w:eastAsia="Arial" w:hAnsi="Arial" w:cs="Arial"/>
                <w:sz w:val="18"/>
              </w:rPr>
              <w:t xml:space="preserve">4.4° </w:t>
            </w:r>
          </w:p>
        </w:tc>
      </w:tr>
      <w:tr w:rsidR="0054300F">
        <w:trPr>
          <w:trHeight w:val="319"/>
        </w:trPr>
        <w:tc>
          <w:tcPr>
            <w:tcW w:w="2138" w:type="dxa"/>
            <w:gridSpan w:val="2"/>
            <w:tcBorders>
              <w:top w:val="single" w:sz="8" w:space="0" w:color="000000"/>
              <w:left w:val="nil"/>
              <w:bottom w:val="single" w:sz="8" w:space="0" w:color="000000"/>
              <w:right w:val="nil"/>
            </w:tcBorders>
          </w:tcPr>
          <w:p w:rsidR="0054300F" w:rsidRDefault="0054300F"/>
        </w:tc>
        <w:tc>
          <w:tcPr>
            <w:tcW w:w="1421" w:type="dxa"/>
            <w:gridSpan w:val="2"/>
            <w:tcBorders>
              <w:top w:val="single" w:sz="8" w:space="0" w:color="000000"/>
              <w:left w:val="nil"/>
              <w:bottom w:val="single" w:sz="8" w:space="0" w:color="000000"/>
              <w:right w:val="nil"/>
            </w:tcBorders>
          </w:tcPr>
          <w:p w:rsidR="0054300F" w:rsidRDefault="0054300F"/>
        </w:tc>
        <w:tc>
          <w:tcPr>
            <w:tcW w:w="3062" w:type="dxa"/>
            <w:gridSpan w:val="4"/>
            <w:tcBorders>
              <w:top w:val="single" w:sz="8" w:space="0" w:color="000000"/>
              <w:left w:val="nil"/>
              <w:bottom w:val="single" w:sz="8" w:space="0" w:color="000000"/>
              <w:right w:val="nil"/>
            </w:tcBorders>
          </w:tcPr>
          <w:p w:rsidR="0054300F" w:rsidRDefault="00D820F4">
            <w:pPr>
              <w:spacing w:after="0"/>
              <w:ind w:left="528"/>
            </w:pPr>
            <w:r>
              <w:rPr>
                <w:rFonts w:ascii="Arial" w:eastAsia="Arial" w:hAnsi="Arial" w:cs="Arial"/>
                <w:b/>
                <w:i/>
                <w:sz w:val="18"/>
              </w:rPr>
              <w:t xml:space="preserve">Al cierre de 2016 </w:t>
            </w:r>
          </w:p>
        </w:tc>
        <w:tc>
          <w:tcPr>
            <w:tcW w:w="1251" w:type="dxa"/>
            <w:tcBorders>
              <w:top w:val="single" w:sz="8" w:space="0" w:color="000000"/>
              <w:left w:val="nil"/>
              <w:bottom w:val="single" w:sz="8" w:space="0" w:color="000000"/>
              <w:right w:val="nil"/>
            </w:tcBorders>
          </w:tcPr>
          <w:p w:rsidR="0054300F" w:rsidRDefault="0054300F"/>
        </w:tc>
        <w:tc>
          <w:tcPr>
            <w:tcW w:w="1718" w:type="dxa"/>
            <w:gridSpan w:val="2"/>
            <w:tcBorders>
              <w:top w:val="single" w:sz="8" w:space="0" w:color="000000"/>
              <w:left w:val="nil"/>
              <w:bottom w:val="single" w:sz="8" w:space="0" w:color="000000"/>
              <w:right w:val="nil"/>
            </w:tcBorders>
          </w:tcPr>
          <w:p w:rsidR="0054300F" w:rsidRDefault="0054300F"/>
        </w:tc>
      </w:tr>
      <w:tr w:rsidR="0054300F">
        <w:trPr>
          <w:trHeight w:val="619"/>
        </w:trPr>
        <w:tc>
          <w:tcPr>
            <w:tcW w:w="2138" w:type="dxa"/>
            <w:gridSpan w:val="2"/>
            <w:tcBorders>
              <w:top w:val="single" w:sz="8" w:space="0" w:color="000000"/>
              <w:left w:val="nil"/>
              <w:bottom w:val="single" w:sz="8" w:space="0" w:color="000000"/>
              <w:right w:val="nil"/>
            </w:tcBorders>
          </w:tcPr>
          <w:p w:rsidR="0054300F" w:rsidRDefault="00D820F4">
            <w:pPr>
              <w:spacing w:after="0"/>
              <w:ind w:left="122" w:right="70"/>
            </w:pPr>
            <w:r>
              <w:rPr>
                <w:rFonts w:ascii="Arial" w:eastAsia="Arial" w:hAnsi="Arial" w:cs="Arial"/>
                <w:sz w:val="18"/>
              </w:rPr>
              <w:t xml:space="preserve">Ingresos totales (MXN, mil.) </w:t>
            </w:r>
          </w:p>
        </w:tc>
        <w:tc>
          <w:tcPr>
            <w:tcW w:w="1421" w:type="dxa"/>
            <w:gridSpan w:val="2"/>
            <w:tcBorders>
              <w:top w:val="single" w:sz="8" w:space="0" w:color="000000"/>
              <w:left w:val="nil"/>
              <w:bottom w:val="single" w:sz="8" w:space="0" w:color="000000"/>
              <w:right w:val="nil"/>
            </w:tcBorders>
            <w:vAlign w:val="center"/>
          </w:tcPr>
          <w:p w:rsidR="0054300F" w:rsidRDefault="00D820F4">
            <w:pPr>
              <w:spacing w:after="0"/>
            </w:pPr>
            <w:r>
              <w:rPr>
                <w:rFonts w:ascii="Arial" w:eastAsia="Arial" w:hAnsi="Arial" w:cs="Arial"/>
                <w:sz w:val="18"/>
              </w:rPr>
              <w:t xml:space="preserve">62,056 </w:t>
            </w:r>
          </w:p>
        </w:tc>
        <w:tc>
          <w:tcPr>
            <w:tcW w:w="3062" w:type="dxa"/>
            <w:gridSpan w:val="4"/>
            <w:tcBorders>
              <w:top w:val="single" w:sz="8" w:space="0" w:color="000000"/>
              <w:left w:val="nil"/>
              <w:bottom w:val="single" w:sz="8" w:space="0" w:color="000000"/>
              <w:right w:val="nil"/>
            </w:tcBorders>
            <w:vAlign w:val="center"/>
          </w:tcPr>
          <w:p w:rsidR="0054300F" w:rsidRDefault="00D820F4">
            <w:pPr>
              <w:tabs>
                <w:tab w:val="center" w:pos="1771"/>
              </w:tabs>
              <w:spacing w:after="0"/>
            </w:pPr>
            <w:r>
              <w:rPr>
                <w:rFonts w:ascii="Arial" w:eastAsia="Arial" w:hAnsi="Arial" w:cs="Arial"/>
                <w:sz w:val="18"/>
              </w:rPr>
              <w:t xml:space="preserve">75,207 </w:t>
            </w:r>
            <w:r>
              <w:rPr>
                <w:rFonts w:ascii="Arial" w:eastAsia="Arial" w:hAnsi="Arial" w:cs="Arial"/>
                <w:sz w:val="18"/>
              </w:rPr>
              <w:tab/>
              <w:t xml:space="preserve">45,414 </w:t>
            </w:r>
          </w:p>
        </w:tc>
        <w:tc>
          <w:tcPr>
            <w:tcW w:w="1251" w:type="dxa"/>
            <w:tcBorders>
              <w:top w:val="single" w:sz="8" w:space="0" w:color="000000"/>
              <w:left w:val="nil"/>
              <w:bottom w:val="single" w:sz="8" w:space="0" w:color="000000"/>
              <w:right w:val="nil"/>
            </w:tcBorders>
            <w:vAlign w:val="center"/>
          </w:tcPr>
          <w:p w:rsidR="0054300F" w:rsidRDefault="00D820F4">
            <w:pPr>
              <w:spacing w:after="0"/>
            </w:pPr>
            <w:r>
              <w:rPr>
                <w:rFonts w:ascii="Arial" w:eastAsia="Arial" w:hAnsi="Arial" w:cs="Arial"/>
                <w:sz w:val="18"/>
              </w:rPr>
              <w:t xml:space="preserve">42,975 </w:t>
            </w:r>
          </w:p>
        </w:tc>
        <w:tc>
          <w:tcPr>
            <w:tcW w:w="1718" w:type="dxa"/>
            <w:gridSpan w:val="2"/>
            <w:tcBorders>
              <w:top w:val="single" w:sz="8" w:space="0" w:color="000000"/>
              <w:left w:val="nil"/>
              <w:bottom w:val="single" w:sz="8" w:space="0" w:color="000000"/>
              <w:right w:val="nil"/>
            </w:tcBorders>
            <w:vAlign w:val="center"/>
          </w:tcPr>
          <w:p w:rsidR="0054300F" w:rsidRDefault="00D820F4">
            <w:pPr>
              <w:spacing w:after="0"/>
              <w:ind w:right="74"/>
              <w:jc w:val="center"/>
            </w:pPr>
            <w:r>
              <w:rPr>
                <w:rFonts w:ascii="Arial" w:eastAsia="Arial" w:hAnsi="Arial" w:cs="Arial"/>
                <w:sz w:val="18"/>
              </w:rPr>
              <w:t xml:space="preserve">60,776 </w:t>
            </w:r>
          </w:p>
        </w:tc>
      </w:tr>
      <w:tr w:rsidR="0054300F">
        <w:trPr>
          <w:trHeight w:val="854"/>
        </w:trPr>
        <w:tc>
          <w:tcPr>
            <w:tcW w:w="2138" w:type="dxa"/>
            <w:gridSpan w:val="2"/>
            <w:tcBorders>
              <w:top w:val="single" w:sz="8" w:space="0" w:color="000000"/>
              <w:left w:val="nil"/>
              <w:bottom w:val="single" w:sz="12" w:space="0" w:color="A7A8A8"/>
              <w:right w:val="nil"/>
            </w:tcBorders>
          </w:tcPr>
          <w:p w:rsidR="0054300F" w:rsidRDefault="00D820F4">
            <w:pPr>
              <w:spacing w:after="0"/>
              <w:ind w:left="122" w:right="417"/>
            </w:pPr>
            <w:r>
              <w:rPr>
                <w:rFonts w:ascii="Arial" w:eastAsia="Arial" w:hAnsi="Arial" w:cs="Arial"/>
                <w:sz w:val="18"/>
              </w:rPr>
              <w:t xml:space="preserve">Ingresos propios (% de los ingresos operativos) </w:t>
            </w:r>
          </w:p>
        </w:tc>
        <w:tc>
          <w:tcPr>
            <w:tcW w:w="1421" w:type="dxa"/>
            <w:gridSpan w:val="2"/>
            <w:tcBorders>
              <w:top w:val="single" w:sz="8" w:space="0" w:color="000000"/>
              <w:left w:val="nil"/>
              <w:bottom w:val="single" w:sz="12" w:space="0" w:color="A7A8A8"/>
              <w:right w:val="nil"/>
            </w:tcBorders>
            <w:vAlign w:val="center"/>
          </w:tcPr>
          <w:p w:rsidR="0054300F" w:rsidRDefault="00D820F4">
            <w:pPr>
              <w:spacing w:after="0"/>
              <w:ind w:left="151"/>
            </w:pPr>
            <w:r>
              <w:rPr>
                <w:rFonts w:ascii="Arial" w:eastAsia="Arial" w:hAnsi="Arial" w:cs="Arial"/>
                <w:sz w:val="18"/>
              </w:rPr>
              <w:t xml:space="preserve">8.1 </w:t>
            </w:r>
          </w:p>
        </w:tc>
        <w:tc>
          <w:tcPr>
            <w:tcW w:w="3062" w:type="dxa"/>
            <w:gridSpan w:val="4"/>
            <w:tcBorders>
              <w:top w:val="single" w:sz="8" w:space="0" w:color="000000"/>
              <w:left w:val="nil"/>
              <w:bottom w:val="single" w:sz="12" w:space="0" w:color="A7A8A8"/>
              <w:right w:val="nil"/>
            </w:tcBorders>
            <w:vAlign w:val="center"/>
          </w:tcPr>
          <w:p w:rsidR="0054300F" w:rsidRDefault="00D820F4">
            <w:pPr>
              <w:tabs>
                <w:tab w:val="center" w:pos="1770"/>
              </w:tabs>
              <w:spacing w:after="0"/>
            </w:pPr>
            <w:r>
              <w:rPr>
                <w:rFonts w:ascii="Arial" w:eastAsia="Arial" w:hAnsi="Arial" w:cs="Arial"/>
                <w:sz w:val="18"/>
              </w:rPr>
              <w:t xml:space="preserve">21.8 </w:t>
            </w:r>
            <w:r>
              <w:rPr>
                <w:rFonts w:ascii="Arial" w:eastAsia="Arial" w:hAnsi="Arial" w:cs="Arial"/>
                <w:sz w:val="18"/>
              </w:rPr>
              <w:tab/>
              <w:t xml:space="preserve">7.5 </w:t>
            </w:r>
          </w:p>
        </w:tc>
        <w:tc>
          <w:tcPr>
            <w:tcW w:w="1251" w:type="dxa"/>
            <w:tcBorders>
              <w:top w:val="single" w:sz="8" w:space="0" w:color="000000"/>
              <w:left w:val="nil"/>
              <w:bottom w:val="single" w:sz="12" w:space="0" w:color="A7A8A8"/>
              <w:right w:val="nil"/>
            </w:tcBorders>
            <w:vAlign w:val="center"/>
          </w:tcPr>
          <w:p w:rsidR="0054300F" w:rsidRDefault="00D820F4">
            <w:pPr>
              <w:spacing w:after="0"/>
              <w:ind w:left="149"/>
            </w:pPr>
            <w:r>
              <w:rPr>
                <w:rFonts w:ascii="Arial" w:eastAsia="Arial" w:hAnsi="Arial" w:cs="Arial"/>
                <w:sz w:val="18"/>
              </w:rPr>
              <w:t xml:space="preserve">5.5 </w:t>
            </w:r>
          </w:p>
        </w:tc>
        <w:tc>
          <w:tcPr>
            <w:tcW w:w="1718" w:type="dxa"/>
            <w:gridSpan w:val="2"/>
            <w:tcBorders>
              <w:top w:val="single" w:sz="8" w:space="0" w:color="000000"/>
              <w:left w:val="nil"/>
              <w:bottom w:val="single" w:sz="12" w:space="0" w:color="A7A8A8"/>
              <w:right w:val="nil"/>
            </w:tcBorders>
            <w:vAlign w:val="center"/>
          </w:tcPr>
          <w:p w:rsidR="0054300F" w:rsidRDefault="00D820F4">
            <w:pPr>
              <w:spacing w:after="0"/>
              <w:ind w:right="75"/>
              <w:jc w:val="center"/>
            </w:pPr>
            <w:r>
              <w:rPr>
                <w:rFonts w:ascii="Arial" w:eastAsia="Arial" w:hAnsi="Arial" w:cs="Arial"/>
                <w:sz w:val="18"/>
              </w:rPr>
              <w:t xml:space="preserve">3.7 </w:t>
            </w:r>
          </w:p>
        </w:tc>
      </w:tr>
      <w:tr w:rsidR="0054300F">
        <w:trPr>
          <w:trHeight w:val="300"/>
        </w:trPr>
        <w:tc>
          <w:tcPr>
            <w:tcW w:w="3348" w:type="dxa"/>
            <w:gridSpan w:val="3"/>
            <w:tcBorders>
              <w:top w:val="single" w:sz="12" w:space="0" w:color="A7A8A8"/>
              <w:left w:val="nil"/>
              <w:bottom w:val="single" w:sz="12" w:space="0" w:color="A7A8A8"/>
              <w:right w:val="nil"/>
            </w:tcBorders>
          </w:tcPr>
          <w:p w:rsidR="0054300F" w:rsidRDefault="00D820F4">
            <w:pPr>
              <w:spacing w:after="0"/>
              <w:ind w:left="108"/>
            </w:pPr>
            <w:r>
              <w:rPr>
                <w:rFonts w:ascii="Arial" w:eastAsia="Arial" w:hAnsi="Arial" w:cs="Arial"/>
                <w:color w:val="E21737"/>
                <w:sz w:val="18"/>
              </w:rPr>
              <w:t>ESTADO DE OAXACA</w:t>
            </w:r>
            <w:r>
              <w:rPr>
                <w:rFonts w:ascii="Arial" w:eastAsia="Arial" w:hAnsi="Arial" w:cs="Arial"/>
                <w:b/>
                <w:sz w:val="18"/>
              </w:rPr>
              <w:t xml:space="preserve"> </w:t>
            </w:r>
          </w:p>
        </w:tc>
        <w:tc>
          <w:tcPr>
            <w:tcW w:w="1680" w:type="dxa"/>
            <w:gridSpan w:val="2"/>
            <w:tcBorders>
              <w:top w:val="single" w:sz="12" w:space="0" w:color="A7A8A8"/>
              <w:left w:val="nil"/>
              <w:bottom w:val="single" w:sz="12" w:space="0" w:color="A7A8A8"/>
              <w:right w:val="nil"/>
            </w:tcBorders>
          </w:tcPr>
          <w:p w:rsidR="0054300F" w:rsidRDefault="0054300F"/>
        </w:tc>
        <w:tc>
          <w:tcPr>
            <w:tcW w:w="1562" w:type="dxa"/>
            <w:gridSpan w:val="2"/>
            <w:tcBorders>
              <w:top w:val="single" w:sz="12" w:space="0" w:color="A7A8A8"/>
              <w:left w:val="nil"/>
              <w:bottom w:val="single" w:sz="12" w:space="0" w:color="A7A8A8"/>
              <w:right w:val="nil"/>
            </w:tcBorders>
          </w:tcPr>
          <w:p w:rsidR="0054300F" w:rsidRDefault="0054300F"/>
        </w:tc>
        <w:tc>
          <w:tcPr>
            <w:tcW w:w="1685" w:type="dxa"/>
            <w:gridSpan w:val="3"/>
            <w:tcBorders>
              <w:top w:val="single" w:sz="12" w:space="0" w:color="A7A8A8"/>
              <w:left w:val="nil"/>
              <w:bottom w:val="single" w:sz="12" w:space="0" w:color="A7A8A8"/>
              <w:right w:val="nil"/>
            </w:tcBorders>
          </w:tcPr>
          <w:p w:rsidR="0054300F" w:rsidRDefault="0054300F"/>
        </w:tc>
        <w:tc>
          <w:tcPr>
            <w:tcW w:w="1315" w:type="dxa"/>
            <w:tcBorders>
              <w:top w:val="single" w:sz="12" w:space="0" w:color="A7A8A8"/>
              <w:left w:val="nil"/>
              <w:bottom w:val="single" w:sz="12" w:space="0" w:color="A7A8A8"/>
              <w:right w:val="nil"/>
            </w:tcBorders>
          </w:tcPr>
          <w:p w:rsidR="0054300F" w:rsidRDefault="0054300F"/>
        </w:tc>
      </w:tr>
      <w:tr w:rsidR="0054300F">
        <w:trPr>
          <w:trHeight w:val="626"/>
        </w:trPr>
        <w:tc>
          <w:tcPr>
            <w:tcW w:w="2006" w:type="dxa"/>
            <w:tcBorders>
              <w:top w:val="single" w:sz="12" w:space="0" w:color="A7A8A8"/>
              <w:left w:val="nil"/>
              <w:bottom w:val="single" w:sz="8" w:space="0" w:color="000000"/>
              <w:right w:val="nil"/>
            </w:tcBorders>
            <w:vAlign w:val="center"/>
          </w:tcPr>
          <w:p w:rsidR="0054300F" w:rsidRDefault="00D820F4">
            <w:pPr>
              <w:spacing w:after="0"/>
              <w:ind w:left="108"/>
            </w:pPr>
            <w:r>
              <w:rPr>
                <w:rFonts w:ascii="Arial" w:eastAsia="Arial" w:hAnsi="Arial" w:cs="Arial"/>
                <w:b/>
                <w:sz w:val="18"/>
              </w:rPr>
              <w:t xml:space="preserve">Indicador </w:t>
            </w:r>
          </w:p>
        </w:tc>
        <w:tc>
          <w:tcPr>
            <w:tcW w:w="1342" w:type="dxa"/>
            <w:gridSpan w:val="2"/>
            <w:tcBorders>
              <w:top w:val="single" w:sz="12" w:space="0" w:color="A7A8A8"/>
              <w:left w:val="nil"/>
              <w:bottom w:val="single" w:sz="8" w:space="0" w:color="000000"/>
              <w:right w:val="nil"/>
            </w:tcBorders>
          </w:tcPr>
          <w:p w:rsidR="0054300F" w:rsidRDefault="00D820F4">
            <w:pPr>
              <w:spacing w:after="0"/>
              <w:ind w:left="98" w:hanging="98"/>
            </w:pPr>
            <w:hyperlink r:id="rId28">
              <w:r>
                <w:rPr>
                  <w:rFonts w:ascii="Arial" w:eastAsia="Arial" w:hAnsi="Arial" w:cs="Arial"/>
                  <w:color w:val="0000FF"/>
                  <w:sz w:val="18"/>
                  <w:u w:val="single" w:color="0000FF"/>
                </w:rPr>
                <w:t>Estado de</w:t>
              </w:r>
            </w:hyperlink>
            <w:hyperlink r:id="rId29">
              <w:r>
                <w:rPr>
                  <w:rFonts w:ascii="Arial" w:eastAsia="Arial" w:hAnsi="Arial" w:cs="Arial"/>
                  <w:color w:val="0000FF"/>
                  <w:sz w:val="18"/>
                </w:rPr>
                <w:t xml:space="preserve"> </w:t>
              </w:r>
            </w:hyperlink>
            <w:hyperlink r:id="rId30">
              <w:r>
                <w:rPr>
                  <w:rFonts w:ascii="Arial" w:eastAsia="Arial" w:hAnsi="Arial" w:cs="Arial"/>
                  <w:color w:val="0000FF"/>
                  <w:sz w:val="18"/>
                  <w:u w:val="single" w:color="0000FF"/>
                </w:rPr>
                <w:t>O</w:t>
              </w:r>
              <w:r>
                <w:rPr>
                  <w:rFonts w:ascii="Arial" w:eastAsia="Arial" w:hAnsi="Arial" w:cs="Arial"/>
                  <w:color w:val="0000FF"/>
                  <w:sz w:val="18"/>
                  <w:u w:val="single" w:color="0000FF"/>
                </w:rPr>
                <w:t>axaca</w:t>
              </w:r>
            </w:hyperlink>
            <w:hyperlink r:id="rId31">
              <w:r>
                <w:rPr>
                  <w:rFonts w:ascii="Arial" w:eastAsia="Arial" w:hAnsi="Arial" w:cs="Arial"/>
                  <w:b/>
                  <w:sz w:val="18"/>
                </w:rPr>
                <w:t xml:space="preserve"> </w:t>
              </w:r>
            </w:hyperlink>
          </w:p>
        </w:tc>
        <w:tc>
          <w:tcPr>
            <w:tcW w:w="1680" w:type="dxa"/>
            <w:gridSpan w:val="2"/>
            <w:tcBorders>
              <w:top w:val="single" w:sz="12" w:space="0" w:color="A7A8A8"/>
              <w:left w:val="nil"/>
              <w:bottom w:val="single" w:sz="8" w:space="0" w:color="000000"/>
              <w:right w:val="nil"/>
            </w:tcBorders>
            <w:vAlign w:val="center"/>
          </w:tcPr>
          <w:p w:rsidR="0054300F" w:rsidRDefault="00D820F4">
            <w:pPr>
              <w:spacing w:after="0"/>
            </w:pPr>
            <w:hyperlink r:id="rId32">
              <w:r>
                <w:rPr>
                  <w:rFonts w:ascii="Arial" w:eastAsia="Arial" w:hAnsi="Arial" w:cs="Arial"/>
                  <w:color w:val="0000FF"/>
                  <w:sz w:val="18"/>
                  <w:u w:val="single" w:color="0000FF"/>
                </w:rPr>
                <w:t>Nuevo León</w:t>
              </w:r>
            </w:hyperlink>
            <w:hyperlink r:id="rId33">
              <w:r>
                <w:rPr>
                  <w:rFonts w:ascii="Arial" w:eastAsia="Arial" w:hAnsi="Arial" w:cs="Arial"/>
                  <w:b/>
                  <w:sz w:val="18"/>
                </w:rPr>
                <w:t xml:space="preserve"> </w:t>
              </w:r>
            </w:hyperlink>
          </w:p>
        </w:tc>
        <w:tc>
          <w:tcPr>
            <w:tcW w:w="1562" w:type="dxa"/>
            <w:gridSpan w:val="2"/>
            <w:tcBorders>
              <w:top w:val="single" w:sz="12" w:space="0" w:color="A7A8A8"/>
              <w:left w:val="nil"/>
              <w:bottom w:val="single" w:sz="8" w:space="0" w:color="000000"/>
              <w:right w:val="nil"/>
            </w:tcBorders>
            <w:vAlign w:val="center"/>
          </w:tcPr>
          <w:p w:rsidR="0054300F" w:rsidRDefault="00D820F4">
            <w:pPr>
              <w:spacing w:after="0"/>
            </w:pPr>
            <w:hyperlink r:id="rId34">
              <w:r>
                <w:rPr>
                  <w:rFonts w:ascii="Arial" w:eastAsia="Arial" w:hAnsi="Arial" w:cs="Arial"/>
                  <w:color w:val="0000FF"/>
                  <w:sz w:val="18"/>
                  <w:u w:val="single" w:color="0000FF"/>
                </w:rPr>
                <w:t>Sinaloa</w:t>
              </w:r>
            </w:hyperlink>
            <w:hyperlink r:id="rId35">
              <w:r>
                <w:rPr>
                  <w:rFonts w:ascii="Arial" w:eastAsia="Arial" w:hAnsi="Arial" w:cs="Arial"/>
                  <w:b/>
                  <w:sz w:val="18"/>
                </w:rPr>
                <w:t xml:space="preserve"> </w:t>
              </w:r>
            </w:hyperlink>
          </w:p>
        </w:tc>
        <w:tc>
          <w:tcPr>
            <w:tcW w:w="1685" w:type="dxa"/>
            <w:gridSpan w:val="3"/>
            <w:tcBorders>
              <w:top w:val="single" w:sz="12" w:space="0" w:color="A7A8A8"/>
              <w:left w:val="nil"/>
              <w:bottom w:val="single" w:sz="8" w:space="0" w:color="000000"/>
              <w:right w:val="nil"/>
            </w:tcBorders>
            <w:vAlign w:val="center"/>
          </w:tcPr>
          <w:p w:rsidR="0054300F" w:rsidRDefault="00D820F4">
            <w:pPr>
              <w:spacing w:after="0"/>
            </w:pPr>
            <w:hyperlink r:id="rId36">
              <w:r>
                <w:rPr>
                  <w:rFonts w:ascii="Arial" w:eastAsia="Arial" w:hAnsi="Arial" w:cs="Arial"/>
                  <w:color w:val="0000FF"/>
                  <w:sz w:val="18"/>
                  <w:u w:val="single" w:color="0000FF"/>
                </w:rPr>
                <w:t>Hidalgo</w:t>
              </w:r>
            </w:hyperlink>
            <w:hyperlink r:id="rId37">
              <w:r>
                <w:rPr>
                  <w:rFonts w:ascii="Arial" w:eastAsia="Arial" w:hAnsi="Arial" w:cs="Arial"/>
                  <w:b/>
                  <w:sz w:val="18"/>
                </w:rPr>
                <w:t xml:space="preserve"> </w:t>
              </w:r>
            </w:hyperlink>
          </w:p>
        </w:tc>
        <w:tc>
          <w:tcPr>
            <w:tcW w:w="1315" w:type="dxa"/>
            <w:tcBorders>
              <w:top w:val="single" w:sz="12" w:space="0" w:color="A7A8A8"/>
              <w:left w:val="nil"/>
              <w:bottom w:val="single" w:sz="8" w:space="0" w:color="000000"/>
              <w:right w:val="nil"/>
            </w:tcBorders>
            <w:vAlign w:val="center"/>
          </w:tcPr>
          <w:p w:rsidR="0054300F" w:rsidRDefault="00D820F4">
            <w:pPr>
              <w:spacing w:after="0"/>
            </w:pPr>
            <w:hyperlink r:id="rId38">
              <w:r>
                <w:rPr>
                  <w:rFonts w:ascii="Arial" w:eastAsia="Arial" w:hAnsi="Arial" w:cs="Arial"/>
                  <w:color w:val="0000FF"/>
                  <w:sz w:val="18"/>
                  <w:u w:val="single" w:color="0000FF"/>
                </w:rPr>
                <w:t>Guerrero</w:t>
              </w:r>
            </w:hyperlink>
            <w:hyperlink r:id="rId39">
              <w:r>
                <w:rPr>
                  <w:rFonts w:ascii="Arial" w:eastAsia="Arial" w:hAnsi="Arial" w:cs="Arial"/>
                  <w:b/>
                  <w:sz w:val="18"/>
                </w:rPr>
                <w:t xml:space="preserve"> </w:t>
              </w:r>
            </w:hyperlink>
          </w:p>
        </w:tc>
      </w:tr>
      <w:tr w:rsidR="0054300F">
        <w:trPr>
          <w:trHeight w:val="641"/>
        </w:trPr>
        <w:tc>
          <w:tcPr>
            <w:tcW w:w="2006" w:type="dxa"/>
            <w:tcBorders>
              <w:top w:val="single" w:sz="8" w:space="0" w:color="000000"/>
              <w:left w:val="nil"/>
              <w:bottom w:val="single" w:sz="8" w:space="0" w:color="000000"/>
              <w:right w:val="nil"/>
            </w:tcBorders>
          </w:tcPr>
          <w:p w:rsidR="0054300F" w:rsidRDefault="00D820F4">
            <w:pPr>
              <w:spacing w:after="0"/>
              <w:ind w:left="108" w:right="118"/>
            </w:pPr>
            <w:r>
              <w:rPr>
                <w:rFonts w:ascii="Arial" w:eastAsia="Arial" w:hAnsi="Arial" w:cs="Arial"/>
                <w:sz w:val="18"/>
              </w:rPr>
              <w:t xml:space="preserve">Deuda directa al cierre del año (MXN, mil.) </w:t>
            </w:r>
          </w:p>
        </w:tc>
        <w:tc>
          <w:tcPr>
            <w:tcW w:w="1342" w:type="dxa"/>
            <w:gridSpan w:val="2"/>
            <w:tcBorders>
              <w:top w:val="single" w:sz="8" w:space="0" w:color="000000"/>
              <w:left w:val="nil"/>
              <w:bottom w:val="single" w:sz="8" w:space="0" w:color="000000"/>
              <w:right w:val="nil"/>
            </w:tcBorders>
            <w:vAlign w:val="center"/>
          </w:tcPr>
          <w:p w:rsidR="0054300F" w:rsidRDefault="00D820F4">
            <w:pPr>
              <w:spacing w:after="0"/>
              <w:ind w:left="132"/>
            </w:pPr>
            <w:r>
              <w:rPr>
                <w:rFonts w:ascii="Arial" w:eastAsia="Arial" w:hAnsi="Arial" w:cs="Arial"/>
                <w:sz w:val="18"/>
              </w:rPr>
              <w:t xml:space="preserve">11,688 </w:t>
            </w:r>
          </w:p>
        </w:tc>
        <w:tc>
          <w:tcPr>
            <w:tcW w:w="1680" w:type="dxa"/>
            <w:gridSpan w:val="2"/>
            <w:tcBorders>
              <w:top w:val="single" w:sz="8" w:space="0" w:color="000000"/>
              <w:left w:val="nil"/>
              <w:bottom w:val="single" w:sz="8" w:space="0" w:color="000000"/>
              <w:right w:val="nil"/>
            </w:tcBorders>
            <w:vAlign w:val="center"/>
          </w:tcPr>
          <w:p w:rsidR="0054300F" w:rsidRDefault="00D820F4">
            <w:pPr>
              <w:spacing w:after="0"/>
              <w:ind w:left="211"/>
            </w:pPr>
            <w:r>
              <w:rPr>
                <w:rFonts w:ascii="Arial" w:eastAsia="Arial" w:hAnsi="Arial" w:cs="Arial"/>
                <w:sz w:val="18"/>
              </w:rPr>
              <w:t xml:space="preserve">37,938 </w:t>
            </w:r>
          </w:p>
        </w:tc>
        <w:tc>
          <w:tcPr>
            <w:tcW w:w="1562" w:type="dxa"/>
            <w:gridSpan w:val="2"/>
            <w:tcBorders>
              <w:top w:val="single" w:sz="8" w:space="0" w:color="000000"/>
              <w:left w:val="nil"/>
              <w:bottom w:val="single" w:sz="8" w:space="0" w:color="000000"/>
              <w:right w:val="nil"/>
            </w:tcBorders>
            <w:vAlign w:val="center"/>
          </w:tcPr>
          <w:p w:rsidR="0054300F" w:rsidRDefault="00D820F4">
            <w:pPr>
              <w:spacing w:after="0"/>
              <w:ind w:left="74"/>
            </w:pPr>
            <w:r>
              <w:rPr>
                <w:rFonts w:ascii="Arial" w:eastAsia="Arial" w:hAnsi="Arial" w:cs="Arial"/>
                <w:sz w:val="18"/>
              </w:rPr>
              <w:t xml:space="preserve">4,642 </w:t>
            </w:r>
          </w:p>
        </w:tc>
        <w:tc>
          <w:tcPr>
            <w:tcW w:w="1685" w:type="dxa"/>
            <w:gridSpan w:val="3"/>
            <w:tcBorders>
              <w:top w:val="single" w:sz="8" w:space="0" w:color="000000"/>
              <w:left w:val="nil"/>
              <w:bottom w:val="single" w:sz="8" w:space="0" w:color="000000"/>
              <w:right w:val="nil"/>
            </w:tcBorders>
            <w:vAlign w:val="center"/>
          </w:tcPr>
          <w:p w:rsidR="0054300F" w:rsidRDefault="00D820F4">
            <w:pPr>
              <w:spacing w:after="0"/>
              <w:ind w:left="79"/>
            </w:pPr>
            <w:r>
              <w:rPr>
                <w:rFonts w:ascii="Arial" w:eastAsia="Arial" w:hAnsi="Arial" w:cs="Arial"/>
                <w:sz w:val="18"/>
              </w:rPr>
              <w:t xml:space="preserve">6,148 </w:t>
            </w:r>
          </w:p>
        </w:tc>
        <w:tc>
          <w:tcPr>
            <w:tcW w:w="1315" w:type="dxa"/>
            <w:tcBorders>
              <w:top w:val="single" w:sz="8" w:space="0" w:color="000000"/>
              <w:left w:val="nil"/>
              <w:bottom w:val="single" w:sz="8" w:space="0" w:color="000000"/>
              <w:right w:val="nil"/>
            </w:tcBorders>
            <w:vAlign w:val="center"/>
          </w:tcPr>
          <w:p w:rsidR="0054300F" w:rsidRDefault="00D820F4">
            <w:pPr>
              <w:spacing w:after="0"/>
              <w:ind w:left="134"/>
            </w:pPr>
            <w:r>
              <w:rPr>
                <w:rFonts w:ascii="Arial" w:eastAsia="Arial" w:hAnsi="Arial" w:cs="Arial"/>
                <w:sz w:val="18"/>
              </w:rPr>
              <w:t xml:space="preserve">4,824 </w:t>
            </w:r>
          </w:p>
        </w:tc>
      </w:tr>
      <w:tr w:rsidR="0054300F">
        <w:trPr>
          <w:trHeight w:val="641"/>
        </w:trPr>
        <w:tc>
          <w:tcPr>
            <w:tcW w:w="2006" w:type="dxa"/>
            <w:tcBorders>
              <w:top w:val="single" w:sz="8" w:space="0" w:color="000000"/>
              <w:left w:val="nil"/>
              <w:bottom w:val="single" w:sz="8" w:space="0" w:color="000000"/>
              <w:right w:val="nil"/>
            </w:tcBorders>
          </w:tcPr>
          <w:p w:rsidR="0054300F" w:rsidRDefault="00D820F4">
            <w:pPr>
              <w:spacing w:after="0"/>
              <w:ind w:left="108" w:right="126"/>
            </w:pPr>
            <w:r>
              <w:rPr>
                <w:rFonts w:ascii="Arial" w:eastAsia="Arial" w:hAnsi="Arial" w:cs="Arial"/>
                <w:sz w:val="18"/>
              </w:rPr>
              <w:t xml:space="preserve">Deuda directa (% de los ingresos operativos) </w:t>
            </w:r>
          </w:p>
        </w:tc>
        <w:tc>
          <w:tcPr>
            <w:tcW w:w="1342" w:type="dxa"/>
            <w:gridSpan w:val="2"/>
            <w:tcBorders>
              <w:top w:val="single" w:sz="8" w:space="0" w:color="000000"/>
              <w:left w:val="nil"/>
              <w:bottom w:val="single" w:sz="8" w:space="0" w:color="000000"/>
              <w:right w:val="nil"/>
            </w:tcBorders>
            <w:vAlign w:val="center"/>
          </w:tcPr>
          <w:p w:rsidR="0054300F" w:rsidRDefault="00D820F4">
            <w:pPr>
              <w:spacing w:after="0"/>
              <w:ind w:left="233"/>
            </w:pPr>
            <w:r>
              <w:rPr>
                <w:rFonts w:ascii="Arial" w:eastAsia="Arial" w:hAnsi="Arial" w:cs="Arial"/>
                <w:sz w:val="18"/>
              </w:rPr>
              <w:t xml:space="preserve">20.3 </w:t>
            </w:r>
          </w:p>
        </w:tc>
        <w:tc>
          <w:tcPr>
            <w:tcW w:w="1680" w:type="dxa"/>
            <w:gridSpan w:val="2"/>
            <w:tcBorders>
              <w:top w:val="single" w:sz="8" w:space="0" w:color="000000"/>
              <w:left w:val="nil"/>
              <w:bottom w:val="single" w:sz="8" w:space="0" w:color="000000"/>
              <w:right w:val="nil"/>
            </w:tcBorders>
            <w:vAlign w:val="center"/>
          </w:tcPr>
          <w:p w:rsidR="0054300F" w:rsidRDefault="00D820F4">
            <w:pPr>
              <w:spacing w:after="0"/>
              <w:ind w:left="312"/>
            </w:pPr>
            <w:r>
              <w:rPr>
                <w:rFonts w:ascii="Arial" w:eastAsia="Arial" w:hAnsi="Arial" w:cs="Arial"/>
                <w:sz w:val="18"/>
              </w:rPr>
              <w:t xml:space="preserve">52.9 </w:t>
            </w:r>
          </w:p>
        </w:tc>
        <w:tc>
          <w:tcPr>
            <w:tcW w:w="1562" w:type="dxa"/>
            <w:gridSpan w:val="2"/>
            <w:tcBorders>
              <w:top w:val="single" w:sz="8" w:space="0" w:color="000000"/>
              <w:left w:val="nil"/>
              <w:bottom w:val="single" w:sz="8" w:space="0" w:color="000000"/>
              <w:right w:val="nil"/>
            </w:tcBorders>
            <w:vAlign w:val="center"/>
          </w:tcPr>
          <w:p w:rsidR="0054300F" w:rsidRDefault="00D820F4">
            <w:pPr>
              <w:spacing w:after="0"/>
              <w:ind w:left="125"/>
            </w:pPr>
            <w:r>
              <w:rPr>
                <w:rFonts w:ascii="Arial" w:eastAsia="Arial" w:hAnsi="Arial" w:cs="Arial"/>
                <w:sz w:val="18"/>
              </w:rPr>
              <w:t xml:space="preserve">10.3 </w:t>
            </w:r>
          </w:p>
        </w:tc>
        <w:tc>
          <w:tcPr>
            <w:tcW w:w="1685" w:type="dxa"/>
            <w:gridSpan w:val="3"/>
            <w:tcBorders>
              <w:top w:val="single" w:sz="8" w:space="0" w:color="000000"/>
              <w:left w:val="nil"/>
              <w:bottom w:val="single" w:sz="8" w:space="0" w:color="000000"/>
              <w:right w:val="nil"/>
            </w:tcBorders>
            <w:vAlign w:val="center"/>
          </w:tcPr>
          <w:p w:rsidR="0054300F" w:rsidRDefault="00D820F4">
            <w:pPr>
              <w:spacing w:after="0"/>
              <w:ind w:left="130"/>
            </w:pPr>
            <w:r>
              <w:rPr>
                <w:rFonts w:ascii="Arial" w:eastAsia="Arial" w:hAnsi="Arial" w:cs="Arial"/>
                <w:sz w:val="18"/>
              </w:rPr>
              <w:t xml:space="preserve">14.9 </w:t>
            </w:r>
          </w:p>
        </w:tc>
        <w:tc>
          <w:tcPr>
            <w:tcW w:w="1315" w:type="dxa"/>
            <w:tcBorders>
              <w:top w:val="single" w:sz="8" w:space="0" w:color="000000"/>
              <w:left w:val="nil"/>
              <w:bottom w:val="single" w:sz="8" w:space="0" w:color="000000"/>
              <w:right w:val="nil"/>
            </w:tcBorders>
            <w:vAlign w:val="center"/>
          </w:tcPr>
          <w:p w:rsidR="0054300F" w:rsidRDefault="00D820F4">
            <w:pPr>
              <w:spacing w:after="0"/>
              <w:ind w:left="236"/>
            </w:pPr>
            <w:r>
              <w:rPr>
                <w:rFonts w:ascii="Arial" w:eastAsia="Arial" w:hAnsi="Arial" w:cs="Arial"/>
                <w:sz w:val="18"/>
              </w:rPr>
              <w:t xml:space="preserve">8.1 </w:t>
            </w:r>
          </w:p>
        </w:tc>
      </w:tr>
      <w:tr w:rsidR="0054300F">
        <w:trPr>
          <w:trHeight w:val="847"/>
        </w:trPr>
        <w:tc>
          <w:tcPr>
            <w:tcW w:w="2006" w:type="dxa"/>
            <w:tcBorders>
              <w:top w:val="single" w:sz="8" w:space="0" w:color="000000"/>
              <w:left w:val="nil"/>
              <w:bottom w:val="single" w:sz="8" w:space="0" w:color="000000"/>
              <w:right w:val="nil"/>
            </w:tcBorders>
          </w:tcPr>
          <w:p w:rsidR="0054300F" w:rsidRDefault="00D820F4">
            <w:pPr>
              <w:spacing w:after="0"/>
              <w:ind w:left="108" w:right="144"/>
            </w:pPr>
            <w:r>
              <w:rPr>
                <w:rFonts w:ascii="Arial" w:eastAsia="Arial" w:hAnsi="Arial" w:cs="Arial"/>
                <w:sz w:val="18"/>
              </w:rPr>
              <w:t xml:space="preserve">Servicio de la deuda (% de los ingresos operativos) </w:t>
            </w:r>
          </w:p>
        </w:tc>
        <w:tc>
          <w:tcPr>
            <w:tcW w:w="1342" w:type="dxa"/>
            <w:gridSpan w:val="2"/>
            <w:tcBorders>
              <w:top w:val="single" w:sz="8" w:space="0" w:color="000000"/>
              <w:left w:val="nil"/>
              <w:bottom w:val="single" w:sz="8" w:space="0" w:color="000000"/>
              <w:right w:val="nil"/>
            </w:tcBorders>
            <w:vAlign w:val="center"/>
          </w:tcPr>
          <w:p w:rsidR="0054300F" w:rsidRDefault="00D820F4">
            <w:pPr>
              <w:spacing w:after="0"/>
              <w:ind w:left="233"/>
            </w:pPr>
            <w:r>
              <w:rPr>
                <w:rFonts w:ascii="Arial" w:eastAsia="Arial" w:hAnsi="Arial" w:cs="Arial"/>
                <w:sz w:val="18"/>
              </w:rPr>
              <w:t xml:space="preserve">12.5 </w:t>
            </w:r>
          </w:p>
        </w:tc>
        <w:tc>
          <w:tcPr>
            <w:tcW w:w="1680" w:type="dxa"/>
            <w:gridSpan w:val="2"/>
            <w:tcBorders>
              <w:top w:val="single" w:sz="8" w:space="0" w:color="000000"/>
              <w:left w:val="nil"/>
              <w:bottom w:val="single" w:sz="8" w:space="0" w:color="000000"/>
              <w:right w:val="nil"/>
            </w:tcBorders>
            <w:vAlign w:val="center"/>
          </w:tcPr>
          <w:p w:rsidR="0054300F" w:rsidRDefault="00D820F4">
            <w:pPr>
              <w:spacing w:after="0"/>
              <w:ind w:left="312"/>
            </w:pPr>
            <w:r>
              <w:rPr>
                <w:rFonts w:ascii="Arial" w:eastAsia="Arial" w:hAnsi="Arial" w:cs="Arial"/>
                <w:sz w:val="18"/>
              </w:rPr>
              <w:t xml:space="preserve">19.9 </w:t>
            </w:r>
          </w:p>
        </w:tc>
        <w:tc>
          <w:tcPr>
            <w:tcW w:w="1562" w:type="dxa"/>
            <w:gridSpan w:val="2"/>
            <w:tcBorders>
              <w:top w:val="single" w:sz="8" w:space="0" w:color="000000"/>
              <w:left w:val="nil"/>
              <w:bottom w:val="single" w:sz="8" w:space="0" w:color="000000"/>
              <w:right w:val="nil"/>
            </w:tcBorders>
            <w:vAlign w:val="center"/>
          </w:tcPr>
          <w:p w:rsidR="0054300F" w:rsidRDefault="00D820F4">
            <w:pPr>
              <w:spacing w:after="0"/>
              <w:ind w:left="175"/>
            </w:pPr>
            <w:r>
              <w:rPr>
                <w:rFonts w:ascii="Arial" w:eastAsia="Arial" w:hAnsi="Arial" w:cs="Arial"/>
                <w:sz w:val="18"/>
              </w:rPr>
              <w:t xml:space="preserve">7.4 </w:t>
            </w:r>
          </w:p>
        </w:tc>
        <w:tc>
          <w:tcPr>
            <w:tcW w:w="1685" w:type="dxa"/>
            <w:gridSpan w:val="3"/>
            <w:tcBorders>
              <w:top w:val="single" w:sz="8" w:space="0" w:color="000000"/>
              <w:left w:val="nil"/>
              <w:bottom w:val="single" w:sz="8" w:space="0" w:color="000000"/>
              <w:right w:val="nil"/>
            </w:tcBorders>
            <w:vAlign w:val="center"/>
          </w:tcPr>
          <w:p w:rsidR="0054300F" w:rsidRDefault="00D820F4">
            <w:pPr>
              <w:spacing w:after="0"/>
              <w:ind w:left="180"/>
            </w:pPr>
            <w:r>
              <w:rPr>
                <w:rFonts w:ascii="Arial" w:eastAsia="Arial" w:hAnsi="Arial" w:cs="Arial"/>
                <w:sz w:val="18"/>
              </w:rPr>
              <w:t xml:space="preserve">2.0 </w:t>
            </w:r>
          </w:p>
        </w:tc>
        <w:tc>
          <w:tcPr>
            <w:tcW w:w="1315" w:type="dxa"/>
            <w:tcBorders>
              <w:top w:val="single" w:sz="8" w:space="0" w:color="000000"/>
              <w:left w:val="nil"/>
              <w:bottom w:val="single" w:sz="8" w:space="0" w:color="000000"/>
              <w:right w:val="nil"/>
            </w:tcBorders>
            <w:vAlign w:val="center"/>
          </w:tcPr>
          <w:p w:rsidR="0054300F" w:rsidRDefault="00D820F4">
            <w:pPr>
              <w:spacing w:after="0"/>
              <w:ind w:left="236"/>
            </w:pPr>
            <w:r>
              <w:rPr>
                <w:rFonts w:ascii="Arial" w:eastAsia="Arial" w:hAnsi="Arial" w:cs="Arial"/>
                <w:sz w:val="18"/>
              </w:rPr>
              <w:t xml:space="preserve">0.5 </w:t>
            </w:r>
          </w:p>
        </w:tc>
      </w:tr>
    </w:tbl>
    <w:p w:rsidR="0054300F" w:rsidRDefault="00D820F4">
      <w:pPr>
        <w:spacing w:after="67" w:line="249" w:lineRule="auto"/>
        <w:ind w:left="-5" w:hanging="10"/>
      </w:pPr>
      <w:r>
        <w:rPr>
          <w:rFonts w:ascii="Arial" w:eastAsia="Arial" w:hAnsi="Arial" w:cs="Arial"/>
          <w:sz w:val="18"/>
        </w:rPr>
        <w:t>Nota importante: Los indicadores incluidos aquí son para efectos comparativos pero no incluyen la totalidad de los factores que determinan la calificación de riesgo crediticio de una entidad, los cuales también consideran aspectos económicos y de política.</w:t>
      </w:r>
      <w:r>
        <w:rPr>
          <w:rFonts w:ascii="Arial" w:eastAsia="Arial" w:hAnsi="Arial" w:cs="Arial"/>
          <w:sz w:val="18"/>
        </w:rPr>
        <w:t xml:space="preserve">  </w:t>
      </w:r>
    </w:p>
    <w:p w:rsidR="0054300F" w:rsidRDefault="00D820F4">
      <w:pPr>
        <w:spacing w:after="54" w:line="249" w:lineRule="auto"/>
        <w:ind w:left="-5" w:hanging="10"/>
      </w:pPr>
      <w:r>
        <w:rPr>
          <w:rFonts w:ascii="Arial" w:eastAsia="Arial" w:hAnsi="Arial" w:cs="Arial"/>
          <w:sz w:val="18"/>
        </w:rPr>
        <w:t xml:space="preserve">°Información actual 2014-2015 y proyecciones de acuerdo a perspectiva 2016-2018.  </w:t>
      </w:r>
    </w:p>
    <w:p w:rsidR="0054300F" w:rsidRDefault="00D820F4">
      <w:pPr>
        <w:spacing w:after="368" w:line="249" w:lineRule="auto"/>
        <w:ind w:left="-123" w:hanging="10"/>
      </w:pPr>
      <w:r>
        <w:rPr>
          <w:noProof/>
        </w:rPr>
        <w:drawing>
          <wp:inline distT="0" distB="0" distL="0" distR="0">
            <wp:extent cx="6096000" cy="231648"/>
            <wp:effectExtent l="0" t="0" r="0" b="0"/>
            <wp:docPr id="38549" name="Picture 38549"/>
            <wp:cNvGraphicFramePr/>
            <a:graphic xmlns:a="http://schemas.openxmlformats.org/drawingml/2006/main">
              <a:graphicData uri="http://schemas.openxmlformats.org/drawingml/2006/picture">
                <pic:pic xmlns:pic="http://schemas.openxmlformats.org/drawingml/2006/picture">
                  <pic:nvPicPr>
                    <pic:cNvPr id="38549" name="Picture 38549"/>
                    <pic:cNvPicPr/>
                  </pic:nvPicPr>
                  <pic:blipFill>
                    <a:blip r:embed="rId40"/>
                    <a:stretch>
                      <a:fillRect/>
                    </a:stretch>
                  </pic:blipFill>
                  <pic:spPr>
                    <a:xfrm>
                      <a:off x="0" y="0"/>
                      <a:ext cx="6096000" cy="231648"/>
                    </a:xfrm>
                    <a:prstGeom prst="rect">
                      <a:avLst/>
                    </a:prstGeom>
                  </pic:spPr>
                </pic:pic>
              </a:graphicData>
            </a:graphic>
          </wp:inline>
        </w:drawing>
      </w:r>
      <w:r>
        <w:rPr>
          <w:rFonts w:ascii="Arial" w:eastAsia="Arial" w:hAnsi="Arial" w:cs="Arial"/>
          <w:sz w:val="18"/>
        </w:rPr>
        <w:t xml:space="preserve">*Datos al cierre de 2015 </w:t>
      </w:r>
    </w:p>
    <w:p w:rsidR="0054300F" w:rsidRDefault="00D820F4">
      <w:pPr>
        <w:spacing w:after="278"/>
      </w:pPr>
      <w:r>
        <w:rPr>
          <w:rFonts w:ascii="Arial" w:eastAsia="Arial" w:hAnsi="Arial" w:cs="Arial"/>
          <w:b/>
          <w:color w:val="E2163D"/>
          <w:sz w:val="24"/>
        </w:rPr>
        <w:t xml:space="preserve"> </w:t>
      </w:r>
    </w:p>
    <w:p w:rsidR="0054300F" w:rsidRDefault="00D820F4">
      <w:pPr>
        <w:pStyle w:val="Ttulo1"/>
        <w:ind w:left="0" w:firstLine="0"/>
      </w:pPr>
      <w:r>
        <w:rPr>
          <w:b/>
        </w:rPr>
        <w:t>Estadísticas clave de soberanos</w:t>
      </w:r>
      <w:r>
        <w:t xml:space="preserve"> </w:t>
      </w:r>
    </w:p>
    <w:p w:rsidR="0054300F" w:rsidRDefault="00D820F4">
      <w:pPr>
        <w:pStyle w:val="Ttulo2"/>
        <w:spacing w:line="491" w:lineRule="auto"/>
        <w:ind w:left="-5" w:right="3854"/>
      </w:pPr>
      <w:hyperlink r:id="rId41">
        <w:r>
          <w:rPr>
            <w:b w:val="0"/>
            <w:color w:val="0000FF"/>
            <w:u w:val="single" w:color="0000FF"/>
          </w:rPr>
          <w:t>Indicadores de riesgo soberano</w:t>
        </w:r>
      </w:hyperlink>
      <w:hyperlink r:id="rId42">
        <w:r>
          <w:rPr>
            <w:b w:val="0"/>
          </w:rPr>
          <w:t>,</w:t>
        </w:r>
      </w:hyperlink>
      <w:r>
        <w:rPr>
          <w:b w:val="0"/>
        </w:rPr>
        <w:t xml:space="preserve"> 6 de julio de 2017. </w:t>
      </w:r>
      <w:r>
        <w:rPr>
          <w:b w:val="0"/>
          <w:color w:val="E2163D"/>
          <w:sz w:val="24"/>
        </w:rPr>
        <w:t>Criterios y Artículos Relacionados</w:t>
      </w:r>
      <w:r>
        <w:rPr>
          <w:b w:val="0"/>
          <w:color w:val="E2163D"/>
        </w:rPr>
        <w:t xml:space="preserve"> </w:t>
      </w:r>
    </w:p>
    <w:p w:rsidR="0054300F" w:rsidRDefault="00D820F4">
      <w:pPr>
        <w:spacing w:after="9" w:line="268" w:lineRule="auto"/>
        <w:ind w:left="-4" w:hanging="10"/>
      </w:pPr>
      <w:r>
        <w:rPr>
          <w:rFonts w:ascii="Arial" w:eastAsia="Arial" w:hAnsi="Arial" w:cs="Arial"/>
          <w:i/>
          <w:sz w:val="20"/>
        </w:rPr>
        <w:t xml:space="preserve">Criterios </w:t>
      </w:r>
    </w:p>
    <w:p w:rsidR="0054300F" w:rsidRDefault="00D820F4">
      <w:pPr>
        <w:spacing w:after="32"/>
      </w:pPr>
      <w:r>
        <w:rPr>
          <w:rFonts w:ascii="Arial" w:eastAsia="Arial" w:hAnsi="Arial" w:cs="Arial"/>
          <w:b/>
          <w:sz w:val="20"/>
        </w:rPr>
        <w:t xml:space="preserve"> </w:t>
      </w:r>
    </w:p>
    <w:p w:rsidR="0054300F" w:rsidRDefault="00D820F4">
      <w:pPr>
        <w:numPr>
          <w:ilvl w:val="0"/>
          <w:numId w:val="3"/>
        </w:numPr>
        <w:spacing w:after="5" w:line="249" w:lineRule="auto"/>
        <w:ind w:hanging="360"/>
      </w:pPr>
      <w:hyperlink r:id="rId43">
        <w:r>
          <w:rPr>
            <w:rFonts w:ascii="Arial" w:eastAsia="Arial" w:hAnsi="Arial" w:cs="Arial"/>
            <w:color w:val="0000FF"/>
            <w:sz w:val="20"/>
            <w:u w:val="single" w:color="0000FF"/>
          </w:rPr>
          <w:t>Metodología pa</w:t>
        </w:r>
        <w:r>
          <w:rPr>
            <w:rFonts w:ascii="Arial" w:eastAsia="Arial" w:hAnsi="Arial" w:cs="Arial"/>
            <w:color w:val="0000FF"/>
            <w:sz w:val="20"/>
            <w:u w:val="single" w:color="0000FF"/>
          </w:rPr>
          <w:t>ra calificar gobiernos locales y regionales no estadounidenses</w:t>
        </w:r>
      </w:hyperlink>
      <w:hyperlink r:id="rId44">
        <w:r>
          <w:rPr>
            <w:rFonts w:ascii="Arial" w:eastAsia="Arial" w:hAnsi="Arial" w:cs="Arial"/>
            <w:sz w:val="20"/>
          </w:rPr>
          <w:t>,</w:t>
        </w:r>
      </w:hyperlink>
      <w:r>
        <w:rPr>
          <w:rFonts w:ascii="Arial" w:eastAsia="Arial" w:hAnsi="Arial" w:cs="Arial"/>
          <w:sz w:val="20"/>
        </w:rPr>
        <w:t xml:space="preserve"> 30 de junio de 2014. </w:t>
      </w:r>
    </w:p>
    <w:p w:rsidR="0054300F" w:rsidRDefault="00D820F4">
      <w:pPr>
        <w:numPr>
          <w:ilvl w:val="0"/>
          <w:numId w:val="3"/>
        </w:numPr>
        <w:spacing w:after="5" w:line="249" w:lineRule="auto"/>
        <w:ind w:hanging="360"/>
      </w:pPr>
      <w:hyperlink r:id="rId45">
        <w:r>
          <w:rPr>
            <w:rFonts w:ascii="Arial" w:eastAsia="Arial" w:hAnsi="Arial" w:cs="Arial"/>
            <w:color w:val="0000FF"/>
            <w:sz w:val="20"/>
            <w:u w:val="single" w:color="0000FF"/>
          </w:rPr>
          <w:t>Calificaciones crediticias en escala nacional y regional</w:t>
        </w:r>
      </w:hyperlink>
      <w:hyperlink r:id="rId46">
        <w:r>
          <w:rPr>
            <w:rFonts w:ascii="Arial" w:eastAsia="Arial" w:hAnsi="Arial" w:cs="Arial"/>
            <w:sz w:val="20"/>
          </w:rPr>
          <w:t>,</w:t>
        </w:r>
      </w:hyperlink>
      <w:r>
        <w:rPr>
          <w:rFonts w:ascii="Arial" w:eastAsia="Arial" w:hAnsi="Arial" w:cs="Arial"/>
          <w:sz w:val="20"/>
        </w:rPr>
        <w:t xml:space="preserve"> 22 de septiembre de 2014. </w:t>
      </w:r>
    </w:p>
    <w:p w:rsidR="0054300F" w:rsidRDefault="00D820F4">
      <w:pPr>
        <w:numPr>
          <w:ilvl w:val="0"/>
          <w:numId w:val="3"/>
        </w:numPr>
        <w:spacing w:after="5" w:line="249" w:lineRule="auto"/>
        <w:ind w:hanging="360"/>
      </w:pPr>
      <w:hyperlink r:id="rId47">
        <w:r>
          <w:rPr>
            <w:rFonts w:ascii="Arial" w:eastAsia="Arial" w:hAnsi="Arial" w:cs="Arial"/>
            <w:color w:val="0000FF"/>
            <w:sz w:val="20"/>
            <w:u w:val="single" w:color="0000FF"/>
          </w:rPr>
          <w:t>Tablas de correlación de escalas nacionales y regionales de S&amp;P Global Ratings</w:t>
        </w:r>
      </w:hyperlink>
      <w:hyperlink r:id="rId48">
        <w:r>
          <w:rPr>
            <w:rFonts w:ascii="Arial" w:eastAsia="Arial" w:hAnsi="Arial" w:cs="Arial"/>
            <w:sz w:val="20"/>
          </w:rPr>
          <w:t>,</w:t>
        </w:r>
      </w:hyperlink>
      <w:r>
        <w:rPr>
          <w:rFonts w:ascii="Arial" w:eastAsia="Arial" w:hAnsi="Arial" w:cs="Arial"/>
          <w:sz w:val="20"/>
        </w:rPr>
        <w:t xml:space="preserve"> 14 de agosto de 2017. </w:t>
      </w:r>
    </w:p>
    <w:p w:rsidR="0054300F" w:rsidRDefault="00D820F4">
      <w:pPr>
        <w:numPr>
          <w:ilvl w:val="0"/>
          <w:numId w:val="3"/>
        </w:numPr>
        <w:spacing w:after="5" w:line="249" w:lineRule="auto"/>
        <w:ind w:hanging="360"/>
      </w:pPr>
      <w:hyperlink r:id="rId49">
        <w:r>
          <w:rPr>
            <w:rFonts w:ascii="Arial" w:eastAsia="Arial" w:hAnsi="Arial" w:cs="Arial"/>
            <w:color w:val="0000FF"/>
            <w:sz w:val="20"/>
            <w:u w:val="single" w:color="0000FF"/>
          </w:rPr>
          <w:t>Uso del listado de Revisión Especial (CreditWatch) y Perspectivas</w:t>
        </w:r>
      </w:hyperlink>
      <w:hyperlink r:id="rId50">
        <w:r>
          <w:rPr>
            <w:rFonts w:ascii="Arial" w:eastAsia="Arial" w:hAnsi="Arial" w:cs="Arial"/>
            <w:sz w:val="20"/>
          </w:rPr>
          <w:t>,</w:t>
        </w:r>
      </w:hyperlink>
      <w:r>
        <w:rPr>
          <w:rFonts w:ascii="Arial" w:eastAsia="Arial" w:hAnsi="Arial" w:cs="Arial"/>
          <w:sz w:val="20"/>
        </w:rPr>
        <w:t xml:space="preserve"> 14 de septiembre de 2009. </w:t>
      </w:r>
    </w:p>
    <w:p w:rsidR="0054300F" w:rsidRDefault="00D820F4">
      <w:pPr>
        <w:spacing w:after="14"/>
      </w:pPr>
      <w:r>
        <w:rPr>
          <w:rFonts w:ascii="Arial" w:eastAsia="Arial" w:hAnsi="Arial" w:cs="Arial"/>
          <w:sz w:val="20"/>
        </w:rPr>
        <w:t xml:space="preserve"> </w:t>
      </w:r>
    </w:p>
    <w:p w:rsidR="0054300F" w:rsidRDefault="00D820F4">
      <w:pPr>
        <w:spacing w:after="9" w:line="268" w:lineRule="auto"/>
        <w:ind w:left="-4" w:hanging="10"/>
      </w:pPr>
      <w:r>
        <w:rPr>
          <w:rFonts w:ascii="Arial" w:eastAsia="Arial" w:hAnsi="Arial" w:cs="Arial"/>
          <w:i/>
          <w:sz w:val="20"/>
        </w:rPr>
        <w:t xml:space="preserve">Artículos Relacionados </w:t>
      </w:r>
    </w:p>
    <w:p w:rsidR="0054300F" w:rsidRDefault="00D820F4">
      <w:pPr>
        <w:spacing w:after="32"/>
      </w:pPr>
      <w:r>
        <w:rPr>
          <w:rFonts w:ascii="Arial" w:eastAsia="Arial" w:hAnsi="Arial" w:cs="Arial"/>
          <w:b/>
          <w:sz w:val="20"/>
        </w:rPr>
        <w:lastRenderedPageBreak/>
        <w:t xml:space="preserve"> </w:t>
      </w:r>
    </w:p>
    <w:p w:rsidR="0054300F" w:rsidRDefault="00D820F4">
      <w:pPr>
        <w:numPr>
          <w:ilvl w:val="0"/>
          <w:numId w:val="3"/>
        </w:numPr>
        <w:spacing w:after="5" w:line="249" w:lineRule="auto"/>
        <w:ind w:hanging="360"/>
      </w:pPr>
      <w:hyperlink r:id="rId51">
        <w:r>
          <w:rPr>
            <w:rFonts w:ascii="Arial" w:eastAsia="Arial" w:hAnsi="Arial" w:cs="Arial"/>
            <w:color w:val="0000FF"/>
            <w:sz w:val="20"/>
            <w:u w:val="single" w:color="0000FF"/>
          </w:rPr>
          <w:t>Descripci</w:t>
        </w:r>
        <w:r>
          <w:rPr>
            <w:rFonts w:ascii="Arial" w:eastAsia="Arial" w:hAnsi="Arial" w:cs="Arial"/>
            <w:color w:val="0000FF"/>
            <w:sz w:val="20"/>
            <w:u w:val="single" w:color="0000FF"/>
          </w:rPr>
          <w:t>ón general del Proceso de Calificación Crediticia</w:t>
        </w:r>
      </w:hyperlink>
      <w:hyperlink r:id="rId52">
        <w:r>
          <w:rPr>
            <w:rFonts w:ascii="Arial" w:eastAsia="Arial" w:hAnsi="Arial" w:cs="Arial"/>
            <w:sz w:val="20"/>
          </w:rPr>
          <w:t>.</w:t>
        </w:r>
      </w:hyperlink>
      <w:r>
        <w:rPr>
          <w:rFonts w:ascii="Arial" w:eastAsia="Arial" w:hAnsi="Arial" w:cs="Arial"/>
          <w:sz w:val="20"/>
        </w:rPr>
        <w:t xml:space="preserve"> </w:t>
      </w:r>
    </w:p>
    <w:p w:rsidR="0054300F" w:rsidRDefault="00D820F4">
      <w:pPr>
        <w:numPr>
          <w:ilvl w:val="0"/>
          <w:numId w:val="3"/>
        </w:numPr>
        <w:spacing w:after="5" w:line="249" w:lineRule="auto"/>
        <w:ind w:hanging="360"/>
      </w:pPr>
      <w:hyperlink r:id="rId53">
        <w:r>
          <w:rPr>
            <w:rFonts w:ascii="Arial" w:eastAsia="Arial" w:hAnsi="Arial" w:cs="Arial"/>
            <w:color w:val="0000FF"/>
            <w:sz w:val="20"/>
            <w:u w:val="single" w:color="0000FF"/>
          </w:rPr>
          <w:t>MÉ</w:t>
        </w:r>
        <w:r>
          <w:rPr>
            <w:rFonts w:ascii="Arial" w:eastAsia="Arial" w:hAnsi="Arial" w:cs="Arial"/>
            <w:color w:val="0000FF"/>
            <w:sz w:val="20"/>
            <w:u w:val="single" w:color="0000FF"/>
          </w:rPr>
          <w:t>XICO - Definiciones de calificación en Escala CaVal (Nacional)</w:t>
        </w:r>
      </w:hyperlink>
      <w:hyperlink r:id="rId54">
        <w:r>
          <w:rPr>
            <w:rFonts w:ascii="Arial" w:eastAsia="Arial" w:hAnsi="Arial" w:cs="Arial"/>
            <w:sz w:val="20"/>
          </w:rPr>
          <w:t>.</w:t>
        </w:r>
      </w:hyperlink>
      <w:r>
        <w:rPr>
          <w:rFonts w:ascii="Arial" w:eastAsia="Arial" w:hAnsi="Arial" w:cs="Arial"/>
          <w:sz w:val="20"/>
        </w:rPr>
        <w:t xml:space="preserve"> </w:t>
      </w:r>
    </w:p>
    <w:p w:rsidR="0054300F" w:rsidRDefault="00D820F4">
      <w:pPr>
        <w:numPr>
          <w:ilvl w:val="0"/>
          <w:numId w:val="3"/>
        </w:numPr>
        <w:spacing w:after="5" w:line="249" w:lineRule="auto"/>
        <w:ind w:hanging="360"/>
      </w:pPr>
      <w:hyperlink r:id="rId55">
        <w:r>
          <w:rPr>
            <w:rFonts w:ascii="Arial" w:eastAsia="Arial" w:hAnsi="Arial" w:cs="Arial"/>
            <w:color w:val="0000FF"/>
            <w:sz w:val="20"/>
            <w:u w:val="single" w:color="0000FF"/>
          </w:rPr>
          <w:t>Análisis de Riesgos de la Industria Bancaria por País: México</w:t>
        </w:r>
      </w:hyperlink>
      <w:hyperlink r:id="rId56">
        <w:r>
          <w:rPr>
            <w:rFonts w:ascii="Arial" w:eastAsia="Arial" w:hAnsi="Arial" w:cs="Arial"/>
            <w:sz w:val="20"/>
          </w:rPr>
          <w:t>,</w:t>
        </w:r>
      </w:hyperlink>
      <w:r>
        <w:rPr>
          <w:rFonts w:ascii="Arial" w:eastAsia="Arial" w:hAnsi="Arial" w:cs="Arial"/>
          <w:sz w:val="20"/>
        </w:rPr>
        <w:t xml:space="preserve"> 7 de septiembre de 2017. </w:t>
      </w:r>
    </w:p>
    <w:p w:rsidR="0054300F" w:rsidRDefault="00D820F4">
      <w:pPr>
        <w:numPr>
          <w:ilvl w:val="0"/>
          <w:numId w:val="3"/>
        </w:numPr>
        <w:spacing w:after="5" w:line="249" w:lineRule="auto"/>
        <w:ind w:hanging="360"/>
      </w:pPr>
      <w:hyperlink r:id="rId57">
        <w:r>
          <w:rPr>
            <w:rFonts w:ascii="Arial" w:eastAsia="Arial" w:hAnsi="Arial" w:cs="Arial"/>
            <w:color w:val="0000FF"/>
            <w:sz w:val="20"/>
            <w:u w:val="single" w:color="0000FF"/>
          </w:rPr>
          <w:t>¿Qué tan vulnerables son las finanzas de los estados mexicanos ante una reducción o</w:t>
        </w:r>
      </w:hyperlink>
      <w:hyperlink r:id="rId58">
        <w:r>
          <w:rPr>
            <w:rFonts w:ascii="Arial" w:eastAsia="Arial" w:hAnsi="Arial" w:cs="Arial"/>
            <w:color w:val="0000FF"/>
            <w:sz w:val="20"/>
          </w:rPr>
          <w:t xml:space="preserve"> </w:t>
        </w:r>
      </w:hyperlink>
      <w:hyperlink r:id="rId59">
        <w:r>
          <w:rPr>
            <w:rFonts w:ascii="Arial" w:eastAsia="Arial" w:hAnsi="Arial" w:cs="Arial"/>
            <w:color w:val="0000FF"/>
            <w:sz w:val="20"/>
            <w:u w:val="single" w:color="0000FF"/>
          </w:rPr>
          <w:t>crecimiento nulo de las Participaciones Federales?</w:t>
        </w:r>
      </w:hyperlink>
      <w:hyperlink r:id="rId60">
        <w:r>
          <w:rPr>
            <w:rFonts w:ascii="Arial" w:eastAsia="Arial" w:hAnsi="Arial" w:cs="Arial"/>
            <w:sz w:val="20"/>
          </w:rPr>
          <w:t>,</w:t>
        </w:r>
      </w:hyperlink>
      <w:r>
        <w:rPr>
          <w:rFonts w:ascii="Arial" w:eastAsia="Arial" w:hAnsi="Arial" w:cs="Arial"/>
          <w:sz w:val="20"/>
        </w:rPr>
        <w:t xml:space="preserve"> 20 de abril de 2016. </w:t>
      </w:r>
    </w:p>
    <w:p w:rsidR="0054300F" w:rsidRDefault="00D820F4">
      <w:pPr>
        <w:numPr>
          <w:ilvl w:val="0"/>
          <w:numId w:val="3"/>
        </w:numPr>
        <w:spacing w:after="5" w:line="249" w:lineRule="auto"/>
        <w:ind w:hanging="360"/>
      </w:pPr>
      <w:hyperlink r:id="rId61">
        <w:r>
          <w:rPr>
            <w:rFonts w:ascii="Arial" w:eastAsia="Arial" w:hAnsi="Arial" w:cs="Arial"/>
            <w:color w:val="0000FF"/>
            <w:sz w:val="20"/>
            <w:u w:val="single" w:color="0000FF"/>
          </w:rPr>
          <w:t>Preguntas Frecuentes: Avances y riesgos de la iniciativa de Ley de Disciplina Financiera para</w:t>
        </w:r>
      </w:hyperlink>
      <w:hyperlink r:id="rId62">
        <w:r>
          <w:rPr>
            <w:rFonts w:ascii="Arial" w:eastAsia="Arial" w:hAnsi="Arial" w:cs="Arial"/>
            <w:color w:val="0000FF"/>
            <w:sz w:val="20"/>
          </w:rPr>
          <w:t xml:space="preserve"> </w:t>
        </w:r>
      </w:hyperlink>
      <w:hyperlink r:id="rId63">
        <w:r>
          <w:rPr>
            <w:rFonts w:ascii="Arial" w:eastAsia="Arial" w:hAnsi="Arial" w:cs="Arial"/>
            <w:color w:val="0000FF"/>
            <w:sz w:val="20"/>
            <w:u w:val="single" w:color="0000FF"/>
          </w:rPr>
          <w:t>estados y municipios en México</w:t>
        </w:r>
      </w:hyperlink>
      <w:hyperlink r:id="rId64">
        <w:r>
          <w:rPr>
            <w:rFonts w:ascii="Arial" w:eastAsia="Arial" w:hAnsi="Arial" w:cs="Arial"/>
            <w:sz w:val="20"/>
          </w:rPr>
          <w:t>,</w:t>
        </w:r>
      </w:hyperlink>
      <w:r>
        <w:rPr>
          <w:rFonts w:ascii="Arial" w:eastAsia="Arial" w:hAnsi="Arial" w:cs="Arial"/>
          <w:sz w:val="20"/>
        </w:rPr>
        <w:t xml:space="preserve"> 24 de agosto de 2015. </w:t>
      </w:r>
    </w:p>
    <w:p w:rsidR="0054300F" w:rsidRDefault="00D820F4">
      <w:pPr>
        <w:numPr>
          <w:ilvl w:val="0"/>
          <w:numId w:val="3"/>
        </w:numPr>
        <w:spacing w:after="5" w:line="249" w:lineRule="auto"/>
        <w:ind w:hanging="360"/>
      </w:pPr>
      <w:hyperlink r:id="rId65">
        <w:r>
          <w:rPr>
            <w:rFonts w:ascii="Arial" w:eastAsia="Arial" w:hAnsi="Arial" w:cs="Arial"/>
            <w:color w:val="0000FF"/>
            <w:sz w:val="20"/>
            <w:u w:val="single" w:color="0000FF"/>
          </w:rPr>
          <w:t>Estados mexicanos expectantes ante la incertidumbre por renegociaciones del TLCAN</w:t>
        </w:r>
      </w:hyperlink>
      <w:hyperlink r:id="rId66">
        <w:r>
          <w:rPr>
            <w:rFonts w:ascii="Arial" w:eastAsia="Arial" w:hAnsi="Arial" w:cs="Arial"/>
            <w:sz w:val="20"/>
          </w:rPr>
          <w:t>,</w:t>
        </w:r>
      </w:hyperlink>
      <w:r>
        <w:rPr>
          <w:rFonts w:ascii="Arial" w:eastAsia="Arial" w:hAnsi="Arial" w:cs="Arial"/>
          <w:sz w:val="20"/>
        </w:rPr>
        <w:t xml:space="preserve"> 1 de mayo de 2017. </w:t>
      </w:r>
    </w:p>
    <w:p w:rsidR="0054300F" w:rsidRDefault="00D820F4">
      <w:pPr>
        <w:numPr>
          <w:ilvl w:val="0"/>
          <w:numId w:val="3"/>
        </w:numPr>
        <w:spacing w:after="5" w:line="249" w:lineRule="auto"/>
        <w:ind w:hanging="360"/>
      </w:pPr>
      <w:hyperlink r:id="rId67">
        <w:r>
          <w:rPr>
            <w:rFonts w:ascii="Arial" w:eastAsia="Arial" w:hAnsi="Arial" w:cs="Arial"/>
            <w:color w:val="0000FF"/>
            <w:sz w:val="20"/>
            <w:u w:val="single" w:color="0000FF"/>
          </w:rPr>
          <w:t>Standard &amp; Poor's revisa perspectiva del Estado de Oaxaca a estable de negativa y confirma</w:t>
        </w:r>
      </w:hyperlink>
      <w:hyperlink r:id="rId68">
        <w:r>
          <w:rPr>
            <w:rFonts w:ascii="Arial" w:eastAsia="Arial" w:hAnsi="Arial" w:cs="Arial"/>
            <w:color w:val="0000FF"/>
            <w:sz w:val="20"/>
          </w:rPr>
          <w:t xml:space="preserve"> </w:t>
        </w:r>
      </w:hyperlink>
      <w:hyperlink r:id="rId69">
        <w:r>
          <w:rPr>
            <w:rFonts w:ascii="Arial" w:eastAsia="Arial" w:hAnsi="Arial" w:cs="Arial"/>
            <w:color w:val="0000FF"/>
            <w:sz w:val="20"/>
            <w:u w:val="single" w:color="0000FF"/>
          </w:rPr>
          <w:t>calificación de 'mxA-'</w:t>
        </w:r>
      </w:hyperlink>
      <w:hyperlink r:id="rId70">
        <w:r>
          <w:rPr>
            <w:rFonts w:ascii="Arial" w:eastAsia="Arial" w:hAnsi="Arial" w:cs="Arial"/>
            <w:sz w:val="20"/>
          </w:rPr>
          <w:t>,</w:t>
        </w:r>
      </w:hyperlink>
      <w:r>
        <w:rPr>
          <w:rFonts w:ascii="Arial" w:eastAsia="Arial" w:hAnsi="Arial" w:cs="Arial"/>
          <w:sz w:val="20"/>
        </w:rPr>
        <w:t xml:space="preserve"> 23 de septiembre de 2016. </w:t>
      </w:r>
    </w:p>
    <w:p w:rsidR="0054300F" w:rsidRDefault="00D820F4">
      <w:pPr>
        <w:spacing w:after="17"/>
      </w:pPr>
      <w:r>
        <w:rPr>
          <w:rFonts w:ascii="Arial" w:eastAsia="Arial" w:hAnsi="Arial" w:cs="Arial"/>
          <w:i/>
          <w:sz w:val="20"/>
        </w:rPr>
        <w:t xml:space="preserve"> </w:t>
      </w:r>
    </w:p>
    <w:p w:rsidR="0054300F" w:rsidRDefault="00D820F4">
      <w:pPr>
        <w:spacing w:after="19"/>
      </w:pPr>
      <w:r>
        <w:rPr>
          <w:rFonts w:ascii="Arial" w:eastAsia="Arial" w:hAnsi="Arial" w:cs="Arial"/>
          <w:i/>
          <w:sz w:val="20"/>
        </w:rPr>
        <w:t xml:space="preserve"> </w:t>
      </w:r>
    </w:p>
    <w:p w:rsidR="0054300F" w:rsidRDefault="00D820F4">
      <w:pPr>
        <w:spacing w:after="17"/>
      </w:pPr>
      <w:r>
        <w:rPr>
          <w:rFonts w:ascii="Arial" w:eastAsia="Arial" w:hAnsi="Arial" w:cs="Arial"/>
          <w:i/>
          <w:sz w:val="20"/>
        </w:rPr>
        <w:t xml:space="preserve"> </w:t>
      </w:r>
    </w:p>
    <w:p w:rsidR="0054300F" w:rsidRDefault="00D820F4">
      <w:pPr>
        <w:spacing w:after="0"/>
      </w:pPr>
      <w:r>
        <w:rPr>
          <w:rFonts w:ascii="Arial" w:eastAsia="Arial" w:hAnsi="Arial" w:cs="Arial"/>
          <w:i/>
          <w:sz w:val="20"/>
        </w:rPr>
        <w:t xml:space="preserve"> </w:t>
      </w:r>
    </w:p>
    <w:p w:rsidR="0054300F" w:rsidRDefault="00D820F4">
      <w:pPr>
        <w:spacing w:after="9" w:line="268" w:lineRule="auto"/>
        <w:ind w:left="-4" w:hanging="10"/>
      </w:pPr>
      <w:r>
        <w:rPr>
          <w:rFonts w:ascii="Arial" w:eastAsia="Arial" w:hAnsi="Arial" w:cs="Arial"/>
          <w:i/>
          <w:sz w:val="20"/>
        </w:rPr>
        <w:t>Algunos términos utilizados en este reporte, en particular algunos adjetivos usados para expresar nuestra opinión sobre factores de calificación importantes, tienen significados específicos que se les atribuyen en nuestros criterios y, por lo tanto, se deb</w:t>
      </w:r>
      <w:r>
        <w:rPr>
          <w:rFonts w:ascii="Arial" w:eastAsia="Arial" w:hAnsi="Arial" w:cs="Arial"/>
          <w:i/>
          <w:sz w:val="20"/>
        </w:rPr>
        <w:t xml:space="preserve">en leer junto con los mismos. Para obtener mayor información vea nuestros Criterios de Calificación en </w:t>
      </w:r>
      <w:hyperlink r:id="rId71">
        <w:r>
          <w:rPr>
            <w:rFonts w:ascii="Arial" w:eastAsia="Arial" w:hAnsi="Arial" w:cs="Arial"/>
            <w:i/>
            <w:color w:val="0000FF"/>
            <w:sz w:val="20"/>
            <w:u w:val="single" w:color="0000FF"/>
          </w:rPr>
          <w:t>www.standardandpoors.com.mx</w:t>
        </w:r>
      </w:hyperlink>
      <w:hyperlink r:id="rId72">
        <w:r>
          <w:rPr>
            <w:rFonts w:ascii="Arial" w:eastAsia="Arial" w:hAnsi="Arial" w:cs="Arial"/>
            <w:i/>
            <w:sz w:val="20"/>
          </w:rPr>
          <w:t xml:space="preserve"> </w:t>
        </w:r>
      </w:hyperlink>
    </w:p>
    <w:p w:rsidR="0054300F" w:rsidRDefault="00D820F4">
      <w:pPr>
        <w:spacing w:after="19"/>
      </w:pPr>
      <w:r>
        <w:rPr>
          <w:rFonts w:ascii="Arial" w:eastAsia="Arial" w:hAnsi="Arial" w:cs="Arial"/>
          <w:i/>
          <w:sz w:val="20"/>
        </w:rPr>
        <w:t xml:space="preserve"> </w:t>
      </w:r>
    </w:p>
    <w:p w:rsidR="0054300F" w:rsidRDefault="00D820F4">
      <w:pPr>
        <w:spacing w:after="4" w:line="270" w:lineRule="auto"/>
        <w:ind w:left="-5" w:hanging="10"/>
      </w:pPr>
      <w:r>
        <w:rPr>
          <w:rFonts w:ascii="Arial" w:eastAsia="Arial" w:hAnsi="Arial" w:cs="Arial"/>
          <w:sz w:val="20"/>
        </w:rPr>
        <w:t>De acuerdo con nuestras políticas y procedimientos aplicables, el Comité de Calificación fue integrado por analistas calificados para votar en él, con experiencia suficiente para transmitir el nivel adecuado de conocimientos y comprensión de la metodología</w:t>
      </w:r>
      <w:r>
        <w:rPr>
          <w:rFonts w:ascii="Arial" w:eastAsia="Arial" w:hAnsi="Arial" w:cs="Arial"/>
          <w:sz w:val="20"/>
        </w:rPr>
        <w:t xml:space="preserve"> aplicable (vea la sección de “Criterios y Artículos Relacionados”). Al inicio del Comité, su presidente confirmó que la información proporcionada al Comité de Calificación por el analista principal había sido distribuida de manera oportuna y suficiente pa</w:t>
      </w:r>
      <w:r>
        <w:rPr>
          <w:rFonts w:ascii="Arial" w:eastAsia="Arial" w:hAnsi="Arial" w:cs="Arial"/>
          <w:sz w:val="20"/>
        </w:rPr>
        <w:t xml:space="preserve">ra que los miembros tomaran una decisión informada. </w:t>
      </w:r>
    </w:p>
    <w:p w:rsidR="0054300F" w:rsidRDefault="00D820F4">
      <w:pPr>
        <w:spacing w:after="17"/>
      </w:pPr>
      <w:r>
        <w:rPr>
          <w:rFonts w:ascii="Arial" w:eastAsia="Arial" w:hAnsi="Arial" w:cs="Arial"/>
          <w:sz w:val="20"/>
        </w:rPr>
        <w:t xml:space="preserve"> </w:t>
      </w:r>
    </w:p>
    <w:p w:rsidR="0054300F" w:rsidRDefault="00D820F4">
      <w:pPr>
        <w:spacing w:after="4" w:line="270" w:lineRule="auto"/>
        <w:ind w:left="-5" w:hanging="10"/>
      </w:pPr>
      <w:r>
        <w:rPr>
          <w:rFonts w:ascii="Arial" w:eastAsia="Arial" w:hAnsi="Arial" w:cs="Arial"/>
          <w:sz w:val="20"/>
        </w:rPr>
        <w:t>Después de que el analista principal presentó los puntos relevantes iniciales y explicó la recomendación, el Comité analizó los factores fundamentales de calificación y los aspectos clave, de conformid</w:t>
      </w:r>
      <w:r>
        <w:rPr>
          <w:rFonts w:ascii="Arial" w:eastAsia="Arial" w:hAnsi="Arial" w:cs="Arial"/>
          <w:sz w:val="20"/>
        </w:rPr>
        <w:t>ad con los criterios aplicables. Los factores de riesgo cualitativos y cuantitativos fueron considerados y analizados, tomando en cuenta el historial y las proyecciones. El presidente del Comité se aseguró de que cada miembro votante tuviera la oportunidad</w:t>
      </w:r>
      <w:r>
        <w:rPr>
          <w:rFonts w:ascii="Arial" w:eastAsia="Arial" w:hAnsi="Arial" w:cs="Arial"/>
          <w:sz w:val="20"/>
        </w:rPr>
        <w:t xml:space="preserve"> de expresar su opinión. El presidente o su persona designada al efecto, revisó el reporte para garantizar que este coincidiera con la decisión del Comité. Las opiniones y la decisión del Comité de Calificación se resumen en los fundamentos y perspectiva i</w:t>
      </w:r>
      <w:r>
        <w:rPr>
          <w:rFonts w:ascii="Arial" w:eastAsia="Arial" w:hAnsi="Arial" w:cs="Arial"/>
          <w:sz w:val="20"/>
        </w:rPr>
        <w:t xml:space="preserve">ndicados arriba. </w:t>
      </w:r>
    </w:p>
    <w:p w:rsidR="0054300F" w:rsidRDefault="00D820F4">
      <w:pPr>
        <w:spacing w:after="22"/>
      </w:pPr>
      <w:r>
        <w:rPr>
          <w:rFonts w:ascii="Arial" w:eastAsia="Arial" w:hAnsi="Arial" w:cs="Arial"/>
          <w:sz w:val="20"/>
        </w:rPr>
        <w:t xml:space="preserve"> </w:t>
      </w:r>
    </w:p>
    <w:p w:rsidR="0054300F" w:rsidRDefault="00D820F4">
      <w:pPr>
        <w:spacing w:after="45"/>
      </w:pPr>
      <w:r>
        <w:rPr>
          <w:rFonts w:ascii="Arial" w:eastAsia="Arial" w:hAnsi="Arial" w:cs="Arial"/>
          <w:sz w:val="21"/>
        </w:rPr>
        <w:t xml:space="preserve"> </w:t>
      </w:r>
    </w:p>
    <w:p w:rsidR="0054300F" w:rsidRDefault="00D820F4">
      <w:pPr>
        <w:pStyle w:val="Ttulo1"/>
        <w:ind w:left="0" w:firstLine="0"/>
      </w:pPr>
      <w:r>
        <w:rPr>
          <w:color w:val="E21737"/>
        </w:rPr>
        <w:t xml:space="preserve">INFORMACIÓN REGULATORIA ADICIONAL </w:t>
      </w:r>
    </w:p>
    <w:p w:rsidR="0054300F" w:rsidRDefault="00D820F4">
      <w:pPr>
        <w:spacing w:after="0"/>
      </w:pPr>
      <w:r>
        <w:rPr>
          <w:rFonts w:ascii="Arial" w:eastAsia="Arial" w:hAnsi="Arial" w:cs="Arial"/>
          <w:sz w:val="20"/>
        </w:rPr>
        <w:t xml:space="preserve"> </w:t>
      </w:r>
    </w:p>
    <w:p w:rsidR="0054300F" w:rsidRDefault="00D820F4">
      <w:pPr>
        <w:numPr>
          <w:ilvl w:val="0"/>
          <w:numId w:val="4"/>
        </w:numPr>
        <w:spacing w:after="9" w:line="268" w:lineRule="auto"/>
        <w:ind w:hanging="233"/>
      </w:pPr>
      <w:r>
        <w:rPr>
          <w:rFonts w:ascii="Arial" w:eastAsia="Arial" w:hAnsi="Arial" w:cs="Arial"/>
          <w:i/>
          <w:sz w:val="20"/>
        </w:rPr>
        <w:t xml:space="preserve">Información financiera al 30 de junio de 2017. </w:t>
      </w:r>
    </w:p>
    <w:p w:rsidR="0054300F" w:rsidRDefault="00D820F4">
      <w:pPr>
        <w:spacing w:after="17"/>
      </w:pPr>
      <w:r>
        <w:rPr>
          <w:rFonts w:ascii="Arial" w:eastAsia="Arial" w:hAnsi="Arial" w:cs="Arial"/>
          <w:i/>
          <w:sz w:val="20"/>
        </w:rPr>
        <w:t xml:space="preserve"> </w:t>
      </w:r>
    </w:p>
    <w:p w:rsidR="0054300F" w:rsidRDefault="00D820F4">
      <w:pPr>
        <w:numPr>
          <w:ilvl w:val="0"/>
          <w:numId w:val="4"/>
        </w:numPr>
        <w:spacing w:after="9" w:line="268" w:lineRule="auto"/>
        <w:ind w:hanging="233"/>
      </w:pPr>
      <w:r>
        <w:rPr>
          <w:rFonts w:ascii="Arial" w:eastAsia="Arial" w:hAnsi="Arial" w:cs="Arial"/>
          <w:i/>
          <w:sz w:val="20"/>
        </w:rPr>
        <w:t xml:space="preserve">La calificación se basa en información proporcionada a S&amp;P Global Ratings por el emisor y/o sus agentes y asesores. Tal información puede incluir, </w:t>
      </w:r>
      <w:r>
        <w:rPr>
          <w:rFonts w:ascii="Arial" w:eastAsia="Arial" w:hAnsi="Arial" w:cs="Arial"/>
          <w:i/>
          <w:sz w:val="20"/>
        </w:rPr>
        <w:t>entre otras, según las características de la transacción, valor o entidad calificados, la siguiente: cuentas públicas anuales, estados financieros trimestrales o avances presupuestales más actualizados, como así también toda información relacionada a docum</w:t>
      </w:r>
      <w:r>
        <w:rPr>
          <w:rFonts w:ascii="Arial" w:eastAsia="Arial" w:hAnsi="Arial" w:cs="Arial"/>
          <w:i/>
          <w:sz w:val="20"/>
        </w:rPr>
        <w:t xml:space="preserve">entos de cuenta pública que generen, información recabada durante las reuniones con los emisores y distintos participantes del mercado, e información proveniente de otras </w:t>
      </w:r>
      <w:r>
        <w:rPr>
          <w:rFonts w:ascii="Arial" w:eastAsia="Arial" w:hAnsi="Arial" w:cs="Arial"/>
          <w:i/>
          <w:sz w:val="20"/>
        </w:rPr>
        <w:lastRenderedPageBreak/>
        <w:t>fuentes externas, por ejemplo, Secretaría de Hacienda y Crédito Público (SHCP), CNBV,</w:t>
      </w:r>
      <w:r>
        <w:rPr>
          <w:rFonts w:ascii="Arial" w:eastAsia="Arial" w:hAnsi="Arial" w:cs="Arial"/>
          <w:i/>
          <w:sz w:val="20"/>
        </w:rPr>
        <w:t xml:space="preserve"> Bolsa Mexicana de Valores, Banco de México, FMI, Banco Mundial, BID, OCDE e INEGI. </w:t>
      </w:r>
    </w:p>
    <w:p w:rsidR="0054300F" w:rsidRDefault="00D820F4">
      <w:pPr>
        <w:spacing w:after="19"/>
      </w:pPr>
      <w:r>
        <w:rPr>
          <w:rFonts w:ascii="Arial" w:eastAsia="Arial" w:hAnsi="Arial" w:cs="Arial"/>
          <w:i/>
          <w:sz w:val="20"/>
        </w:rPr>
        <w:t xml:space="preserve"> </w:t>
      </w:r>
    </w:p>
    <w:p w:rsidR="0054300F" w:rsidRDefault="00D820F4">
      <w:pPr>
        <w:spacing w:after="9" w:line="268" w:lineRule="auto"/>
        <w:ind w:left="-4" w:hanging="10"/>
      </w:pPr>
      <w:r>
        <w:rPr>
          <w:rFonts w:ascii="Arial" w:eastAsia="Arial" w:hAnsi="Arial" w:cs="Arial"/>
          <w:i/>
          <w:sz w:val="20"/>
        </w:rPr>
        <w:t>La calificación se basa en información proporcionada con anterioridad a la fecha de este comunicado de prensa; consecuentemente, cualquier cambio en tal información o in</w:t>
      </w:r>
      <w:r>
        <w:rPr>
          <w:rFonts w:ascii="Arial" w:eastAsia="Arial" w:hAnsi="Arial" w:cs="Arial"/>
          <w:i/>
          <w:sz w:val="20"/>
        </w:rPr>
        <w:t xml:space="preserve">formación adicional, podría resultar en una modificación de la calificación citada. </w:t>
      </w:r>
    </w:p>
    <w:p w:rsidR="0054300F" w:rsidRDefault="00D820F4">
      <w:pPr>
        <w:spacing w:after="0"/>
      </w:pPr>
      <w:r>
        <w:rPr>
          <w:rFonts w:ascii="Arial" w:eastAsia="Arial" w:hAnsi="Arial" w:cs="Arial"/>
          <w:i/>
          <w:sz w:val="20"/>
        </w:rPr>
        <w:t xml:space="preserve"> </w:t>
      </w:r>
      <w:r>
        <w:rPr>
          <w:rFonts w:ascii="Arial" w:eastAsia="Arial" w:hAnsi="Arial" w:cs="Arial"/>
          <w:i/>
          <w:sz w:val="20"/>
        </w:rPr>
        <w:tab/>
        <w:t xml:space="preserve"> </w:t>
      </w:r>
    </w:p>
    <w:p w:rsidR="0054300F" w:rsidRDefault="00D820F4">
      <w:pPr>
        <w:spacing w:after="16"/>
      </w:pPr>
      <w:r>
        <w:rPr>
          <w:rFonts w:ascii="Arial" w:eastAsia="Arial" w:hAnsi="Arial" w:cs="Arial"/>
          <w:sz w:val="21"/>
        </w:rPr>
        <w:t xml:space="preserve"> </w:t>
      </w:r>
    </w:p>
    <w:p w:rsidR="0054300F" w:rsidRDefault="00D820F4">
      <w:pPr>
        <w:spacing w:after="0"/>
      </w:pPr>
      <w:r>
        <w:rPr>
          <w:rFonts w:ascii="Arial" w:eastAsia="Arial" w:hAnsi="Arial" w:cs="Arial"/>
          <w:sz w:val="21"/>
        </w:rPr>
        <w:t xml:space="preserve"> </w:t>
      </w:r>
    </w:p>
    <w:p w:rsidR="0054300F" w:rsidRDefault="00D820F4">
      <w:pPr>
        <w:spacing w:after="3" w:line="249" w:lineRule="auto"/>
        <w:ind w:left="-5" w:hanging="10"/>
      </w:pPr>
      <w:r>
        <w:rPr>
          <w:rFonts w:ascii="Arial" w:eastAsia="Arial" w:hAnsi="Arial" w:cs="Arial"/>
          <w:sz w:val="16"/>
        </w:rPr>
        <w:t xml:space="preserve">Copyright © 2017 por Standard &amp; Poor’s Financial Services LLC. Todos los derechos reservados.  </w:t>
      </w:r>
    </w:p>
    <w:p w:rsidR="0054300F" w:rsidRDefault="00D820F4">
      <w:pPr>
        <w:spacing w:after="0"/>
      </w:pPr>
      <w:r>
        <w:rPr>
          <w:rFonts w:ascii="Arial" w:eastAsia="Arial" w:hAnsi="Arial" w:cs="Arial"/>
          <w:sz w:val="16"/>
        </w:rPr>
        <w:t xml:space="preserve"> </w:t>
      </w:r>
    </w:p>
    <w:p w:rsidR="0054300F" w:rsidRDefault="00D820F4">
      <w:pPr>
        <w:spacing w:after="3" w:line="249" w:lineRule="auto"/>
        <w:ind w:left="-5" w:hanging="10"/>
      </w:pPr>
      <w:r>
        <w:rPr>
          <w:rFonts w:ascii="Arial" w:eastAsia="Arial" w:hAnsi="Arial" w:cs="Arial"/>
          <w:sz w:val="16"/>
        </w:rPr>
        <w:t>Ningún contenido (incluyendo calificaciones, análisis e información crediticia relacionada, valuaciones, modelos, software u otra aplicación o resultado derivado del mismo) o cualquier parte aquí indicada (Contenido) puede ser modificada, revertida, reprod</w:t>
      </w:r>
      <w:r>
        <w:rPr>
          <w:rFonts w:ascii="Arial" w:eastAsia="Arial" w:hAnsi="Arial" w:cs="Arial"/>
          <w:sz w:val="16"/>
        </w:rPr>
        <w:t>ucida o distribuida en forma alguna y/o por medio alguno, ni almacenada en una base de datos o sistema de recuperación de información, sin permiso previo por escrito de Standard &amp; Poor’s Financial Services LLC o sus filiales (conjuntamente denominadas S&amp;P)</w:t>
      </w:r>
      <w:r>
        <w:rPr>
          <w:rFonts w:ascii="Arial" w:eastAsia="Arial" w:hAnsi="Arial" w:cs="Arial"/>
          <w:sz w:val="16"/>
        </w:rPr>
        <w:t xml:space="preserve">. El Contenido no debe usarse para ningún propósito ilegal o no autorizado. S&amp;P y todos sus proveedores así como sus directivos, funcionarios, accionistas, empleados o agentes (en general las Partes S&amp;P) no garantizan la exactitud, integridad, oportunidad </w:t>
      </w:r>
      <w:r>
        <w:rPr>
          <w:rFonts w:ascii="Arial" w:eastAsia="Arial" w:hAnsi="Arial" w:cs="Arial"/>
          <w:sz w:val="16"/>
        </w:rPr>
        <w:t>o disponibilidad del Contenido. Las Partes S&amp;P no son responsables de errores u omisiones (por negligencia o cualquier otra causa), independientemente de su causa, de los resultados obtenidos a partir del uso del Contenido o de la seguridad o mantenimiento</w:t>
      </w:r>
      <w:r>
        <w:rPr>
          <w:rFonts w:ascii="Arial" w:eastAsia="Arial" w:hAnsi="Arial" w:cs="Arial"/>
          <w:sz w:val="16"/>
        </w:rPr>
        <w:t xml:space="preserve"> de cualquier información ingresada por el usuario. El Contenido se ofrece sobre una base “como está”. </w:t>
      </w:r>
    </w:p>
    <w:p w:rsidR="0054300F" w:rsidRDefault="00D820F4">
      <w:pPr>
        <w:spacing w:after="3" w:line="249" w:lineRule="auto"/>
        <w:ind w:left="-5" w:hanging="10"/>
      </w:pPr>
      <w:r>
        <w:rPr>
          <w:rFonts w:ascii="Arial" w:eastAsia="Arial" w:hAnsi="Arial" w:cs="Arial"/>
          <w:sz w:val="16"/>
        </w:rPr>
        <w:t xml:space="preserve">LAS PARTES S&amp;P DENIEGAN TODAS Y CUALESQUIER GARANTÍAS EXPLÍCITAS O IMPLÍCITAS, INCLUYENDO, PERO SIN </w:t>
      </w:r>
    </w:p>
    <w:p w:rsidR="0054300F" w:rsidRDefault="00D820F4">
      <w:pPr>
        <w:spacing w:after="3" w:line="249" w:lineRule="auto"/>
        <w:ind w:left="-5" w:hanging="10"/>
      </w:pPr>
      <w:r>
        <w:rPr>
          <w:rFonts w:ascii="Arial" w:eastAsia="Arial" w:hAnsi="Arial" w:cs="Arial"/>
          <w:sz w:val="16"/>
        </w:rPr>
        <w:t>LIMITACIÓN DE, CUALESQUIER GARANTÍA DE COMERCIALIZA</w:t>
      </w:r>
      <w:r>
        <w:rPr>
          <w:rFonts w:ascii="Arial" w:eastAsia="Arial" w:hAnsi="Arial" w:cs="Arial"/>
          <w:sz w:val="16"/>
        </w:rPr>
        <w:t xml:space="preserve">CIÓN O ADECUACIÓN PARA UN PROPÓSITO O USO EN </w:t>
      </w:r>
    </w:p>
    <w:p w:rsidR="0054300F" w:rsidRDefault="00D820F4">
      <w:pPr>
        <w:spacing w:after="3" w:line="249" w:lineRule="auto"/>
        <w:ind w:left="-5" w:hanging="10"/>
      </w:pPr>
      <w:r>
        <w:rPr>
          <w:rFonts w:ascii="Arial" w:eastAsia="Arial" w:hAnsi="Arial" w:cs="Arial"/>
          <w:sz w:val="16"/>
        </w:rPr>
        <w:t xml:space="preserve">PARTICULAR, DE AUSENCIA DE DEFECTOS, DE ERRORES O DEFECTOS EN EL SOFTWARE, DE INTERRUPCIÓN EN EL </w:t>
      </w:r>
    </w:p>
    <w:p w:rsidR="0054300F" w:rsidRDefault="00D820F4">
      <w:pPr>
        <w:spacing w:after="3" w:line="249" w:lineRule="auto"/>
        <w:ind w:left="-5" w:hanging="10"/>
      </w:pPr>
      <w:r>
        <w:rPr>
          <w:rFonts w:ascii="Arial" w:eastAsia="Arial" w:hAnsi="Arial" w:cs="Arial"/>
          <w:sz w:val="16"/>
        </w:rPr>
        <w:t xml:space="preserve">FUNCIONAMIENTO DEL CONTENIDO O DE OPERACIÓN DEL CONTENIDO CON CUALQUIER CONFIGURACIÓN DE </w:t>
      </w:r>
    </w:p>
    <w:p w:rsidR="0054300F" w:rsidRDefault="00D820F4">
      <w:pPr>
        <w:spacing w:after="3" w:line="249" w:lineRule="auto"/>
        <w:ind w:left="-5" w:hanging="10"/>
      </w:pPr>
      <w:r>
        <w:rPr>
          <w:rFonts w:ascii="Arial" w:eastAsia="Arial" w:hAnsi="Arial" w:cs="Arial"/>
          <w:sz w:val="16"/>
        </w:rPr>
        <w:t>SOFTWARE O HARDWARE. E</w:t>
      </w:r>
      <w:r>
        <w:rPr>
          <w:rFonts w:ascii="Arial" w:eastAsia="Arial" w:hAnsi="Arial" w:cs="Arial"/>
          <w:sz w:val="16"/>
        </w:rPr>
        <w:t>n ningún caso, las Partes S&amp;P serán sujetos de demanda por terceros derivada de daños, costos, gastos, comisiones legales o pérdidas (incluyendo, sin limitación, pérdidas de ingresos o de ganancias y costos de oportunidad o pérdidas causadas por negligenci</w:t>
      </w:r>
      <w:r>
        <w:rPr>
          <w:rFonts w:ascii="Arial" w:eastAsia="Arial" w:hAnsi="Arial" w:cs="Arial"/>
          <w:sz w:val="16"/>
        </w:rPr>
        <w:t xml:space="preserve">a) directos, indirectos, incidentales, punitivos, compensatorios, ejemplares, especiales o consecuenciales en conexión con cualesquier uso del Contenido incluso si se advirtió de la posibilidad de tales daños. </w:t>
      </w:r>
    </w:p>
    <w:p w:rsidR="0054300F" w:rsidRDefault="00D820F4">
      <w:pPr>
        <w:spacing w:after="0"/>
      </w:pPr>
      <w:r>
        <w:rPr>
          <w:rFonts w:ascii="Arial" w:eastAsia="Arial" w:hAnsi="Arial" w:cs="Arial"/>
          <w:sz w:val="16"/>
        </w:rPr>
        <w:t xml:space="preserve"> </w:t>
      </w:r>
    </w:p>
    <w:p w:rsidR="0054300F" w:rsidRDefault="00D820F4">
      <w:pPr>
        <w:spacing w:after="3" w:line="249" w:lineRule="auto"/>
        <w:ind w:left="-5" w:hanging="10"/>
      </w:pPr>
      <w:r>
        <w:rPr>
          <w:rFonts w:ascii="Arial" w:eastAsia="Arial" w:hAnsi="Arial" w:cs="Arial"/>
          <w:sz w:val="16"/>
        </w:rPr>
        <w:t>Los análisis crediticios relacionados y otr</w:t>
      </w:r>
      <w:r>
        <w:rPr>
          <w:rFonts w:ascii="Arial" w:eastAsia="Arial" w:hAnsi="Arial" w:cs="Arial"/>
          <w:sz w:val="16"/>
        </w:rPr>
        <w:t>os, incluyendo las calificaciones, y las declaraciones en el Contenido, son opiniones a la fecha en que se expresan y no declaraciones de hecho. Las opiniones, análisis y decisiones de reconocimiento de calificaciones (como tal término se describe más abaj</w:t>
      </w:r>
      <w:r>
        <w:rPr>
          <w:rFonts w:ascii="Arial" w:eastAsia="Arial" w:hAnsi="Arial" w:cs="Arial"/>
          <w:sz w:val="16"/>
        </w:rPr>
        <w:t>o) de S&amp;P no constituyen recomendaciones para comprar, retener o vender ningún instrumento o para tomar decisión de inversión alguna, y no se refieren a la conveniencia de ningún instrumento o título-valor. S&amp;P no asume obligación para actualizar el Conten</w:t>
      </w:r>
      <w:r>
        <w:rPr>
          <w:rFonts w:ascii="Arial" w:eastAsia="Arial" w:hAnsi="Arial" w:cs="Arial"/>
          <w:sz w:val="16"/>
        </w:rPr>
        <w:t>ido tras su publicación en cualquier forma o formato. No debe dependerse del Contenido y éste no es sustituto de la capacidad, juicio y experiencia del usuario, de su administración, empleados, asesores y/o clientes al realizar inversiones y tomar otras de</w:t>
      </w:r>
      <w:r>
        <w:rPr>
          <w:rFonts w:ascii="Arial" w:eastAsia="Arial" w:hAnsi="Arial" w:cs="Arial"/>
          <w:sz w:val="16"/>
        </w:rPr>
        <w:t>cisiones de negocio. S&amp;P no actúa como fiduciario o asesor de inversiones excepto donde esté registrado como tal. Aunque S&amp;P ha obtenido información de fuentes que considera confiables, no realiza labores de auditoría ni asume la tarea de revisión o verifi</w:t>
      </w:r>
      <w:r>
        <w:rPr>
          <w:rFonts w:ascii="Arial" w:eastAsia="Arial" w:hAnsi="Arial" w:cs="Arial"/>
          <w:sz w:val="16"/>
        </w:rPr>
        <w:t xml:space="preserve">cación independiente de la información que recibe. </w:t>
      </w:r>
    </w:p>
    <w:p w:rsidR="0054300F" w:rsidRDefault="00D820F4">
      <w:pPr>
        <w:spacing w:after="0"/>
      </w:pPr>
      <w:r>
        <w:rPr>
          <w:rFonts w:ascii="Arial" w:eastAsia="Arial" w:hAnsi="Arial" w:cs="Arial"/>
          <w:sz w:val="16"/>
        </w:rPr>
        <w:t xml:space="preserve"> </w:t>
      </w:r>
    </w:p>
    <w:p w:rsidR="0054300F" w:rsidRDefault="00D820F4">
      <w:pPr>
        <w:spacing w:after="3" w:line="249" w:lineRule="auto"/>
        <w:ind w:left="-5" w:hanging="10"/>
      </w:pPr>
      <w:r>
        <w:rPr>
          <w:rFonts w:ascii="Arial" w:eastAsia="Arial" w:hAnsi="Arial" w:cs="Arial"/>
          <w:sz w:val="16"/>
        </w:rPr>
        <w:t>En la medida en que las autoridades regulatorias permitan a una agencia calificadora reconocer en una jurisdicción una calificación emitida en otra jurisdicción para fines regulatorios determinados, S&amp;P</w:t>
      </w:r>
      <w:r>
        <w:rPr>
          <w:rFonts w:ascii="Arial" w:eastAsia="Arial" w:hAnsi="Arial" w:cs="Arial"/>
          <w:sz w:val="16"/>
        </w:rPr>
        <w:t xml:space="preserve"> se reserva el derecho de asignar, retirar o suspender tal reconocimiento en cualquier momento y a su sola discreción. Las Partes S&amp;P no asumen obligación alguna derivada de la asignación, retiro o suspensión de un reconocimiento así como cualquier respons</w:t>
      </w:r>
      <w:r>
        <w:rPr>
          <w:rFonts w:ascii="Arial" w:eastAsia="Arial" w:hAnsi="Arial" w:cs="Arial"/>
          <w:sz w:val="16"/>
        </w:rPr>
        <w:t>abilidad por cualesquiera daños que se aleguen como derivados en relación a ello. S&amp;P mantiene algunas actividades de sus unidades de negocios independientes entre sí a fin de preservar la independencia y objetividad de sus respectivas actividades. Como re</w:t>
      </w:r>
      <w:r>
        <w:rPr>
          <w:rFonts w:ascii="Arial" w:eastAsia="Arial" w:hAnsi="Arial" w:cs="Arial"/>
          <w:sz w:val="16"/>
        </w:rPr>
        <w:t xml:space="preserve">sultado de ello, algunas unidades de negocio de S&amp;P podrían tener información que no está disponible a otras de sus unidades de negocios. S&amp;P ha establecido políticas y procedimientos para mantener la confidencialidad de la información no pública recibida </w:t>
      </w:r>
      <w:r>
        <w:rPr>
          <w:rFonts w:ascii="Arial" w:eastAsia="Arial" w:hAnsi="Arial" w:cs="Arial"/>
          <w:sz w:val="16"/>
        </w:rPr>
        <w:t xml:space="preserve">en conexión con cada uno de los procesos analíticos. </w:t>
      </w:r>
    </w:p>
    <w:p w:rsidR="0054300F" w:rsidRDefault="00D820F4">
      <w:pPr>
        <w:spacing w:after="0"/>
      </w:pPr>
      <w:r>
        <w:rPr>
          <w:rFonts w:ascii="Arial" w:eastAsia="Arial" w:hAnsi="Arial" w:cs="Arial"/>
          <w:sz w:val="16"/>
        </w:rPr>
        <w:t xml:space="preserve"> </w:t>
      </w:r>
    </w:p>
    <w:p w:rsidR="0054300F" w:rsidRDefault="00D820F4">
      <w:pPr>
        <w:spacing w:after="3" w:line="239" w:lineRule="auto"/>
        <w:ind w:left="-5" w:hanging="10"/>
      </w:pPr>
      <w:r>
        <w:rPr>
          <w:rFonts w:ascii="Arial" w:eastAsia="Arial" w:hAnsi="Arial" w:cs="Arial"/>
          <w:i/>
          <w:sz w:val="16"/>
        </w:rPr>
        <w:t xml:space="preserve">S&amp;P recibe un honorario por sus servicios de calificación y por sus análisis, el cual es pagado normalmente por los emisores de los títulos o por suscriptores de los mismos o por los deudores. S&amp;P se </w:t>
      </w:r>
      <w:r>
        <w:rPr>
          <w:rFonts w:ascii="Arial" w:eastAsia="Arial" w:hAnsi="Arial" w:cs="Arial"/>
          <w:i/>
          <w:sz w:val="16"/>
        </w:rPr>
        <w:t>reserva el derecho de diseminar sus opiniones y análisis. Las calificaciones y análisis públicos de S&amp;P están disponibles en sus sitios we</w:t>
      </w:r>
      <w:hyperlink r:id="rId73">
        <w:r>
          <w:rPr>
            <w:rFonts w:ascii="Arial" w:eastAsia="Arial" w:hAnsi="Arial" w:cs="Arial"/>
            <w:i/>
            <w:sz w:val="16"/>
          </w:rPr>
          <w:t xml:space="preserve">b </w:t>
        </w:r>
      </w:hyperlink>
      <w:hyperlink r:id="rId74">
        <w:r>
          <w:rPr>
            <w:rFonts w:ascii="Arial" w:eastAsia="Arial" w:hAnsi="Arial" w:cs="Arial"/>
            <w:i/>
            <w:color w:val="0000FF"/>
            <w:sz w:val="16"/>
            <w:u w:val="single" w:color="0000FF"/>
          </w:rPr>
          <w:t>www.standard</w:t>
        </w:r>
        <w:r>
          <w:rPr>
            <w:rFonts w:ascii="Arial" w:eastAsia="Arial" w:hAnsi="Arial" w:cs="Arial"/>
            <w:i/>
            <w:color w:val="0000FF"/>
            <w:sz w:val="16"/>
            <w:u w:val="single" w:color="0000FF"/>
          </w:rPr>
          <w:t>andpoors.com</w:t>
        </w:r>
      </w:hyperlink>
      <w:hyperlink r:id="rId75">
        <w:r>
          <w:rPr>
            <w:rFonts w:ascii="Arial" w:eastAsia="Arial" w:hAnsi="Arial" w:cs="Arial"/>
            <w:i/>
            <w:sz w:val="16"/>
          </w:rPr>
          <w:t>,</w:t>
        </w:r>
      </w:hyperlink>
      <w:r>
        <w:rPr>
          <w:rFonts w:ascii="Arial" w:eastAsia="Arial" w:hAnsi="Arial" w:cs="Arial"/>
          <w:i/>
          <w:sz w:val="16"/>
        </w:rPr>
        <w:t xml:space="preserve"> </w:t>
      </w:r>
    </w:p>
    <w:p w:rsidR="0054300F" w:rsidRDefault="00D820F4">
      <w:pPr>
        <w:spacing w:after="3" w:line="239" w:lineRule="auto"/>
        <w:ind w:left="-5" w:hanging="10"/>
      </w:pPr>
      <w:hyperlink r:id="rId76">
        <w:r>
          <w:rPr>
            <w:rFonts w:ascii="Arial" w:eastAsia="Arial" w:hAnsi="Arial" w:cs="Arial"/>
            <w:i/>
            <w:color w:val="0000FF"/>
            <w:sz w:val="16"/>
            <w:u w:val="single" w:color="0000FF"/>
          </w:rPr>
          <w:t>www.standardandpoors.com.mx</w:t>
        </w:r>
      </w:hyperlink>
      <w:hyperlink r:id="rId77">
        <w:r>
          <w:rPr>
            <w:rFonts w:ascii="Arial" w:eastAsia="Arial" w:hAnsi="Arial" w:cs="Arial"/>
            <w:i/>
            <w:sz w:val="16"/>
          </w:rPr>
          <w:t xml:space="preserve">, </w:t>
        </w:r>
      </w:hyperlink>
      <w:hyperlink r:id="rId78">
        <w:r>
          <w:rPr>
            <w:rFonts w:ascii="Arial" w:eastAsia="Arial" w:hAnsi="Arial" w:cs="Arial"/>
            <w:i/>
            <w:color w:val="0000FF"/>
            <w:sz w:val="16"/>
            <w:u w:val="single" w:color="0000FF"/>
          </w:rPr>
          <w:t>www.standardandpoors.com.ar</w:t>
        </w:r>
      </w:hyperlink>
      <w:hyperlink r:id="rId79">
        <w:r>
          <w:rPr>
            <w:rFonts w:ascii="Arial" w:eastAsia="Arial" w:hAnsi="Arial" w:cs="Arial"/>
            <w:i/>
            <w:sz w:val="16"/>
          </w:rPr>
          <w:t xml:space="preserve">, </w:t>
        </w:r>
      </w:hyperlink>
      <w:hyperlink r:id="rId80">
        <w:r>
          <w:rPr>
            <w:rFonts w:ascii="Arial" w:eastAsia="Arial" w:hAnsi="Arial" w:cs="Arial"/>
            <w:i/>
            <w:color w:val="0000FF"/>
            <w:sz w:val="16"/>
            <w:u w:val="single" w:color="0000FF"/>
          </w:rPr>
          <w:t>www.standardandpoors.cl</w:t>
        </w:r>
      </w:hyperlink>
      <w:hyperlink r:id="rId81">
        <w:r>
          <w:rPr>
            <w:rFonts w:ascii="Arial" w:eastAsia="Arial" w:hAnsi="Arial" w:cs="Arial"/>
            <w:sz w:val="16"/>
          </w:rPr>
          <w:t xml:space="preserve">, </w:t>
        </w:r>
      </w:hyperlink>
      <w:hyperlink r:id="rId82">
        <w:r>
          <w:rPr>
            <w:rFonts w:ascii="Arial" w:eastAsia="Arial" w:hAnsi="Arial" w:cs="Arial"/>
            <w:i/>
            <w:color w:val="0000FF"/>
            <w:sz w:val="16"/>
            <w:u w:val="single" w:color="0000FF"/>
          </w:rPr>
          <w:t>www.standardandpoors.com.br</w:t>
        </w:r>
      </w:hyperlink>
      <w:hyperlink r:id="rId83">
        <w:r>
          <w:rPr>
            <w:rFonts w:ascii="Arial" w:eastAsia="Arial" w:hAnsi="Arial" w:cs="Arial"/>
            <w:i/>
            <w:sz w:val="16"/>
          </w:rPr>
          <w:t xml:space="preserve"> </w:t>
        </w:r>
      </w:hyperlink>
      <w:r>
        <w:rPr>
          <w:rFonts w:ascii="Arial" w:eastAsia="Arial" w:hAnsi="Arial" w:cs="Arial"/>
          <w:i/>
          <w:sz w:val="16"/>
        </w:rPr>
        <w:t>(gratuitos) y e</w:t>
      </w:r>
      <w:hyperlink r:id="rId84">
        <w:r>
          <w:rPr>
            <w:rFonts w:ascii="Arial" w:eastAsia="Arial" w:hAnsi="Arial" w:cs="Arial"/>
            <w:i/>
            <w:sz w:val="16"/>
          </w:rPr>
          <w:t xml:space="preserve">n </w:t>
        </w:r>
      </w:hyperlink>
      <w:hyperlink r:id="rId85">
        <w:r>
          <w:rPr>
            <w:rFonts w:ascii="Arial" w:eastAsia="Arial" w:hAnsi="Arial" w:cs="Arial"/>
            <w:i/>
            <w:color w:val="0000FF"/>
            <w:sz w:val="16"/>
            <w:u w:val="single" w:color="0000FF"/>
          </w:rPr>
          <w:t>www.ratingdirect.com</w:t>
        </w:r>
      </w:hyperlink>
      <w:hyperlink r:id="rId86">
        <w:r>
          <w:rPr>
            <w:rFonts w:ascii="Arial" w:eastAsia="Arial" w:hAnsi="Arial" w:cs="Arial"/>
            <w:i/>
            <w:sz w:val="16"/>
          </w:rPr>
          <w:t xml:space="preserve"> y</w:t>
        </w:r>
      </w:hyperlink>
      <w:hyperlink r:id="rId87">
        <w:r>
          <w:rPr>
            <w:rFonts w:ascii="Arial" w:eastAsia="Arial" w:hAnsi="Arial" w:cs="Arial"/>
            <w:i/>
            <w:sz w:val="16"/>
          </w:rPr>
          <w:t xml:space="preserve"> </w:t>
        </w:r>
      </w:hyperlink>
      <w:hyperlink r:id="rId88">
        <w:r>
          <w:rPr>
            <w:rFonts w:ascii="Arial" w:eastAsia="Arial" w:hAnsi="Arial" w:cs="Arial"/>
            <w:i/>
            <w:color w:val="0000FF"/>
            <w:sz w:val="16"/>
            <w:u w:val="single" w:color="0000FF"/>
          </w:rPr>
          <w:t>www.globalcreditportal.com</w:t>
        </w:r>
      </w:hyperlink>
      <w:hyperlink r:id="rId89">
        <w:r>
          <w:rPr>
            <w:rFonts w:ascii="Arial" w:eastAsia="Arial" w:hAnsi="Arial" w:cs="Arial"/>
            <w:i/>
            <w:sz w:val="16"/>
          </w:rPr>
          <w:t xml:space="preserve"> </w:t>
        </w:r>
      </w:hyperlink>
      <w:r>
        <w:rPr>
          <w:rFonts w:ascii="Arial" w:eastAsia="Arial" w:hAnsi="Arial" w:cs="Arial"/>
          <w:i/>
          <w:sz w:val="16"/>
        </w:rPr>
        <w:t>(por suscripción) y pueden distribuirse por otros medios, incluyendo las publicaciones de S&amp;P y por redistribuidores externos. Información adicional sobre los honorarios por servicios de calificación está disponible e</w:t>
      </w:r>
      <w:hyperlink r:id="rId90">
        <w:r>
          <w:rPr>
            <w:rFonts w:ascii="Arial" w:eastAsia="Arial" w:hAnsi="Arial" w:cs="Arial"/>
            <w:i/>
            <w:sz w:val="16"/>
          </w:rPr>
          <w:t xml:space="preserve">n </w:t>
        </w:r>
      </w:hyperlink>
      <w:hyperlink r:id="rId91">
        <w:r>
          <w:rPr>
            <w:rFonts w:ascii="Arial" w:eastAsia="Arial" w:hAnsi="Arial" w:cs="Arial"/>
            <w:i/>
            <w:color w:val="0000FF"/>
            <w:sz w:val="16"/>
            <w:u w:val="single" w:color="0000FF"/>
          </w:rPr>
          <w:t>www.standardandpoors.com/usratingsfees</w:t>
        </w:r>
      </w:hyperlink>
      <w:hyperlink r:id="rId92">
        <w:r>
          <w:rPr>
            <w:rFonts w:ascii="Arial" w:eastAsia="Arial" w:hAnsi="Arial" w:cs="Arial"/>
            <w:i/>
            <w:sz w:val="16"/>
          </w:rPr>
          <w:t>.</w:t>
        </w:r>
      </w:hyperlink>
      <w:hyperlink r:id="rId93">
        <w:r>
          <w:rPr>
            <w:rFonts w:ascii="Arial" w:eastAsia="Arial" w:hAnsi="Arial" w:cs="Arial"/>
            <w:sz w:val="16"/>
          </w:rPr>
          <w:t xml:space="preserve"> </w:t>
        </w:r>
      </w:hyperlink>
      <w:r>
        <w:rPr>
          <w:rFonts w:ascii="Arial" w:eastAsia="Arial" w:hAnsi="Arial" w:cs="Arial"/>
          <w:sz w:val="16"/>
        </w:rPr>
        <w:t xml:space="preserve"> </w:t>
      </w:r>
    </w:p>
    <w:p w:rsidR="0054300F" w:rsidRDefault="00D820F4">
      <w:pPr>
        <w:spacing w:after="0"/>
      </w:pPr>
      <w:r>
        <w:rPr>
          <w:rFonts w:ascii="Arial" w:eastAsia="Arial" w:hAnsi="Arial" w:cs="Arial"/>
          <w:sz w:val="16"/>
        </w:rPr>
        <w:t xml:space="preserve"> </w:t>
      </w:r>
    </w:p>
    <w:p w:rsidR="0054300F" w:rsidRDefault="00D820F4">
      <w:pPr>
        <w:spacing w:after="3" w:line="249" w:lineRule="auto"/>
        <w:ind w:left="-5" w:hanging="10"/>
      </w:pPr>
      <w:r>
        <w:rPr>
          <w:rFonts w:ascii="Arial" w:eastAsia="Arial" w:hAnsi="Arial" w:cs="Arial"/>
          <w:sz w:val="16"/>
        </w:rPr>
        <w:t>S&amp;P Global Ratings S.A. de C.V., Av. Javier Barros Sierra No. 540, Torre II, PH2, Col. Lomas de Santa Fe, C.P. 01210 Ciudad de México.</w:t>
      </w:r>
      <w:r>
        <w:rPr>
          <w:rFonts w:ascii="Arial" w:eastAsia="Arial" w:hAnsi="Arial" w:cs="Arial"/>
          <w:sz w:val="21"/>
        </w:rPr>
        <w:t xml:space="preserve"> </w:t>
      </w:r>
    </w:p>
    <w:p w:rsidR="0054300F" w:rsidRDefault="00D820F4">
      <w:pPr>
        <w:spacing w:after="0"/>
      </w:pPr>
      <w:r>
        <w:rPr>
          <w:rFonts w:ascii="Arial" w:eastAsia="Arial" w:hAnsi="Arial" w:cs="Arial"/>
          <w:sz w:val="21"/>
        </w:rPr>
        <w:lastRenderedPageBreak/>
        <w:t xml:space="preserve"> </w:t>
      </w:r>
    </w:p>
    <w:p w:rsidR="0054300F" w:rsidRDefault="00D820F4">
      <w:pPr>
        <w:spacing w:after="16"/>
      </w:pPr>
      <w:r>
        <w:rPr>
          <w:rFonts w:ascii="Arial" w:eastAsia="Arial" w:hAnsi="Arial" w:cs="Arial"/>
          <w:sz w:val="21"/>
        </w:rPr>
        <w:t xml:space="preserve"> </w:t>
      </w:r>
    </w:p>
    <w:p w:rsidR="0054300F" w:rsidRDefault="00D820F4">
      <w:pPr>
        <w:spacing w:after="14"/>
      </w:pPr>
      <w:r>
        <w:rPr>
          <w:rFonts w:ascii="Arial" w:eastAsia="Arial" w:hAnsi="Arial" w:cs="Arial"/>
          <w:sz w:val="21"/>
        </w:rPr>
        <w:t xml:space="preserve"> </w:t>
      </w:r>
    </w:p>
    <w:p w:rsidR="0054300F" w:rsidRDefault="00D820F4">
      <w:pPr>
        <w:spacing w:after="0"/>
      </w:pPr>
      <w:r>
        <w:rPr>
          <w:rFonts w:ascii="Arial" w:eastAsia="Arial" w:hAnsi="Arial" w:cs="Arial"/>
          <w:sz w:val="21"/>
        </w:rPr>
        <w:t xml:space="preserve"> </w:t>
      </w:r>
    </w:p>
    <w:sectPr w:rsidR="0054300F">
      <w:footerReference w:type="even" r:id="rId94"/>
      <w:footerReference w:type="default" r:id="rId95"/>
      <w:footerReference w:type="first" r:id="rId96"/>
      <w:pgSz w:w="12240" w:h="15840"/>
      <w:pgMar w:top="1419" w:right="1450" w:bottom="1618" w:left="1440" w:header="720" w:footer="69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20F4">
      <w:pPr>
        <w:spacing w:after="0" w:line="240" w:lineRule="auto"/>
      </w:pPr>
      <w:r>
        <w:separator/>
      </w:r>
    </w:p>
  </w:endnote>
  <w:endnote w:type="continuationSeparator" w:id="0">
    <w:p w:rsidR="00000000" w:rsidRDefault="00D8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D820F4">
    <w:pPr>
      <w:spacing w:after="248"/>
    </w:pPr>
    <w:r>
      <w:rPr>
        <w:rFonts w:ascii="Arial" w:eastAsia="Arial" w:hAnsi="Arial" w:cs="Arial"/>
        <w:color w:val="E21737"/>
        <w:sz w:val="16"/>
      </w:rPr>
      <w:t xml:space="preserve"> </w:t>
    </w:r>
  </w:p>
  <w:p w:rsidR="0054300F" w:rsidRDefault="00D820F4">
    <w:pPr>
      <w:tabs>
        <w:tab w:val="center" w:pos="9667"/>
        <w:tab w:val="right" w:pos="9811"/>
      </w:tabs>
      <w:spacing w:after="0"/>
    </w:pPr>
    <w:r>
      <w:rPr>
        <w:rFonts w:ascii="Arial" w:eastAsia="Arial" w:hAnsi="Arial" w:cs="Arial"/>
        <w:color w:val="E21737"/>
        <w:sz w:val="16"/>
      </w:rPr>
      <w:t xml:space="preserve">S&amp;P Global Ratings  </w:t>
    </w:r>
    <w:r>
      <w:rPr>
        <w:rFonts w:ascii="Arial" w:eastAsia="Arial" w:hAnsi="Arial" w:cs="Arial"/>
        <w:color w:val="E21737"/>
        <w:sz w:val="16"/>
      </w:rPr>
      <w:tab/>
    </w:r>
    <w:r>
      <w:fldChar w:fldCharType="begin"/>
    </w:r>
    <w:r>
      <w:instrText xml:space="preserve"> PAGE   \* MERGEFORMAT </w:instrText>
    </w:r>
    <w:r>
      <w:fldChar w:fldCharType="separate"/>
    </w:r>
    <w:r w:rsidRPr="00D820F4">
      <w:rPr>
        <w:rFonts w:ascii="Arial" w:eastAsia="Arial" w:hAnsi="Arial" w:cs="Arial"/>
        <w:noProof/>
        <w:sz w:val="16"/>
      </w:rPr>
      <w:t>2</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r>
    <w:r>
      <w:rPr>
        <w:rFonts w:ascii="Arial" w:eastAsia="Arial" w:hAnsi="Arial" w:cs="Arial"/>
        <w:color w:val="E21737"/>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54300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54300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D820F4">
    <w:pPr>
      <w:spacing w:after="248"/>
    </w:pPr>
    <w:r>
      <w:rPr>
        <w:rFonts w:ascii="Arial" w:eastAsia="Arial" w:hAnsi="Arial" w:cs="Arial"/>
        <w:color w:val="E21737"/>
        <w:sz w:val="16"/>
      </w:rPr>
      <w:t xml:space="preserve"> </w:t>
    </w:r>
  </w:p>
  <w:p w:rsidR="0054300F" w:rsidRDefault="00D820F4">
    <w:pPr>
      <w:tabs>
        <w:tab w:val="center" w:pos="9667"/>
        <w:tab w:val="right" w:pos="9711"/>
      </w:tabs>
      <w:spacing w:after="0"/>
      <w:ind w:right="-361"/>
    </w:pPr>
    <w:r>
      <w:rPr>
        <w:rFonts w:ascii="Arial" w:eastAsia="Arial" w:hAnsi="Arial" w:cs="Arial"/>
        <w:color w:val="E21737"/>
        <w:sz w:val="16"/>
      </w:rPr>
      <w:t xml:space="preserve">S&amp;P Global Ratings  </w:t>
    </w:r>
    <w:r>
      <w:rPr>
        <w:rFonts w:ascii="Arial" w:eastAsia="Arial" w:hAnsi="Arial" w:cs="Arial"/>
        <w:color w:val="E21737"/>
        <w:sz w:val="16"/>
      </w:rPr>
      <w:tab/>
    </w:r>
    <w:r>
      <w:fldChar w:fldCharType="begin"/>
    </w:r>
    <w:r>
      <w:instrText xml:space="preserve"> PAGE   \* MERGEFORMAT </w:instrText>
    </w:r>
    <w:r>
      <w:fldChar w:fldCharType="separate"/>
    </w:r>
    <w:r w:rsidRPr="00D820F4">
      <w:rPr>
        <w:rFonts w:ascii="Arial" w:eastAsia="Arial" w:hAnsi="Arial" w:cs="Arial"/>
        <w:noProof/>
        <w:sz w:val="16"/>
      </w:rPr>
      <w:t>8</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r>
    <w:r>
      <w:rPr>
        <w:rFonts w:ascii="Arial" w:eastAsia="Arial" w:hAnsi="Arial" w:cs="Arial"/>
        <w:color w:val="E21737"/>
        <w:sz w:val="16"/>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D820F4">
    <w:pPr>
      <w:spacing w:after="248"/>
    </w:pPr>
    <w:r>
      <w:rPr>
        <w:rFonts w:ascii="Arial" w:eastAsia="Arial" w:hAnsi="Arial" w:cs="Arial"/>
        <w:color w:val="E21737"/>
        <w:sz w:val="16"/>
      </w:rPr>
      <w:t xml:space="preserve"> </w:t>
    </w:r>
  </w:p>
  <w:p w:rsidR="0054300F" w:rsidRDefault="00D820F4">
    <w:pPr>
      <w:tabs>
        <w:tab w:val="center" w:pos="9667"/>
        <w:tab w:val="right" w:pos="9711"/>
      </w:tabs>
      <w:spacing w:after="0"/>
      <w:ind w:right="-361"/>
    </w:pPr>
    <w:r>
      <w:rPr>
        <w:rFonts w:ascii="Arial" w:eastAsia="Arial" w:hAnsi="Arial" w:cs="Arial"/>
        <w:color w:val="E21737"/>
        <w:sz w:val="16"/>
      </w:rPr>
      <w:t xml:space="preserve">S&amp;P Global Ratings  </w:t>
    </w:r>
    <w:r>
      <w:rPr>
        <w:rFonts w:ascii="Arial" w:eastAsia="Arial" w:hAnsi="Arial" w:cs="Arial"/>
        <w:color w:val="E21737"/>
        <w:sz w:val="16"/>
      </w:rPr>
      <w:tab/>
    </w:r>
    <w:r>
      <w:fldChar w:fldCharType="begin"/>
    </w:r>
    <w:r>
      <w:instrText xml:space="preserve"> PAGE   \* MERGEFORMAT </w:instrText>
    </w:r>
    <w:r>
      <w:fldChar w:fldCharType="separate"/>
    </w:r>
    <w:r w:rsidRPr="00D820F4">
      <w:rPr>
        <w:rFonts w:ascii="Arial" w:eastAsia="Arial" w:hAnsi="Arial" w:cs="Arial"/>
        <w:noProof/>
        <w:sz w:val="16"/>
      </w:rPr>
      <w:t>9</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r>
    <w:r>
      <w:rPr>
        <w:rFonts w:ascii="Arial" w:eastAsia="Arial" w:hAnsi="Arial" w:cs="Arial"/>
        <w:color w:val="E21737"/>
        <w:sz w:val="16"/>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00F" w:rsidRDefault="00D820F4">
    <w:pPr>
      <w:spacing w:after="248"/>
    </w:pPr>
    <w:r>
      <w:rPr>
        <w:rFonts w:ascii="Arial" w:eastAsia="Arial" w:hAnsi="Arial" w:cs="Arial"/>
        <w:color w:val="E21737"/>
        <w:sz w:val="16"/>
      </w:rPr>
      <w:t xml:space="preserve"> </w:t>
    </w:r>
  </w:p>
  <w:p w:rsidR="0054300F" w:rsidRDefault="00D820F4">
    <w:pPr>
      <w:tabs>
        <w:tab w:val="center" w:pos="9667"/>
        <w:tab w:val="right" w:pos="9711"/>
      </w:tabs>
      <w:spacing w:after="0"/>
      <w:ind w:right="-361"/>
    </w:pPr>
    <w:r>
      <w:rPr>
        <w:rFonts w:ascii="Arial" w:eastAsia="Arial" w:hAnsi="Arial" w:cs="Arial"/>
        <w:color w:val="E21737"/>
        <w:sz w:val="16"/>
      </w:rPr>
      <w:t xml:space="preserve">S&amp;P Global Ratings  </w:t>
    </w:r>
    <w:r>
      <w:rPr>
        <w:rFonts w:ascii="Arial" w:eastAsia="Arial" w:hAnsi="Arial" w:cs="Arial"/>
        <w:color w:val="E21737"/>
        <w:sz w:val="16"/>
      </w:rPr>
      <w:tab/>
    </w:r>
    <w:r>
      <w:fldChar w:fldCharType="begin"/>
    </w:r>
    <w:r>
      <w:instrText xml:space="preserve"> PAGE   \* MERGEFORMAT </w:instrText>
    </w:r>
    <w: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r>
      <w:rPr>
        <w:rFonts w:ascii="Arial" w:eastAsia="Arial" w:hAnsi="Arial" w:cs="Arial"/>
        <w:sz w:val="16"/>
      </w:rPr>
      <w:tab/>
    </w:r>
    <w:r>
      <w:rPr>
        <w:rFonts w:ascii="Arial" w:eastAsia="Arial" w:hAnsi="Arial" w:cs="Arial"/>
        <w:color w:val="E21737"/>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20F4">
      <w:pPr>
        <w:spacing w:after="0" w:line="240" w:lineRule="auto"/>
      </w:pPr>
      <w:r>
        <w:separator/>
      </w:r>
    </w:p>
  </w:footnote>
  <w:footnote w:type="continuationSeparator" w:id="0">
    <w:p w:rsidR="00000000" w:rsidRDefault="00D82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30D"/>
    <w:multiLevelType w:val="hybridMultilevel"/>
    <w:tmpl w:val="A8369DBC"/>
    <w:lvl w:ilvl="0" w:tplc="D1E6ED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3820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78E9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0A29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EAAF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C003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C4A7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36DA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6E5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6647DDF"/>
    <w:multiLevelType w:val="hybridMultilevel"/>
    <w:tmpl w:val="64EAEAC0"/>
    <w:lvl w:ilvl="0" w:tplc="6EF40B2A">
      <w:start w:val="1"/>
      <w:numFmt w:val="decimal"/>
      <w:lvlText w:val="%1)"/>
      <w:lvlJc w:val="left"/>
      <w:pPr>
        <w:ind w:left="2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C44C5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1DC692E2">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710860E">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301882B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461054EA">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19BCA0C0">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735C0F7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59C67E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223D21"/>
    <w:multiLevelType w:val="hybridMultilevel"/>
    <w:tmpl w:val="996A02A0"/>
    <w:lvl w:ilvl="0" w:tplc="06F662D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702F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0EA7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5C92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7EE6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7C67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A0EB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C835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36E3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98E1245"/>
    <w:multiLevelType w:val="hybridMultilevel"/>
    <w:tmpl w:val="32E01FD6"/>
    <w:lvl w:ilvl="0" w:tplc="9DF409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28582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46FC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2A2F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FC5D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7846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F1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8F19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D624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0F"/>
    <w:rsid w:val="0054300F"/>
    <w:rsid w:val="00D8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49311-1D03-4B31-9641-17737C4C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0" w:hanging="10"/>
      <w:outlineLvl w:val="0"/>
    </w:pPr>
    <w:rPr>
      <w:rFonts w:ascii="Arial" w:eastAsia="Arial" w:hAnsi="Arial" w:cs="Arial"/>
      <w:color w:val="E2163D"/>
      <w:sz w:val="24"/>
    </w:rPr>
  </w:style>
  <w:style w:type="paragraph" w:styleId="Ttulo2">
    <w:name w:val="heading 2"/>
    <w:next w:val="Normal"/>
    <w:link w:val="Ttulo2Car"/>
    <w:uiPriority w:val="9"/>
    <w:unhideWhenUsed/>
    <w:qFormat/>
    <w:pPr>
      <w:keepNext/>
      <w:keepLines/>
      <w:spacing w:after="0"/>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Arial" w:eastAsia="Arial" w:hAnsi="Arial" w:cs="Arial"/>
      <w:color w:val="E2163D"/>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standardandpoors.com/es_LA/web/guest/ratings/entity/-/org-details/sectorCode/GOVS/entityId/367565" TargetMode="External"/><Relationship Id="rId21" Type="http://schemas.openxmlformats.org/officeDocument/2006/relationships/hyperlink" Target="http://www.standardandpoors.com/es_LA/web/guest/ratings/entity/-/org-details/sectorCode/GOVS/entityId/340844" TargetMode="External"/><Relationship Id="rId34" Type="http://schemas.openxmlformats.org/officeDocument/2006/relationships/hyperlink" Target="http://www.standardandpoors.com/es_LA/web/guest/ratings/entity/-/org-details/sectorCode/GOVS/entityId/345731" TargetMode="External"/><Relationship Id="rId42" Type="http://schemas.openxmlformats.org/officeDocument/2006/relationships/hyperlink" Target="http://www.spratings.com/documents/20184/1491346/GOV_SOV_Julio6_2017_SovereignRiskIndicators/0212ab4e-8727-4534-9bd4-7b7ddb67ad10" TargetMode="External"/><Relationship Id="rId47" Type="http://schemas.openxmlformats.org/officeDocument/2006/relationships/hyperlink" Target="http://www.standardandpoors.com/es_LA/web/guest/article/-/view/sourceId/100014988" TargetMode="External"/><Relationship Id="rId50" Type="http://schemas.openxmlformats.org/officeDocument/2006/relationships/hyperlink" Target="http://www.standardandpoors.com/es_LA/web/guest/article/-/view/sourceId/100010915" TargetMode="External"/><Relationship Id="rId55" Type="http://schemas.openxmlformats.org/officeDocument/2006/relationships/hyperlink" Target="https://www.spratings.com/documents/20184/1493074/FI_BANKS_Septiembre7_2017_AnalisisdeRiesgosdelaIndustriaBancariaporPaisMexico/351892fa-1981-4333-a4a0-4397f162e228" TargetMode="External"/><Relationship Id="rId63" Type="http://schemas.openxmlformats.org/officeDocument/2006/relationships/hyperlink" Target="https://www.spratings.com/documents/20184/798028/GOV_SOV_IPF_August2015_MexicoFiscalDiscipline/511b44bc-fc68-458f-ac8d-7ddb0231f92a" TargetMode="External"/><Relationship Id="rId68" Type="http://schemas.openxmlformats.org/officeDocument/2006/relationships/hyperlink" Target="file://Insight/B/DocShare/OC093e957c8830b0ed_0b3e957c8811ea48_3/SP%20Workflow/DocshareJobs/RA-210692/:%20http:/www.standardandpoors.com/es_LA/web/guest/article/-/view/sourceId/100012350" TargetMode="External"/><Relationship Id="rId76" Type="http://schemas.openxmlformats.org/officeDocument/2006/relationships/hyperlink" Target="http://www.standardandpoors.com.mx/" TargetMode="External"/><Relationship Id="rId84" Type="http://schemas.openxmlformats.org/officeDocument/2006/relationships/hyperlink" Target="http://www.ratingsdirect.com/" TargetMode="External"/><Relationship Id="rId89" Type="http://schemas.openxmlformats.org/officeDocument/2006/relationships/hyperlink" Target="http://www.globalcreditportal.com/" TargetMode="External"/><Relationship Id="rId97"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hyperlink" Target="http://www.standardandpoors.com.mx/" TargetMode="External"/><Relationship Id="rId92" Type="http://schemas.openxmlformats.org/officeDocument/2006/relationships/hyperlink" Target="http://www.standardandpoors.com/usratingsfees" TargetMode="External"/><Relationship Id="rId2" Type="http://schemas.openxmlformats.org/officeDocument/2006/relationships/styles" Target="styles.xml"/><Relationship Id="rId16" Type="http://schemas.openxmlformats.org/officeDocument/2006/relationships/hyperlink" Target="http://www.standardandpoors.com/es_LA/web/guest/ratings/entity/-/org-details/sectorCode/GOVS/entityId/345730" TargetMode="External"/><Relationship Id="rId29" Type="http://schemas.openxmlformats.org/officeDocument/2006/relationships/hyperlink" Target="http://www.standardandpoors.com/es_LA/web/guest/ratings/entity/-/org-details/sectorCode/GOVS/entityId/345730" TargetMode="External"/><Relationship Id="rId11" Type="http://schemas.openxmlformats.org/officeDocument/2006/relationships/footer" Target="footer3.xml"/><Relationship Id="rId24" Type="http://schemas.openxmlformats.org/officeDocument/2006/relationships/hyperlink" Target="http://www.standardandpoors.com/es_LA/web/guest/ratings/entity/-/org-details/sectorCode/GOVS/entityId/347949" TargetMode="External"/><Relationship Id="rId32" Type="http://schemas.openxmlformats.org/officeDocument/2006/relationships/hyperlink" Target="http://www.standardandpoors.com/es_LA/web/guest/ratings/entity/-/org-details/sectorCode/GOVS/entityId/340844" TargetMode="External"/><Relationship Id="rId37" Type="http://schemas.openxmlformats.org/officeDocument/2006/relationships/hyperlink" Target="http://www.standardandpoors.com/es_LA/web/guest/ratings/entity/-/org-details/sectorCode/GOVS/entityId/347949" TargetMode="External"/><Relationship Id="rId40" Type="http://schemas.openxmlformats.org/officeDocument/2006/relationships/image" Target="media/image3.png"/><Relationship Id="rId45" Type="http://schemas.openxmlformats.org/officeDocument/2006/relationships/hyperlink" Target="http://www.standardandpoors.com/es_LA/web/guest/article/-/view/sourceId/100000794" TargetMode="External"/><Relationship Id="rId53" Type="http://schemas.openxmlformats.org/officeDocument/2006/relationships/hyperlink" Target="http://www.standardandpoors.com/es_LA/web/guest/article/-/view/sourceId/100004259" TargetMode="External"/><Relationship Id="rId58" Type="http://schemas.openxmlformats.org/officeDocument/2006/relationships/hyperlink" Target="http://www.spratings.com/documents/20184/1491346/GOV_IPF_Abr20_2016_Vulnerablessonfinanzasestadosmexicanos/83e27b91-f681-4aac-8c34-4060b2b54c19" TargetMode="External"/><Relationship Id="rId66" Type="http://schemas.openxmlformats.org/officeDocument/2006/relationships/hyperlink" Target="https://www.spratings.com/documents/20184/1491346/GOV_IPF_Mayo01_2017_EstadosmexicanosexpectantesantelaincertidumbreporrenegociacionesdelTLCAN/a67bb485-cd87-4b67-906a-89f49ce99dd3" TargetMode="External"/><Relationship Id="rId74" Type="http://schemas.openxmlformats.org/officeDocument/2006/relationships/hyperlink" Target="http://www.standardandpoors.com/" TargetMode="External"/><Relationship Id="rId79" Type="http://schemas.openxmlformats.org/officeDocument/2006/relationships/hyperlink" Target="http://www.standardandpoors.cl/" TargetMode="External"/><Relationship Id="rId87" Type="http://schemas.openxmlformats.org/officeDocument/2006/relationships/hyperlink" Target="http://www.globalcreditportal.com/" TargetMode="External"/><Relationship Id="rId5" Type="http://schemas.openxmlformats.org/officeDocument/2006/relationships/footnotes" Target="footnotes.xml"/><Relationship Id="rId61" Type="http://schemas.openxmlformats.org/officeDocument/2006/relationships/hyperlink" Target="https://www.spratings.com/documents/20184/798028/GOV_SOV_IPF_August2015_MexicoFiscalDiscipline/511b44bc-fc68-458f-ac8d-7ddb0231f92a" TargetMode="External"/><Relationship Id="rId82" Type="http://schemas.openxmlformats.org/officeDocument/2006/relationships/hyperlink" Target="http://www.standardandpoors.com.br/" TargetMode="External"/><Relationship Id="rId90" Type="http://schemas.openxmlformats.org/officeDocument/2006/relationships/hyperlink" Target="http://www.standardandpoors.com/usratingsfees" TargetMode="External"/><Relationship Id="rId95" Type="http://schemas.openxmlformats.org/officeDocument/2006/relationships/footer" Target="footer5.xml"/><Relationship Id="rId19" Type="http://schemas.openxmlformats.org/officeDocument/2006/relationships/hyperlink" Target="http://www.standardandpoors.com/es_LA/web/guest/ratings/entity/-/org-details/sectorCode/GOVS/entityId/345730" TargetMode="External"/><Relationship Id="rId14" Type="http://schemas.openxmlformats.org/officeDocument/2006/relationships/hyperlink" Target="http://www.standardandpoors.com/es_LA/web/guest/ratings/entity/-/org-details/sectorCode/GOVS/entityId/347949" TargetMode="External"/><Relationship Id="rId22" Type="http://schemas.openxmlformats.org/officeDocument/2006/relationships/hyperlink" Target="http://www.standardandpoors.com/es_LA/web/guest/ratings/entity/-/org-details/sectorCode/GOVS/entityId/345731" TargetMode="External"/><Relationship Id="rId27" Type="http://schemas.openxmlformats.org/officeDocument/2006/relationships/hyperlink" Target="http://www.standardandpoors.com/es_LA/web/guest/ratings/entity/-/org-details/sectorCode/GOVS/entityId/367565" TargetMode="External"/><Relationship Id="rId30" Type="http://schemas.openxmlformats.org/officeDocument/2006/relationships/hyperlink" Target="http://www.standardandpoors.com/es_LA/web/guest/ratings/entity/-/org-details/sectorCode/GOVS/entityId/345730" TargetMode="External"/><Relationship Id="rId35" Type="http://schemas.openxmlformats.org/officeDocument/2006/relationships/hyperlink" Target="http://www.standardandpoors.com/es_LA/web/guest/ratings/entity/-/org-details/sectorCode/GOVS/entityId/345731" TargetMode="External"/><Relationship Id="rId43" Type="http://schemas.openxmlformats.org/officeDocument/2006/relationships/hyperlink" Target="http://www.standardandpoors.com/es_LA/web/guest/article/-/view/sourceId/100000740" TargetMode="External"/><Relationship Id="rId48" Type="http://schemas.openxmlformats.org/officeDocument/2006/relationships/hyperlink" Target="http://www.standardandpoors.com/es_LA/web/guest/article/-/view/sourceId/100014988" TargetMode="External"/><Relationship Id="rId56" Type="http://schemas.openxmlformats.org/officeDocument/2006/relationships/hyperlink" Target="https://www.spratings.com/documents/20184/1493074/FI_BANKS_Septiembre7_2017_AnalisisdeRiesgosdelaIndustriaBancariaporPaisMexico/351892fa-1981-4333-a4a0-4397f162e228" TargetMode="External"/><Relationship Id="rId64" Type="http://schemas.openxmlformats.org/officeDocument/2006/relationships/hyperlink" Target="https://www.spratings.com/documents/20184/798028/GOV_SOV_IPF_August2015_MexicoFiscalDiscipline/511b44bc-fc68-458f-ac8d-7ddb0231f92a" TargetMode="External"/><Relationship Id="rId69" Type="http://schemas.openxmlformats.org/officeDocument/2006/relationships/hyperlink" Target="file://Insight/B/DocShare/OC093e957c8830b0ed_0b3e957c8811ea48_3/SP%20Workflow/DocshareJobs/RA-210692/:%20http:/www.standardandpoors.com/es_LA/web/guest/article/-/view/sourceId/100012350" TargetMode="External"/><Relationship Id="rId77" Type="http://schemas.openxmlformats.org/officeDocument/2006/relationships/hyperlink" Target="http://www.standardandpoors.com.ar/" TargetMode="External"/><Relationship Id="rId8" Type="http://schemas.openxmlformats.org/officeDocument/2006/relationships/image" Target="media/image2.png"/><Relationship Id="rId51" Type="http://schemas.openxmlformats.org/officeDocument/2006/relationships/hyperlink" Target="http://www.standardandpoors.com/es_LA/web/guest/article/-/view/sourceId/100011694" TargetMode="External"/><Relationship Id="rId72" Type="http://schemas.openxmlformats.org/officeDocument/2006/relationships/hyperlink" Target="http://www.standardandpoors.com.mx/" TargetMode="External"/><Relationship Id="rId80" Type="http://schemas.openxmlformats.org/officeDocument/2006/relationships/hyperlink" Target="http://www.standardandpoors.cl/" TargetMode="External"/><Relationship Id="rId85" Type="http://schemas.openxmlformats.org/officeDocument/2006/relationships/hyperlink" Target="http://www.ratingsdirect.com/" TargetMode="External"/><Relationship Id="rId93" Type="http://schemas.openxmlformats.org/officeDocument/2006/relationships/hyperlink" Target="http://www.standardandpoors.com/usratingsfees"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standardandpoors.com/es_LA/web/guest/ratings/entity/-/org-details/sectorCode/GOVS/entityId/340844" TargetMode="External"/><Relationship Id="rId17" Type="http://schemas.openxmlformats.org/officeDocument/2006/relationships/hyperlink" Target="http://www.standardandpoors.com/es_LA/web/guest/ratings/entity/-/org-details/sectorCode/GOVS/entityId/345730" TargetMode="External"/><Relationship Id="rId25" Type="http://schemas.openxmlformats.org/officeDocument/2006/relationships/hyperlink" Target="http://www.standardandpoors.com/es_LA/web/guest/ratings/entity/-/org-details/sectorCode/GOVS/entityId/347949" TargetMode="External"/><Relationship Id="rId33" Type="http://schemas.openxmlformats.org/officeDocument/2006/relationships/hyperlink" Target="http://www.standardandpoors.com/es_LA/web/guest/ratings/entity/-/org-details/sectorCode/GOVS/entityId/340844" TargetMode="External"/><Relationship Id="rId38" Type="http://schemas.openxmlformats.org/officeDocument/2006/relationships/hyperlink" Target="http://www.standardandpoors.com/es_LA/web/guest/ratings/entity/-/org-details/sectorCode/GOVS/entityId/367565" TargetMode="External"/><Relationship Id="rId46" Type="http://schemas.openxmlformats.org/officeDocument/2006/relationships/hyperlink" Target="http://www.standardandpoors.com/es_LA/web/guest/article/-/view/sourceId/100000794" TargetMode="External"/><Relationship Id="rId59" Type="http://schemas.openxmlformats.org/officeDocument/2006/relationships/hyperlink" Target="http://www.spratings.com/documents/20184/1491346/GOV_IPF_Abr20_2016_Vulnerablessonfinanzasestadosmexicanos/83e27b91-f681-4aac-8c34-4060b2b54c19" TargetMode="External"/><Relationship Id="rId67" Type="http://schemas.openxmlformats.org/officeDocument/2006/relationships/hyperlink" Target="file://Insight/B/DocShare/OC093e957c8830b0ed_0b3e957c8811ea48_3/SP%20Workflow/DocshareJobs/RA-210692/:%20http:/www.standardandpoors.com/es_LA/web/guest/article/-/view/sourceId/100012350" TargetMode="External"/><Relationship Id="rId20" Type="http://schemas.openxmlformats.org/officeDocument/2006/relationships/hyperlink" Target="http://www.standardandpoors.com/es_LA/web/guest/ratings/entity/-/org-details/sectorCode/GOVS/entityId/340844" TargetMode="External"/><Relationship Id="rId41" Type="http://schemas.openxmlformats.org/officeDocument/2006/relationships/hyperlink" Target="http://www.spratings.com/documents/20184/1491346/GOV_SOV_Julio6_2017_SovereignRiskIndicators/0212ab4e-8727-4534-9bd4-7b7ddb67ad10" TargetMode="External"/><Relationship Id="rId54" Type="http://schemas.openxmlformats.org/officeDocument/2006/relationships/hyperlink" Target="http://www.standardandpoors.com/es_LA/web/guest/article/-/view/sourceId/100004259" TargetMode="External"/><Relationship Id="rId62" Type="http://schemas.openxmlformats.org/officeDocument/2006/relationships/hyperlink" Target="https://www.spratings.com/documents/20184/798028/GOV_SOV_IPF_August2015_MexicoFiscalDiscipline/511b44bc-fc68-458f-ac8d-7ddb0231f92a" TargetMode="External"/><Relationship Id="rId70" Type="http://schemas.openxmlformats.org/officeDocument/2006/relationships/hyperlink" Target="file://Insight/B/DocShare/OC093e957c8830b0ed_0b3e957c8811ea48_3/SP%20Workflow/DocshareJobs/RA-210692/:%20http:/www.standardandpoors.com/es_LA/web/guest/article/-/view/sourceId/100012350" TargetMode="External"/><Relationship Id="rId75" Type="http://schemas.openxmlformats.org/officeDocument/2006/relationships/hyperlink" Target="http://www.standardandpoors.com/" TargetMode="External"/><Relationship Id="rId83" Type="http://schemas.openxmlformats.org/officeDocument/2006/relationships/hyperlink" Target="http://www.standardandpoors.com.br/" TargetMode="External"/><Relationship Id="rId88" Type="http://schemas.openxmlformats.org/officeDocument/2006/relationships/hyperlink" Target="http://www.globalcreditportal.com/" TargetMode="External"/><Relationship Id="rId91" Type="http://schemas.openxmlformats.org/officeDocument/2006/relationships/hyperlink" Target="http://www.standardandpoors.com/usratingsfees" TargetMode="External"/><Relationship Id="rId9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tandardandpoors.com/es_LA/web/guest/ratings/entity/-/org-details/sectorCode/GOVS/entityId/347949" TargetMode="External"/><Relationship Id="rId23" Type="http://schemas.openxmlformats.org/officeDocument/2006/relationships/hyperlink" Target="http://www.standardandpoors.com/es_LA/web/guest/ratings/entity/-/org-details/sectorCode/GOVS/entityId/345731" TargetMode="External"/><Relationship Id="rId28" Type="http://schemas.openxmlformats.org/officeDocument/2006/relationships/hyperlink" Target="http://www.standardandpoors.com/es_LA/web/guest/ratings/entity/-/org-details/sectorCode/GOVS/entityId/345730" TargetMode="External"/><Relationship Id="rId36" Type="http://schemas.openxmlformats.org/officeDocument/2006/relationships/hyperlink" Target="http://www.standardandpoors.com/es_LA/web/guest/ratings/entity/-/org-details/sectorCode/GOVS/entityId/347949" TargetMode="External"/><Relationship Id="rId49" Type="http://schemas.openxmlformats.org/officeDocument/2006/relationships/hyperlink" Target="http://www.standardandpoors.com/es_LA/web/guest/article/-/view/sourceId/100010915" TargetMode="External"/><Relationship Id="rId57" Type="http://schemas.openxmlformats.org/officeDocument/2006/relationships/hyperlink" Target="http://www.spratings.com/documents/20184/1491346/GOV_IPF_Abr20_2016_Vulnerablessonfinanzasestadosmexicanos/83e27b91-f681-4aac-8c34-4060b2b54c19" TargetMode="External"/><Relationship Id="rId10" Type="http://schemas.openxmlformats.org/officeDocument/2006/relationships/footer" Target="footer2.xml"/><Relationship Id="rId31" Type="http://schemas.openxmlformats.org/officeDocument/2006/relationships/hyperlink" Target="http://www.standardandpoors.com/es_LA/web/guest/ratings/entity/-/org-details/sectorCode/GOVS/entityId/345730" TargetMode="External"/><Relationship Id="rId44" Type="http://schemas.openxmlformats.org/officeDocument/2006/relationships/hyperlink" Target="http://www.standardandpoors.com/es_LA/web/guest/article/-/view/sourceId/100000740" TargetMode="External"/><Relationship Id="rId52" Type="http://schemas.openxmlformats.org/officeDocument/2006/relationships/hyperlink" Target="http://www.standardandpoors.com/es_LA/web/guest/article/-/view/sourceId/100011694" TargetMode="External"/><Relationship Id="rId60" Type="http://schemas.openxmlformats.org/officeDocument/2006/relationships/hyperlink" Target="http://www.spratings.com/documents/20184/1491346/GOV_IPF_Abr20_2016_Vulnerablessonfinanzasestadosmexicanos/83e27b91-f681-4aac-8c34-4060b2b54c19" TargetMode="External"/><Relationship Id="rId65" Type="http://schemas.openxmlformats.org/officeDocument/2006/relationships/hyperlink" Target="https://www.spratings.com/documents/20184/1491346/GOV_IPF_Mayo01_2017_EstadosmexicanosexpectantesantelaincertidumbreporrenegociacionesdelTLCAN/a67bb485-cd87-4b67-906a-89f49ce99dd3" TargetMode="External"/><Relationship Id="rId73" Type="http://schemas.openxmlformats.org/officeDocument/2006/relationships/hyperlink" Target="http://www.standardandpoors.com/" TargetMode="External"/><Relationship Id="rId78" Type="http://schemas.openxmlformats.org/officeDocument/2006/relationships/hyperlink" Target="http://www.standardandpoors.com.ar/" TargetMode="External"/><Relationship Id="rId81" Type="http://schemas.openxmlformats.org/officeDocument/2006/relationships/hyperlink" Target="http://www.standardandpoors.com.br/" TargetMode="External"/><Relationship Id="rId86" Type="http://schemas.openxmlformats.org/officeDocument/2006/relationships/hyperlink" Target="http://www.ratingsdirect.com/" TargetMode="External"/><Relationship Id="rId9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standardandpoors.com/es_LA/web/guest/ratings/entity/-/org-details/sectorCode/GOVS/entityId/340844" TargetMode="External"/><Relationship Id="rId18" Type="http://schemas.openxmlformats.org/officeDocument/2006/relationships/hyperlink" Target="http://www.standardandpoors.com/es_LA/web/guest/ratings/entity/-/org-details/sectorCode/GOVS/entityId/345730" TargetMode="External"/><Relationship Id="rId39" Type="http://schemas.openxmlformats.org/officeDocument/2006/relationships/hyperlink" Target="http://www.standardandpoors.com/es_LA/web/guest/ratings/entity/-/org-details/sectorCode/GOVS/entityId/36756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4935</Words>
  <Characters>28130</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Hill Companies</dc:creator>
  <cp:keywords/>
  <cp:lastModifiedBy>Yeni Ariatna Reyes Galan</cp:lastModifiedBy>
  <cp:revision>2</cp:revision>
  <dcterms:created xsi:type="dcterms:W3CDTF">2018-01-17T22:55:00Z</dcterms:created>
  <dcterms:modified xsi:type="dcterms:W3CDTF">2018-01-17T22:55:00Z</dcterms:modified>
</cp:coreProperties>
</file>