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1821B" w14:textId="77777777" w:rsidR="00C54B06" w:rsidRPr="00365C8B" w:rsidRDefault="00C6291C" w:rsidP="00576C68">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 xml:space="preserve">Anexo </w:t>
      </w:r>
      <w:r>
        <w:rPr>
          <w:rFonts w:asciiTheme="minorHAnsi" w:hAnsiTheme="minorHAnsi" w:cstheme="minorHAnsi"/>
          <w:b/>
          <w:sz w:val="22"/>
          <w:szCs w:val="22"/>
        </w:rPr>
        <w:t>2</w:t>
      </w:r>
    </w:p>
    <w:p w14:paraId="4528FED4" w14:textId="77777777" w:rsidR="00C54B06" w:rsidRPr="00365C8B" w:rsidRDefault="00C6291C" w:rsidP="00C54B06">
      <w:pPr>
        <w:spacing w:after="0" w:line="240" w:lineRule="auto"/>
        <w:jc w:val="center"/>
        <w:rPr>
          <w:rFonts w:asciiTheme="minorHAnsi" w:hAnsiTheme="minorHAnsi" w:cstheme="minorHAnsi"/>
          <w:b/>
          <w:sz w:val="22"/>
          <w:szCs w:val="22"/>
        </w:rPr>
      </w:pPr>
      <w:r w:rsidRPr="00365C8B">
        <w:rPr>
          <w:rFonts w:asciiTheme="minorHAnsi" w:hAnsiTheme="minorHAnsi" w:cstheme="minorHAnsi"/>
          <w:b/>
          <w:sz w:val="22"/>
          <w:szCs w:val="22"/>
        </w:rPr>
        <w:t xml:space="preserve">Formato de Oferta de </w:t>
      </w:r>
      <w:r>
        <w:rPr>
          <w:rFonts w:asciiTheme="minorHAnsi" w:hAnsiTheme="minorHAnsi" w:cstheme="minorHAnsi"/>
          <w:b/>
          <w:sz w:val="22"/>
          <w:szCs w:val="22"/>
        </w:rPr>
        <w:t>Garantía</w:t>
      </w:r>
    </w:p>
    <w:p w14:paraId="50C4ED9F" w14:textId="77777777" w:rsidR="00C54B06" w:rsidRPr="00365C8B" w:rsidRDefault="00C6291C" w:rsidP="00C54B06">
      <w:pPr>
        <w:spacing w:after="0" w:line="240" w:lineRule="auto"/>
        <w:jc w:val="right"/>
        <w:rPr>
          <w:rFonts w:asciiTheme="minorHAnsi" w:hAnsiTheme="minorHAnsi" w:cstheme="minorHAnsi"/>
          <w:sz w:val="22"/>
          <w:szCs w:val="22"/>
        </w:rPr>
      </w:pPr>
    </w:p>
    <w:p w14:paraId="2DDCC81A" w14:textId="77777777" w:rsidR="00C54B06" w:rsidRPr="00365C8B" w:rsidRDefault="00C6291C" w:rsidP="00C54B06">
      <w:pPr>
        <w:spacing w:after="0" w:line="240" w:lineRule="auto"/>
        <w:jc w:val="right"/>
        <w:rPr>
          <w:rFonts w:asciiTheme="minorHAnsi" w:hAnsiTheme="minorHAnsi" w:cstheme="minorHAnsi"/>
          <w:sz w:val="22"/>
          <w:szCs w:val="22"/>
        </w:rPr>
      </w:pPr>
      <w:r w:rsidRPr="00365C8B">
        <w:rPr>
          <w:rFonts w:asciiTheme="minorHAnsi" w:hAnsiTheme="minorHAnsi" w:cstheme="minorHAnsi"/>
          <w:sz w:val="22"/>
          <w:szCs w:val="22"/>
        </w:rPr>
        <w:t>Oaxaca, Oaxaca a [●] de [●] de 2020.</w:t>
      </w:r>
    </w:p>
    <w:p w14:paraId="09F55109" w14:textId="77777777" w:rsidR="00C54B06" w:rsidRPr="00365C8B" w:rsidRDefault="00C6291C" w:rsidP="00C54B06">
      <w:pPr>
        <w:spacing w:after="0" w:line="240" w:lineRule="auto"/>
        <w:rPr>
          <w:rFonts w:asciiTheme="minorHAnsi" w:hAnsiTheme="minorHAnsi" w:cstheme="minorHAnsi"/>
          <w:sz w:val="22"/>
          <w:szCs w:val="22"/>
        </w:rPr>
      </w:pPr>
    </w:p>
    <w:p w14:paraId="2332739A" w14:textId="77777777" w:rsidR="00C54B06" w:rsidRPr="00365C8B" w:rsidRDefault="00C6291C"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Secretaría de Finanzas del</w:t>
      </w:r>
    </w:p>
    <w:p w14:paraId="6189B0A9" w14:textId="77777777" w:rsidR="00C54B06" w:rsidRPr="00365C8B" w:rsidRDefault="00C6291C"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Poder Ejecutivo del Estado de Oaxaca</w:t>
      </w:r>
    </w:p>
    <w:p w14:paraId="7A4B3BCD" w14:textId="77777777" w:rsidR="00C54B06" w:rsidRPr="00365C8B" w:rsidRDefault="00C6291C"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P r e s e n t e</w:t>
      </w:r>
    </w:p>
    <w:p w14:paraId="334223B4" w14:textId="77777777" w:rsidR="00C54B06" w:rsidRPr="00365C8B" w:rsidRDefault="00C6291C" w:rsidP="00C54B06">
      <w:pPr>
        <w:spacing w:after="0" w:line="240" w:lineRule="auto"/>
        <w:jc w:val="both"/>
        <w:rPr>
          <w:rFonts w:asciiTheme="minorHAnsi" w:hAnsiTheme="minorHAnsi" w:cstheme="minorHAnsi"/>
          <w:sz w:val="22"/>
          <w:szCs w:val="22"/>
        </w:rPr>
      </w:pPr>
    </w:p>
    <w:p w14:paraId="0B609087" w14:textId="6DE11CF3" w:rsidR="00C54B06" w:rsidRPr="00365C8B" w:rsidRDefault="00C6291C" w:rsidP="00C54B06">
      <w:pPr>
        <w:spacing w:after="0" w:line="240" w:lineRule="auto"/>
        <w:ind w:firstLine="708"/>
        <w:jc w:val="both"/>
        <w:rPr>
          <w:rFonts w:asciiTheme="minorHAnsi" w:hAnsiTheme="minorHAnsi" w:cstheme="minorHAnsi"/>
          <w:sz w:val="22"/>
          <w:szCs w:val="22"/>
        </w:rPr>
      </w:pPr>
      <w:r w:rsidRPr="00365C8B">
        <w:rPr>
          <w:rFonts w:asciiTheme="minorHAnsi" w:hAnsiTheme="minorHAnsi" w:cstheme="minorHAnsi"/>
          <w:sz w:val="22"/>
          <w:szCs w:val="22"/>
          <w:lang w:val="es-ES"/>
        </w:rPr>
        <w:t xml:space="preserve">[●], representada por [●], </w:t>
      </w:r>
      <w:r w:rsidRPr="00365C8B">
        <w:rPr>
          <w:rFonts w:asciiTheme="minorHAnsi" w:hAnsiTheme="minorHAnsi" w:cstheme="minorHAnsi"/>
          <w:sz w:val="22"/>
          <w:szCs w:val="22"/>
        </w:rPr>
        <w:t>(en adelante el “</w:t>
      </w:r>
      <w:r w:rsidRPr="00365C8B">
        <w:rPr>
          <w:rFonts w:asciiTheme="minorHAnsi" w:hAnsiTheme="minorHAnsi" w:cstheme="minorHAnsi"/>
          <w:i/>
          <w:sz w:val="22"/>
          <w:szCs w:val="22"/>
          <w:u w:val="single"/>
        </w:rPr>
        <w:t>Licitante</w:t>
      </w:r>
      <w:r w:rsidRPr="00365C8B">
        <w:rPr>
          <w:rFonts w:asciiTheme="minorHAnsi" w:hAnsiTheme="minorHAnsi" w:cstheme="minorHAnsi"/>
          <w:sz w:val="22"/>
          <w:szCs w:val="22"/>
        </w:rPr>
        <w:t>”), en la Licitación Pública N° LA-OAX-DRF-001-20</w:t>
      </w:r>
      <w:r>
        <w:rPr>
          <w:rFonts w:asciiTheme="minorHAnsi" w:hAnsiTheme="minorHAnsi" w:cstheme="minorHAnsi"/>
          <w:sz w:val="22"/>
          <w:szCs w:val="22"/>
        </w:rPr>
        <w:t>20</w:t>
      </w:r>
      <w:r w:rsidRPr="00365C8B">
        <w:rPr>
          <w:rFonts w:asciiTheme="minorHAnsi" w:hAnsiTheme="minorHAnsi" w:cstheme="minorHAnsi"/>
          <w:sz w:val="22"/>
          <w:szCs w:val="22"/>
        </w:rPr>
        <w:t xml:space="preserve">, </w:t>
      </w:r>
      <w:r w:rsidRPr="00576C68">
        <w:rPr>
          <w:rFonts w:asciiTheme="minorHAnsi" w:hAnsiTheme="minorHAnsi" w:cstheme="minorHAnsi"/>
          <w:sz w:val="22"/>
          <w:szCs w:val="22"/>
        </w:rPr>
        <w:t xml:space="preserve">convocada el pasado </w:t>
      </w:r>
      <w:r w:rsidR="00822084">
        <w:rPr>
          <w:rFonts w:asciiTheme="minorHAnsi" w:hAnsiTheme="minorHAnsi" w:cstheme="minorHAnsi"/>
          <w:sz w:val="22"/>
          <w:szCs w:val="22"/>
        </w:rPr>
        <w:t>12</w:t>
      </w:r>
      <w:r w:rsidRPr="00576C68">
        <w:rPr>
          <w:rFonts w:asciiTheme="minorHAnsi" w:hAnsiTheme="minorHAnsi" w:cstheme="minorHAnsi"/>
          <w:sz w:val="22"/>
          <w:szCs w:val="22"/>
        </w:rPr>
        <w:t xml:space="preserve"> de </w:t>
      </w:r>
      <w:r w:rsidR="00822084">
        <w:rPr>
          <w:rFonts w:asciiTheme="minorHAnsi" w:hAnsiTheme="minorHAnsi" w:cstheme="minorHAnsi"/>
          <w:sz w:val="22"/>
          <w:szCs w:val="22"/>
        </w:rPr>
        <w:t>febrero</w:t>
      </w:r>
      <w:r w:rsidRPr="00576C68">
        <w:rPr>
          <w:rFonts w:asciiTheme="minorHAnsi" w:hAnsiTheme="minorHAnsi" w:cstheme="minorHAnsi"/>
          <w:sz w:val="22"/>
          <w:szCs w:val="22"/>
        </w:rPr>
        <w:t xml:space="preserve"> de 2020, por </w:t>
      </w:r>
      <w:r w:rsidRPr="00365C8B">
        <w:rPr>
          <w:rFonts w:asciiTheme="minorHAnsi" w:hAnsiTheme="minorHAnsi" w:cstheme="minorHAnsi"/>
          <w:sz w:val="22"/>
          <w:szCs w:val="22"/>
        </w:rPr>
        <w:t xml:space="preserve">el Estado Libre y Soberano de Oaxaca, a través de la Secretaría de Finanzas del Poder Ejecutivo, presenta </w:t>
      </w:r>
      <w:r>
        <w:rPr>
          <w:rFonts w:asciiTheme="minorHAnsi" w:hAnsiTheme="minorHAnsi" w:cstheme="minorHAnsi"/>
          <w:sz w:val="22"/>
          <w:szCs w:val="22"/>
        </w:rPr>
        <w:t xml:space="preserve">la siguiente </w:t>
      </w:r>
      <w:r w:rsidRPr="00365C8B">
        <w:rPr>
          <w:rFonts w:asciiTheme="minorHAnsi" w:hAnsiTheme="minorHAnsi" w:cstheme="minorHAnsi"/>
          <w:sz w:val="22"/>
          <w:szCs w:val="22"/>
        </w:rPr>
        <w:t>Oferta de Garantía</w:t>
      </w:r>
      <w:r>
        <w:rPr>
          <w:rFonts w:asciiTheme="minorHAnsi" w:hAnsiTheme="minorHAnsi" w:cstheme="minorHAnsi"/>
          <w:sz w:val="22"/>
          <w:szCs w:val="22"/>
        </w:rPr>
        <w:t xml:space="preserve"> conforme al numeral 3.</w:t>
      </w:r>
      <w:r>
        <w:rPr>
          <w:rFonts w:asciiTheme="minorHAnsi" w:hAnsiTheme="minorHAnsi" w:cstheme="minorHAnsi"/>
          <w:sz w:val="22"/>
          <w:szCs w:val="22"/>
        </w:rPr>
        <w:t>2</w:t>
      </w:r>
      <w:r>
        <w:rPr>
          <w:rFonts w:asciiTheme="minorHAnsi" w:hAnsiTheme="minorHAnsi" w:cstheme="minorHAnsi"/>
          <w:sz w:val="22"/>
          <w:szCs w:val="22"/>
        </w:rPr>
        <w:t xml:space="preserve"> de las B</w:t>
      </w:r>
      <w:r>
        <w:rPr>
          <w:rFonts w:asciiTheme="minorHAnsi" w:hAnsiTheme="minorHAnsi" w:cstheme="minorHAnsi"/>
          <w:sz w:val="22"/>
          <w:szCs w:val="22"/>
        </w:rPr>
        <w:t>a</w:t>
      </w:r>
      <w:r>
        <w:rPr>
          <w:rFonts w:asciiTheme="minorHAnsi" w:hAnsiTheme="minorHAnsi" w:cstheme="minorHAnsi"/>
          <w:sz w:val="22"/>
          <w:szCs w:val="22"/>
        </w:rPr>
        <w:t>ses de Licitación Pública N° LA-OAX-DRF-001-2019 (en adelante las “</w:t>
      </w:r>
      <w:r w:rsidRPr="00515338">
        <w:rPr>
          <w:rFonts w:asciiTheme="minorHAnsi" w:hAnsiTheme="minorHAnsi" w:cstheme="minorHAnsi"/>
          <w:i/>
          <w:iCs/>
          <w:sz w:val="22"/>
          <w:szCs w:val="22"/>
          <w:u w:val="single"/>
        </w:rPr>
        <w:t>Bases de Licitación</w:t>
      </w:r>
      <w:r>
        <w:rPr>
          <w:rFonts w:asciiTheme="minorHAnsi" w:hAnsiTheme="minorHAnsi" w:cstheme="minorHAnsi"/>
          <w:sz w:val="22"/>
          <w:szCs w:val="22"/>
        </w:rPr>
        <w:t>”)</w:t>
      </w:r>
      <w:r w:rsidRPr="00365C8B">
        <w:rPr>
          <w:rFonts w:asciiTheme="minorHAnsi" w:hAnsiTheme="minorHAnsi" w:cstheme="minorHAnsi"/>
          <w:sz w:val="22"/>
          <w:szCs w:val="22"/>
        </w:rPr>
        <w:t>.</w:t>
      </w:r>
    </w:p>
    <w:p w14:paraId="1295403F" w14:textId="77777777" w:rsidR="00C54B06" w:rsidRDefault="00C6291C" w:rsidP="00C54B06">
      <w:pPr>
        <w:spacing w:after="0" w:line="240" w:lineRule="auto"/>
        <w:ind w:firstLine="708"/>
        <w:jc w:val="both"/>
        <w:rPr>
          <w:rFonts w:asciiTheme="minorHAnsi" w:hAnsiTheme="minorHAnsi" w:cstheme="minorHAnsi"/>
          <w:sz w:val="22"/>
          <w:szCs w:val="22"/>
        </w:rPr>
      </w:pPr>
    </w:p>
    <w:p w14:paraId="02CE6305" w14:textId="77777777" w:rsidR="00515338" w:rsidRDefault="00C6291C" w:rsidP="00C54B06">
      <w:pPr>
        <w:spacing w:after="0" w:line="240" w:lineRule="auto"/>
        <w:ind w:firstLine="708"/>
        <w:jc w:val="both"/>
        <w:rPr>
          <w:rFonts w:asciiTheme="minorHAnsi" w:hAnsiTheme="minorHAnsi" w:cstheme="minorHAnsi"/>
          <w:sz w:val="22"/>
          <w:szCs w:val="22"/>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que se les atri</w:t>
      </w:r>
      <w:r w:rsidRPr="00464C00">
        <w:rPr>
          <w:rFonts w:asciiTheme="minorHAnsi" w:hAnsiTheme="minorHAnsi" w:cstheme="minorHAnsi"/>
          <w:sz w:val="22"/>
          <w:szCs w:val="22"/>
        </w:rPr>
        <w:t xml:space="preserve">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42B957C9" w14:textId="77777777" w:rsidR="00515338" w:rsidRPr="00365C8B" w:rsidRDefault="00C6291C" w:rsidP="00C54B06">
      <w:pPr>
        <w:spacing w:after="0" w:line="240" w:lineRule="auto"/>
        <w:ind w:firstLine="708"/>
        <w:jc w:val="both"/>
        <w:rPr>
          <w:rFonts w:asciiTheme="minorHAnsi" w:hAnsiTheme="minorHAnsi" w:cstheme="minorHAnsi"/>
          <w:sz w:val="22"/>
          <w:szCs w:val="22"/>
        </w:rPr>
      </w:pPr>
    </w:p>
    <w:p w14:paraId="5B6990DD" w14:textId="77777777" w:rsidR="00C54B06" w:rsidRPr="00365C8B" w:rsidRDefault="00C6291C" w:rsidP="00C54B06">
      <w:pPr>
        <w:spacing w:after="0" w:line="240" w:lineRule="auto"/>
        <w:ind w:firstLine="708"/>
        <w:jc w:val="both"/>
        <w:rPr>
          <w:rFonts w:asciiTheme="minorHAnsi" w:hAnsiTheme="minorHAnsi" w:cstheme="minorHAnsi"/>
          <w:sz w:val="22"/>
          <w:szCs w:val="22"/>
          <w:lang w:val="es-ES"/>
        </w:rPr>
      </w:pPr>
      <w:r w:rsidRPr="00365C8B">
        <w:rPr>
          <w:rFonts w:asciiTheme="minorHAnsi" w:hAnsiTheme="minorHAnsi" w:cstheme="minorHAnsi"/>
          <w:sz w:val="22"/>
          <w:szCs w:val="22"/>
        </w:rPr>
        <w:t xml:space="preserve">El Licitante manifiesta que la presente Oferta de Garantía constituye una oferta en firme, vinculante e irrevocable, con una vigencia </w:t>
      </w:r>
      <w:r>
        <w:rPr>
          <w:rFonts w:asciiTheme="minorHAnsi" w:hAnsiTheme="minorHAnsi" w:cstheme="minorHAnsi"/>
          <w:sz w:val="22"/>
          <w:szCs w:val="22"/>
        </w:rPr>
        <w:t xml:space="preserve">mínima </w:t>
      </w:r>
      <w:r w:rsidRPr="00365C8B">
        <w:rPr>
          <w:rFonts w:asciiTheme="minorHAnsi" w:hAnsiTheme="minorHAnsi" w:cstheme="minorHAnsi"/>
          <w:sz w:val="22"/>
          <w:szCs w:val="22"/>
        </w:rPr>
        <w:t xml:space="preserve">de 60 </w:t>
      </w:r>
      <w:r w:rsidRPr="00365C8B">
        <w:rPr>
          <w:rFonts w:asciiTheme="minorHAnsi" w:hAnsiTheme="minorHAnsi" w:cstheme="minorHAnsi"/>
          <w:sz w:val="22"/>
          <w:szCs w:val="22"/>
        </w:rPr>
        <w:t>(sesenta) días naturales</w:t>
      </w:r>
      <w:r w:rsidRPr="00365C8B">
        <w:rPr>
          <w:rFonts w:asciiTheme="minorHAnsi" w:hAnsiTheme="minorHAnsi" w:cstheme="minorHAnsi"/>
          <w:sz w:val="22"/>
          <w:szCs w:val="22"/>
          <w:lang w:val="es-ES"/>
        </w:rPr>
        <w:t xml:space="preserve">, contados a partir de la fecha del Acto de Presentación y Apertura de </w:t>
      </w:r>
      <w:r>
        <w:rPr>
          <w:rFonts w:asciiTheme="minorHAnsi" w:hAnsiTheme="minorHAnsi" w:cstheme="minorHAnsi"/>
          <w:sz w:val="22"/>
          <w:szCs w:val="22"/>
          <w:lang w:val="es-ES"/>
        </w:rPr>
        <w:t>Ofertas</w:t>
      </w:r>
      <w:r w:rsidRPr="00365C8B">
        <w:rPr>
          <w:rFonts w:asciiTheme="minorHAnsi" w:hAnsiTheme="minorHAnsi" w:cstheme="minorHAnsi"/>
          <w:sz w:val="22"/>
          <w:szCs w:val="22"/>
          <w:lang w:val="es-ES"/>
        </w:rPr>
        <w:t>, que se celebra el día [•] de [•] de 2020, bajo las siguientes condiciones:</w:t>
      </w:r>
    </w:p>
    <w:p w14:paraId="7BE74CC4" w14:textId="77777777" w:rsidR="00C54B06" w:rsidRPr="00365C8B" w:rsidRDefault="00C6291C" w:rsidP="00C54B06">
      <w:pPr>
        <w:spacing w:after="0" w:line="240" w:lineRule="auto"/>
        <w:ind w:firstLine="708"/>
        <w:jc w:val="both"/>
        <w:rPr>
          <w:rFonts w:asciiTheme="minorHAnsi" w:hAnsiTheme="minorHAnsi" w:cstheme="minorHAnsi"/>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969"/>
        <w:gridCol w:w="4864"/>
      </w:tblGrid>
      <w:tr w:rsidR="002A1527" w14:paraId="30E610DF" w14:textId="77777777" w:rsidTr="00C54B06">
        <w:tc>
          <w:tcPr>
            <w:tcW w:w="3969" w:type="dxa"/>
            <w:tcBorders>
              <w:top w:val="single" w:sz="4" w:space="0" w:color="auto"/>
              <w:left w:val="single" w:sz="4" w:space="0" w:color="auto"/>
              <w:bottom w:val="single" w:sz="4" w:space="0" w:color="auto"/>
              <w:right w:val="single" w:sz="4" w:space="0" w:color="auto"/>
            </w:tcBorders>
            <w:hideMark/>
          </w:tcPr>
          <w:p w14:paraId="7378FD47" w14:textId="77777777" w:rsidR="00C54B06" w:rsidRPr="00365C8B" w:rsidRDefault="00C6291C" w:rsidP="00C54B06">
            <w:pPr>
              <w:spacing w:line="240" w:lineRule="auto"/>
              <w:rPr>
                <w:rFonts w:asciiTheme="minorHAnsi" w:hAnsiTheme="minorHAnsi" w:cstheme="minorHAnsi"/>
                <w:b/>
                <w:sz w:val="22"/>
                <w:szCs w:val="22"/>
              </w:rPr>
            </w:pPr>
            <w:r w:rsidRPr="00365C8B">
              <w:rPr>
                <w:rFonts w:asciiTheme="minorHAnsi" w:hAnsiTheme="minorHAnsi" w:cstheme="minorHAnsi"/>
                <w:b/>
                <w:sz w:val="22"/>
                <w:szCs w:val="22"/>
              </w:rPr>
              <w:t>Monto de Garantía ofertado:</w:t>
            </w:r>
          </w:p>
        </w:tc>
        <w:tc>
          <w:tcPr>
            <w:tcW w:w="4864" w:type="dxa"/>
            <w:tcBorders>
              <w:top w:val="single" w:sz="4" w:space="0" w:color="auto"/>
              <w:left w:val="single" w:sz="4" w:space="0" w:color="auto"/>
              <w:bottom w:val="single" w:sz="4" w:space="0" w:color="auto"/>
              <w:right w:val="single" w:sz="4" w:space="0" w:color="auto"/>
            </w:tcBorders>
            <w:hideMark/>
          </w:tcPr>
          <w:p w14:paraId="03997339" w14:textId="77777777" w:rsidR="00C54B06" w:rsidRPr="00365C8B" w:rsidRDefault="00C6291C" w:rsidP="00C54B06">
            <w:pPr>
              <w:spacing w:line="240" w:lineRule="auto"/>
              <w:jc w:val="both"/>
              <w:rPr>
                <w:rFonts w:asciiTheme="minorHAnsi" w:hAnsiTheme="minorHAnsi" w:cstheme="minorHAnsi"/>
                <w:sz w:val="22"/>
                <w:szCs w:val="22"/>
              </w:rPr>
            </w:pPr>
            <w:r>
              <w:rPr>
                <w:rFonts w:asciiTheme="minorHAnsi" w:hAnsiTheme="minorHAnsi" w:cstheme="minorHAnsi"/>
                <w:sz w:val="22"/>
                <w:szCs w:val="22"/>
              </w:rPr>
              <w:t>$</w:t>
            </w:r>
            <w:r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Pr="00365C8B">
              <w:rPr>
                <w:rFonts w:asciiTheme="minorHAnsi" w:hAnsiTheme="minorHAnsi" w:cstheme="minorHAnsi"/>
                <w:sz w:val="22"/>
                <w:szCs w:val="22"/>
              </w:rPr>
              <w:t>.</w:t>
            </w:r>
          </w:p>
        </w:tc>
      </w:tr>
      <w:tr w:rsidR="002A1527" w14:paraId="7AF5ED25" w14:textId="77777777" w:rsidTr="00C54B06">
        <w:tc>
          <w:tcPr>
            <w:tcW w:w="3969" w:type="dxa"/>
            <w:tcBorders>
              <w:top w:val="single" w:sz="4" w:space="0" w:color="auto"/>
              <w:left w:val="single" w:sz="4" w:space="0" w:color="auto"/>
              <w:bottom w:val="single" w:sz="4" w:space="0" w:color="auto"/>
              <w:right w:val="single" w:sz="4" w:space="0" w:color="auto"/>
            </w:tcBorders>
            <w:hideMark/>
          </w:tcPr>
          <w:p w14:paraId="05221993" w14:textId="77777777" w:rsidR="00C54B06" w:rsidRPr="00365C8B" w:rsidRDefault="00C6291C" w:rsidP="00C54B06">
            <w:pPr>
              <w:spacing w:line="240" w:lineRule="auto"/>
              <w:rPr>
                <w:rFonts w:asciiTheme="minorHAnsi" w:hAnsiTheme="minorHAnsi" w:cstheme="minorHAnsi"/>
                <w:b/>
                <w:sz w:val="22"/>
                <w:szCs w:val="22"/>
              </w:rPr>
            </w:pPr>
            <w:r w:rsidRPr="00365C8B">
              <w:rPr>
                <w:rFonts w:asciiTheme="minorHAnsi" w:hAnsiTheme="minorHAnsi" w:cstheme="minorHAnsi"/>
                <w:b/>
                <w:sz w:val="22"/>
                <w:szCs w:val="22"/>
              </w:rPr>
              <w:t>Marge</w:t>
            </w:r>
            <w:r>
              <w:rPr>
                <w:rFonts w:asciiTheme="minorHAnsi" w:hAnsiTheme="minorHAnsi" w:cstheme="minorHAnsi"/>
                <w:b/>
                <w:sz w:val="22"/>
                <w:szCs w:val="22"/>
              </w:rPr>
              <w:t>n</w:t>
            </w:r>
            <w:r w:rsidRPr="00365C8B">
              <w:rPr>
                <w:rFonts w:asciiTheme="minorHAnsi" w:hAnsiTheme="minorHAnsi" w:cstheme="minorHAnsi"/>
                <w:b/>
                <w:sz w:val="22"/>
                <w:szCs w:val="22"/>
              </w:rPr>
              <w:t xml:space="preserve"> aplicable</w:t>
            </w:r>
            <w:r w:rsidRPr="00365C8B">
              <w:rPr>
                <w:rFonts w:asciiTheme="minorHAnsi" w:hAnsiTheme="minorHAnsi" w:cstheme="minorHAnsi"/>
                <w:b/>
                <w:sz w:val="22"/>
                <w:szCs w:val="22"/>
                <w:vertAlign w:val="superscript"/>
              </w:rPr>
              <w:t>/*</w:t>
            </w:r>
            <w:r w:rsidRPr="00365C8B">
              <w:rPr>
                <w:rFonts w:asciiTheme="minorHAnsi" w:hAnsiTheme="minorHAnsi" w:cstheme="minorHAnsi"/>
                <w:b/>
                <w:sz w:val="22"/>
                <w:szCs w:val="22"/>
              </w:rPr>
              <w:t>a la Calificación Sombra Preliminar</w:t>
            </w:r>
            <w:r>
              <w:rPr>
                <w:rFonts w:asciiTheme="minorHAnsi" w:hAnsiTheme="minorHAnsi" w:cstheme="minorHAnsi"/>
                <w:b/>
                <w:sz w:val="22"/>
                <w:szCs w:val="22"/>
              </w:rPr>
              <w:t xml:space="preserve"> e</w:t>
            </w:r>
            <w:r w:rsidRPr="00515338">
              <w:rPr>
                <w:rFonts w:asciiTheme="minorHAnsi" w:hAnsiTheme="minorHAnsi" w:cstheme="minorHAnsi"/>
                <w:b/>
                <w:sz w:val="22"/>
                <w:szCs w:val="22"/>
              </w:rPr>
              <w:t>n escala nacional de [●], o su equivalente</w:t>
            </w:r>
            <w:r w:rsidRPr="00365C8B">
              <w:rPr>
                <w:rFonts w:asciiTheme="minorHAnsi" w:hAnsiTheme="minorHAnsi" w:cstheme="minorHAnsi"/>
                <w:b/>
                <w:sz w:val="22"/>
                <w:szCs w:val="22"/>
              </w:rPr>
              <w:t>, para determinar la Contraprestación Mensual de la Garantía</w:t>
            </w:r>
            <w:r w:rsidRPr="00365C8B">
              <w:rPr>
                <w:rFonts w:asciiTheme="minorHAnsi" w:hAnsiTheme="minorHAnsi" w:cstheme="minorHAnsi"/>
                <w:sz w:val="22"/>
                <w:szCs w:val="22"/>
              </w:rPr>
              <w:t>:</w:t>
            </w:r>
          </w:p>
        </w:tc>
        <w:tc>
          <w:tcPr>
            <w:tcW w:w="4864" w:type="dxa"/>
            <w:tcBorders>
              <w:top w:val="single" w:sz="4" w:space="0" w:color="auto"/>
              <w:left w:val="single" w:sz="4" w:space="0" w:color="auto"/>
              <w:bottom w:val="single" w:sz="4" w:space="0" w:color="auto"/>
              <w:right w:val="single" w:sz="4" w:space="0" w:color="auto"/>
            </w:tcBorders>
            <w:hideMark/>
          </w:tcPr>
          <w:p w14:paraId="083BD8B9" w14:textId="77777777" w:rsidR="00C54B06" w:rsidRPr="00365C8B" w:rsidRDefault="00C6291C" w:rsidP="00C54B06">
            <w:pPr>
              <w:spacing w:line="240" w:lineRule="auto"/>
              <w:jc w:val="both"/>
              <w:rPr>
                <w:rFonts w:asciiTheme="minorHAnsi" w:hAnsiTheme="minorHAnsi" w:cstheme="minorHAnsi"/>
                <w:sz w:val="22"/>
                <w:szCs w:val="22"/>
              </w:rPr>
            </w:pPr>
            <w:r w:rsidRPr="00365C8B">
              <w:rPr>
                <w:rFonts w:asciiTheme="minorHAnsi" w:hAnsiTheme="minorHAnsi" w:cstheme="minorHAnsi"/>
                <w:sz w:val="22"/>
                <w:szCs w:val="22"/>
              </w:rPr>
              <w:t>[●]</w:t>
            </w:r>
            <w:r>
              <w:rPr>
                <w:rFonts w:asciiTheme="minorHAnsi" w:hAnsiTheme="minorHAnsi" w:cstheme="minorHAnsi"/>
                <w:sz w:val="22"/>
                <w:szCs w:val="22"/>
              </w:rPr>
              <w:t>%</w:t>
            </w:r>
            <w:r w:rsidRPr="00365C8B">
              <w:rPr>
                <w:rFonts w:asciiTheme="minorHAnsi" w:hAnsiTheme="minorHAnsi" w:cstheme="minorHAnsi"/>
                <w:sz w:val="22"/>
                <w:szCs w:val="22"/>
              </w:rPr>
              <w:t>.</w:t>
            </w:r>
          </w:p>
        </w:tc>
      </w:tr>
    </w:tbl>
    <w:p w14:paraId="4797B0A2" w14:textId="77777777" w:rsidR="00C54B06" w:rsidRPr="00515338" w:rsidRDefault="00C6291C" w:rsidP="00C54B06">
      <w:pPr>
        <w:spacing w:after="0" w:line="240" w:lineRule="auto"/>
        <w:jc w:val="both"/>
        <w:rPr>
          <w:rFonts w:asciiTheme="minorHAnsi" w:hAnsiTheme="minorHAnsi" w:cstheme="minorHAnsi"/>
          <w:sz w:val="18"/>
          <w:szCs w:val="18"/>
        </w:rPr>
      </w:pPr>
      <w:r w:rsidRPr="00515338">
        <w:rPr>
          <w:rFonts w:asciiTheme="minorHAnsi" w:hAnsiTheme="minorHAnsi" w:cstheme="minorHAnsi"/>
          <w:b/>
          <w:sz w:val="18"/>
          <w:szCs w:val="18"/>
          <w:vertAlign w:val="superscript"/>
        </w:rPr>
        <w:t>*/</w:t>
      </w:r>
      <w:r w:rsidRPr="00515338">
        <w:rPr>
          <w:rFonts w:asciiTheme="minorHAnsi" w:hAnsiTheme="minorHAnsi" w:cstheme="minorHAnsi"/>
          <w:sz w:val="18"/>
          <w:szCs w:val="18"/>
        </w:rPr>
        <w:t xml:space="preserve"> </w:t>
      </w:r>
      <w:r w:rsidRPr="00515338">
        <w:rPr>
          <w:rFonts w:asciiTheme="minorHAnsi" w:hAnsiTheme="minorHAnsi" w:cstheme="minorHAnsi"/>
          <w:sz w:val="18"/>
          <w:szCs w:val="18"/>
        </w:rPr>
        <w:t>El Margen Aplicable</w:t>
      </w:r>
      <w:r w:rsidRPr="00515338">
        <w:rPr>
          <w:rFonts w:asciiTheme="minorHAnsi" w:hAnsiTheme="minorHAnsi" w:cstheme="minorHAnsi"/>
          <w:sz w:val="18"/>
          <w:szCs w:val="18"/>
        </w:rPr>
        <w:t xml:space="preserve"> a la Calificación Sombra Preliminar deberá estar referido al Monto Expuesto.</w:t>
      </w:r>
    </w:p>
    <w:p w14:paraId="21600B00" w14:textId="77777777" w:rsidR="00C54B06" w:rsidRPr="00365C8B" w:rsidRDefault="00C6291C" w:rsidP="00C54B06">
      <w:pPr>
        <w:spacing w:after="0" w:line="240" w:lineRule="auto"/>
        <w:jc w:val="center"/>
        <w:rPr>
          <w:rFonts w:asciiTheme="minorHAnsi" w:hAnsiTheme="minorHAnsi" w:cstheme="minorHAnsi"/>
          <w:b/>
          <w:bCs/>
          <w:sz w:val="22"/>
          <w:szCs w:val="22"/>
        </w:rPr>
      </w:pPr>
    </w:p>
    <w:p w14:paraId="7C92B1CC" w14:textId="77777777" w:rsidR="00C54B06" w:rsidRPr="00365C8B" w:rsidRDefault="00C6291C" w:rsidP="00C54B06">
      <w:pPr>
        <w:spacing w:after="0" w:line="240" w:lineRule="auto"/>
        <w:jc w:val="center"/>
        <w:rPr>
          <w:rFonts w:asciiTheme="minorHAnsi" w:hAnsiTheme="minorHAnsi" w:cstheme="minorHAnsi"/>
          <w:b/>
          <w:bCs/>
          <w:sz w:val="22"/>
          <w:szCs w:val="22"/>
        </w:rPr>
      </w:pPr>
      <w:r w:rsidRPr="00365C8B">
        <w:rPr>
          <w:rFonts w:asciiTheme="minorHAnsi" w:hAnsiTheme="minorHAnsi" w:cstheme="minorHAnsi"/>
          <w:b/>
          <w:bCs/>
          <w:sz w:val="22"/>
          <w:szCs w:val="22"/>
        </w:rPr>
        <w:t xml:space="preserve">Tabla de </w:t>
      </w:r>
      <w:r w:rsidRPr="00365C8B">
        <w:rPr>
          <w:rFonts w:asciiTheme="minorHAnsi" w:hAnsiTheme="minorHAnsi" w:cstheme="minorHAnsi"/>
          <w:b/>
          <w:bCs/>
          <w:sz w:val="22"/>
          <w:szCs w:val="22"/>
        </w:rPr>
        <w:t>Margen A</w:t>
      </w:r>
      <w:r w:rsidRPr="00365C8B">
        <w:rPr>
          <w:rFonts w:asciiTheme="minorHAnsi" w:hAnsiTheme="minorHAnsi" w:cstheme="minorHAnsi"/>
          <w:b/>
          <w:bCs/>
          <w:sz w:val="22"/>
          <w:szCs w:val="22"/>
        </w:rPr>
        <w:t>plicable para determinación de la Contraprestación</w:t>
      </w:r>
    </w:p>
    <w:p w14:paraId="22BBE529" w14:textId="77777777" w:rsidR="00365C8B" w:rsidRDefault="00C6291C" w:rsidP="00C54B06">
      <w:pPr>
        <w:spacing w:after="0" w:line="240" w:lineRule="auto"/>
        <w:jc w:val="center"/>
        <w:rPr>
          <w:rFonts w:asciiTheme="minorHAnsi" w:hAnsiTheme="minorHAnsi" w:cstheme="minorHAnsi"/>
          <w:b/>
          <w:bCs/>
          <w:sz w:val="22"/>
          <w:szCs w:val="22"/>
        </w:rPr>
      </w:pPr>
      <w:bookmarkStart w:id="0" w:name="_GoBack"/>
      <w:bookmarkEnd w:id="0"/>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2A1527" w14:paraId="08C5F1DF" w14:textId="77777777" w:rsidTr="001F796D">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1D5307B9" w14:textId="77777777" w:rsidR="0050505C" w:rsidRPr="003C36CD" w:rsidRDefault="00C6291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CALIFICACIÓN SOMBRA DEL CRÉDITO</w:t>
            </w:r>
            <w:r>
              <w:rPr>
                <w:rStyle w:val="FootnoteReference"/>
                <w:rFonts w:asciiTheme="minorHAnsi" w:hAnsiTheme="minorHAnsi" w:cstheme="minorHAnsi"/>
                <w:b/>
                <w:bCs/>
                <w:sz w:val="20"/>
                <w:szCs w:val="20"/>
              </w:rPr>
              <w:footnoteReference w:id="1"/>
            </w:r>
          </w:p>
        </w:tc>
        <w:tc>
          <w:tcPr>
            <w:tcW w:w="2394" w:type="dxa"/>
            <w:vMerge w:val="restart"/>
            <w:tcBorders>
              <w:top w:val="single" w:sz="4" w:space="0" w:color="auto"/>
              <w:left w:val="single" w:sz="4" w:space="0" w:color="auto"/>
              <w:right w:val="single" w:sz="4" w:space="0" w:color="auto"/>
            </w:tcBorders>
            <w:vAlign w:val="center"/>
          </w:tcPr>
          <w:p w14:paraId="155C1608" w14:textId="77777777" w:rsidR="0050505C" w:rsidRPr="003C36CD" w:rsidRDefault="00C6291C" w:rsidP="001F796D">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Puntos Porcentuales Anuales</w:t>
            </w:r>
            <w:r>
              <w:rPr>
                <w:rStyle w:val="FootnoteReference"/>
                <w:rFonts w:asciiTheme="minorHAnsi" w:hAnsiTheme="minorHAnsi" w:cstheme="minorHAnsi"/>
                <w:b/>
                <w:bCs/>
                <w:sz w:val="20"/>
                <w:szCs w:val="20"/>
              </w:rPr>
              <w:footnoteReference w:id="2"/>
            </w:r>
          </w:p>
        </w:tc>
      </w:tr>
      <w:tr w:rsidR="002A1527" w14:paraId="4DB17D58" w14:textId="77777777" w:rsidTr="001F796D">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CDCBDFF" w14:textId="77777777" w:rsidR="0050505C" w:rsidRPr="003C36CD" w:rsidRDefault="00C6291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2B71AC24" w14:textId="77777777" w:rsidR="0050505C" w:rsidRPr="003C36CD" w:rsidRDefault="00C6291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42E5A603" w14:textId="77777777" w:rsidR="0050505C" w:rsidRPr="003C36CD" w:rsidRDefault="00C6291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7F1E9F1F" w14:textId="77777777" w:rsidR="0050505C" w:rsidRPr="003C36CD" w:rsidRDefault="00C6291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HR Ratings</w:t>
            </w:r>
          </w:p>
        </w:tc>
        <w:tc>
          <w:tcPr>
            <w:tcW w:w="1272" w:type="dxa"/>
            <w:tcBorders>
              <w:left w:val="single" w:sz="4" w:space="0" w:color="auto"/>
              <w:bottom w:val="single" w:sz="4" w:space="0" w:color="auto"/>
              <w:right w:val="single" w:sz="4" w:space="0" w:color="auto"/>
            </w:tcBorders>
            <w:vAlign w:val="center"/>
          </w:tcPr>
          <w:p w14:paraId="54CB66E4" w14:textId="77777777" w:rsidR="0050505C" w:rsidRPr="003C36CD" w:rsidRDefault="00C6291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Verum</w:t>
            </w:r>
          </w:p>
        </w:tc>
        <w:tc>
          <w:tcPr>
            <w:tcW w:w="2394" w:type="dxa"/>
            <w:vMerge/>
            <w:tcBorders>
              <w:left w:val="single" w:sz="4" w:space="0" w:color="auto"/>
              <w:bottom w:val="single" w:sz="4" w:space="0" w:color="auto"/>
              <w:right w:val="single" w:sz="4" w:space="0" w:color="auto"/>
            </w:tcBorders>
            <w:vAlign w:val="center"/>
          </w:tcPr>
          <w:p w14:paraId="1A3711C5" w14:textId="77777777" w:rsidR="0050505C" w:rsidRPr="003C36CD" w:rsidRDefault="00C6291C" w:rsidP="001F796D">
            <w:pPr>
              <w:spacing w:after="0" w:line="240" w:lineRule="auto"/>
              <w:jc w:val="center"/>
              <w:rPr>
                <w:rFonts w:asciiTheme="minorHAnsi" w:hAnsiTheme="minorHAnsi" w:cstheme="minorHAnsi"/>
                <w:b/>
                <w:bCs/>
                <w:sz w:val="20"/>
                <w:szCs w:val="20"/>
              </w:rPr>
            </w:pPr>
          </w:p>
        </w:tc>
      </w:tr>
      <w:tr w:rsidR="002A1527" w14:paraId="70860464"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D227D73"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1F336E82" w14:textId="77777777" w:rsidR="0050505C" w:rsidRPr="003C36CD" w:rsidRDefault="00C6291C" w:rsidP="001F796D">
            <w:pPr>
              <w:spacing w:after="0" w:line="240" w:lineRule="auto"/>
              <w:jc w:val="center"/>
              <w:rPr>
                <w:rFonts w:asciiTheme="minorHAnsi" w:hAnsiTheme="minorHAnsi" w:cstheme="minorHAnsi"/>
                <w:sz w:val="20"/>
                <w:szCs w:val="20"/>
              </w:rPr>
            </w:pPr>
            <w:proofErr w:type="gramStart"/>
            <w:r w:rsidRPr="003C36CD">
              <w:rPr>
                <w:rFonts w:asciiTheme="minorHAnsi" w:hAnsiTheme="minorHAnsi" w:cstheme="minorHAnsi"/>
                <w:sz w:val="20"/>
                <w:szCs w:val="20"/>
              </w:rPr>
              <w:t>AAA(</w:t>
            </w:r>
            <w:proofErr w:type="gramEnd"/>
            <w:r w:rsidRPr="003C36CD">
              <w:rPr>
                <w:rFonts w:asciiTheme="minorHAnsi" w:hAnsiTheme="minorHAnsi" w:cstheme="minorHAnsi"/>
                <w:sz w:val="20"/>
                <w:szCs w:val="20"/>
              </w:rPr>
              <w:t>mex)</w:t>
            </w:r>
          </w:p>
        </w:tc>
        <w:tc>
          <w:tcPr>
            <w:tcW w:w="1417" w:type="dxa"/>
            <w:tcBorders>
              <w:top w:val="single" w:sz="4" w:space="0" w:color="auto"/>
              <w:left w:val="single" w:sz="4" w:space="0" w:color="auto"/>
              <w:bottom w:val="single" w:sz="4" w:space="0" w:color="auto"/>
              <w:right w:val="single" w:sz="4" w:space="0" w:color="auto"/>
            </w:tcBorders>
            <w:vAlign w:val="center"/>
          </w:tcPr>
          <w:p w14:paraId="132340E1"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4A7CAE7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AAA</w:t>
            </w:r>
          </w:p>
        </w:tc>
        <w:tc>
          <w:tcPr>
            <w:tcW w:w="1272" w:type="dxa"/>
            <w:tcBorders>
              <w:top w:val="single" w:sz="4" w:space="0" w:color="auto"/>
              <w:left w:val="single" w:sz="4" w:space="0" w:color="auto"/>
              <w:bottom w:val="single" w:sz="4" w:space="0" w:color="auto"/>
              <w:right w:val="single" w:sz="4" w:space="0" w:color="auto"/>
            </w:tcBorders>
          </w:tcPr>
          <w:p w14:paraId="2C3CC918"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32FB5F5B"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605F3278"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063647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6012180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3131770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51AF116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443B13B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9709DB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7038A176"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F20204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4E821E5A" w14:textId="77777777" w:rsidR="0050505C" w:rsidRPr="003C36CD" w:rsidRDefault="00C6291C" w:rsidP="001F796D">
            <w:pPr>
              <w:spacing w:after="0" w:line="240" w:lineRule="auto"/>
              <w:jc w:val="center"/>
              <w:rPr>
                <w:rFonts w:asciiTheme="minorHAnsi" w:hAnsiTheme="minorHAnsi" w:cstheme="minorHAnsi"/>
                <w:sz w:val="20"/>
                <w:szCs w:val="20"/>
              </w:rPr>
            </w:pPr>
            <w:proofErr w:type="gramStart"/>
            <w:r w:rsidRPr="003C36CD">
              <w:rPr>
                <w:rFonts w:asciiTheme="minorHAnsi" w:hAnsiTheme="minorHAnsi" w:cstheme="minorHAnsi"/>
                <w:sz w:val="20"/>
                <w:szCs w:val="20"/>
              </w:rPr>
              <w:t>AA(</w:t>
            </w:r>
            <w:proofErr w:type="gramEnd"/>
            <w:r w:rsidRPr="003C36CD">
              <w:rPr>
                <w:rFonts w:asciiTheme="minorHAnsi" w:hAnsiTheme="minorHAnsi" w:cstheme="minorHAnsi"/>
                <w:sz w:val="20"/>
                <w:szCs w:val="20"/>
              </w:rPr>
              <w:t>mex)</w:t>
            </w:r>
          </w:p>
        </w:tc>
        <w:tc>
          <w:tcPr>
            <w:tcW w:w="1417" w:type="dxa"/>
            <w:tcBorders>
              <w:top w:val="single" w:sz="4" w:space="0" w:color="auto"/>
              <w:left w:val="single" w:sz="4" w:space="0" w:color="auto"/>
              <w:bottom w:val="single" w:sz="4" w:space="0" w:color="auto"/>
              <w:right w:val="single" w:sz="4" w:space="0" w:color="auto"/>
            </w:tcBorders>
            <w:vAlign w:val="center"/>
          </w:tcPr>
          <w:p w14:paraId="70D33A2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726A299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6DC9FD1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78FF2B9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47E732BB"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797291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0D0F857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277FC541"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6BBF09BB"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1AE530D7"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58F5CC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2D60C21A"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B92141E"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lastRenderedPageBreak/>
              <w:t>mxA+</w:t>
            </w:r>
          </w:p>
        </w:tc>
        <w:tc>
          <w:tcPr>
            <w:tcW w:w="1418" w:type="dxa"/>
            <w:tcBorders>
              <w:top w:val="single" w:sz="4" w:space="0" w:color="auto"/>
              <w:left w:val="single" w:sz="4" w:space="0" w:color="auto"/>
              <w:bottom w:val="single" w:sz="4" w:space="0" w:color="auto"/>
              <w:right w:val="single" w:sz="4" w:space="0" w:color="auto"/>
            </w:tcBorders>
            <w:vAlign w:val="center"/>
          </w:tcPr>
          <w:p w14:paraId="7E1A70C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57647C3F"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44FF588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12F3EC24"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32B6E44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373551E2"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403236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37721CF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FCDA44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7F23A68E"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15B99E55"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CFBE96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4C1B3C2C"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93198E"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0D4816E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1A29BB8"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763C9D7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0E728E5E"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BCC6A6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706F7B23"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BE051C1"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77AD36E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4B20E57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480F9EBB"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1A4954FC"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A4E145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30F38558"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D3E1A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7E83B753" w14:textId="77777777" w:rsidR="0050505C" w:rsidRPr="003C36CD" w:rsidRDefault="00C6291C" w:rsidP="001F796D">
            <w:pPr>
              <w:spacing w:after="0" w:line="240" w:lineRule="auto"/>
              <w:jc w:val="center"/>
              <w:rPr>
                <w:rFonts w:asciiTheme="minorHAnsi" w:hAnsiTheme="minorHAnsi" w:cstheme="minorHAnsi"/>
                <w:sz w:val="20"/>
                <w:szCs w:val="20"/>
              </w:rPr>
            </w:pPr>
            <w:proofErr w:type="gramStart"/>
            <w:r w:rsidRPr="003C36CD">
              <w:rPr>
                <w:rFonts w:asciiTheme="minorHAnsi" w:hAnsiTheme="minorHAnsi" w:cstheme="minorHAnsi"/>
                <w:sz w:val="20"/>
                <w:szCs w:val="20"/>
              </w:rPr>
              <w:t>BBB(</w:t>
            </w:r>
            <w:proofErr w:type="gramEnd"/>
            <w:r w:rsidRPr="003C36CD">
              <w:rPr>
                <w:rFonts w:asciiTheme="minorHAnsi" w:hAnsiTheme="minorHAnsi" w:cstheme="minorHAnsi"/>
                <w:sz w:val="20"/>
                <w:szCs w:val="20"/>
              </w:rPr>
              <w:t>mex)</w:t>
            </w:r>
          </w:p>
        </w:tc>
        <w:tc>
          <w:tcPr>
            <w:tcW w:w="1417" w:type="dxa"/>
            <w:tcBorders>
              <w:top w:val="single" w:sz="4" w:space="0" w:color="auto"/>
              <w:left w:val="single" w:sz="4" w:space="0" w:color="auto"/>
              <w:bottom w:val="single" w:sz="4" w:space="0" w:color="auto"/>
              <w:right w:val="single" w:sz="4" w:space="0" w:color="auto"/>
            </w:tcBorders>
            <w:vAlign w:val="center"/>
          </w:tcPr>
          <w:p w14:paraId="1E1CE34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554761C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2E7EBA01"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4EB2805E"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116AF33F"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94F49B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41CC265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4FE85D5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0514B6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69C6EA90"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F2173F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3B7EA8BA"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F027EEB"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2DCBDEB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012B775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7B8EC15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2E9BF3EF"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FE9E839"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107415D1"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51BAF21"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121A4A60" w14:textId="77777777" w:rsidR="0050505C" w:rsidRPr="003C36CD" w:rsidRDefault="00C6291C" w:rsidP="001F796D">
            <w:pPr>
              <w:spacing w:after="0" w:line="240" w:lineRule="auto"/>
              <w:jc w:val="center"/>
              <w:rPr>
                <w:rFonts w:asciiTheme="minorHAnsi" w:hAnsiTheme="minorHAnsi" w:cstheme="minorHAnsi"/>
                <w:sz w:val="20"/>
                <w:szCs w:val="20"/>
              </w:rPr>
            </w:pPr>
            <w:proofErr w:type="gramStart"/>
            <w:r w:rsidRPr="003C36CD">
              <w:rPr>
                <w:rFonts w:asciiTheme="minorHAnsi" w:hAnsiTheme="minorHAnsi" w:cstheme="minorHAnsi"/>
                <w:sz w:val="20"/>
                <w:szCs w:val="20"/>
              </w:rPr>
              <w:t>BB(</w:t>
            </w:r>
            <w:proofErr w:type="gramEnd"/>
            <w:r w:rsidRPr="003C36CD">
              <w:rPr>
                <w:rFonts w:asciiTheme="minorHAnsi" w:hAnsiTheme="minorHAnsi" w:cstheme="minorHAnsi"/>
                <w:sz w:val="20"/>
                <w:szCs w:val="20"/>
              </w:rPr>
              <w:t>mex)</w:t>
            </w:r>
          </w:p>
        </w:tc>
        <w:tc>
          <w:tcPr>
            <w:tcW w:w="1417" w:type="dxa"/>
            <w:tcBorders>
              <w:top w:val="single" w:sz="4" w:space="0" w:color="auto"/>
              <w:left w:val="single" w:sz="4" w:space="0" w:color="auto"/>
              <w:bottom w:val="single" w:sz="4" w:space="0" w:color="auto"/>
              <w:right w:val="single" w:sz="4" w:space="0" w:color="auto"/>
            </w:tcBorders>
            <w:vAlign w:val="center"/>
          </w:tcPr>
          <w:p w14:paraId="15A3FFFF"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FA0992D"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5F212E62"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6FD5A0B"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16F2ACB9"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075A0C8"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4BA5F8C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394638F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603746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5D95811D"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4B870C6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102297D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6D8F39F"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C07005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33A5D55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7BF53CB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0A266251"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D96756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41755A1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A278ED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A9F740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5232BA3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7F1E6DB9"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4D6456AE"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1D5E307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30CF2B23"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E0DBB3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FD3C973"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AE441E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21C02D61"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6499B79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824A4B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43942E46"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6B6BBE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7B534CC1" w14:textId="77777777" w:rsidR="0050505C" w:rsidRPr="003C36CD" w:rsidRDefault="00C6291C" w:rsidP="001F796D">
            <w:pPr>
              <w:spacing w:after="0" w:line="240" w:lineRule="auto"/>
              <w:jc w:val="center"/>
              <w:rPr>
                <w:rFonts w:asciiTheme="minorHAnsi" w:hAnsiTheme="minorHAnsi" w:cstheme="minorHAnsi"/>
                <w:sz w:val="20"/>
                <w:szCs w:val="20"/>
              </w:rPr>
            </w:pPr>
            <w:proofErr w:type="gramStart"/>
            <w:r w:rsidRPr="003C36CD">
              <w:rPr>
                <w:rFonts w:asciiTheme="minorHAnsi" w:hAnsiTheme="minorHAnsi" w:cstheme="minorHAnsi"/>
                <w:sz w:val="20"/>
                <w:szCs w:val="20"/>
              </w:rPr>
              <w:t>CCC(</w:t>
            </w:r>
            <w:proofErr w:type="gramEnd"/>
            <w:r w:rsidRPr="003C36CD">
              <w:rPr>
                <w:rFonts w:asciiTheme="minorHAnsi" w:hAnsiTheme="minorHAnsi" w:cstheme="minorHAnsi"/>
                <w:sz w:val="20"/>
                <w:szCs w:val="20"/>
              </w:rPr>
              <w:t>mex)</w:t>
            </w:r>
          </w:p>
        </w:tc>
        <w:tc>
          <w:tcPr>
            <w:tcW w:w="1417" w:type="dxa"/>
            <w:tcBorders>
              <w:top w:val="single" w:sz="4" w:space="0" w:color="auto"/>
              <w:left w:val="single" w:sz="4" w:space="0" w:color="auto"/>
              <w:bottom w:val="single" w:sz="4" w:space="0" w:color="auto"/>
              <w:right w:val="single" w:sz="4" w:space="0" w:color="auto"/>
            </w:tcBorders>
            <w:vAlign w:val="center"/>
          </w:tcPr>
          <w:p w14:paraId="45B47F0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3879ED3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388DF6E7"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3945BDEE"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6A5E6FB8"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6C012F7"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31A457E9" w14:textId="77777777" w:rsidR="0050505C" w:rsidRPr="003C36CD" w:rsidRDefault="00C6291C" w:rsidP="001F796D">
            <w:pPr>
              <w:spacing w:after="0" w:line="240" w:lineRule="auto"/>
              <w:jc w:val="center"/>
              <w:rPr>
                <w:rFonts w:asciiTheme="minorHAnsi" w:hAnsiTheme="minorHAnsi" w:cstheme="minorHAnsi"/>
                <w:sz w:val="20"/>
                <w:szCs w:val="20"/>
              </w:rPr>
            </w:pPr>
            <w:proofErr w:type="gramStart"/>
            <w:r w:rsidRPr="003C36CD">
              <w:rPr>
                <w:rFonts w:asciiTheme="minorHAnsi" w:hAnsiTheme="minorHAnsi" w:cstheme="minorHAnsi"/>
                <w:sz w:val="20"/>
                <w:szCs w:val="20"/>
              </w:rPr>
              <w:t>CC(</w:t>
            </w:r>
            <w:proofErr w:type="gramEnd"/>
            <w:r w:rsidRPr="003C36CD">
              <w:rPr>
                <w:rFonts w:asciiTheme="minorHAnsi" w:hAnsiTheme="minorHAnsi" w:cstheme="minorHAnsi"/>
                <w:sz w:val="20"/>
                <w:szCs w:val="20"/>
              </w:rPr>
              <w:t>mex)</w:t>
            </w:r>
          </w:p>
        </w:tc>
        <w:tc>
          <w:tcPr>
            <w:tcW w:w="1417" w:type="dxa"/>
            <w:tcBorders>
              <w:top w:val="single" w:sz="4" w:space="0" w:color="auto"/>
              <w:left w:val="single" w:sz="4" w:space="0" w:color="auto"/>
              <w:bottom w:val="single" w:sz="4" w:space="0" w:color="auto"/>
              <w:right w:val="single" w:sz="4" w:space="0" w:color="auto"/>
            </w:tcBorders>
            <w:vAlign w:val="center"/>
          </w:tcPr>
          <w:p w14:paraId="08CD58BE"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48D2355C"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4355D713" w14:textId="77777777" w:rsidR="0050505C" w:rsidRPr="003C36CD" w:rsidRDefault="00C6291C" w:rsidP="001F796D">
            <w:pPr>
              <w:spacing w:after="0" w:line="240" w:lineRule="auto"/>
              <w:jc w:val="center"/>
              <w:rPr>
                <w:rFonts w:asciiTheme="minorHAnsi" w:hAnsiTheme="minorHAnsi" w:cstheme="minorHAnsi"/>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14:paraId="4F28C6C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539AFDB8"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3F0E539"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0B968D75"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29BD7B8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537A79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2325B170"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C/M</w:t>
            </w:r>
          </w:p>
        </w:tc>
        <w:tc>
          <w:tcPr>
            <w:tcW w:w="2394" w:type="dxa"/>
            <w:tcBorders>
              <w:top w:val="single" w:sz="4" w:space="0" w:color="auto"/>
              <w:left w:val="single" w:sz="4" w:space="0" w:color="auto"/>
              <w:bottom w:val="single" w:sz="4" w:space="0" w:color="auto"/>
              <w:right w:val="single" w:sz="4" w:space="0" w:color="auto"/>
            </w:tcBorders>
            <w:vAlign w:val="center"/>
          </w:tcPr>
          <w:p w14:paraId="7814DE2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2B793E47"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C045262"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4CD971F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4CF4D33D" w14:textId="77777777" w:rsidR="0050505C" w:rsidRPr="003C36CD" w:rsidRDefault="00C6291C" w:rsidP="001F796D">
            <w:pPr>
              <w:spacing w:after="0" w:line="240"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75896D6"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D</w:t>
            </w:r>
          </w:p>
        </w:tc>
        <w:tc>
          <w:tcPr>
            <w:tcW w:w="1272" w:type="dxa"/>
            <w:tcBorders>
              <w:top w:val="single" w:sz="4" w:space="0" w:color="auto"/>
              <w:left w:val="single" w:sz="4" w:space="0" w:color="auto"/>
              <w:bottom w:val="single" w:sz="4" w:space="0" w:color="auto"/>
              <w:right w:val="single" w:sz="4" w:space="0" w:color="auto"/>
            </w:tcBorders>
          </w:tcPr>
          <w:p w14:paraId="4C9F7B1D"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D/M</w:t>
            </w:r>
          </w:p>
        </w:tc>
        <w:tc>
          <w:tcPr>
            <w:tcW w:w="2394" w:type="dxa"/>
            <w:tcBorders>
              <w:top w:val="single" w:sz="4" w:space="0" w:color="auto"/>
              <w:left w:val="single" w:sz="4" w:space="0" w:color="auto"/>
              <w:bottom w:val="single" w:sz="4" w:space="0" w:color="auto"/>
              <w:right w:val="single" w:sz="4" w:space="0" w:color="auto"/>
            </w:tcBorders>
            <w:vAlign w:val="center"/>
          </w:tcPr>
          <w:p w14:paraId="1D42EC8A"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2A1527" w14:paraId="6BB541AC"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55702F5" w14:textId="77777777" w:rsidR="0050505C" w:rsidRPr="003C36CD" w:rsidRDefault="00C6291C" w:rsidP="001F796D">
            <w:pPr>
              <w:spacing w:after="0" w:line="240" w:lineRule="auto"/>
              <w:jc w:val="center"/>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61950B0"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2439480E" w14:textId="77777777" w:rsidR="0050505C" w:rsidRPr="003C36CD" w:rsidRDefault="00C6291C" w:rsidP="001F796D">
            <w:pPr>
              <w:spacing w:after="0" w:line="240"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48E0BF0" w14:textId="77777777" w:rsidR="0050505C" w:rsidRPr="003C36CD" w:rsidRDefault="00C6291C" w:rsidP="001F796D">
            <w:pPr>
              <w:spacing w:after="0" w:line="240" w:lineRule="auto"/>
              <w:jc w:val="center"/>
              <w:rPr>
                <w:rFonts w:asciiTheme="minorHAnsi" w:hAnsiTheme="minorHAnsi" w:cstheme="minorHAnsi"/>
                <w:sz w:val="20"/>
                <w:szCs w:val="20"/>
              </w:rPr>
            </w:pPr>
          </w:p>
        </w:tc>
        <w:tc>
          <w:tcPr>
            <w:tcW w:w="1272" w:type="dxa"/>
            <w:tcBorders>
              <w:top w:val="single" w:sz="4" w:space="0" w:color="auto"/>
              <w:left w:val="single" w:sz="4" w:space="0" w:color="auto"/>
              <w:bottom w:val="single" w:sz="4" w:space="0" w:color="auto"/>
              <w:right w:val="single" w:sz="4" w:space="0" w:color="auto"/>
            </w:tcBorders>
          </w:tcPr>
          <w:p w14:paraId="186CE1A3"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E/M</w:t>
            </w:r>
          </w:p>
        </w:tc>
        <w:tc>
          <w:tcPr>
            <w:tcW w:w="2394" w:type="dxa"/>
            <w:tcBorders>
              <w:top w:val="single" w:sz="4" w:space="0" w:color="auto"/>
              <w:left w:val="single" w:sz="4" w:space="0" w:color="auto"/>
              <w:bottom w:val="single" w:sz="4" w:space="0" w:color="auto"/>
              <w:right w:val="single" w:sz="4" w:space="0" w:color="auto"/>
            </w:tcBorders>
            <w:vAlign w:val="center"/>
          </w:tcPr>
          <w:p w14:paraId="2418EFD3"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[•]PP</w:t>
            </w:r>
          </w:p>
        </w:tc>
      </w:tr>
      <w:tr w:rsidR="002A1527" w14:paraId="0481FA60" w14:textId="77777777" w:rsidTr="001F796D">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23A56364" w14:textId="77777777" w:rsidR="0050505C" w:rsidRPr="003C36CD" w:rsidRDefault="00C6291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No calificado</w:t>
            </w:r>
          </w:p>
        </w:tc>
        <w:tc>
          <w:tcPr>
            <w:tcW w:w="2394" w:type="dxa"/>
            <w:tcBorders>
              <w:top w:val="single" w:sz="4" w:space="0" w:color="auto"/>
              <w:left w:val="single" w:sz="4" w:space="0" w:color="auto"/>
              <w:bottom w:val="single" w:sz="4" w:space="0" w:color="auto"/>
              <w:right w:val="single" w:sz="4" w:space="0" w:color="auto"/>
            </w:tcBorders>
          </w:tcPr>
          <w:p w14:paraId="1AE2A934" w14:textId="77777777" w:rsidR="0050505C" w:rsidRPr="003C36CD" w:rsidRDefault="00C6291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 PP</w:t>
            </w:r>
          </w:p>
        </w:tc>
      </w:tr>
    </w:tbl>
    <w:p w14:paraId="096ED71F" w14:textId="77777777" w:rsidR="00C54B06" w:rsidRPr="00365C8B" w:rsidRDefault="00C6291C" w:rsidP="00C54B06">
      <w:pPr>
        <w:spacing w:after="0" w:line="240" w:lineRule="auto"/>
        <w:jc w:val="center"/>
        <w:rPr>
          <w:rFonts w:asciiTheme="minorHAnsi" w:hAnsiTheme="minorHAnsi" w:cstheme="minorHAnsi"/>
          <w:b/>
          <w:bCs/>
          <w:sz w:val="22"/>
          <w:szCs w:val="22"/>
        </w:rPr>
      </w:pPr>
    </w:p>
    <w:p w14:paraId="7C3F741C" w14:textId="77777777" w:rsidR="00C54B06" w:rsidRPr="00365C8B" w:rsidRDefault="00C6291C" w:rsidP="00C54B06">
      <w:pPr>
        <w:spacing w:after="0" w:line="240" w:lineRule="auto"/>
        <w:jc w:val="center"/>
        <w:rPr>
          <w:rFonts w:asciiTheme="minorHAnsi" w:hAnsiTheme="minorHAnsi" w:cstheme="minorHAnsi"/>
          <w:b/>
          <w:bCs/>
          <w:sz w:val="22"/>
          <w:szCs w:val="22"/>
        </w:rPr>
      </w:pPr>
      <w:r w:rsidRPr="00365C8B">
        <w:rPr>
          <w:rFonts w:asciiTheme="minorHAnsi" w:hAnsiTheme="minorHAnsi" w:cstheme="minorHAnsi"/>
          <w:b/>
          <w:bCs/>
          <w:sz w:val="22"/>
          <w:szCs w:val="22"/>
        </w:rPr>
        <w:t xml:space="preserve">Tabla de revisión y ajuste de </w:t>
      </w:r>
      <w:r w:rsidRPr="00365C8B">
        <w:rPr>
          <w:rFonts w:asciiTheme="minorHAnsi" w:hAnsiTheme="minorHAnsi" w:cstheme="minorHAnsi"/>
          <w:b/>
          <w:bCs/>
          <w:sz w:val="22"/>
          <w:szCs w:val="22"/>
        </w:rPr>
        <w:t>Margen</w:t>
      </w:r>
      <w:r w:rsidRPr="00365C8B">
        <w:rPr>
          <w:rFonts w:asciiTheme="minorHAnsi" w:hAnsiTheme="minorHAnsi" w:cstheme="minorHAnsi"/>
          <w:b/>
          <w:bCs/>
          <w:sz w:val="22"/>
          <w:szCs w:val="22"/>
        </w:rPr>
        <w:t xml:space="preserve"> </w:t>
      </w:r>
      <w:r w:rsidRPr="00365C8B">
        <w:rPr>
          <w:rFonts w:asciiTheme="minorHAnsi" w:hAnsiTheme="minorHAnsi" w:cstheme="minorHAnsi"/>
          <w:b/>
          <w:bCs/>
          <w:sz w:val="22"/>
          <w:szCs w:val="22"/>
        </w:rPr>
        <w:t>A</w:t>
      </w:r>
      <w:r w:rsidRPr="00365C8B">
        <w:rPr>
          <w:rFonts w:asciiTheme="minorHAnsi" w:hAnsiTheme="minorHAnsi" w:cstheme="minorHAnsi"/>
          <w:b/>
          <w:bCs/>
          <w:sz w:val="22"/>
          <w:szCs w:val="22"/>
        </w:rPr>
        <w:t>plicable:</w:t>
      </w:r>
    </w:p>
    <w:p w14:paraId="29564AB0" w14:textId="77777777" w:rsidR="00C54B06" w:rsidRPr="00365C8B" w:rsidRDefault="00C6291C" w:rsidP="00C54B06">
      <w:pPr>
        <w:spacing w:after="0" w:line="240" w:lineRule="auto"/>
        <w:rPr>
          <w:rFonts w:asciiTheme="minorHAnsi" w:hAnsiTheme="minorHAnsi" w:cstheme="minorHAnsi"/>
          <w:sz w:val="22"/>
          <w:szCs w:val="22"/>
        </w:rPr>
      </w:pPr>
    </w:p>
    <w:p w14:paraId="6E7C06CB" w14:textId="77777777" w:rsidR="00C54B06" w:rsidRPr="00365C8B" w:rsidRDefault="00C6291C" w:rsidP="00C54B06">
      <w:pPr>
        <w:spacing w:after="0" w:line="240" w:lineRule="auto"/>
        <w:jc w:val="both"/>
        <w:rPr>
          <w:rFonts w:asciiTheme="minorHAnsi" w:hAnsiTheme="minorHAnsi" w:cstheme="minorHAnsi"/>
          <w:sz w:val="22"/>
          <w:szCs w:val="22"/>
        </w:rPr>
      </w:pPr>
      <w:r w:rsidRPr="00365C8B">
        <w:rPr>
          <w:rFonts w:asciiTheme="minorHAnsi" w:hAnsiTheme="minorHAnsi" w:cstheme="minorHAnsi"/>
          <w:sz w:val="22"/>
          <w:szCs w:val="22"/>
        </w:rPr>
        <w:t xml:space="preserve">A continuación, se detalla la Tabla de </w:t>
      </w:r>
      <w:r>
        <w:rPr>
          <w:rFonts w:asciiTheme="minorHAnsi" w:hAnsiTheme="minorHAnsi" w:cstheme="minorHAnsi"/>
          <w:sz w:val="22"/>
          <w:szCs w:val="22"/>
        </w:rPr>
        <w:t>R</w:t>
      </w:r>
      <w:r w:rsidRPr="00365C8B">
        <w:rPr>
          <w:rFonts w:asciiTheme="minorHAnsi" w:hAnsiTheme="minorHAnsi" w:cstheme="minorHAnsi"/>
          <w:sz w:val="22"/>
          <w:szCs w:val="22"/>
        </w:rPr>
        <w:t xml:space="preserve">evisión y </w:t>
      </w:r>
      <w:r>
        <w:rPr>
          <w:rFonts w:asciiTheme="minorHAnsi" w:hAnsiTheme="minorHAnsi" w:cstheme="minorHAnsi"/>
          <w:sz w:val="22"/>
          <w:szCs w:val="22"/>
        </w:rPr>
        <w:t>A</w:t>
      </w:r>
      <w:r w:rsidRPr="00365C8B">
        <w:rPr>
          <w:rFonts w:asciiTheme="minorHAnsi" w:hAnsiTheme="minorHAnsi" w:cstheme="minorHAnsi"/>
          <w:sz w:val="22"/>
          <w:szCs w:val="22"/>
        </w:rPr>
        <w:t xml:space="preserve">juste de </w:t>
      </w:r>
      <w:r w:rsidRPr="00365C8B">
        <w:rPr>
          <w:rFonts w:asciiTheme="minorHAnsi" w:hAnsiTheme="minorHAnsi" w:cstheme="minorHAnsi"/>
          <w:sz w:val="22"/>
          <w:szCs w:val="22"/>
        </w:rPr>
        <w:t>Margen</w:t>
      </w:r>
      <w:r w:rsidRPr="00365C8B">
        <w:rPr>
          <w:rFonts w:asciiTheme="minorHAnsi" w:hAnsiTheme="minorHAnsi" w:cstheme="minorHAnsi"/>
          <w:sz w:val="22"/>
          <w:szCs w:val="22"/>
        </w:rPr>
        <w:t xml:space="preserve"> </w:t>
      </w:r>
      <w:r w:rsidRPr="00365C8B">
        <w:rPr>
          <w:rFonts w:asciiTheme="minorHAnsi" w:hAnsiTheme="minorHAnsi" w:cstheme="minorHAnsi"/>
          <w:sz w:val="22"/>
          <w:szCs w:val="22"/>
        </w:rPr>
        <w:t xml:space="preserve">Aplicable </w:t>
      </w:r>
      <w:r w:rsidRPr="00365C8B">
        <w:rPr>
          <w:rFonts w:asciiTheme="minorHAnsi" w:hAnsiTheme="minorHAnsi" w:cstheme="minorHAnsi"/>
          <w:sz w:val="22"/>
          <w:szCs w:val="22"/>
        </w:rPr>
        <w:t xml:space="preserve">a los diferentes niveles de riesgo en función de la Calificación Sombra del Crédito, para determinar la Tasa de Interés aplicable en caso de ejercicio de la </w:t>
      </w:r>
      <w:r w:rsidRPr="00365C8B">
        <w:rPr>
          <w:rFonts w:asciiTheme="minorHAnsi" w:hAnsiTheme="minorHAnsi" w:cstheme="minorHAnsi"/>
          <w:sz w:val="22"/>
          <w:szCs w:val="22"/>
        </w:rPr>
        <w:t>Garantía</w:t>
      </w:r>
      <w:r w:rsidRPr="00365C8B">
        <w:rPr>
          <w:rFonts w:asciiTheme="minorHAnsi" w:hAnsiTheme="minorHAnsi" w:cstheme="minorHAnsi"/>
          <w:sz w:val="22"/>
          <w:szCs w:val="22"/>
        </w:rPr>
        <w:t>:</w:t>
      </w:r>
    </w:p>
    <w:p w14:paraId="271D972E" w14:textId="77777777" w:rsidR="00C54B06" w:rsidRPr="00365C8B" w:rsidRDefault="00C6291C" w:rsidP="00C54B06">
      <w:pPr>
        <w:spacing w:after="0"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23"/>
        <w:gridCol w:w="1161"/>
        <w:gridCol w:w="951"/>
        <w:gridCol w:w="1088"/>
        <w:gridCol w:w="891"/>
        <w:gridCol w:w="2889"/>
      </w:tblGrid>
      <w:tr w:rsidR="002A1527" w14:paraId="70D84112" w14:textId="77777777" w:rsidTr="00A56806">
        <w:trPr>
          <w:cantSplit/>
          <w:trHeight w:val="20"/>
          <w:tblHeader/>
          <w:jc w:val="center"/>
        </w:trPr>
        <w:tc>
          <w:tcPr>
            <w:tcW w:w="933" w:type="dxa"/>
            <w:vMerge w:val="restart"/>
            <w:tcBorders>
              <w:left w:val="single" w:sz="4" w:space="0" w:color="auto"/>
              <w:right w:val="single" w:sz="4" w:space="0" w:color="auto"/>
            </w:tcBorders>
            <w:vAlign w:val="center"/>
          </w:tcPr>
          <w:p w14:paraId="353D75E3" w14:textId="77777777" w:rsidR="00A56806" w:rsidRPr="00515338" w:rsidRDefault="00C6291C" w:rsidP="00A56806">
            <w:pPr>
              <w:spacing w:after="0" w:line="240" w:lineRule="auto"/>
              <w:jc w:val="center"/>
              <w:rPr>
                <w:rFonts w:asciiTheme="minorHAnsi" w:hAnsiTheme="minorHAnsi" w:cstheme="minorHAnsi"/>
                <w:b/>
                <w:sz w:val="20"/>
                <w:szCs w:val="20"/>
              </w:rPr>
            </w:pPr>
          </w:p>
          <w:p w14:paraId="11E0457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b/>
                <w:sz w:val="20"/>
                <w:szCs w:val="20"/>
              </w:rPr>
              <w:t>Nivel de Riesgo*</w:t>
            </w:r>
          </w:p>
        </w:tc>
        <w:tc>
          <w:tcPr>
            <w:tcW w:w="4827" w:type="dxa"/>
            <w:gridSpan w:val="5"/>
            <w:tcBorders>
              <w:top w:val="single" w:sz="4" w:space="0" w:color="auto"/>
              <w:left w:val="single" w:sz="4" w:space="0" w:color="auto"/>
              <w:right w:val="single" w:sz="4" w:space="0" w:color="auto"/>
            </w:tcBorders>
            <w:vAlign w:val="center"/>
          </w:tcPr>
          <w:p w14:paraId="63D551A0" w14:textId="77777777" w:rsidR="00A56806" w:rsidRPr="00515338" w:rsidRDefault="00C6291C" w:rsidP="00A56806">
            <w:pPr>
              <w:spacing w:after="0" w:line="240" w:lineRule="auto"/>
              <w:jc w:val="center"/>
              <w:rPr>
                <w:rFonts w:asciiTheme="minorHAnsi" w:hAnsiTheme="minorHAnsi" w:cstheme="minorHAnsi"/>
                <w:b/>
                <w:bCs/>
                <w:sz w:val="20"/>
                <w:szCs w:val="20"/>
              </w:rPr>
            </w:pPr>
            <w:r w:rsidRPr="00515338">
              <w:rPr>
                <w:rFonts w:asciiTheme="minorHAnsi" w:hAnsiTheme="minorHAnsi" w:cstheme="minorHAnsi"/>
                <w:b/>
                <w:bCs/>
                <w:sz w:val="20"/>
                <w:szCs w:val="20"/>
                <w:lang w:val="es-ES"/>
              </w:rPr>
              <w:t>Calificaciones Sombra</w:t>
            </w:r>
            <w:r>
              <w:rPr>
                <w:rStyle w:val="FootnoteReference"/>
                <w:rFonts w:asciiTheme="minorHAnsi" w:hAnsiTheme="minorHAnsi" w:cstheme="minorHAnsi"/>
                <w:b/>
                <w:bCs/>
                <w:sz w:val="20"/>
                <w:szCs w:val="20"/>
                <w:lang w:val="es-ES"/>
              </w:rPr>
              <w:footnoteReference w:id="3"/>
            </w:r>
          </w:p>
        </w:tc>
        <w:tc>
          <w:tcPr>
            <w:tcW w:w="3068" w:type="dxa"/>
            <w:tcBorders>
              <w:top w:val="single" w:sz="4" w:space="0" w:color="auto"/>
              <w:left w:val="single" w:sz="4" w:space="0" w:color="auto"/>
              <w:right w:val="single" w:sz="4" w:space="0" w:color="auto"/>
            </w:tcBorders>
            <w:vAlign w:val="center"/>
          </w:tcPr>
          <w:p w14:paraId="09A942D7"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Al menos 2 Calificaciones Sombra o</w:t>
            </w:r>
          </w:p>
          <w:p w14:paraId="3D75F22B"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 xml:space="preserve">al </w:t>
            </w:r>
            <w:r w:rsidRPr="00515338">
              <w:rPr>
                <w:rFonts w:asciiTheme="minorHAnsi" w:hAnsiTheme="minorHAnsi" w:cstheme="minorHAnsi"/>
                <w:b/>
                <w:sz w:val="20"/>
                <w:szCs w:val="20"/>
              </w:rPr>
              <w:t>menos 2 calificaciones quirografarias del Estado</w:t>
            </w:r>
          </w:p>
        </w:tc>
      </w:tr>
      <w:tr w:rsidR="002A1527" w14:paraId="5324F9E7" w14:textId="77777777" w:rsidTr="00A56806">
        <w:trPr>
          <w:cantSplit/>
          <w:trHeight w:val="20"/>
          <w:tblHeader/>
          <w:jc w:val="center"/>
        </w:trPr>
        <w:tc>
          <w:tcPr>
            <w:tcW w:w="933" w:type="dxa"/>
            <w:vMerge/>
            <w:tcBorders>
              <w:left w:val="single" w:sz="4" w:space="0" w:color="auto"/>
              <w:right w:val="single" w:sz="4" w:space="0" w:color="auto"/>
            </w:tcBorders>
            <w:vAlign w:val="center"/>
          </w:tcPr>
          <w:p w14:paraId="33454D7F" w14:textId="77777777" w:rsidR="00A56806" w:rsidRPr="00515338" w:rsidRDefault="00C6291C" w:rsidP="00A56806">
            <w:pPr>
              <w:spacing w:after="0" w:line="240" w:lineRule="auto"/>
              <w:jc w:val="center"/>
              <w:rPr>
                <w:rFonts w:asciiTheme="minorHAnsi" w:hAnsiTheme="minorHAnsi" w:cstheme="minorHAnsi"/>
                <w:sz w:val="20"/>
                <w:szCs w:val="20"/>
              </w:rPr>
            </w:pPr>
          </w:p>
        </w:tc>
        <w:tc>
          <w:tcPr>
            <w:tcW w:w="927" w:type="dxa"/>
            <w:tcBorders>
              <w:top w:val="single" w:sz="4" w:space="0" w:color="auto"/>
              <w:left w:val="single" w:sz="4" w:space="0" w:color="auto"/>
              <w:right w:val="single" w:sz="4" w:space="0" w:color="auto"/>
            </w:tcBorders>
            <w:vAlign w:val="center"/>
          </w:tcPr>
          <w:p w14:paraId="04BAC1A7"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S&amp;P</w:t>
            </w:r>
          </w:p>
        </w:tc>
        <w:tc>
          <w:tcPr>
            <w:tcW w:w="1167" w:type="dxa"/>
            <w:tcBorders>
              <w:top w:val="single" w:sz="4" w:space="0" w:color="auto"/>
              <w:left w:val="single" w:sz="4" w:space="0" w:color="auto"/>
              <w:right w:val="single" w:sz="4" w:space="0" w:color="auto"/>
            </w:tcBorders>
            <w:vAlign w:val="center"/>
          </w:tcPr>
          <w:p w14:paraId="0BA3E635"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Fitch</w:t>
            </w:r>
          </w:p>
          <w:p w14:paraId="29C33E1F"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Ratings</w:t>
            </w:r>
          </w:p>
        </w:tc>
        <w:tc>
          <w:tcPr>
            <w:tcW w:w="952" w:type="dxa"/>
            <w:tcBorders>
              <w:top w:val="single" w:sz="4" w:space="0" w:color="auto"/>
              <w:left w:val="single" w:sz="4" w:space="0" w:color="auto"/>
              <w:right w:val="single" w:sz="4" w:space="0" w:color="auto"/>
            </w:tcBorders>
            <w:vAlign w:val="center"/>
          </w:tcPr>
          <w:p w14:paraId="4232EDF3"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Moody’s</w:t>
            </w:r>
          </w:p>
        </w:tc>
        <w:tc>
          <w:tcPr>
            <w:tcW w:w="1119" w:type="dxa"/>
            <w:tcBorders>
              <w:top w:val="single" w:sz="4" w:space="0" w:color="auto"/>
              <w:left w:val="single" w:sz="4" w:space="0" w:color="auto"/>
              <w:right w:val="single" w:sz="4" w:space="0" w:color="auto"/>
            </w:tcBorders>
            <w:vAlign w:val="center"/>
          </w:tcPr>
          <w:p w14:paraId="36DF5014"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HR Ratings</w:t>
            </w:r>
          </w:p>
        </w:tc>
        <w:tc>
          <w:tcPr>
            <w:tcW w:w="662" w:type="dxa"/>
            <w:tcBorders>
              <w:top w:val="single" w:sz="4" w:space="0" w:color="auto"/>
              <w:left w:val="single" w:sz="4" w:space="0" w:color="auto"/>
              <w:right w:val="single" w:sz="4" w:space="0" w:color="auto"/>
            </w:tcBorders>
            <w:vAlign w:val="center"/>
          </w:tcPr>
          <w:p w14:paraId="300FF013"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Verum</w:t>
            </w:r>
          </w:p>
        </w:tc>
        <w:tc>
          <w:tcPr>
            <w:tcW w:w="3068" w:type="dxa"/>
            <w:tcBorders>
              <w:left w:val="single" w:sz="4" w:space="0" w:color="auto"/>
              <w:right w:val="single" w:sz="4" w:space="0" w:color="auto"/>
            </w:tcBorders>
            <w:vAlign w:val="center"/>
          </w:tcPr>
          <w:p w14:paraId="6E79D673" w14:textId="77777777" w:rsidR="00A56806" w:rsidRPr="003A649D" w:rsidRDefault="00C6291C" w:rsidP="00A56806">
            <w:pPr>
              <w:spacing w:after="0" w:line="240" w:lineRule="auto"/>
              <w:jc w:val="center"/>
              <w:rPr>
                <w:rFonts w:asciiTheme="minorHAnsi" w:hAnsiTheme="minorHAnsi" w:cstheme="minorHAnsi"/>
                <w:b/>
                <w:sz w:val="20"/>
                <w:szCs w:val="20"/>
              </w:rPr>
            </w:pPr>
            <w:r w:rsidRPr="003A649D">
              <w:rPr>
                <w:rFonts w:asciiTheme="minorHAnsi" w:hAnsiTheme="minorHAnsi" w:cstheme="minorHAnsi"/>
                <w:b/>
                <w:sz w:val="20"/>
                <w:szCs w:val="20"/>
              </w:rPr>
              <w:t>Margen Aplicable</w:t>
            </w:r>
          </w:p>
        </w:tc>
      </w:tr>
      <w:tr w:rsidR="002A1527" w14:paraId="6B0CA255"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C940422"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w:t>
            </w:r>
          </w:p>
        </w:tc>
        <w:tc>
          <w:tcPr>
            <w:tcW w:w="927" w:type="dxa"/>
            <w:tcBorders>
              <w:top w:val="single" w:sz="4" w:space="0" w:color="auto"/>
              <w:left w:val="single" w:sz="4" w:space="0" w:color="auto"/>
              <w:bottom w:val="single" w:sz="4" w:space="0" w:color="auto"/>
              <w:right w:val="single" w:sz="4" w:space="0" w:color="auto"/>
            </w:tcBorders>
          </w:tcPr>
          <w:p w14:paraId="656F77C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mxAAA</w:t>
            </w:r>
          </w:p>
        </w:tc>
        <w:tc>
          <w:tcPr>
            <w:tcW w:w="1167" w:type="dxa"/>
            <w:tcBorders>
              <w:top w:val="single" w:sz="4" w:space="0" w:color="auto"/>
              <w:left w:val="single" w:sz="4" w:space="0" w:color="auto"/>
              <w:bottom w:val="single" w:sz="4" w:space="0" w:color="auto"/>
              <w:right w:val="single" w:sz="4" w:space="0" w:color="auto"/>
            </w:tcBorders>
          </w:tcPr>
          <w:p w14:paraId="0053B916" w14:textId="77777777" w:rsidR="00A56806" w:rsidRPr="00515338" w:rsidRDefault="00C6291C" w:rsidP="00A56806">
            <w:pPr>
              <w:spacing w:after="0" w:line="240" w:lineRule="auto"/>
              <w:jc w:val="center"/>
              <w:rPr>
                <w:rFonts w:asciiTheme="minorHAnsi" w:hAnsiTheme="minorHAnsi" w:cstheme="minorHAnsi"/>
                <w:sz w:val="20"/>
                <w:szCs w:val="20"/>
              </w:rPr>
            </w:pPr>
            <w:proofErr w:type="gramStart"/>
            <w:r w:rsidRPr="00515338">
              <w:rPr>
                <w:rFonts w:asciiTheme="minorHAnsi" w:hAnsiTheme="minorHAnsi" w:cstheme="minorHAnsi"/>
                <w:sz w:val="20"/>
                <w:szCs w:val="20"/>
              </w:rPr>
              <w:t>AAA(</w:t>
            </w:r>
            <w:proofErr w:type="gramEnd"/>
            <w:r w:rsidRPr="00515338">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26F02AA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Aaa.mx</w:t>
            </w:r>
          </w:p>
        </w:tc>
        <w:tc>
          <w:tcPr>
            <w:tcW w:w="1119" w:type="dxa"/>
            <w:tcBorders>
              <w:top w:val="single" w:sz="4" w:space="0" w:color="auto"/>
              <w:left w:val="single" w:sz="4" w:space="0" w:color="auto"/>
              <w:bottom w:val="single" w:sz="4" w:space="0" w:color="auto"/>
              <w:right w:val="single" w:sz="4" w:space="0" w:color="auto"/>
            </w:tcBorders>
          </w:tcPr>
          <w:p w14:paraId="66A1223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AAA</w:t>
            </w:r>
          </w:p>
        </w:tc>
        <w:tc>
          <w:tcPr>
            <w:tcW w:w="662" w:type="dxa"/>
            <w:tcBorders>
              <w:top w:val="single" w:sz="4" w:space="0" w:color="auto"/>
              <w:left w:val="single" w:sz="4" w:space="0" w:color="auto"/>
              <w:bottom w:val="single" w:sz="4" w:space="0" w:color="auto"/>
              <w:right w:val="single" w:sz="4" w:space="0" w:color="auto"/>
            </w:tcBorders>
          </w:tcPr>
          <w:p w14:paraId="4EAA35CD"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w:t>
            </w:r>
          </w:p>
        </w:tc>
        <w:tc>
          <w:tcPr>
            <w:tcW w:w="3068" w:type="dxa"/>
            <w:tcBorders>
              <w:top w:val="single" w:sz="4" w:space="0" w:color="auto"/>
              <w:left w:val="single" w:sz="4" w:space="0" w:color="auto"/>
              <w:bottom w:val="single" w:sz="4" w:space="0" w:color="auto"/>
              <w:right w:val="single" w:sz="4" w:space="0" w:color="auto"/>
            </w:tcBorders>
          </w:tcPr>
          <w:p w14:paraId="72DEDE8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229503A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EBC9249"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2</w:t>
            </w:r>
          </w:p>
        </w:tc>
        <w:tc>
          <w:tcPr>
            <w:tcW w:w="927" w:type="dxa"/>
            <w:tcBorders>
              <w:top w:val="single" w:sz="4" w:space="0" w:color="auto"/>
              <w:left w:val="single" w:sz="4" w:space="0" w:color="auto"/>
              <w:bottom w:val="single" w:sz="4" w:space="0" w:color="auto"/>
              <w:right w:val="single" w:sz="4" w:space="0" w:color="auto"/>
            </w:tcBorders>
          </w:tcPr>
          <w:p w14:paraId="0344DAA8"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w:t>
            </w:r>
          </w:p>
        </w:tc>
        <w:tc>
          <w:tcPr>
            <w:tcW w:w="1167" w:type="dxa"/>
            <w:tcBorders>
              <w:top w:val="single" w:sz="4" w:space="0" w:color="auto"/>
              <w:left w:val="single" w:sz="4" w:space="0" w:color="auto"/>
              <w:bottom w:val="single" w:sz="4" w:space="0" w:color="auto"/>
              <w:right w:val="single" w:sz="4" w:space="0" w:color="auto"/>
            </w:tcBorders>
          </w:tcPr>
          <w:p w14:paraId="0385143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AA+(mex)</w:t>
            </w:r>
          </w:p>
        </w:tc>
        <w:tc>
          <w:tcPr>
            <w:tcW w:w="952" w:type="dxa"/>
            <w:tcBorders>
              <w:top w:val="single" w:sz="4" w:space="0" w:color="auto"/>
              <w:left w:val="single" w:sz="4" w:space="0" w:color="auto"/>
              <w:bottom w:val="single" w:sz="4" w:space="0" w:color="auto"/>
              <w:right w:val="single" w:sz="4" w:space="0" w:color="auto"/>
            </w:tcBorders>
          </w:tcPr>
          <w:p w14:paraId="2365F3E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Aa1.mx</w:t>
            </w:r>
          </w:p>
        </w:tc>
        <w:tc>
          <w:tcPr>
            <w:tcW w:w="1119" w:type="dxa"/>
            <w:tcBorders>
              <w:top w:val="single" w:sz="4" w:space="0" w:color="auto"/>
              <w:left w:val="single" w:sz="4" w:space="0" w:color="auto"/>
              <w:bottom w:val="single" w:sz="4" w:space="0" w:color="auto"/>
              <w:right w:val="single" w:sz="4" w:space="0" w:color="auto"/>
            </w:tcBorders>
          </w:tcPr>
          <w:p w14:paraId="194BA96D"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06AF792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14C69D8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4AA4637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9BA6FE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3</w:t>
            </w:r>
          </w:p>
        </w:tc>
        <w:tc>
          <w:tcPr>
            <w:tcW w:w="927" w:type="dxa"/>
            <w:tcBorders>
              <w:top w:val="single" w:sz="4" w:space="0" w:color="auto"/>
              <w:left w:val="single" w:sz="4" w:space="0" w:color="auto"/>
              <w:bottom w:val="single" w:sz="4" w:space="0" w:color="auto"/>
              <w:right w:val="single" w:sz="4" w:space="0" w:color="auto"/>
            </w:tcBorders>
          </w:tcPr>
          <w:p w14:paraId="1062E824"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w:t>
            </w:r>
          </w:p>
        </w:tc>
        <w:tc>
          <w:tcPr>
            <w:tcW w:w="1167" w:type="dxa"/>
            <w:tcBorders>
              <w:top w:val="single" w:sz="4" w:space="0" w:color="auto"/>
              <w:left w:val="single" w:sz="4" w:space="0" w:color="auto"/>
              <w:bottom w:val="single" w:sz="4" w:space="0" w:color="auto"/>
              <w:right w:val="single" w:sz="4" w:space="0" w:color="auto"/>
            </w:tcBorders>
          </w:tcPr>
          <w:p w14:paraId="3D705D55" w14:textId="77777777" w:rsidR="00A56806" w:rsidRPr="00515338" w:rsidRDefault="00C6291C" w:rsidP="00A56806">
            <w:pPr>
              <w:spacing w:after="0" w:line="240" w:lineRule="auto"/>
              <w:jc w:val="center"/>
              <w:rPr>
                <w:rFonts w:asciiTheme="minorHAnsi" w:hAnsiTheme="minorHAnsi" w:cstheme="minorHAnsi"/>
                <w:sz w:val="20"/>
                <w:szCs w:val="20"/>
              </w:rPr>
            </w:pPr>
            <w:proofErr w:type="gramStart"/>
            <w:r w:rsidRPr="00515338">
              <w:rPr>
                <w:rFonts w:asciiTheme="minorHAnsi" w:hAnsiTheme="minorHAnsi" w:cstheme="minorHAnsi"/>
                <w:sz w:val="20"/>
                <w:szCs w:val="20"/>
              </w:rPr>
              <w:t>AA(</w:t>
            </w:r>
            <w:proofErr w:type="gramEnd"/>
            <w:r w:rsidRPr="00515338">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1AB95ED2"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Aa2.mx</w:t>
            </w:r>
          </w:p>
        </w:tc>
        <w:tc>
          <w:tcPr>
            <w:tcW w:w="1119" w:type="dxa"/>
            <w:tcBorders>
              <w:top w:val="single" w:sz="4" w:space="0" w:color="auto"/>
              <w:left w:val="single" w:sz="4" w:space="0" w:color="auto"/>
              <w:bottom w:val="single" w:sz="4" w:space="0" w:color="auto"/>
              <w:right w:val="single" w:sz="4" w:space="0" w:color="auto"/>
            </w:tcBorders>
          </w:tcPr>
          <w:p w14:paraId="5477691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040695A9"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0BA817C4"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5E255A3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F898F79"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4</w:t>
            </w:r>
          </w:p>
        </w:tc>
        <w:tc>
          <w:tcPr>
            <w:tcW w:w="927" w:type="dxa"/>
            <w:tcBorders>
              <w:top w:val="single" w:sz="4" w:space="0" w:color="auto"/>
              <w:left w:val="single" w:sz="4" w:space="0" w:color="auto"/>
              <w:bottom w:val="single" w:sz="4" w:space="0" w:color="auto"/>
              <w:right w:val="single" w:sz="4" w:space="0" w:color="auto"/>
            </w:tcBorders>
          </w:tcPr>
          <w:p w14:paraId="7B51DF5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w:t>
            </w:r>
          </w:p>
        </w:tc>
        <w:tc>
          <w:tcPr>
            <w:tcW w:w="1167" w:type="dxa"/>
            <w:tcBorders>
              <w:top w:val="single" w:sz="4" w:space="0" w:color="auto"/>
              <w:left w:val="single" w:sz="4" w:space="0" w:color="auto"/>
              <w:bottom w:val="single" w:sz="4" w:space="0" w:color="auto"/>
              <w:right w:val="single" w:sz="4" w:space="0" w:color="auto"/>
            </w:tcBorders>
          </w:tcPr>
          <w:p w14:paraId="0EF2B46D"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w:t>
            </w:r>
            <w:r w:rsidRPr="00515338">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10007193"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Aa3.mx</w:t>
            </w:r>
          </w:p>
        </w:tc>
        <w:tc>
          <w:tcPr>
            <w:tcW w:w="1119" w:type="dxa"/>
            <w:tcBorders>
              <w:top w:val="single" w:sz="4" w:space="0" w:color="auto"/>
              <w:left w:val="single" w:sz="4" w:space="0" w:color="auto"/>
              <w:bottom w:val="single" w:sz="4" w:space="0" w:color="auto"/>
              <w:right w:val="single" w:sz="4" w:space="0" w:color="auto"/>
            </w:tcBorders>
          </w:tcPr>
          <w:p w14:paraId="7C11BBD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4F5F093B"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0BF2013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0059C245"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A02FBDF"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5</w:t>
            </w:r>
          </w:p>
        </w:tc>
        <w:tc>
          <w:tcPr>
            <w:tcW w:w="927" w:type="dxa"/>
            <w:tcBorders>
              <w:top w:val="single" w:sz="4" w:space="0" w:color="auto"/>
              <w:left w:val="single" w:sz="4" w:space="0" w:color="auto"/>
              <w:bottom w:val="single" w:sz="4" w:space="0" w:color="auto"/>
              <w:right w:val="single" w:sz="4" w:space="0" w:color="auto"/>
            </w:tcBorders>
          </w:tcPr>
          <w:p w14:paraId="3F857892"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w:t>
            </w:r>
          </w:p>
        </w:tc>
        <w:tc>
          <w:tcPr>
            <w:tcW w:w="1167" w:type="dxa"/>
            <w:tcBorders>
              <w:top w:val="single" w:sz="4" w:space="0" w:color="auto"/>
              <w:left w:val="single" w:sz="4" w:space="0" w:color="auto"/>
              <w:bottom w:val="single" w:sz="4" w:space="0" w:color="auto"/>
              <w:right w:val="single" w:sz="4" w:space="0" w:color="auto"/>
            </w:tcBorders>
          </w:tcPr>
          <w:p w14:paraId="7E6F5BB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A+(mex)</w:t>
            </w:r>
          </w:p>
        </w:tc>
        <w:tc>
          <w:tcPr>
            <w:tcW w:w="952" w:type="dxa"/>
            <w:tcBorders>
              <w:top w:val="single" w:sz="4" w:space="0" w:color="auto"/>
              <w:left w:val="single" w:sz="4" w:space="0" w:color="auto"/>
              <w:bottom w:val="single" w:sz="4" w:space="0" w:color="auto"/>
              <w:right w:val="single" w:sz="4" w:space="0" w:color="auto"/>
            </w:tcBorders>
          </w:tcPr>
          <w:p w14:paraId="111E842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A1.mx</w:t>
            </w:r>
          </w:p>
        </w:tc>
        <w:tc>
          <w:tcPr>
            <w:tcW w:w="1119" w:type="dxa"/>
            <w:tcBorders>
              <w:top w:val="single" w:sz="4" w:space="0" w:color="auto"/>
              <w:left w:val="single" w:sz="4" w:space="0" w:color="auto"/>
              <w:bottom w:val="single" w:sz="4" w:space="0" w:color="auto"/>
              <w:right w:val="single" w:sz="4" w:space="0" w:color="auto"/>
            </w:tcBorders>
          </w:tcPr>
          <w:p w14:paraId="5AC08BA2"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27B999E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1652C4EF"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2441DB1E"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E7E8273"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6</w:t>
            </w:r>
          </w:p>
        </w:tc>
        <w:tc>
          <w:tcPr>
            <w:tcW w:w="927" w:type="dxa"/>
            <w:tcBorders>
              <w:top w:val="single" w:sz="4" w:space="0" w:color="auto"/>
              <w:left w:val="single" w:sz="4" w:space="0" w:color="auto"/>
              <w:bottom w:val="single" w:sz="4" w:space="0" w:color="auto"/>
              <w:right w:val="single" w:sz="4" w:space="0" w:color="auto"/>
            </w:tcBorders>
          </w:tcPr>
          <w:p w14:paraId="265F1DCB"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w:t>
            </w:r>
          </w:p>
        </w:tc>
        <w:tc>
          <w:tcPr>
            <w:tcW w:w="1167" w:type="dxa"/>
            <w:tcBorders>
              <w:top w:val="single" w:sz="4" w:space="0" w:color="auto"/>
              <w:left w:val="single" w:sz="4" w:space="0" w:color="auto"/>
              <w:bottom w:val="single" w:sz="4" w:space="0" w:color="auto"/>
              <w:right w:val="single" w:sz="4" w:space="0" w:color="auto"/>
            </w:tcBorders>
          </w:tcPr>
          <w:p w14:paraId="2A06B67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A(mex)</w:t>
            </w:r>
          </w:p>
        </w:tc>
        <w:tc>
          <w:tcPr>
            <w:tcW w:w="952" w:type="dxa"/>
            <w:tcBorders>
              <w:top w:val="single" w:sz="4" w:space="0" w:color="auto"/>
              <w:left w:val="single" w:sz="4" w:space="0" w:color="auto"/>
              <w:bottom w:val="single" w:sz="4" w:space="0" w:color="auto"/>
              <w:right w:val="single" w:sz="4" w:space="0" w:color="auto"/>
            </w:tcBorders>
          </w:tcPr>
          <w:p w14:paraId="5E91D3DB"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A2.mx</w:t>
            </w:r>
          </w:p>
        </w:tc>
        <w:tc>
          <w:tcPr>
            <w:tcW w:w="1119" w:type="dxa"/>
            <w:tcBorders>
              <w:top w:val="single" w:sz="4" w:space="0" w:color="auto"/>
              <w:left w:val="single" w:sz="4" w:space="0" w:color="auto"/>
              <w:bottom w:val="single" w:sz="4" w:space="0" w:color="auto"/>
              <w:right w:val="single" w:sz="4" w:space="0" w:color="auto"/>
            </w:tcBorders>
          </w:tcPr>
          <w:p w14:paraId="1B796B5A"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1C1819AA"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639D4A8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2C5EA37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D7FC3DA"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7</w:t>
            </w:r>
          </w:p>
        </w:tc>
        <w:tc>
          <w:tcPr>
            <w:tcW w:w="927" w:type="dxa"/>
            <w:tcBorders>
              <w:top w:val="single" w:sz="4" w:space="0" w:color="auto"/>
              <w:left w:val="single" w:sz="4" w:space="0" w:color="auto"/>
              <w:bottom w:val="single" w:sz="4" w:space="0" w:color="auto"/>
              <w:right w:val="single" w:sz="4" w:space="0" w:color="auto"/>
            </w:tcBorders>
          </w:tcPr>
          <w:p w14:paraId="79892D4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w:t>
            </w:r>
          </w:p>
        </w:tc>
        <w:tc>
          <w:tcPr>
            <w:tcW w:w="1167" w:type="dxa"/>
            <w:tcBorders>
              <w:top w:val="single" w:sz="4" w:space="0" w:color="auto"/>
              <w:left w:val="single" w:sz="4" w:space="0" w:color="auto"/>
              <w:bottom w:val="single" w:sz="4" w:space="0" w:color="auto"/>
              <w:right w:val="single" w:sz="4" w:space="0" w:color="auto"/>
            </w:tcBorders>
          </w:tcPr>
          <w:p w14:paraId="1E9AE7A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A-(mex)</w:t>
            </w:r>
          </w:p>
        </w:tc>
        <w:tc>
          <w:tcPr>
            <w:tcW w:w="952" w:type="dxa"/>
            <w:tcBorders>
              <w:top w:val="single" w:sz="4" w:space="0" w:color="auto"/>
              <w:left w:val="single" w:sz="4" w:space="0" w:color="auto"/>
              <w:bottom w:val="single" w:sz="4" w:space="0" w:color="auto"/>
              <w:right w:val="single" w:sz="4" w:space="0" w:color="auto"/>
            </w:tcBorders>
          </w:tcPr>
          <w:p w14:paraId="37B5595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A3.mx</w:t>
            </w:r>
          </w:p>
        </w:tc>
        <w:tc>
          <w:tcPr>
            <w:tcW w:w="1119" w:type="dxa"/>
            <w:tcBorders>
              <w:top w:val="single" w:sz="4" w:space="0" w:color="auto"/>
              <w:left w:val="single" w:sz="4" w:space="0" w:color="auto"/>
              <w:bottom w:val="single" w:sz="4" w:space="0" w:color="auto"/>
              <w:right w:val="single" w:sz="4" w:space="0" w:color="auto"/>
            </w:tcBorders>
          </w:tcPr>
          <w:p w14:paraId="433050F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2F9FEE93"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2590502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66FEDCC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5B286F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8</w:t>
            </w:r>
          </w:p>
        </w:tc>
        <w:tc>
          <w:tcPr>
            <w:tcW w:w="927" w:type="dxa"/>
            <w:tcBorders>
              <w:top w:val="single" w:sz="4" w:space="0" w:color="auto"/>
              <w:left w:val="single" w:sz="4" w:space="0" w:color="auto"/>
              <w:bottom w:val="single" w:sz="4" w:space="0" w:color="auto"/>
              <w:right w:val="single" w:sz="4" w:space="0" w:color="auto"/>
            </w:tcBorders>
          </w:tcPr>
          <w:p w14:paraId="6CEF9C8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mxBBB+</w:t>
            </w:r>
          </w:p>
        </w:tc>
        <w:tc>
          <w:tcPr>
            <w:tcW w:w="1167" w:type="dxa"/>
            <w:tcBorders>
              <w:top w:val="single" w:sz="4" w:space="0" w:color="auto"/>
              <w:left w:val="single" w:sz="4" w:space="0" w:color="auto"/>
              <w:bottom w:val="single" w:sz="4" w:space="0" w:color="auto"/>
              <w:right w:val="single" w:sz="4" w:space="0" w:color="auto"/>
            </w:tcBorders>
          </w:tcPr>
          <w:p w14:paraId="3F558E43"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BBB+(mex)</w:t>
            </w:r>
          </w:p>
        </w:tc>
        <w:tc>
          <w:tcPr>
            <w:tcW w:w="952" w:type="dxa"/>
            <w:tcBorders>
              <w:top w:val="single" w:sz="4" w:space="0" w:color="auto"/>
              <w:left w:val="single" w:sz="4" w:space="0" w:color="auto"/>
              <w:bottom w:val="single" w:sz="4" w:space="0" w:color="auto"/>
              <w:right w:val="single" w:sz="4" w:space="0" w:color="auto"/>
            </w:tcBorders>
          </w:tcPr>
          <w:p w14:paraId="503F6D4A"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Baa1.mx</w:t>
            </w:r>
          </w:p>
        </w:tc>
        <w:tc>
          <w:tcPr>
            <w:tcW w:w="1119" w:type="dxa"/>
            <w:tcBorders>
              <w:top w:val="single" w:sz="4" w:space="0" w:color="auto"/>
              <w:left w:val="single" w:sz="4" w:space="0" w:color="auto"/>
              <w:bottom w:val="single" w:sz="4" w:space="0" w:color="auto"/>
              <w:right w:val="single" w:sz="4" w:space="0" w:color="auto"/>
            </w:tcBorders>
          </w:tcPr>
          <w:p w14:paraId="2C509EA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2BE24BC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2382ABA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06D7459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A68E5A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9</w:t>
            </w:r>
          </w:p>
        </w:tc>
        <w:tc>
          <w:tcPr>
            <w:tcW w:w="927" w:type="dxa"/>
            <w:tcBorders>
              <w:top w:val="single" w:sz="4" w:space="0" w:color="auto"/>
              <w:left w:val="single" w:sz="4" w:space="0" w:color="auto"/>
              <w:bottom w:val="single" w:sz="4" w:space="0" w:color="auto"/>
              <w:right w:val="single" w:sz="4" w:space="0" w:color="auto"/>
            </w:tcBorders>
          </w:tcPr>
          <w:p w14:paraId="05403C2D"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mxBBB</w:t>
            </w:r>
          </w:p>
        </w:tc>
        <w:tc>
          <w:tcPr>
            <w:tcW w:w="1167" w:type="dxa"/>
            <w:tcBorders>
              <w:top w:val="single" w:sz="4" w:space="0" w:color="auto"/>
              <w:left w:val="single" w:sz="4" w:space="0" w:color="auto"/>
              <w:bottom w:val="single" w:sz="4" w:space="0" w:color="auto"/>
              <w:right w:val="single" w:sz="4" w:space="0" w:color="auto"/>
            </w:tcBorders>
          </w:tcPr>
          <w:p w14:paraId="0C513669" w14:textId="77777777" w:rsidR="00A56806" w:rsidRPr="00515338" w:rsidRDefault="00C6291C" w:rsidP="00A56806">
            <w:pPr>
              <w:spacing w:after="0" w:line="240" w:lineRule="auto"/>
              <w:jc w:val="center"/>
              <w:rPr>
                <w:rFonts w:asciiTheme="minorHAnsi" w:hAnsiTheme="minorHAnsi" w:cstheme="minorHAnsi"/>
                <w:sz w:val="20"/>
                <w:szCs w:val="20"/>
              </w:rPr>
            </w:pPr>
            <w:proofErr w:type="gramStart"/>
            <w:r w:rsidRPr="00515338">
              <w:rPr>
                <w:rFonts w:asciiTheme="minorHAnsi" w:hAnsiTheme="minorHAnsi" w:cstheme="minorHAnsi"/>
                <w:sz w:val="20"/>
                <w:szCs w:val="20"/>
              </w:rPr>
              <w:t>BBB(</w:t>
            </w:r>
            <w:proofErr w:type="gramEnd"/>
            <w:r w:rsidRPr="00515338">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22A1062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Baa2.mx</w:t>
            </w:r>
          </w:p>
        </w:tc>
        <w:tc>
          <w:tcPr>
            <w:tcW w:w="1119" w:type="dxa"/>
            <w:tcBorders>
              <w:top w:val="single" w:sz="4" w:space="0" w:color="auto"/>
              <w:left w:val="single" w:sz="4" w:space="0" w:color="auto"/>
              <w:bottom w:val="single" w:sz="4" w:space="0" w:color="auto"/>
              <w:right w:val="single" w:sz="4" w:space="0" w:color="auto"/>
            </w:tcBorders>
          </w:tcPr>
          <w:p w14:paraId="1674EB5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1E7644A6"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3A34636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47ADDCC2" w14:textId="77777777" w:rsidTr="0058650E">
        <w:trPr>
          <w:trHeight w:val="166"/>
          <w:jc w:val="center"/>
        </w:trPr>
        <w:tc>
          <w:tcPr>
            <w:tcW w:w="933" w:type="dxa"/>
            <w:tcBorders>
              <w:top w:val="single" w:sz="4" w:space="0" w:color="auto"/>
              <w:left w:val="single" w:sz="4" w:space="0" w:color="auto"/>
              <w:bottom w:val="single" w:sz="4" w:space="0" w:color="auto"/>
              <w:right w:val="single" w:sz="4" w:space="0" w:color="auto"/>
            </w:tcBorders>
          </w:tcPr>
          <w:p w14:paraId="0B96329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10</w:t>
            </w:r>
          </w:p>
        </w:tc>
        <w:tc>
          <w:tcPr>
            <w:tcW w:w="927" w:type="dxa"/>
            <w:tcBorders>
              <w:top w:val="single" w:sz="4" w:space="0" w:color="auto"/>
              <w:left w:val="single" w:sz="4" w:space="0" w:color="auto"/>
              <w:bottom w:val="single" w:sz="4" w:space="0" w:color="auto"/>
              <w:right w:val="single" w:sz="4" w:space="0" w:color="auto"/>
            </w:tcBorders>
          </w:tcPr>
          <w:p w14:paraId="1C1E7D54"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mxBBB-</w:t>
            </w:r>
          </w:p>
        </w:tc>
        <w:tc>
          <w:tcPr>
            <w:tcW w:w="1167" w:type="dxa"/>
            <w:tcBorders>
              <w:top w:val="single" w:sz="4" w:space="0" w:color="auto"/>
              <w:left w:val="single" w:sz="4" w:space="0" w:color="auto"/>
              <w:bottom w:val="single" w:sz="4" w:space="0" w:color="auto"/>
              <w:right w:val="single" w:sz="4" w:space="0" w:color="auto"/>
            </w:tcBorders>
          </w:tcPr>
          <w:p w14:paraId="58BAD023"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BBB-(mex)</w:t>
            </w:r>
          </w:p>
        </w:tc>
        <w:tc>
          <w:tcPr>
            <w:tcW w:w="952" w:type="dxa"/>
            <w:tcBorders>
              <w:top w:val="single" w:sz="4" w:space="0" w:color="auto"/>
              <w:left w:val="single" w:sz="4" w:space="0" w:color="auto"/>
              <w:bottom w:val="single" w:sz="4" w:space="0" w:color="auto"/>
              <w:right w:val="single" w:sz="4" w:space="0" w:color="auto"/>
            </w:tcBorders>
          </w:tcPr>
          <w:p w14:paraId="11CFB9A4"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Baa3.mx</w:t>
            </w:r>
          </w:p>
        </w:tc>
        <w:tc>
          <w:tcPr>
            <w:tcW w:w="1119" w:type="dxa"/>
            <w:tcBorders>
              <w:top w:val="single" w:sz="4" w:space="0" w:color="auto"/>
              <w:left w:val="single" w:sz="4" w:space="0" w:color="auto"/>
              <w:bottom w:val="single" w:sz="4" w:space="0" w:color="auto"/>
              <w:right w:val="single" w:sz="4" w:space="0" w:color="auto"/>
            </w:tcBorders>
          </w:tcPr>
          <w:p w14:paraId="691183C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5FF9097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6FEBE49A"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78D46D2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73FADF3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lastRenderedPageBreak/>
              <w:t>11</w:t>
            </w:r>
          </w:p>
        </w:tc>
        <w:tc>
          <w:tcPr>
            <w:tcW w:w="927" w:type="dxa"/>
            <w:tcBorders>
              <w:top w:val="single" w:sz="4" w:space="0" w:color="auto"/>
              <w:left w:val="single" w:sz="4" w:space="0" w:color="auto"/>
              <w:bottom w:val="single" w:sz="4" w:space="0" w:color="auto"/>
              <w:right w:val="single" w:sz="4" w:space="0" w:color="auto"/>
            </w:tcBorders>
          </w:tcPr>
          <w:p w14:paraId="7A51E132"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w:t>
            </w:r>
          </w:p>
        </w:tc>
        <w:tc>
          <w:tcPr>
            <w:tcW w:w="1167" w:type="dxa"/>
            <w:tcBorders>
              <w:top w:val="single" w:sz="4" w:space="0" w:color="auto"/>
              <w:left w:val="single" w:sz="4" w:space="0" w:color="auto"/>
              <w:bottom w:val="single" w:sz="4" w:space="0" w:color="auto"/>
              <w:right w:val="single" w:sz="4" w:space="0" w:color="auto"/>
            </w:tcBorders>
          </w:tcPr>
          <w:p w14:paraId="32393F9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BB+(mex)</w:t>
            </w:r>
          </w:p>
        </w:tc>
        <w:tc>
          <w:tcPr>
            <w:tcW w:w="952" w:type="dxa"/>
            <w:tcBorders>
              <w:top w:val="single" w:sz="4" w:space="0" w:color="auto"/>
              <w:left w:val="single" w:sz="4" w:space="0" w:color="auto"/>
              <w:bottom w:val="single" w:sz="4" w:space="0" w:color="auto"/>
              <w:right w:val="single" w:sz="4" w:space="0" w:color="auto"/>
            </w:tcBorders>
          </w:tcPr>
          <w:p w14:paraId="59484FA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Ba1.mx</w:t>
            </w:r>
          </w:p>
        </w:tc>
        <w:tc>
          <w:tcPr>
            <w:tcW w:w="1119" w:type="dxa"/>
            <w:tcBorders>
              <w:top w:val="single" w:sz="4" w:space="0" w:color="auto"/>
              <w:left w:val="single" w:sz="4" w:space="0" w:color="auto"/>
              <w:bottom w:val="single" w:sz="4" w:space="0" w:color="auto"/>
              <w:right w:val="single" w:sz="4" w:space="0" w:color="auto"/>
            </w:tcBorders>
          </w:tcPr>
          <w:p w14:paraId="4624996D"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051EC9B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092C054F"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2A1527" w14:paraId="7D019D79"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86C7FF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12</w:t>
            </w:r>
          </w:p>
        </w:tc>
        <w:tc>
          <w:tcPr>
            <w:tcW w:w="927" w:type="dxa"/>
            <w:tcBorders>
              <w:top w:val="single" w:sz="4" w:space="0" w:color="auto"/>
              <w:left w:val="single" w:sz="4" w:space="0" w:color="auto"/>
              <w:bottom w:val="single" w:sz="4" w:space="0" w:color="auto"/>
              <w:right w:val="single" w:sz="4" w:space="0" w:color="auto"/>
            </w:tcBorders>
          </w:tcPr>
          <w:p w14:paraId="4576A21D"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w:t>
            </w:r>
          </w:p>
        </w:tc>
        <w:tc>
          <w:tcPr>
            <w:tcW w:w="1167" w:type="dxa"/>
            <w:tcBorders>
              <w:top w:val="single" w:sz="4" w:space="0" w:color="auto"/>
              <w:left w:val="single" w:sz="4" w:space="0" w:color="auto"/>
              <w:bottom w:val="single" w:sz="4" w:space="0" w:color="auto"/>
              <w:right w:val="single" w:sz="4" w:space="0" w:color="auto"/>
            </w:tcBorders>
          </w:tcPr>
          <w:p w14:paraId="73361BE2" w14:textId="77777777" w:rsidR="00A56806" w:rsidRPr="00515338" w:rsidRDefault="00C6291C" w:rsidP="00A56806">
            <w:pPr>
              <w:spacing w:after="0" w:line="240" w:lineRule="auto"/>
              <w:jc w:val="center"/>
              <w:rPr>
                <w:rFonts w:asciiTheme="minorHAnsi" w:hAnsiTheme="minorHAnsi" w:cstheme="minorHAnsi"/>
                <w:sz w:val="20"/>
                <w:szCs w:val="20"/>
              </w:rPr>
            </w:pPr>
            <w:proofErr w:type="gramStart"/>
            <w:r w:rsidRPr="00515338">
              <w:rPr>
                <w:rFonts w:asciiTheme="minorHAnsi" w:hAnsiTheme="minorHAnsi" w:cstheme="minorHAnsi"/>
                <w:sz w:val="20"/>
                <w:szCs w:val="20"/>
              </w:rPr>
              <w:t>BB(</w:t>
            </w:r>
            <w:proofErr w:type="gramEnd"/>
            <w:r w:rsidRPr="00515338">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7DD895C6"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Ba2.mx</w:t>
            </w:r>
          </w:p>
        </w:tc>
        <w:tc>
          <w:tcPr>
            <w:tcW w:w="1119" w:type="dxa"/>
            <w:tcBorders>
              <w:top w:val="single" w:sz="4" w:space="0" w:color="auto"/>
              <w:left w:val="single" w:sz="4" w:space="0" w:color="auto"/>
              <w:bottom w:val="single" w:sz="4" w:space="0" w:color="auto"/>
              <w:right w:val="single" w:sz="4" w:space="0" w:color="auto"/>
            </w:tcBorders>
          </w:tcPr>
          <w:p w14:paraId="78F6C3B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2DBE336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74C6784A"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2A1527" w14:paraId="1E4B1EC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2032F0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13</w:t>
            </w:r>
          </w:p>
        </w:tc>
        <w:tc>
          <w:tcPr>
            <w:tcW w:w="927" w:type="dxa"/>
            <w:tcBorders>
              <w:top w:val="single" w:sz="4" w:space="0" w:color="auto"/>
              <w:left w:val="single" w:sz="4" w:space="0" w:color="auto"/>
              <w:bottom w:val="single" w:sz="4" w:space="0" w:color="auto"/>
              <w:right w:val="single" w:sz="4" w:space="0" w:color="auto"/>
            </w:tcBorders>
          </w:tcPr>
          <w:p w14:paraId="0F310EEB"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w:t>
            </w:r>
          </w:p>
        </w:tc>
        <w:tc>
          <w:tcPr>
            <w:tcW w:w="1167" w:type="dxa"/>
            <w:tcBorders>
              <w:top w:val="single" w:sz="4" w:space="0" w:color="auto"/>
              <w:left w:val="single" w:sz="4" w:space="0" w:color="auto"/>
              <w:bottom w:val="single" w:sz="4" w:space="0" w:color="auto"/>
              <w:right w:val="single" w:sz="4" w:space="0" w:color="auto"/>
            </w:tcBorders>
          </w:tcPr>
          <w:p w14:paraId="6816174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BB-(mex)</w:t>
            </w:r>
          </w:p>
        </w:tc>
        <w:tc>
          <w:tcPr>
            <w:tcW w:w="952" w:type="dxa"/>
            <w:tcBorders>
              <w:top w:val="single" w:sz="4" w:space="0" w:color="auto"/>
              <w:left w:val="single" w:sz="4" w:space="0" w:color="auto"/>
              <w:bottom w:val="single" w:sz="4" w:space="0" w:color="auto"/>
              <w:right w:val="single" w:sz="4" w:space="0" w:color="auto"/>
            </w:tcBorders>
          </w:tcPr>
          <w:p w14:paraId="3286CFD6"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Ba3.mx</w:t>
            </w:r>
          </w:p>
        </w:tc>
        <w:tc>
          <w:tcPr>
            <w:tcW w:w="1119" w:type="dxa"/>
            <w:tcBorders>
              <w:top w:val="single" w:sz="4" w:space="0" w:color="auto"/>
              <w:left w:val="single" w:sz="4" w:space="0" w:color="auto"/>
              <w:bottom w:val="single" w:sz="4" w:space="0" w:color="auto"/>
              <w:right w:val="single" w:sz="4" w:space="0" w:color="auto"/>
            </w:tcBorders>
          </w:tcPr>
          <w:p w14:paraId="78E0198F"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4841747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121DDA44"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2A1527" w14:paraId="4E24BE8A"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2E94583"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14</w:t>
            </w:r>
          </w:p>
        </w:tc>
        <w:tc>
          <w:tcPr>
            <w:tcW w:w="927" w:type="dxa"/>
            <w:tcBorders>
              <w:top w:val="single" w:sz="4" w:space="0" w:color="auto"/>
              <w:left w:val="single" w:sz="4" w:space="0" w:color="auto"/>
              <w:bottom w:val="single" w:sz="4" w:space="0" w:color="auto"/>
              <w:right w:val="single" w:sz="4" w:space="0" w:color="auto"/>
            </w:tcBorders>
          </w:tcPr>
          <w:p w14:paraId="0A1C7E6C"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w:t>
            </w:r>
          </w:p>
        </w:tc>
        <w:tc>
          <w:tcPr>
            <w:tcW w:w="1167" w:type="dxa"/>
            <w:tcBorders>
              <w:top w:val="single" w:sz="4" w:space="0" w:color="auto"/>
              <w:left w:val="single" w:sz="4" w:space="0" w:color="auto"/>
              <w:bottom w:val="single" w:sz="4" w:space="0" w:color="auto"/>
              <w:right w:val="single" w:sz="4" w:space="0" w:color="auto"/>
            </w:tcBorders>
          </w:tcPr>
          <w:p w14:paraId="022AA1D2"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B+(mex)</w:t>
            </w:r>
          </w:p>
        </w:tc>
        <w:tc>
          <w:tcPr>
            <w:tcW w:w="952" w:type="dxa"/>
            <w:tcBorders>
              <w:top w:val="single" w:sz="4" w:space="0" w:color="auto"/>
              <w:left w:val="single" w:sz="4" w:space="0" w:color="auto"/>
              <w:bottom w:val="single" w:sz="4" w:space="0" w:color="auto"/>
              <w:right w:val="single" w:sz="4" w:space="0" w:color="auto"/>
            </w:tcBorders>
          </w:tcPr>
          <w:p w14:paraId="388EABB0"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B1.mx</w:t>
            </w:r>
          </w:p>
        </w:tc>
        <w:tc>
          <w:tcPr>
            <w:tcW w:w="1119" w:type="dxa"/>
            <w:tcBorders>
              <w:top w:val="single" w:sz="4" w:space="0" w:color="auto"/>
              <w:left w:val="single" w:sz="4" w:space="0" w:color="auto"/>
              <w:bottom w:val="single" w:sz="4" w:space="0" w:color="auto"/>
              <w:right w:val="single" w:sz="4" w:space="0" w:color="auto"/>
            </w:tcBorders>
          </w:tcPr>
          <w:p w14:paraId="545D53D5"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1B65FB8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326E57A2"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2A1527" w14:paraId="273B860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72AE820E"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15</w:t>
            </w:r>
          </w:p>
        </w:tc>
        <w:tc>
          <w:tcPr>
            <w:tcW w:w="927" w:type="dxa"/>
            <w:tcBorders>
              <w:top w:val="single" w:sz="4" w:space="0" w:color="auto"/>
              <w:left w:val="single" w:sz="4" w:space="0" w:color="auto"/>
              <w:bottom w:val="single" w:sz="4" w:space="0" w:color="auto"/>
              <w:right w:val="single" w:sz="4" w:space="0" w:color="auto"/>
            </w:tcBorders>
          </w:tcPr>
          <w:p w14:paraId="2BC04FB1"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w:t>
            </w:r>
          </w:p>
        </w:tc>
        <w:tc>
          <w:tcPr>
            <w:tcW w:w="1167" w:type="dxa"/>
            <w:tcBorders>
              <w:top w:val="single" w:sz="4" w:space="0" w:color="auto"/>
              <w:left w:val="single" w:sz="4" w:space="0" w:color="auto"/>
              <w:bottom w:val="single" w:sz="4" w:space="0" w:color="auto"/>
              <w:right w:val="single" w:sz="4" w:space="0" w:color="auto"/>
            </w:tcBorders>
          </w:tcPr>
          <w:p w14:paraId="0BBE15D7"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B(mex)</w:t>
            </w:r>
          </w:p>
        </w:tc>
        <w:tc>
          <w:tcPr>
            <w:tcW w:w="952" w:type="dxa"/>
            <w:tcBorders>
              <w:top w:val="single" w:sz="4" w:space="0" w:color="auto"/>
              <w:left w:val="single" w:sz="4" w:space="0" w:color="auto"/>
              <w:bottom w:val="single" w:sz="4" w:space="0" w:color="auto"/>
              <w:right w:val="single" w:sz="4" w:space="0" w:color="auto"/>
            </w:tcBorders>
          </w:tcPr>
          <w:p w14:paraId="16589919"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B2.mx</w:t>
            </w:r>
          </w:p>
        </w:tc>
        <w:tc>
          <w:tcPr>
            <w:tcW w:w="1119" w:type="dxa"/>
            <w:tcBorders>
              <w:top w:val="single" w:sz="4" w:space="0" w:color="auto"/>
              <w:left w:val="single" w:sz="4" w:space="0" w:color="auto"/>
              <w:bottom w:val="single" w:sz="4" w:space="0" w:color="auto"/>
              <w:right w:val="single" w:sz="4" w:space="0" w:color="auto"/>
            </w:tcBorders>
          </w:tcPr>
          <w:p w14:paraId="5FF60C34"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7D3F0299" w14:textId="77777777" w:rsidR="00A56806" w:rsidRPr="00515338" w:rsidRDefault="00C6291C"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7553B45F" w14:textId="77777777" w:rsidR="00A56806" w:rsidRPr="00515338" w:rsidRDefault="00C6291C"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2A1527" w14:paraId="5CA45C69"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31920C45"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16</w:t>
            </w:r>
          </w:p>
        </w:tc>
        <w:tc>
          <w:tcPr>
            <w:tcW w:w="927" w:type="dxa"/>
            <w:tcBorders>
              <w:top w:val="single" w:sz="4" w:space="0" w:color="auto"/>
              <w:left w:val="single" w:sz="4" w:space="0" w:color="auto"/>
              <w:bottom w:val="single" w:sz="4" w:space="0" w:color="auto"/>
              <w:right w:val="single" w:sz="4" w:space="0" w:color="auto"/>
            </w:tcBorders>
          </w:tcPr>
          <w:p w14:paraId="4AED765A"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mxB-</w:t>
            </w:r>
          </w:p>
        </w:tc>
        <w:tc>
          <w:tcPr>
            <w:tcW w:w="1167" w:type="dxa"/>
            <w:tcBorders>
              <w:top w:val="single" w:sz="4" w:space="0" w:color="auto"/>
              <w:left w:val="single" w:sz="4" w:space="0" w:color="auto"/>
              <w:bottom w:val="single" w:sz="4" w:space="0" w:color="auto"/>
              <w:right w:val="single" w:sz="4" w:space="0" w:color="auto"/>
            </w:tcBorders>
          </w:tcPr>
          <w:p w14:paraId="12E238E2"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B-(mex)</w:t>
            </w:r>
          </w:p>
        </w:tc>
        <w:tc>
          <w:tcPr>
            <w:tcW w:w="952" w:type="dxa"/>
            <w:tcBorders>
              <w:top w:val="single" w:sz="4" w:space="0" w:color="auto"/>
              <w:left w:val="single" w:sz="4" w:space="0" w:color="auto"/>
              <w:bottom w:val="single" w:sz="4" w:space="0" w:color="auto"/>
              <w:right w:val="single" w:sz="4" w:space="0" w:color="auto"/>
            </w:tcBorders>
          </w:tcPr>
          <w:p w14:paraId="0BACF5F2"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B3.mx</w:t>
            </w:r>
          </w:p>
        </w:tc>
        <w:tc>
          <w:tcPr>
            <w:tcW w:w="1119" w:type="dxa"/>
            <w:tcBorders>
              <w:top w:val="single" w:sz="4" w:space="0" w:color="auto"/>
              <w:left w:val="single" w:sz="4" w:space="0" w:color="auto"/>
              <w:bottom w:val="single" w:sz="4" w:space="0" w:color="auto"/>
              <w:right w:val="single" w:sz="4" w:space="0" w:color="auto"/>
            </w:tcBorders>
          </w:tcPr>
          <w:p w14:paraId="0563EF1A"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65D87609"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3C351CF3"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2A1527" w14:paraId="0BAD59F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287A0296"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17</w:t>
            </w:r>
          </w:p>
        </w:tc>
        <w:tc>
          <w:tcPr>
            <w:tcW w:w="927" w:type="dxa"/>
            <w:tcBorders>
              <w:top w:val="single" w:sz="4" w:space="0" w:color="auto"/>
              <w:left w:val="single" w:sz="4" w:space="0" w:color="auto"/>
              <w:bottom w:val="single" w:sz="4" w:space="0" w:color="auto"/>
              <w:right w:val="single" w:sz="4" w:space="0" w:color="auto"/>
            </w:tcBorders>
          </w:tcPr>
          <w:p w14:paraId="6BC1F12F"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mxCCC</w:t>
            </w:r>
          </w:p>
        </w:tc>
        <w:tc>
          <w:tcPr>
            <w:tcW w:w="1167" w:type="dxa"/>
            <w:tcBorders>
              <w:top w:val="single" w:sz="4" w:space="0" w:color="auto"/>
              <w:left w:val="single" w:sz="4" w:space="0" w:color="auto"/>
              <w:bottom w:val="single" w:sz="4" w:space="0" w:color="auto"/>
              <w:right w:val="single" w:sz="4" w:space="0" w:color="auto"/>
            </w:tcBorders>
          </w:tcPr>
          <w:p w14:paraId="0A4E76DD" w14:textId="77777777" w:rsidR="00A56806" w:rsidRPr="00D7733B" w:rsidRDefault="00C6291C" w:rsidP="00A56806">
            <w:pPr>
              <w:spacing w:after="0" w:line="240" w:lineRule="auto"/>
              <w:jc w:val="center"/>
              <w:rPr>
                <w:rFonts w:asciiTheme="minorHAnsi" w:hAnsiTheme="minorHAnsi" w:cstheme="minorHAnsi"/>
                <w:sz w:val="20"/>
                <w:szCs w:val="20"/>
              </w:rPr>
            </w:pPr>
            <w:proofErr w:type="gramStart"/>
            <w:r w:rsidRPr="00D7733B">
              <w:rPr>
                <w:rFonts w:asciiTheme="minorHAnsi" w:hAnsiTheme="minorHAnsi" w:cstheme="minorHAnsi"/>
                <w:sz w:val="20"/>
                <w:szCs w:val="20"/>
              </w:rPr>
              <w:t>CCC(</w:t>
            </w:r>
            <w:proofErr w:type="gramEnd"/>
            <w:r w:rsidRPr="00D7733B">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7F32A737"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Caa.mx</w:t>
            </w:r>
          </w:p>
        </w:tc>
        <w:tc>
          <w:tcPr>
            <w:tcW w:w="1119" w:type="dxa"/>
            <w:tcBorders>
              <w:top w:val="single" w:sz="4" w:space="0" w:color="auto"/>
              <w:left w:val="single" w:sz="4" w:space="0" w:color="auto"/>
              <w:bottom w:val="single" w:sz="4" w:space="0" w:color="auto"/>
              <w:right w:val="single" w:sz="4" w:space="0" w:color="auto"/>
            </w:tcBorders>
          </w:tcPr>
          <w:p w14:paraId="5545EC41"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76855C71" w14:textId="77777777" w:rsidR="00A56806" w:rsidRPr="00D7733B" w:rsidRDefault="00C6291C" w:rsidP="00A56806">
            <w:pPr>
              <w:spacing w:after="0" w:line="240" w:lineRule="auto"/>
              <w:jc w:val="center"/>
              <w:rPr>
                <w:rFonts w:asciiTheme="minorHAnsi" w:hAnsiTheme="minorHAnsi" w:cstheme="minorHAnsi"/>
                <w:sz w:val="20"/>
                <w:szCs w:val="20"/>
              </w:rPr>
            </w:pPr>
          </w:p>
        </w:tc>
        <w:tc>
          <w:tcPr>
            <w:tcW w:w="3068" w:type="dxa"/>
            <w:tcBorders>
              <w:top w:val="single" w:sz="4" w:space="0" w:color="auto"/>
              <w:left w:val="single" w:sz="4" w:space="0" w:color="auto"/>
              <w:bottom w:val="single" w:sz="4" w:space="0" w:color="auto"/>
              <w:right w:val="single" w:sz="4" w:space="0" w:color="auto"/>
            </w:tcBorders>
          </w:tcPr>
          <w:p w14:paraId="75384B4A"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2A1527" w14:paraId="5C44D2A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461D504"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18</w:t>
            </w:r>
          </w:p>
        </w:tc>
        <w:tc>
          <w:tcPr>
            <w:tcW w:w="927" w:type="dxa"/>
            <w:tcBorders>
              <w:top w:val="single" w:sz="4" w:space="0" w:color="auto"/>
              <w:left w:val="single" w:sz="4" w:space="0" w:color="auto"/>
              <w:bottom w:val="single" w:sz="4" w:space="0" w:color="auto"/>
              <w:right w:val="single" w:sz="4" w:space="0" w:color="auto"/>
            </w:tcBorders>
          </w:tcPr>
          <w:p w14:paraId="0835C456"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mxCC</w:t>
            </w:r>
          </w:p>
        </w:tc>
        <w:tc>
          <w:tcPr>
            <w:tcW w:w="1167" w:type="dxa"/>
            <w:tcBorders>
              <w:top w:val="single" w:sz="4" w:space="0" w:color="auto"/>
              <w:left w:val="single" w:sz="4" w:space="0" w:color="auto"/>
              <w:bottom w:val="single" w:sz="4" w:space="0" w:color="auto"/>
              <w:right w:val="single" w:sz="4" w:space="0" w:color="auto"/>
            </w:tcBorders>
          </w:tcPr>
          <w:p w14:paraId="11B9CE78" w14:textId="77777777" w:rsidR="00A56806" w:rsidRPr="00D7733B" w:rsidRDefault="00C6291C" w:rsidP="00A56806">
            <w:pPr>
              <w:spacing w:after="0" w:line="240" w:lineRule="auto"/>
              <w:jc w:val="center"/>
              <w:rPr>
                <w:rFonts w:asciiTheme="minorHAnsi" w:hAnsiTheme="minorHAnsi" w:cstheme="minorHAnsi"/>
                <w:sz w:val="20"/>
                <w:szCs w:val="20"/>
              </w:rPr>
            </w:pPr>
            <w:proofErr w:type="gramStart"/>
            <w:r w:rsidRPr="00D7733B">
              <w:rPr>
                <w:rFonts w:asciiTheme="minorHAnsi" w:hAnsiTheme="minorHAnsi" w:cstheme="minorHAnsi"/>
                <w:sz w:val="20"/>
                <w:szCs w:val="20"/>
              </w:rPr>
              <w:t>CC(</w:t>
            </w:r>
            <w:proofErr w:type="gramEnd"/>
            <w:r w:rsidRPr="00D7733B">
              <w:rPr>
                <w:rFonts w:asciiTheme="minorHAnsi" w:hAnsiTheme="minorHAnsi" w:cstheme="minorHAnsi"/>
                <w:sz w:val="20"/>
                <w:szCs w:val="20"/>
              </w:rPr>
              <w:t>mex)</w:t>
            </w:r>
          </w:p>
        </w:tc>
        <w:tc>
          <w:tcPr>
            <w:tcW w:w="952" w:type="dxa"/>
            <w:tcBorders>
              <w:top w:val="single" w:sz="4" w:space="0" w:color="auto"/>
              <w:left w:val="single" w:sz="4" w:space="0" w:color="auto"/>
              <w:bottom w:val="single" w:sz="4" w:space="0" w:color="auto"/>
              <w:right w:val="single" w:sz="4" w:space="0" w:color="auto"/>
            </w:tcBorders>
          </w:tcPr>
          <w:p w14:paraId="2032800D"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Ca.mx</w:t>
            </w:r>
          </w:p>
        </w:tc>
        <w:tc>
          <w:tcPr>
            <w:tcW w:w="1119" w:type="dxa"/>
            <w:tcBorders>
              <w:top w:val="single" w:sz="4" w:space="0" w:color="auto"/>
              <w:left w:val="single" w:sz="4" w:space="0" w:color="auto"/>
              <w:bottom w:val="single" w:sz="4" w:space="0" w:color="auto"/>
              <w:right w:val="single" w:sz="4" w:space="0" w:color="auto"/>
            </w:tcBorders>
          </w:tcPr>
          <w:p w14:paraId="4C673DE0"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2FBD9B55" w14:textId="77777777" w:rsidR="00A56806" w:rsidRPr="00D7733B" w:rsidRDefault="00C6291C" w:rsidP="00A56806">
            <w:pPr>
              <w:spacing w:after="0" w:line="240" w:lineRule="auto"/>
              <w:jc w:val="center"/>
              <w:rPr>
                <w:rFonts w:asciiTheme="minorHAnsi" w:hAnsiTheme="minorHAnsi" w:cstheme="minorHAnsi"/>
                <w:sz w:val="20"/>
                <w:szCs w:val="20"/>
              </w:rPr>
            </w:pPr>
          </w:p>
        </w:tc>
        <w:tc>
          <w:tcPr>
            <w:tcW w:w="3068" w:type="dxa"/>
            <w:tcBorders>
              <w:top w:val="single" w:sz="4" w:space="0" w:color="auto"/>
              <w:left w:val="single" w:sz="4" w:space="0" w:color="auto"/>
              <w:bottom w:val="single" w:sz="4" w:space="0" w:color="auto"/>
              <w:right w:val="single" w:sz="4" w:space="0" w:color="auto"/>
            </w:tcBorders>
          </w:tcPr>
          <w:p w14:paraId="17FCE75E"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2A1527" w14:paraId="42CB51F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752DBF0"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19</w:t>
            </w:r>
          </w:p>
        </w:tc>
        <w:tc>
          <w:tcPr>
            <w:tcW w:w="927" w:type="dxa"/>
            <w:tcBorders>
              <w:top w:val="single" w:sz="4" w:space="0" w:color="auto"/>
              <w:left w:val="single" w:sz="4" w:space="0" w:color="auto"/>
              <w:bottom w:val="single" w:sz="4" w:space="0" w:color="auto"/>
              <w:right w:val="single" w:sz="4" w:space="0" w:color="auto"/>
            </w:tcBorders>
          </w:tcPr>
          <w:p w14:paraId="20CC5CA8"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mxC</w:t>
            </w:r>
          </w:p>
        </w:tc>
        <w:tc>
          <w:tcPr>
            <w:tcW w:w="1167" w:type="dxa"/>
            <w:tcBorders>
              <w:top w:val="single" w:sz="4" w:space="0" w:color="auto"/>
              <w:left w:val="single" w:sz="4" w:space="0" w:color="auto"/>
              <w:bottom w:val="single" w:sz="4" w:space="0" w:color="auto"/>
              <w:right w:val="single" w:sz="4" w:space="0" w:color="auto"/>
            </w:tcBorders>
          </w:tcPr>
          <w:p w14:paraId="5B0B6408"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C(mex)</w:t>
            </w:r>
          </w:p>
        </w:tc>
        <w:tc>
          <w:tcPr>
            <w:tcW w:w="952" w:type="dxa"/>
            <w:tcBorders>
              <w:top w:val="single" w:sz="4" w:space="0" w:color="auto"/>
              <w:left w:val="single" w:sz="4" w:space="0" w:color="auto"/>
              <w:bottom w:val="single" w:sz="4" w:space="0" w:color="auto"/>
              <w:right w:val="single" w:sz="4" w:space="0" w:color="auto"/>
            </w:tcBorders>
          </w:tcPr>
          <w:p w14:paraId="5F09804A"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C.mx</w:t>
            </w:r>
          </w:p>
        </w:tc>
        <w:tc>
          <w:tcPr>
            <w:tcW w:w="1119" w:type="dxa"/>
            <w:tcBorders>
              <w:top w:val="single" w:sz="4" w:space="0" w:color="auto"/>
              <w:left w:val="single" w:sz="4" w:space="0" w:color="auto"/>
              <w:bottom w:val="single" w:sz="4" w:space="0" w:color="auto"/>
              <w:right w:val="single" w:sz="4" w:space="0" w:color="auto"/>
            </w:tcBorders>
          </w:tcPr>
          <w:p w14:paraId="0A8B7A9E"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23EBA9CF"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w:t>
            </w:r>
          </w:p>
        </w:tc>
        <w:tc>
          <w:tcPr>
            <w:tcW w:w="3068" w:type="dxa"/>
            <w:tcBorders>
              <w:top w:val="single" w:sz="4" w:space="0" w:color="auto"/>
              <w:left w:val="single" w:sz="4" w:space="0" w:color="auto"/>
              <w:bottom w:val="single" w:sz="4" w:space="0" w:color="auto"/>
              <w:right w:val="single" w:sz="4" w:space="0" w:color="auto"/>
            </w:tcBorders>
          </w:tcPr>
          <w:p w14:paraId="22DE3CB3"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2A1527" w14:paraId="1908C86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D14D172"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20</w:t>
            </w:r>
          </w:p>
        </w:tc>
        <w:tc>
          <w:tcPr>
            <w:tcW w:w="927" w:type="dxa"/>
            <w:tcBorders>
              <w:top w:val="single" w:sz="4" w:space="0" w:color="auto"/>
              <w:left w:val="single" w:sz="4" w:space="0" w:color="auto"/>
              <w:bottom w:val="single" w:sz="4" w:space="0" w:color="auto"/>
              <w:right w:val="single" w:sz="4" w:space="0" w:color="auto"/>
            </w:tcBorders>
          </w:tcPr>
          <w:p w14:paraId="72B3ABEC"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mxD</w:t>
            </w:r>
          </w:p>
        </w:tc>
        <w:tc>
          <w:tcPr>
            <w:tcW w:w="1167" w:type="dxa"/>
            <w:tcBorders>
              <w:top w:val="single" w:sz="4" w:space="0" w:color="auto"/>
              <w:left w:val="single" w:sz="4" w:space="0" w:color="auto"/>
              <w:bottom w:val="single" w:sz="4" w:space="0" w:color="auto"/>
              <w:right w:val="single" w:sz="4" w:space="0" w:color="auto"/>
            </w:tcBorders>
          </w:tcPr>
          <w:p w14:paraId="71D76EB3"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D(mex)</w:t>
            </w:r>
          </w:p>
        </w:tc>
        <w:tc>
          <w:tcPr>
            <w:tcW w:w="952" w:type="dxa"/>
            <w:tcBorders>
              <w:top w:val="single" w:sz="4" w:space="0" w:color="auto"/>
              <w:left w:val="single" w:sz="4" w:space="0" w:color="auto"/>
              <w:bottom w:val="single" w:sz="4" w:space="0" w:color="auto"/>
              <w:right w:val="single" w:sz="4" w:space="0" w:color="auto"/>
            </w:tcBorders>
          </w:tcPr>
          <w:p w14:paraId="70BEAD81" w14:textId="77777777" w:rsidR="00A56806" w:rsidRPr="00D7733B" w:rsidRDefault="00C6291C" w:rsidP="00A56806">
            <w:pPr>
              <w:spacing w:after="0" w:line="240" w:lineRule="auto"/>
              <w:jc w:val="center"/>
              <w:rPr>
                <w:rFonts w:asciiTheme="minorHAnsi" w:hAnsiTheme="minorHAnsi" w:cstheme="minorHAnsi"/>
                <w:sz w:val="20"/>
                <w:szCs w:val="20"/>
              </w:rPr>
            </w:pPr>
          </w:p>
        </w:tc>
        <w:tc>
          <w:tcPr>
            <w:tcW w:w="1119" w:type="dxa"/>
            <w:tcBorders>
              <w:top w:val="single" w:sz="4" w:space="0" w:color="auto"/>
              <w:left w:val="single" w:sz="4" w:space="0" w:color="auto"/>
              <w:bottom w:val="single" w:sz="4" w:space="0" w:color="auto"/>
              <w:right w:val="single" w:sz="4" w:space="0" w:color="auto"/>
            </w:tcBorders>
          </w:tcPr>
          <w:p w14:paraId="5E131E08"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D</w:t>
            </w:r>
          </w:p>
        </w:tc>
        <w:tc>
          <w:tcPr>
            <w:tcW w:w="662" w:type="dxa"/>
            <w:tcBorders>
              <w:top w:val="single" w:sz="4" w:space="0" w:color="auto"/>
              <w:left w:val="single" w:sz="4" w:space="0" w:color="auto"/>
              <w:bottom w:val="single" w:sz="4" w:space="0" w:color="auto"/>
              <w:right w:val="single" w:sz="4" w:space="0" w:color="auto"/>
            </w:tcBorders>
          </w:tcPr>
          <w:p w14:paraId="1E73EF9A"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D/M</w:t>
            </w:r>
          </w:p>
        </w:tc>
        <w:tc>
          <w:tcPr>
            <w:tcW w:w="3068" w:type="dxa"/>
            <w:tcBorders>
              <w:top w:val="single" w:sz="4" w:space="0" w:color="auto"/>
              <w:left w:val="single" w:sz="4" w:space="0" w:color="auto"/>
              <w:bottom w:val="single" w:sz="4" w:space="0" w:color="auto"/>
              <w:right w:val="single" w:sz="4" w:space="0" w:color="auto"/>
            </w:tcBorders>
          </w:tcPr>
          <w:p w14:paraId="60BBA07D"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2A1527" w14:paraId="3D3CACF1"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0FE08D2"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21</w:t>
            </w:r>
          </w:p>
        </w:tc>
        <w:tc>
          <w:tcPr>
            <w:tcW w:w="927" w:type="dxa"/>
            <w:tcBorders>
              <w:top w:val="single" w:sz="4" w:space="0" w:color="auto"/>
              <w:left w:val="single" w:sz="4" w:space="0" w:color="auto"/>
              <w:bottom w:val="single" w:sz="4" w:space="0" w:color="auto"/>
              <w:right w:val="single" w:sz="4" w:space="0" w:color="auto"/>
            </w:tcBorders>
          </w:tcPr>
          <w:p w14:paraId="2CA50023" w14:textId="77777777" w:rsidR="00A56806" w:rsidRPr="00D7733B" w:rsidRDefault="00C6291C" w:rsidP="00A56806">
            <w:pPr>
              <w:spacing w:after="0" w:line="240" w:lineRule="auto"/>
              <w:jc w:val="center"/>
              <w:rPr>
                <w:rFonts w:asciiTheme="minorHAnsi" w:hAnsiTheme="minorHAnsi" w:cstheme="minorHAnsi"/>
                <w:sz w:val="20"/>
                <w:szCs w:val="20"/>
              </w:rPr>
            </w:pPr>
          </w:p>
        </w:tc>
        <w:tc>
          <w:tcPr>
            <w:tcW w:w="1167" w:type="dxa"/>
            <w:tcBorders>
              <w:top w:val="single" w:sz="4" w:space="0" w:color="auto"/>
              <w:left w:val="single" w:sz="4" w:space="0" w:color="auto"/>
              <w:bottom w:val="single" w:sz="4" w:space="0" w:color="auto"/>
              <w:right w:val="single" w:sz="4" w:space="0" w:color="auto"/>
            </w:tcBorders>
          </w:tcPr>
          <w:p w14:paraId="5102F9C2"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E(mex)</w:t>
            </w:r>
          </w:p>
        </w:tc>
        <w:tc>
          <w:tcPr>
            <w:tcW w:w="952" w:type="dxa"/>
            <w:tcBorders>
              <w:top w:val="single" w:sz="4" w:space="0" w:color="auto"/>
              <w:left w:val="single" w:sz="4" w:space="0" w:color="auto"/>
              <w:bottom w:val="single" w:sz="4" w:space="0" w:color="auto"/>
              <w:right w:val="single" w:sz="4" w:space="0" w:color="auto"/>
            </w:tcBorders>
          </w:tcPr>
          <w:p w14:paraId="7A3471E9" w14:textId="77777777" w:rsidR="00A56806" w:rsidRPr="00D7733B" w:rsidRDefault="00C6291C" w:rsidP="00A56806">
            <w:pPr>
              <w:spacing w:after="0" w:line="240" w:lineRule="auto"/>
              <w:jc w:val="center"/>
              <w:rPr>
                <w:rFonts w:asciiTheme="minorHAnsi" w:hAnsiTheme="minorHAnsi" w:cstheme="minorHAnsi"/>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902E57D" w14:textId="77777777" w:rsidR="00A56806" w:rsidRPr="00D7733B" w:rsidRDefault="00C6291C" w:rsidP="00A56806">
            <w:pPr>
              <w:spacing w:after="0" w:line="240" w:lineRule="auto"/>
              <w:jc w:val="center"/>
              <w:rPr>
                <w:rFonts w:asciiTheme="minorHAnsi" w:hAnsiTheme="minorHAnsi" w:cstheme="minorHAnsi"/>
                <w:sz w:val="20"/>
                <w:szCs w:val="20"/>
              </w:rPr>
            </w:pPr>
          </w:p>
        </w:tc>
        <w:tc>
          <w:tcPr>
            <w:tcW w:w="662" w:type="dxa"/>
            <w:tcBorders>
              <w:top w:val="single" w:sz="4" w:space="0" w:color="auto"/>
              <w:left w:val="single" w:sz="4" w:space="0" w:color="auto"/>
              <w:bottom w:val="single" w:sz="4" w:space="0" w:color="auto"/>
              <w:right w:val="single" w:sz="4" w:space="0" w:color="auto"/>
            </w:tcBorders>
          </w:tcPr>
          <w:p w14:paraId="0F2AD158" w14:textId="77777777" w:rsidR="00A56806" w:rsidRPr="00D7733B" w:rsidRDefault="00C6291C"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E/M</w:t>
            </w:r>
          </w:p>
        </w:tc>
        <w:tc>
          <w:tcPr>
            <w:tcW w:w="3068" w:type="dxa"/>
            <w:tcBorders>
              <w:top w:val="single" w:sz="4" w:space="0" w:color="auto"/>
              <w:left w:val="single" w:sz="4" w:space="0" w:color="auto"/>
              <w:bottom w:val="single" w:sz="4" w:space="0" w:color="auto"/>
              <w:right w:val="single" w:sz="4" w:space="0" w:color="auto"/>
            </w:tcBorders>
          </w:tcPr>
          <w:p w14:paraId="78ADC3C7"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2A1527" w14:paraId="129FCBA3"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BC378EF"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b/>
                <w:sz w:val="20"/>
                <w:szCs w:val="20"/>
              </w:rPr>
              <w:t>22</w:t>
            </w:r>
          </w:p>
        </w:tc>
        <w:tc>
          <w:tcPr>
            <w:tcW w:w="4827" w:type="dxa"/>
            <w:gridSpan w:val="5"/>
            <w:tcBorders>
              <w:top w:val="single" w:sz="4" w:space="0" w:color="auto"/>
              <w:left w:val="single" w:sz="4" w:space="0" w:color="auto"/>
              <w:bottom w:val="single" w:sz="4" w:space="0" w:color="auto"/>
              <w:right w:val="single" w:sz="4" w:space="0" w:color="auto"/>
            </w:tcBorders>
          </w:tcPr>
          <w:p w14:paraId="75034B6D"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b/>
                <w:sz w:val="20"/>
                <w:szCs w:val="20"/>
              </w:rPr>
              <w:t>No calificado</w:t>
            </w:r>
          </w:p>
        </w:tc>
        <w:tc>
          <w:tcPr>
            <w:tcW w:w="3068" w:type="dxa"/>
            <w:tcBorders>
              <w:top w:val="single" w:sz="4" w:space="0" w:color="auto"/>
              <w:left w:val="single" w:sz="4" w:space="0" w:color="auto"/>
              <w:bottom w:val="single" w:sz="4" w:space="0" w:color="auto"/>
              <w:right w:val="single" w:sz="4" w:space="0" w:color="auto"/>
            </w:tcBorders>
          </w:tcPr>
          <w:p w14:paraId="1A71964D" w14:textId="77777777" w:rsidR="00A56806" w:rsidRPr="00D7733B" w:rsidRDefault="00C6291C"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bl>
    <w:p w14:paraId="1753E085" w14:textId="77777777" w:rsidR="00C54B06" w:rsidRPr="00365C8B" w:rsidRDefault="00C6291C" w:rsidP="008623A4">
      <w:pPr>
        <w:spacing w:after="0" w:line="240" w:lineRule="auto"/>
        <w:jc w:val="center"/>
        <w:rPr>
          <w:rFonts w:asciiTheme="minorHAnsi" w:hAnsiTheme="minorHAnsi" w:cstheme="minorHAnsi"/>
          <w:sz w:val="22"/>
          <w:szCs w:val="22"/>
          <w:lang w:val="es-ES"/>
        </w:rPr>
      </w:pPr>
    </w:p>
    <w:p w14:paraId="07D8F98E" w14:textId="77777777" w:rsidR="008623A4" w:rsidRPr="00365C8B" w:rsidRDefault="00C6291C" w:rsidP="008623A4">
      <w:pPr>
        <w:spacing w:after="0" w:line="240" w:lineRule="auto"/>
        <w:jc w:val="center"/>
        <w:rPr>
          <w:rFonts w:asciiTheme="minorHAnsi" w:hAnsiTheme="minorHAnsi" w:cstheme="minorHAnsi"/>
          <w:sz w:val="22"/>
          <w:szCs w:val="22"/>
        </w:rPr>
      </w:pPr>
    </w:p>
    <w:p w14:paraId="29EA68A5" w14:textId="77777777" w:rsidR="00C54B06" w:rsidRPr="00365C8B" w:rsidRDefault="00C6291C" w:rsidP="00C54B06">
      <w:pPr>
        <w:spacing w:after="0" w:line="240" w:lineRule="auto"/>
        <w:jc w:val="center"/>
        <w:rPr>
          <w:rFonts w:asciiTheme="minorHAnsi" w:hAnsiTheme="minorHAnsi" w:cstheme="minorHAnsi"/>
          <w:b/>
          <w:sz w:val="22"/>
          <w:szCs w:val="22"/>
        </w:rPr>
      </w:pPr>
      <w:r w:rsidRPr="00365C8B">
        <w:rPr>
          <w:rFonts w:asciiTheme="minorHAnsi" w:hAnsiTheme="minorHAnsi" w:cstheme="minorHAnsi"/>
          <w:b/>
          <w:sz w:val="22"/>
          <w:szCs w:val="22"/>
        </w:rPr>
        <w:t xml:space="preserve">Otros términos y </w:t>
      </w:r>
      <w:r w:rsidRPr="00365C8B">
        <w:rPr>
          <w:rFonts w:asciiTheme="minorHAnsi" w:hAnsiTheme="minorHAnsi" w:cstheme="minorHAnsi"/>
          <w:b/>
          <w:sz w:val="22"/>
          <w:szCs w:val="22"/>
        </w:rPr>
        <w:t>condiciones de la Oferta de GPO</w:t>
      </w:r>
    </w:p>
    <w:p w14:paraId="20BD544A" w14:textId="77777777" w:rsidR="00C54B06" w:rsidRPr="00365C8B" w:rsidRDefault="00C6291C" w:rsidP="00C54B06">
      <w:pPr>
        <w:spacing w:after="0" w:line="240" w:lineRule="auto"/>
        <w:jc w:val="center"/>
        <w:rPr>
          <w:rFonts w:asciiTheme="minorHAnsi" w:hAnsiTheme="minorHAnsi" w:cstheme="minorHAnsi"/>
          <w:i/>
          <w:sz w:val="22"/>
          <w:szCs w:val="22"/>
        </w:rPr>
      </w:pPr>
      <w:r w:rsidRPr="00365C8B">
        <w:rPr>
          <w:rFonts w:asciiTheme="minorHAnsi" w:hAnsiTheme="minorHAnsi" w:cstheme="minorHAnsi"/>
          <w:i/>
          <w:sz w:val="22"/>
          <w:szCs w:val="22"/>
        </w:rPr>
        <w:t xml:space="preserve">[este apartado </w:t>
      </w:r>
      <w:r w:rsidRPr="00365C8B">
        <w:rPr>
          <w:rFonts w:asciiTheme="minorHAnsi" w:hAnsiTheme="minorHAnsi" w:cstheme="minorHAnsi"/>
          <w:i/>
          <w:sz w:val="22"/>
          <w:szCs w:val="22"/>
          <w:u w:val="single"/>
        </w:rPr>
        <w:t>no puede ser modificado</w:t>
      </w:r>
      <w:r w:rsidRPr="00365C8B">
        <w:rPr>
          <w:rFonts w:asciiTheme="minorHAnsi" w:hAnsiTheme="minorHAnsi" w:cstheme="minorHAnsi"/>
          <w:i/>
          <w:sz w:val="22"/>
          <w:szCs w:val="22"/>
        </w:rPr>
        <w:t xml:space="preserve"> por el Licitante]</w:t>
      </w:r>
    </w:p>
    <w:p w14:paraId="1A576643" w14:textId="77777777" w:rsidR="00C54B06" w:rsidRPr="00365C8B" w:rsidRDefault="00C6291C" w:rsidP="00C54B06">
      <w:pPr>
        <w:spacing w:after="0" w:line="240" w:lineRule="auto"/>
        <w:jc w:val="center"/>
        <w:rPr>
          <w:rFonts w:asciiTheme="minorHAnsi" w:hAnsiTheme="minorHAnsi" w:cstheme="minorHAnsi"/>
          <w:b/>
          <w:sz w:val="22"/>
          <w:szCs w:val="22"/>
        </w:rPr>
      </w:pPr>
    </w:p>
    <w:tbl>
      <w:tblPr>
        <w:tblStyle w:val="TableGrid"/>
        <w:tblW w:w="0" w:type="auto"/>
        <w:tblInd w:w="-289" w:type="dxa"/>
        <w:tblLook w:val="04A0" w:firstRow="1" w:lastRow="0" w:firstColumn="1" w:lastColumn="0" w:noHBand="0" w:noVBand="1"/>
      </w:tblPr>
      <w:tblGrid>
        <w:gridCol w:w="3052"/>
        <w:gridCol w:w="6065"/>
      </w:tblGrid>
      <w:tr w:rsidR="002A1527" w14:paraId="33B06F55" w14:textId="77777777" w:rsidTr="00C54B06">
        <w:tc>
          <w:tcPr>
            <w:tcW w:w="3052" w:type="dxa"/>
            <w:tcBorders>
              <w:top w:val="single" w:sz="4" w:space="0" w:color="auto"/>
              <w:left w:val="single" w:sz="4" w:space="0" w:color="auto"/>
              <w:bottom w:val="single" w:sz="4" w:space="0" w:color="auto"/>
              <w:right w:val="single" w:sz="4" w:space="0" w:color="auto"/>
            </w:tcBorders>
          </w:tcPr>
          <w:p w14:paraId="25FAE7D7"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Tipo de </w:t>
            </w:r>
            <w:r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p w14:paraId="259CF23B" w14:textId="77777777" w:rsidR="00C54B06" w:rsidRPr="00365C8B" w:rsidRDefault="00C6291C"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11059415" w14:textId="77777777" w:rsidR="00C54B06" w:rsidRPr="00365C8B" w:rsidRDefault="00C6291C" w:rsidP="00C54B06">
            <w:pPr>
              <w:spacing w:line="240" w:lineRule="auto"/>
              <w:jc w:val="both"/>
              <w:rPr>
                <w:rFonts w:asciiTheme="minorHAnsi" w:hAnsiTheme="minorHAnsi" w:cstheme="minorHAnsi"/>
                <w:sz w:val="18"/>
                <w:szCs w:val="18"/>
              </w:rPr>
            </w:pPr>
            <w:r w:rsidRPr="00365C8B">
              <w:rPr>
                <w:rFonts w:asciiTheme="minorHAnsi" w:hAnsiTheme="minorHAnsi" w:cstheme="minorHAnsi"/>
                <w:sz w:val="18"/>
                <w:szCs w:val="18"/>
              </w:rPr>
              <w:t xml:space="preserve">Contrato de garantía </w:t>
            </w:r>
            <w:r w:rsidRPr="00365C8B">
              <w:rPr>
                <w:rFonts w:asciiTheme="minorHAnsi" w:hAnsiTheme="minorHAnsi" w:cstheme="minorHAnsi"/>
                <w:sz w:val="18"/>
                <w:szCs w:val="18"/>
              </w:rPr>
              <w:t xml:space="preserve">parcial, </w:t>
            </w:r>
            <w:r w:rsidRPr="00365C8B">
              <w:rPr>
                <w:rFonts w:asciiTheme="minorHAnsi" w:hAnsiTheme="minorHAnsi" w:cstheme="minorHAnsi"/>
                <w:sz w:val="18"/>
                <w:szCs w:val="18"/>
              </w:rPr>
              <w:t>de pago oportuno, incondicional</w:t>
            </w:r>
            <w:r w:rsidRPr="00365C8B">
              <w:rPr>
                <w:rFonts w:asciiTheme="minorHAnsi" w:hAnsiTheme="minorHAnsi" w:cstheme="minorHAnsi"/>
                <w:sz w:val="18"/>
                <w:szCs w:val="18"/>
              </w:rPr>
              <w:t xml:space="preserve">, irrevocable </w:t>
            </w:r>
            <w:r w:rsidRPr="00365C8B">
              <w:rPr>
                <w:rFonts w:asciiTheme="minorHAnsi" w:hAnsiTheme="minorHAnsi" w:cstheme="minorHAnsi"/>
                <w:sz w:val="18"/>
                <w:szCs w:val="18"/>
              </w:rPr>
              <w:t xml:space="preserve">y no revolvente, </w:t>
            </w:r>
            <w:r w:rsidRPr="00365C8B">
              <w:rPr>
                <w:rFonts w:asciiTheme="minorHAnsi" w:hAnsiTheme="minorHAnsi" w:cstheme="minorHAnsi"/>
                <w:sz w:val="18"/>
                <w:szCs w:val="18"/>
              </w:rPr>
              <w:t>que d</w:t>
            </w:r>
            <w:r>
              <w:rPr>
                <w:rFonts w:asciiTheme="minorHAnsi" w:hAnsiTheme="minorHAnsi" w:cstheme="minorHAnsi"/>
                <w:sz w:val="18"/>
                <w:szCs w:val="18"/>
              </w:rPr>
              <w:t xml:space="preserve">é </w:t>
            </w:r>
            <w:r w:rsidRPr="00365C8B">
              <w:rPr>
                <w:rFonts w:asciiTheme="minorHAnsi" w:hAnsiTheme="minorHAnsi" w:cstheme="minorHAnsi"/>
                <w:sz w:val="18"/>
                <w:szCs w:val="18"/>
              </w:rPr>
              <w:t>cobertura a los Contratos de Crédito</w:t>
            </w:r>
            <w:r>
              <w:rPr>
                <w:rFonts w:asciiTheme="minorHAnsi" w:hAnsiTheme="minorHAnsi" w:cstheme="minorHAnsi"/>
                <w:sz w:val="18"/>
                <w:szCs w:val="18"/>
              </w:rPr>
              <w:t xml:space="preserve"> con Garantía </w:t>
            </w:r>
            <w:r w:rsidRPr="00365C8B">
              <w:rPr>
                <w:rFonts w:asciiTheme="minorHAnsi" w:hAnsiTheme="minorHAnsi" w:cstheme="minorHAnsi"/>
                <w:sz w:val="18"/>
                <w:szCs w:val="18"/>
              </w:rPr>
              <w:t xml:space="preserve">a plazo de 20 (veinte) años, que se suscriban como resultado de la Licitación Pública. </w:t>
            </w:r>
          </w:p>
          <w:p w14:paraId="1E0EAA85" w14:textId="77777777" w:rsidR="00C54B06" w:rsidRPr="00365C8B" w:rsidRDefault="00C6291C" w:rsidP="00C54B06">
            <w:pPr>
              <w:spacing w:line="240" w:lineRule="auto"/>
              <w:jc w:val="both"/>
              <w:rPr>
                <w:rFonts w:asciiTheme="minorHAnsi" w:hAnsiTheme="minorHAnsi" w:cstheme="minorHAnsi"/>
                <w:sz w:val="18"/>
                <w:szCs w:val="18"/>
              </w:rPr>
            </w:pPr>
          </w:p>
        </w:tc>
      </w:tr>
      <w:tr w:rsidR="002A1527" w14:paraId="2D6FAB88" w14:textId="77777777" w:rsidTr="00C54B06">
        <w:tc>
          <w:tcPr>
            <w:tcW w:w="3052" w:type="dxa"/>
            <w:tcBorders>
              <w:top w:val="single" w:sz="4" w:space="0" w:color="auto"/>
              <w:left w:val="single" w:sz="4" w:space="0" w:color="auto"/>
              <w:bottom w:val="single" w:sz="4" w:space="0" w:color="auto"/>
              <w:right w:val="single" w:sz="4" w:space="0" w:color="auto"/>
            </w:tcBorders>
          </w:tcPr>
          <w:p w14:paraId="12ABE081"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Fecha objetivo de celebración del contrato:</w:t>
            </w:r>
          </w:p>
          <w:p w14:paraId="66D0796C" w14:textId="77777777" w:rsidR="00C54B06" w:rsidRPr="00365C8B" w:rsidRDefault="00C6291C"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66CF05CA" w14:textId="77777777" w:rsidR="00C54B06" w:rsidRPr="00365C8B" w:rsidRDefault="00C6291C" w:rsidP="00C54B06">
            <w:pPr>
              <w:spacing w:line="240" w:lineRule="auto"/>
              <w:jc w:val="both"/>
              <w:rPr>
                <w:rFonts w:asciiTheme="minorHAnsi" w:hAnsiTheme="minorHAnsi" w:cstheme="minorHAnsi"/>
                <w:sz w:val="18"/>
                <w:szCs w:val="18"/>
              </w:rPr>
            </w:pPr>
            <w:r w:rsidRPr="00365C8B">
              <w:rPr>
                <w:rFonts w:asciiTheme="minorHAnsi" w:hAnsiTheme="minorHAnsi" w:cstheme="minorHAnsi"/>
                <w:sz w:val="18"/>
                <w:szCs w:val="18"/>
              </w:rPr>
              <w:t xml:space="preserve">A más tardar dentro de </w:t>
            </w:r>
            <w:r w:rsidRPr="00365C8B">
              <w:rPr>
                <w:rFonts w:asciiTheme="minorHAnsi" w:hAnsiTheme="minorHAnsi" w:cstheme="minorHAnsi"/>
                <w:sz w:val="18"/>
                <w:szCs w:val="18"/>
              </w:rPr>
              <w:t xml:space="preserve">5 </w:t>
            </w:r>
            <w:r w:rsidRPr="00365C8B">
              <w:rPr>
                <w:rFonts w:asciiTheme="minorHAnsi" w:hAnsiTheme="minorHAnsi" w:cstheme="minorHAnsi"/>
                <w:sz w:val="18"/>
                <w:szCs w:val="18"/>
              </w:rPr>
              <w:t>(</w:t>
            </w:r>
            <w:r w:rsidRPr="00365C8B">
              <w:rPr>
                <w:rFonts w:asciiTheme="minorHAnsi" w:hAnsiTheme="minorHAnsi" w:cstheme="minorHAnsi"/>
                <w:sz w:val="18"/>
                <w:szCs w:val="18"/>
              </w:rPr>
              <w:t>cinco</w:t>
            </w:r>
            <w:r w:rsidRPr="00365C8B">
              <w:rPr>
                <w:rFonts w:asciiTheme="minorHAnsi" w:hAnsiTheme="minorHAnsi" w:cstheme="minorHAnsi"/>
                <w:sz w:val="18"/>
                <w:szCs w:val="18"/>
              </w:rPr>
              <w:t>) Días Hábiles siguientes a la obtención de la</w:t>
            </w:r>
            <w:r w:rsidRPr="00365C8B">
              <w:rPr>
                <w:rFonts w:asciiTheme="minorHAnsi" w:hAnsiTheme="minorHAnsi" w:cstheme="minorHAnsi"/>
                <w:sz w:val="18"/>
                <w:szCs w:val="18"/>
              </w:rPr>
              <w:t xml:space="preserve"> constancia de </w:t>
            </w:r>
            <w:r w:rsidRPr="00365C8B">
              <w:rPr>
                <w:rFonts w:asciiTheme="minorHAnsi" w:hAnsiTheme="minorHAnsi" w:cstheme="minorHAnsi"/>
                <w:sz w:val="18"/>
                <w:szCs w:val="18"/>
              </w:rPr>
              <w:t>inscripción del Crédito Garantizado</w:t>
            </w:r>
            <w:r w:rsidRPr="00365C8B">
              <w:rPr>
                <w:rFonts w:asciiTheme="minorHAnsi" w:hAnsiTheme="minorHAnsi" w:cstheme="minorHAnsi"/>
                <w:sz w:val="18"/>
                <w:szCs w:val="18"/>
              </w:rPr>
              <w:t xml:space="preserve"> en el Registro Público Único.</w:t>
            </w:r>
          </w:p>
          <w:p w14:paraId="2F1E0341" w14:textId="77777777" w:rsidR="00C54B06" w:rsidRPr="00365C8B" w:rsidRDefault="00C6291C" w:rsidP="00C54B06">
            <w:pPr>
              <w:spacing w:line="240" w:lineRule="auto"/>
              <w:jc w:val="both"/>
              <w:rPr>
                <w:rFonts w:asciiTheme="minorHAnsi" w:hAnsiTheme="minorHAnsi" w:cstheme="minorHAnsi"/>
                <w:sz w:val="18"/>
                <w:szCs w:val="18"/>
              </w:rPr>
            </w:pPr>
          </w:p>
        </w:tc>
      </w:tr>
      <w:tr w:rsidR="002A1527" w14:paraId="32A20BF6"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30144EDC"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Plazo de la </w:t>
            </w:r>
            <w:r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16220838" w14:textId="77777777" w:rsidR="00C54B06" w:rsidRPr="00365C8B" w:rsidRDefault="00C6291C" w:rsidP="00C54B06">
            <w:pPr>
              <w:spacing w:line="240" w:lineRule="auto"/>
              <w:jc w:val="both"/>
              <w:rPr>
                <w:rFonts w:asciiTheme="minorHAnsi" w:hAnsiTheme="minorHAnsi" w:cstheme="minorHAnsi"/>
                <w:sz w:val="18"/>
                <w:szCs w:val="18"/>
              </w:rPr>
            </w:pPr>
            <w:r w:rsidRPr="00365C8B">
              <w:rPr>
                <w:rFonts w:asciiTheme="minorHAnsi" w:eastAsia="Arial" w:hAnsiTheme="minorHAnsi" w:cstheme="minorHAnsi"/>
                <w:color w:val="000000"/>
                <w:spacing w:val="-1"/>
                <w:sz w:val="18"/>
                <w:szCs w:val="18"/>
                <w:lang w:val="es-ES"/>
              </w:rPr>
              <w:t>El plazo máximo será de 300 (trescientos) meses, equivalente a 9,1</w:t>
            </w:r>
            <w:r w:rsidRPr="00365C8B">
              <w:rPr>
                <w:rFonts w:asciiTheme="minorHAnsi" w:eastAsia="Arial" w:hAnsiTheme="minorHAnsi" w:cstheme="minorHAnsi"/>
                <w:color w:val="000000"/>
                <w:spacing w:val="-1"/>
                <w:sz w:val="18"/>
                <w:szCs w:val="18"/>
                <w:lang w:val="es-ES"/>
              </w:rPr>
              <w:t>25</w:t>
            </w:r>
            <w:r w:rsidRPr="00365C8B">
              <w:rPr>
                <w:rFonts w:asciiTheme="minorHAnsi" w:eastAsia="Arial" w:hAnsiTheme="minorHAnsi" w:cstheme="minorHAnsi"/>
                <w:color w:val="000000"/>
                <w:spacing w:val="-1"/>
                <w:sz w:val="18"/>
                <w:szCs w:val="18"/>
                <w:lang w:val="es-ES"/>
              </w:rPr>
              <w:t xml:space="preserve"> (nueve mil ciento </w:t>
            </w:r>
            <w:r w:rsidRPr="00365C8B">
              <w:rPr>
                <w:rFonts w:asciiTheme="minorHAnsi" w:eastAsia="Arial" w:hAnsiTheme="minorHAnsi" w:cstheme="minorHAnsi"/>
                <w:color w:val="000000"/>
                <w:spacing w:val="-1"/>
                <w:sz w:val="18"/>
                <w:szCs w:val="18"/>
                <w:lang w:val="es-ES"/>
              </w:rPr>
              <w:t>veinticinco</w:t>
            </w:r>
            <w:r w:rsidRPr="00365C8B">
              <w:rPr>
                <w:rFonts w:asciiTheme="minorHAnsi" w:eastAsia="Arial" w:hAnsiTheme="minorHAnsi" w:cstheme="minorHAnsi"/>
                <w:color w:val="000000"/>
                <w:spacing w:val="-1"/>
                <w:sz w:val="18"/>
                <w:szCs w:val="18"/>
                <w:lang w:val="es-ES"/>
              </w:rPr>
              <w:t xml:space="preserve">) </w:t>
            </w:r>
            <w:r>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 xml:space="preserve">ías, contados a partir de la primera disposición del </w:t>
            </w:r>
            <w:r w:rsidRPr="00365C8B">
              <w:rPr>
                <w:rFonts w:asciiTheme="minorHAnsi" w:eastAsia="Arial" w:hAnsiTheme="minorHAnsi" w:cstheme="minorHAnsi"/>
                <w:color w:val="000000"/>
                <w:spacing w:val="-1"/>
                <w:sz w:val="18"/>
                <w:szCs w:val="18"/>
                <w:lang w:val="es-ES"/>
              </w:rPr>
              <w:t>Crédito Garantizado</w:t>
            </w:r>
            <w:r w:rsidRPr="00365C8B">
              <w:rPr>
                <w:rFonts w:asciiTheme="minorHAnsi" w:hAnsiTheme="minorHAnsi" w:cstheme="minorHAnsi"/>
                <w:sz w:val="18"/>
                <w:szCs w:val="18"/>
              </w:rPr>
              <w:t>.</w:t>
            </w:r>
          </w:p>
        </w:tc>
      </w:tr>
      <w:tr w:rsidR="002A1527" w14:paraId="698BF111" w14:textId="77777777" w:rsidTr="00C54B06">
        <w:tc>
          <w:tcPr>
            <w:tcW w:w="3052" w:type="dxa"/>
            <w:tcBorders>
              <w:top w:val="single" w:sz="4" w:space="0" w:color="auto"/>
              <w:left w:val="single" w:sz="4" w:space="0" w:color="auto"/>
              <w:bottom w:val="single" w:sz="4" w:space="0" w:color="auto"/>
              <w:right w:val="single" w:sz="4" w:space="0" w:color="auto"/>
            </w:tcBorders>
          </w:tcPr>
          <w:p w14:paraId="0DB19803"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Periodo de Disposición de la </w:t>
            </w:r>
            <w:r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p w14:paraId="7121750B" w14:textId="77777777" w:rsidR="00C54B06" w:rsidRPr="00365C8B" w:rsidRDefault="00C6291C"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hideMark/>
          </w:tcPr>
          <w:p w14:paraId="2B940B8D" w14:textId="77777777" w:rsidR="00C54B06" w:rsidRPr="00365C8B" w:rsidRDefault="00C6291C" w:rsidP="00C54B06">
            <w:pPr>
              <w:spacing w:line="240" w:lineRule="auto"/>
              <w:jc w:val="both"/>
              <w:rPr>
                <w:rFonts w:asciiTheme="minorHAnsi" w:hAnsiTheme="minorHAnsi" w:cstheme="minorHAnsi"/>
                <w:sz w:val="18"/>
                <w:szCs w:val="18"/>
              </w:rPr>
            </w:pPr>
            <w:r w:rsidRPr="00365C8B">
              <w:rPr>
                <w:rFonts w:asciiTheme="minorHAnsi" w:eastAsia="Arial" w:hAnsiTheme="minorHAnsi" w:cstheme="minorHAnsi"/>
                <w:color w:val="000000"/>
                <w:spacing w:val="-1"/>
                <w:sz w:val="18"/>
                <w:szCs w:val="18"/>
                <w:lang w:val="es-ES"/>
              </w:rPr>
              <w:t>240 (doscientos cuarenta) meses, equivalentes a 7,30</w:t>
            </w:r>
            <w:r w:rsidRPr="00365C8B">
              <w:rPr>
                <w:rFonts w:asciiTheme="minorHAnsi" w:eastAsia="Arial" w:hAnsiTheme="minorHAnsi" w:cstheme="minorHAnsi"/>
                <w:color w:val="000000"/>
                <w:spacing w:val="-1"/>
                <w:sz w:val="18"/>
                <w:szCs w:val="18"/>
                <w:lang w:val="es-ES"/>
              </w:rPr>
              <w:t>0</w:t>
            </w:r>
            <w:r w:rsidRPr="00365C8B">
              <w:rPr>
                <w:rFonts w:asciiTheme="minorHAnsi" w:eastAsia="Arial" w:hAnsiTheme="minorHAnsi" w:cstheme="minorHAnsi"/>
                <w:color w:val="000000"/>
                <w:spacing w:val="-1"/>
                <w:sz w:val="18"/>
                <w:szCs w:val="18"/>
                <w:lang w:val="es-ES"/>
              </w:rPr>
              <w:t xml:space="preserve"> (siete mil trescientos) </w:t>
            </w:r>
            <w:r>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ías, contados a partir de la primera disposición del Crédito Garantizado.</w:t>
            </w:r>
          </w:p>
        </w:tc>
      </w:tr>
      <w:tr w:rsidR="002A1527" w14:paraId="4BD2F17B"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38AC1901"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Plazo</w:t>
            </w:r>
            <w:r w:rsidRPr="00365C8B">
              <w:rPr>
                <w:rFonts w:asciiTheme="minorHAnsi" w:hAnsiTheme="minorHAnsi" w:cstheme="minorHAnsi"/>
                <w:b/>
                <w:sz w:val="18"/>
                <w:szCs w:val="18"/>
              </w:rPr>
              <w:t xml:space="preserve"> de Amortización de</w:t>
            </w:r>
            <w:r w:rsidRPr="00365C8B">
              <w:rPr>
                <w:rFonts w:asciiTheme="minorHAnsi" w:hAnsiTheme="minorHAnsi" w:cstheme="minorHAnsi"/>
                <w:b/>
                <w:sz w:val="18"/>
                <w:szCs w:val="18"/>
              </w:rPr>
              <w:t xml:space="preserve"> la 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3D48108F" w14:textId="77777777" w:rsidR="00C54B06" w:rsidRPr="00365C8B" w:rsidRDefault="00C6291C"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60 (sesenta) meses, equivalentes a 1,82</w:t>
            </w:r>
            <w:r>
              <w:rPr>
                <w:rFonts w:asciiTheme="minorHAnsi" w:eastAsia="Arial" w:hAnsiTheme="minorHAnsi" w:cstheme="minorHAnsi"/>
                <w:color w:val="000000"/>
                <w:spacing w:val="-1"/>
                <w:sz w:val="18"/>
                <w:szCs w:val="18"/>
                <w:lang w:val="es-ES"/>
              </w:rPr>
              <w:t>5</w:t>
            </w:r>
            <w:r w:rsidRPr="00365C8B">
              <w:rPr>
                <w:rFonts w:asciiTheme="minorHAnsi" w:eastAsia="Arial" w:hAnsiTheme="minorHAnsi" w:cstheme="minorHAnsi"/>
                <w:color w:val="000000"/>
                <w:spacing w:val="-1"/>
                <w:sz w:val="18"/>
                <w:szCs w:val="18"/>
                <w:lang w:val="es-ES"/>
              </w:rPr>
              <w:t xml:space="preserve"> (un mil ochocientos </w:t>
            </w:r>
            <w:r>
              <w:rPr>
                <w:rFonts w:asciiTheme="minorHAnsi" w:eastAsia="Arial" w:hAnsiTheme="minorHAnsi" w:cstheme="minorHAnsi"/>
                <w:color w:val="000000"/>
                <w:spacing w:val="-1"/>
                <w:sz w:val="18"/>
                <w:szCs w:val="18"/>
                <w:lang w:val="es-ES"/>
              </w:rPr>
              <w:t>veintic</w:t>
            </w:r>
            <w:r>
              <w:rPr>
                <w:rFonts w:asciiTheme="minorHAnsi" w:eastAsia="Arial" w:hAnsiTheme="minorHAnsi" w:cstheme="minorHAnsi"/>
                <w:color w:val="000000"/>
                <w:spacing w:val="-1"/>
                <w:sz w:val="18"/>
                <w:szCs w:val="18"/>
                <w:lang w:val="es-ES"/>
              </w:rPr>
              <w:t>inco</w:t>
            </w:r>
            <w:r>
              <w:rPr>
                <w:rFonts w:asciiTheme="minorHAnsi" w:eastAsia="Arial" w:hAnsiTheme="minorHAnsi" w:cstheme="minorHAnsi"/>
                <w:color w:val="000000"/>
                <w:spacing w:val="-1"/>
                <w:sz w:val="18"/>
                <w:szCs w:val="18"/>
                <w:lang w:val="es-ES"/>
              </w:rPr>
              <w:t>) D</w:t>
            </w:r>
            <w:r w:rsidRPr="00365C8B">
              <w:rPr>
                <w:rFonts w:asciiTheme="minorHAnsi" w:eastAsia="Arial" w:hAnsiTheme="minorHAnsi" w:cstheme="minorHAnsi"/>
                <w:color w:val="000000"/>
                <w:spacing w:val="-1"/>
                <w:sz w:val="18"/>
                <w:szCs w:val="18"/>
                <w:lang w:val="es-ES"/>
              </w:rPr>
              <w:t xml:space="preserve">ías, contados a partir del día siguiente al último día del </w:t>
            </w:r>
            <w:r>
              <w:rPr>
                <w:rFonts w:asciiTheme="minorHAnsi" w:eastAsia="Arial" w:hAnsiTheme="minorHAnsi" w:cstheme="minorHAnsi"/>
                <w:color w:val="000000"/>
                <w:spacing w:val="-1"/>
                <w:sz w:val="18"/>
                <w:szCs w:val="18"/>
                <w:lang w:val="es-ES"/>
              </w:rPr>
              <w:t>P</w:t>
            </w:r>
            <w:r w:rsidRPr="00365C8B">
              <w:rPr>
                <w:rFonts w:asciiTheme="minorHAnsi" w:eastAsia="Arial" w:hAnsiTheme="minorHAnsi" w:cstheme="minorHAnsi"/>
                <w:color w:val="000000"/>
                <w:spacing w:val="-1"/>
                <w:sz w:val="18"/>
                <w:szCs w:val="18"/>
                <w:lang w:val="es-ES"/>
              </w:rPr>
              <w:t xml:space="preserve">eriodo de </w:t>
            </w:r>
            <w:r>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isposición de</w:t>
            </w:r>
            <w:r w:rsidRPr="00365C8B">
              <w:rPr>
                <w:rFonts w:asciiTheme="minorHAnsi" w:eastAsia="Arial" w:hAnsiTheme="minorHAnsi" w:cstheme="minorHAnsi"/>
                <w:color w:val="000000"/>
                <w:spacing w:val="-1"/>
                <w:sz w:val="18"/>
                <w:szCs w:val="18"/>
                <w:lang w:val="es-ES"/>
              </w:rPr>
              <w:t xml:space="preserve">l Crédito Garantizado, que corresponde a la vigencia del </w:t>
            </w:r>
            <w:r w:rsidRPr="00365C8B">
              <w:rPr>
                <w:rFonts w:asciiTheme="minorHAnsi" w:eastAsia="Arial" w:hAnsiTheme="minorHAnsi" w:cstheme="minorHAnsi"/>
                <w:color w:val="000000"/>
                <w:spacing w:val="-1"/>
                <w:sz w:val="18"/>
                <w:szCs w:val="18"/>
                <w:lang w:val="es-ES"/>
              </w:rPr>
              <w:t>Crédito Garantizado.</w:t>
            </w:r>
          </w:p>
          <w:p w14:paraId="10B00595" w14:textId="77777777" w:rsidR="00C54B06" w:rsidRPr="00365C8B" w:rsidRDefault="00C6291C" w:rsidP="00C54B06">
            <w:pPr>
              <w:spacing w:line="240" w:lineRule="auto"/>
              <w:jc w:val="both"/>
              <w:rPr>
                <w:rFonts w:asciiTheme="minorHAnsi" w:eastAsia="Arial" w:hAnsiTheme="minorHAnsi" w:cstheme="minorHAnsi"/>
                <w:color w:val="000000"/>
                <w:spacing w:val="-1"/>
                <w:sz w:val="18"/>
                <w:szCs w:val="18"/>
                <w:lang w:val="es-ES"/>
              </w:rPr>
            </w:pPr>
          </w:p>
        </w:tc>
      </w:tr>
      <w:tr w:rsidR="002A1527" w14:paraId="4DDF7F54" w14:textId="77777777" w:rsidTr="00C54B06">
        <w:tc>
          <w:tcPr>
            <w:tcW w:w="3052" w:type="dxa"/>
            <w:tcBorders>
              <w:top w:val="single" w:sz="4" w:space="0" w:color="auto"/>
              <w:left w:val="single" w:sz="4" w:space="0" w:color="auto"/>
              <w:bottom w:val="single" w:sz="4" w:space="0" w:color="auto"/>
              <w:right w:val="single" w:sz="4" w:space="0" w:color="auto"/>
            </w:tcBorders>
          </w:tcPr>
          <w:p w14:paraId="7686D90B"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Perfil de Amortizaciones:</w:t>
            </w:r>
          </w:p>
          <w:p w14:paraId="2E416146" w14:textId="77777777" w:rsidR="00C54B06" w:rsidRPr="00365C8B" w:rsidRDefault="00C6291C"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1D3D9206" w14:textId="77777777" w:rsidR="00C54B06" w:rsidRPr="00365C8B" w:rsidRDefault="00C6291C"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Durante el Periodo de Disposición, en cada fecha de pago, hasta donde basten o alcancen los recursos disponibles en la cuenta del Fideicomiso</w:t>
            </w:r>
            <w:r w:rsidRPr="00365C8B">
              <w:rPr>
                <w:rFonts w:asciiTheme="minorHAnsi" w:eastAsia="Arial" w:hAnsiTheme="minorHAnsi" w:cstheme="minorHAnsi"/>
                <w:color w:val="000000"/>
                <w:spacing w:val="-1"/>
                <w:sz w:val="18"/>
                <w:szCs w:val="18"/>
                <w:lang w:val="es-ES"/>
              </w:rPr>
              <w:t xml:space="preserve"> Maestro que corresponda</w:t>
            </w:r>
            <w:r w:rsidRPr="00365C8B">
              <w:rPr>
                <w:rFonts w:asciiTheme="minorHAnsi" w:eastAsia="Arial" w:hAnsiTheme="minorHAnsi" w:cstheme="minorHAnsi"/>
                <w:color w:val="000000"/>
                <w:spacing w:val="-1"/>
                <w:sz w:val="18"/>
                <w:szCs w:val="18"/>
                <w:lang w:val="es-ES"/>
              </w:rPr>
              <w:t xml:space="preserve">, </w:t>
            </w:r>
            <w:r w:rsidRPr="00365C8B">
              <w:rPr>
                <w:rFonts w:asciiTheme="minorHAnsi" w:eastAsia="Arial" w:hAnsiTheme="minorHAnsi" w:cstheme="minorHAnsi"/>
                <w:color w:val="000000"/>
                <w:spacing w:val="-1"/>
                <w:sz w:val="18"/>
                <w:szCs w:val="18"/>
                <w:lang w:val="es-ES"/>
              </w:rPr>
              <w:t xml:space="preserve">de conformidad con la prelación </w:t>
            </w:r>
            <w:r w:rsidRPr="00365C8B">
              <w:rPr>
                <w:rFonts w:asciiTheme="minorHAnsi" w:eastAsia="Arial" w:hAnsiTheme="minorHAnsi" w:cstheme="minorHAnsi"/>
                <w:color w:val="000000"/>
                <w:spacing w:val="-1"/>
                <w:sz w:val="18"/>
                <w:szCs w:val="18"/>
                <w:lang w:val="es-ES"/>
              </w:rPr>
              <w:t>previst</w:t>
            </w:r>
            <w:r w:rsidRPr="00365C8B">
              <w:rPr>
                <w:rFonts w:asciiTheme="minorHAnsi" w:eastAsia="Arial" w:hAnsiTheme="minorHAnsi" w:cstheme="minorHAnsi"/>
                <w:color w:val="000000"/>
                <w:spacing w:val="-1"/>
                <w:sz w:val="18"/>
                <w:szCs w:val="18"/>
                <w:lang w:val="es-ES"/>
              </w:rPr>
              <w:t>a en el mismo</w:t>
            </w:r>
            <w:r w:rsidRPr="00365C8B">
              <w:rPr>
                <w:rFonts w:asciiTheme="minorHAnsi" w:eastAsia="Arial" w:hAnsiTheme="minorHAnsi" w:cstheme="minorHAnsi"/>
                <w:color w:val="000000"/>
                <w:spacing w:val="-1"/>
                <w:sz w:val="18"/>
                <w:szCs w:val="18"/>
                <w:lang w:val="es-ES"/>
              </w:rPr>
              <w:t>;</w:t>
            </w:r>
            <w:r w:rsidRPr="00365C8B">
              <w:rPr>
                <w:rFonts w:asciiTheme="minorHAnsi" w:eastAsia="Arial" w:hAnsiTheme="minorHAnsi" w:cstheme="minorHAnsi"/>
                <w:color w:val="000000"/>
                <w:spacing w:val="-1"/>
                <w:sz w:val="18"/>
                <w:szCs w:val="18"/>
                <w:lang w:val="es-ES"/>
              </w:rPr>
              <w:t xml:space="preserve"> y </w:t>
            </w:r>
            <w:r w:rsidRPr="00365C8B">
              <w:rPr>
                <w:rFonts w:asciiTheme="minorHAnsi" w:eastAsia="Arial" w:hAnsiTheme="minorHAnsi" w:cstheme="minorHAnsi"/>
                <w:color w:val="000000"/>
                <w:spacing w:val="-1"/>
                <w:sz w:val="18"/>
                <w:szCs w:val="18"/>
                <w:lang w:val="es-ES"/>
              </w:rPr>
              <w:t xml:space="preserve">durante el Periodo de Amortización </w:t>
            </w:r>
            <w:r w:rsidRPr="00365C8B">
              <w:rPr>
                <w:rFonts w:asciiTheme="minorHAnsi" w:eastAsia="Arial" w:hAnsiTheme="minorHAnsi" w:cstheme="minorHAnsi"/>
                <w:color w:val="000000"/>
                <w:spacing w:val="-1"/>
                <w:sz w:val="18"/>
                <w:szCs w:val="18"/>
                <w:lang w:val="es-ES"/>
              </w:rPr>
              <w:t xml:space="preserve">de la Garantía </w:t>
            </w:r>
            <w:r w:rsidRPr="00365C8B">
              <w:rPr>
                <w:rFonts w:asciiTheme="minorHAnsi" w:eastAsia="Arial" w:hAnsiTheme="minorHAnsi" w:cstheme="minorHAnsi"/>
                <w:color w:val="000000"/>
                <w:spacing w:val="-1"/>
                <w:sz w:val="18"/>
                <w:szCs w:val="18"/>
                <w:lang w:val="es-ES"/>
              </w:rPr>
              <w:t>mediante pagos mensuales, iguales y consecutivos de capital.</w:t>
            </w:r>
          </w:p>
          <w:p w14:paraId="5E17B09E" w14:textId="77777777" w:rsidR="00C54B06" w:rsidRPr="00365C8B" w:rsidRDefault="00C6291C" w:rsidP="00C54B06">
            <w:pPr>
              <w:spacing w:line="240" w:lineRule="auto"/>
              <w:jc w:val="both"/>
              <w:rPr>
                <w:rFonts w:asciiTheme="minorHAnsi" w:hAnsiTheme="minorHAnsi" w:cstheme="minorHAnsi"/>
                <w:sz w:val="18"/>
                <w:szCs w:val="18"/>
              </w:rPr>
            </w:pPr>
          </w:p>
        </w:tc>
      </w:tr>
      <w:tr w:rsidR="002A1527" w14:paraId="26B90E5A"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224A2DE"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Periodo de gracia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hideMark/>
          </w:tcPr>
          <w:p w14:paraId="2288E0F6" w14:textId="77777777" w:rsidR="00D548AD" w:rsidRPr="00365C8B" w:rsidRDefault="00C6291C"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 xml:space="preserve">Sin periodo de gracia. </w:t>
            </w:r>
          </w:p>
          <w:p w14:paraId="782B0DB0" w14:textId="77777777" w:rsidR="00156AEF" w:rsidRPr="00365C8B" w:rsidRDefault="00C6291C" w:rsidP="00C54B06">
            <w:pPr>
              <w:spacing w:line="240" w:lineRule="auto"/>
              <w:jc w:val="both"/>
              <w:rPr>
                <w:rFonts w:asciiTheme="minorHAnsi" w:eastAsia="Arial" w:hAnsiTheme="minorHAnsi" w:cstheme="minorHAnsi"/>
                <w:color w:val="000000"/>
                <w:spacing w:val="-1"/>
                <w:sz w:val="18"/>
                <w:szCs w:val="18"/>
                <w:lang w:val="es-ES"/>
              </w:rPr>
            </w:pPr>
          </w:p>
        </w:tc>
      </w:tr>
      <w:tr w:rsidR="002A1527" w14:paraId="15E27C29" w14:textId="77777777" w:rsidTr="00C54B06">
        <w:tc>
          <w:tcPr>
            <w:tcW w:w="3052" w:type="dxa"/>
            <w:tcBorders>
              <w:top w:val="single" w:sz="4" w:space="0" w:color="auto"/>
              <w:left w:val="single" w:sz="4" w:space="0" w:color="auto"/>
              <w:bottom w:val="single" w:sz="4" w:space="0" w:color="auto"/>
              <w:right w:val="single" w:sz="4" w:space="0" w:color="auto"/>
            </w:tcBorders>
          </w:tcPr>
          <w:p w14:paraId="24685E73" w14:textId="77777777" w:rsidR="00156AEF"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Contraprestación Mensual de la Garantía: </w:t>
            </w:r>
          </w:p>
        </w:tc>
        <w:tc>
          <w:tcPr>
            <w:tcW w:w="6065" w:type="dxa"/>
            <w:tcBorders>
              <w:top w:val="single" w:sz="4" w:space="0" w:color="auto"/>
              <w:left w:val="single" w:sz="4" w:space="0" w:color="auto"/>
              <w:bottom w:val="single" w:sz="4" w:space="0" w:color="auto"/>
              <w:right w:val="single" w:sz="4" w:space="0" w:color="auto"/>
            </w:tcBorders>
          </w:tcPr>
          <w:p w14:paraId="52FC2DC1" w14:textId="77777777" w:rsidR="00156AEF" w:rsidRPr="00365C8B" w:rsidRDefault="00C6291C" w:rsidP="00C54B06">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El Garante tendrá derecho al pago de la Contraprestación Mensual de la Garantía,</w:t>
            </w:r>
            <w:r>
              <w:rPr>
                <w:rFonts w:asciiTheme="minorHAnsi" w:hAnsiTheme="minorHAnsi" w:cstheme="minorHAnsi"/>
                <w:sz w:val="18"/>
                <w:szCs w:val="18"/>
                <w:lang w:val="es-MX"/>
              </w:rPr>
              <w:t xml:space="preserve"> en términos similares a los establecidos en el Modelo de Contrato de Contrato de Garantía,</w:t>
            </w:r>
            <w:r w:rsidRPr="00365C8B">
              <w:rPr>
                <w:rFonts w:asciiTheme="minorHAnsi" w:hAnsiTheme="minorHAnsi" w:cstheme="minorHAnsi"/>
                <w:sz w:val="18"/>
                <w:szCs w:val="18"/>
                <w:lang w:val="es-MX"/>
              </w:rPr>
              <w:t xml:space="preserve"> la cual tendrá preferencia en el pago respecto del servicio </w:t>
            </w:r>
            <w:r w:rsidRPr="00365C8B">
              <w:rPr>
                <w:rFonts w:asciiTheme="minorHAnsi" w:hAnsiTheme="minorHAnsi" w:cstheme="minorHAnsi"/>
                <w:sz w:val="18"/>
                <w:szCs w:val="18"/>
                <w:lang w:val="es-MX"/>
              </w:rPr>
              <w:lastRenderedPageBreak/>
              <w:t xml:space="preserve">del Crédito Garantizado, de conformidad con la prelación en el Fideicomiso Maestro. </w:t>
            </w:r>
          </w:p>
          <w:p w14:paraId="2F7425FF" w14:textId="77777777" w:rsidR="00156AEF" w:rsidRPr="00365C8B" w:rsidRDefault="00C6291C" w:rsidP="00C54B06">
            <w:pPr>
              <w:pStyle w:val="Sinespaciado1"/>
              <w:jc w:val="both"/>
              <w:rPr>
                <w:rFonts w:asciiTheme="minorHAnsi" w:hAnsiTheme="minorHAnsi" w:cstheme="minorHAnsi"/>
                <w:sz w:val="18"/>
                <w:szCs w:val="18"/>
                <w:lang w:val="es-MX"/>
              </w:rPr>
            </w:pPr>
          </w:p>
        </w:tc>
      </w:tr>
      <w:tr w:rsidR="002A1527" w14:paraId="25FC5E1A" w14:textId="77777777" w:rsidTr="00C54B06">
        <w:tc>
          <w:tcPr>
            <w:tcW w:w="3052" w:type="dxa"/>
            <w:tcBorders>
              <w:top w:val="single" w:sz="4" w:space="0" w:color="auto"/>
              <w:left w:val="single" w:sz="4" w:space="0" w:color="auto"/>
              <w:bottom w:val="single" w:sz="4" w:space="0" w:color="auto"/>
              <w:right w:val="single" w:sz="4" w:space="0" w:color="auto"/>
            </w:tcBorders>
          </w:tcPr>
          <w:p w14:paraId="2CC1E02D" w14:textId="77777777" w:rsidR="00156AEF"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lastRenderedPageBreak/>
              <w:t>Periodo para el c</w:t>
            </w:r>
            <w:r w:rsidRPr="00365C8B">
              <w:rPr>
                <w:rFonts w:asciiTheme="minorHAnsi" w:hAnsiTheme="minorHAnsi" w:cstheme="minorHAnsi"/>
                <w:b/>
                <w:sz w:val="18"/>
                <w:szCs w:val="18"/>
              </w:rPr>
              <w:t xml:space="preserve">umplimiento de condiciones suspensivas: </w:t>
            </w:r>
          </w:p>
        </w:tc>
        <w:tc>
          <w:tcPr>
            <w:tcW w:w="6065" w:type="dxa"/>
            <w:tcBorders>
              <w:top w:val="single" w:sz="4" w:space="0" w:color="auto"/>
              <w:left w:val="single" w:sz="4" w:space="0" w:color="auto"/>
              <w:bottom w:val="single" w:sz="4" w:space="0" w:color="auto"/>
              <w:right w:val="single" w:sz="4" w:space="0" w:color="auto"/>
            </w:tcBorders>
          </w:tcPr>
          <w:p w14:paraId="24C1E96E" w14:textId="77777777" w:rsidR="00156AEF" w:rsidRPr="00365C8B" w:rsidRDefault="00C6291C" w:rsidP="00C54B06">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 xml:space="preserve">Hasta 60 (sesenta) </w:t>
            </w:r>
            <w:r>
              <w:rPr>
                <w:rFonts w:asciiTheme="minorHAnsi" w:hAnsiTheme="minorHAnsi" w:cstheme="minorHAnsi"/>
                <w:sz w:val="18"/>
                <w:szCs w:val="18"/>
                <w:lang w:val="es-MX"/>
              </w:rPr>
              <w:t>D</w:t>
            </w:r>
            <w:r w:rsidRPr="00365C8B">
              <w:rPr>
                <w:rFonts w:asciiTheme="minorHAnsi" w:hAnsiTheme="minorHAnsi" w:cstheme="minorHAnsi"/>
                <w:sz w:val="18"/>
                <w:szCs w:val="18"/>
                <w:lang w:val="es-MX"/>
              </w:rPr>
              <w:t xml:space="preserve">ías, contados a partir de la firma del </w:t>
            </w:r>
            <w:r>
              <w:rPr>
                <w:rFonts w:asciiTheme="minorHAnsi" w:hAnsiTheme="minorHAnsi" w:cstheme="minorHAnsi"/>
                <w:sz w:val="18"/>
                <w:szCs w:val="18"/>
                <w:lang w:val="es-MX"/>
              </w:rPr>
              <w:t>C</w:t>
            </w:r>
            <w:r w:rsidRPr="00365C8B">
              <w:rPr>
                <w:rFonts w:asciiTheme="minorHAnsi" w:hAnsiTheme="minorHAnsi" w:cstheme="minorHAnsi"/>
                <w:sz w:val="18"/>
                <w:szCs w:val="18"/>
                <w:lang w:val="es-MX"/>
              </w:rPr>
              <w:t xml:space="preserve">ontrato de </w:t>
            </w:r>
            <w:r>
              <w:rPr>
                <w:rFonts w:asciiTheme="minorHAnsi" w:hAnsiTheme="minorHAnsi" w:cstheme="minorHAnsi"/>
                <w:sz w:val="18"/>
                <w:szCs w:val="18"/>
                <w:lang w:val="es-MX"/>
              </w:rPr>
              <w:t>G</w:t>
            </w:r>
            <w:r w:rsidRPr="00365C8B">
              <w:rPr>
                <w:rFonts w:asciiTheme="minorHAnsi" w:hAnsiTheme="minorHAnsi" w:cstheme="minorHAnsi"/>
                <w:sz w:val="18"/>
                <w:szCs w:val="18"/>
                <w:lang w:val="es-MX"/>
              </w:rPr>
              <w:t xml:space="preserve">arantía, el cual podrá prorrogarse por un periodo igual, a solicitud del Estado. </w:t>
            </w:r>
          </w:p>
          <w:p w14:paraId="3E24D496" w14:textId="77777777" w:rsidR="00156AEF" w:rsidRPr="00365C8B" w:rsidRDefault="00C6291C" w:rsidP="00C54B06">
            <w:pPr>
              <w:pStyle w:val="Sinespaciado1"/>
              <w:jc w:val="both"/>
              <w:rPr>
                <w:rFonts w:asciiTheme="minorHAnsi" w:hAnsiTheme="minorHAnsi" w:cstheme="minorHAnsi"/>
                <w:sz w:val="18"/>
                <w:szCs w:val="18"/>
                <w:lang w:val="es-MX"/>
              </w:rPr>
            </w:pPr>
          </w:p>
        </w:tc>
      </w:tr>
      <w:tr w:rsidR="002A1527" w14:paraId="56636681"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5DB2DC97"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Tasa de Interés en caso de ejercicio de la </w:t>
            </w:r>
            <w:r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hideMark/>
          </w:tcPr>
          <w:p w14:paraId="31C58232" w14:textId="77777777" w:rsidR="00156AEF" w:rsidRPr="00365C8B" w:rsidRDefault="00C6291C" w:rsidP="00156AEF">
            <w:pPr>
              <w:pStyle w:val="Sinespaciado1"/>
              <w:jc w:val="both"/>
              <w:rPr>
                <w:rFonts w:asciiTheme="minorHAnsi" w:eastAsia="Arial" w:hAnsiTheme="minorHAnsi" w:cstheme="minorHAnsi"/>
                <w:color w:val="000000"/>
                <w:spacing w:val="-1"/>
                <w:sz w:val="18"/>
                <w:szCs w:val="18"/>
              </w:rPr>
            </w:pPr>
            <w:r w:rsidRPr="00365C8B">
              <w:rPr>
                <w:rFonts w:asciiTheme="minorHAnsi" w:eastAsia="Arial" w:hAnsiTheme="minorHAnsi" w:cstheme="minorHAnsi"/>
                <w:color w:val="000000"/>
                <w:spacing w:val="-1"/>
                <w:sz w:val="18"/>
                <w:szCs w:val="18"/>
                <w:lang w:val="es-ES"/>
              </w:rPr>
              <w:t xml:space="preserve">Variable. </w:t>
            </w:r>
            <w:r w:rsidRPr="00365C8B">
              <w:rPr>
                <w:rFonts w:asciiTheme="minorHAnsi" w:eastAsia="Arial" w:hAnsiTheme="minorHAnsi" w:cstheme="minorHAnsi"/>
                <w:bCs/>
                <w:sz w:val="18"/>
                <w:szCs w:val="18"/>
              </w:rPr>
              <w:t xml:space="preserve">La Tasa de Referencia, más los puntos porcentuales del Margen Aplicable al nivel </w:t>
            </w:r>
            <w:r>
              <w:rPr>
                <w:rFonts w:asciiTheme="minorHAnsi" w:eastAsia="Arial" w:hAnsiTheme="minorHAnsi" w:cstheme="minorHAnsi"/>
                <w:bCs/>
                <w:sz w:val="18"/>
                <w:szCs w:val="18"/>
              </w:rPr>
              <w:t xml:space="preserve">de Calificación Sombra </w:t>
            </w:r>
            <w:r w:rsidRPr="00365C8B">
              <w:rPr>
                <w:rFonts w:asciiTheme="minorHAnsi" w:eastAsia="Arial" w:hAnsiTheme="minorHAnsi" w:cstheme="minorHAnsi"/>
                <w:bCs/>
                <w:sz w:val="18"/>
                <w:szCs w:val="18"/>
              </w:rPr>
              <w:t>de</w:t>
            </w:r>
            <w:r>
              <w:rPr>
                <w:rFonts w:asciiTheme="minorHAnsi" w:eastAsia="Arial" w:hAnsiTheme="minorHAnsi" w:cstheme="minorHAnsi"/>
                <w:bCs/>
                <w:sz w:val="18"/>
                <w:szCs w:val="18"/>
              </w:rPr>
              <w:t>l</w:t>
            </w:r>
            <w:r w:rsidRPr="00365C8B">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Crédito Garantizado</w:t>
            </w:r>
            <w:r w:rsidRPr="00365C8B">
              <w:rPr>
                <w:rFonts w:asciiTheme="minorHAnsi" w:eastAsia="Arial" w:hAnsiTheme="minorHAnsi" w:cstheme="minorHAnsi"/>
                <w:color w:val="000000"/>
                <w:spacing w:val="-1"/>
                <w:sz w:val="18"/>
                <w:szCs w:val="18"/>
              </w:rPr>
              <w:t xml:space="preserve"> </w:t>
            </w:r>
            <w:r w:rsidRPr="00365C8B">
              <w:rPr>
                <w:rFonts w:asciiTheme="minorHAnsi" w:eastAsia="Arial" w:hAnsiTheme="minorHAnsi" w:cstheme="minorHAnsi"/>
                <w:color w:val="000000"/>
                <w:spacing w:val="-1"/>
                <w:sz w:val="18"/>
                <w:szCs w:val="18"/>
              </w:rPr>
              <w:t xml:space="preserve">o, en su caso, del Estado, </w:t>
            </w:r>
            <w:r w:rsidRPr="00365C8B">
              <w:rPr>
                <w:rFonts w:asciiTheme="minorHAnsi" w:eastAsia="Arial" w:hAnsiTheme="minorHAnsi" w:cstheme="minorHAnsi"/>
                <w:color w:val="000000"/>
                <w:spacing w:val="-1"/>
                <w:sz w:val="18"/>
                <w:szCs w:val="18"/>
              </w:rPr>
              <w:t>que represente el mayor nivel de riesgo entre las calificaciones emitidas por al menos dos Agencias Calificadoras</w:t>
            </w:r>
            <w:r>
              <w:rPr>
                <w:rFonts w:asciiTheme="minorHAnsi" w:eastAsia="Arial" w:hAnsiTheme="minorHAnsi" w:cstheme="minorHAnsi"/>
                <w:color w:val="000000"/>
                <w:spacing w:val="-1"/>
                <w:sz w:val="18"/>
                <w:szCs w:val="18"/>
              </w:rPr>
              <w:t>, conforme a la Tabla de Revisión y Ajuste prevista en la presente Oferta</w:t>
            </w:r>
            <w:r w:rsidRPr="00365C8B">
              <w:rPr>
                <w:rFonts w:asciiTheme="minorHAnsi" w:eastAsia="Arial" w:hAnsiTheme="minorHAnsi" w:cstheme="minorHAnsi"/>
                <w:color w:val="000000"/>
                <w:spacing w:val="-1"/>
                <w:sz w:val="18"/>
                <w:szCs w:val="18"/>
              </w:rPr>
              <w:t xml:space="preserve">. </w:t>
            </w:r>
          </w:p>
          <w:p w14:paraId="01207CE1" w14:textId="77777777" w:rsidR="00156AEF" w:rsidRPr="00365C8B" w:rsidRDefault="00C6291C" w:rsidP="00156AEF">
            <w:pPr>
              <w:pStyle w:val="Sinespaciado1"/>
              <w:jc w:val="both"/>
              <w:rPr>
                <w:rFonts w:asciiTheme="minorHAnsi" w:eastAsia="Arial" w:hAnsiTheme="minorHAnsi" w:cstheme="minorHAnsi"/>
                <w:color w:val="000000"/>
                <w:spacing w:val="-1"/>
                <w:sz w:val="18"/>
                <w:szCs w:val="18"/>
              </w:rPr>
            </w:pPr>
          </w:p>
        </w:tc>
      </w:tr>
      <w:tr w:rsidR="002A1527" w14:paraId="78D97195"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3E60477E"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Tasa de Referencia:</w:t>
            </w:r>
          </w:p>
        </w:tc>
        <w:tc>
          <w:tcPr>
            <w:tcW w:w="6065" w:type="dxa"/>
            <w:tcBorders>
              <w:top w:val="single" w:sz="4" w:space="0" w:color="auto"/>
              <w:left w:val="single" w:sz="4" w:space="0" w:color="auto"/>
              <w:bottom w:val="single" w:sz="4" w:space="0" w:color="auto"/>
              <w:right w:val="single" w:sz="4" w:space="0" w:color="auto"/>
            </w:tcBorders>
          </w:tcPr>
          <w:p w14:paraId="0EA38FE8" w14:textId="77777777" w:rsidR="00C54B06" w:rsidRPr="00365C8B" w:rsidRDefault="00C6291C" w:rsidP="00C54B06">
            <w:pPr>
              <w:pStyle w:val="Sinespaciado1"/>
              <w:jc w:val="both"/>
              <w:rPr>
                <w:rFonts w:asciiTheme="minorHAnsi" w:hAnsiTheme="minorHAnsi" w:cstheme="minorHAnsi"/>
                <w:sz w:val="18"/>
                <w:szCs w:val="18"/>
                <w:lang w:val="es-MX"/>
              </w:rPr>
            </w:pPr>
            <w:r w:rsidRPr="00365C8B">
              <w:rPr>
                <w:rFonts w:asciiTheme="minorHAnsi" w:eastAsia="Arial" w:hAnsiTheme="minorHAnsi" w:cstheme="minorHAnsi"/>
                <w:color w:val="000000"/>
                <w:spacing w:val="-1"/>
                <w:sz w:val="18"/>
                <w:szCs w:val="18"/>
                <w:lang w:val="es-ES"/>
              </w:rPr>
              <w:t>Tasa de Interés Interbancaria de Equilibrio a</w:t>
            </w:r>
            <w:r w:rsidRPr="00365C8B">
              <w:rPr>
                <w:rFonts w:asciiTheme="minorHAnsi" w:eastAsia="Arial" w:hAnsiTheme="minorHAnsi" w:cstheme="minorHAnsi"/>
                <w:color w:val="000000"/>
                <w:spacing w:val="-1"/>
                <w:sz w:val="18"/>
                <w:szCs w:val="18"/>
                <w:lang w:val="es-ES"/>
              </w:rPr>
              <w:t xml:space="preserve"> plazo de 28 días (la “</w:t>
            </w:r>
            <w:r w:rsidRPr="00365C8B">
              <w:rPr>
                <w:rFonts w:asciiTheme="minorHAnsi" w:eastAsia="Arial" w:hAnsiTheme="minorHAnsi" w:cstheme="minorHAnsi"/>
                <w:i/>
                <w:iCs/>
                <w:color w:val="000000"/>
                <w:spacing w:val="-1"/>
                <w:sz w:val="18"/>
                <w:szCs w:val="18"/>
                <w:u w:val="single"/>
                <w:lang w:val="es-ES"/>
              </w:rPr>
              <w:t>TIIE</w:t>
            </w:r>
            <w:r w:rsidRPr="00365C8B">
              <w:rPr>
                <w:rFonts w:asciiTheme="minorHAnsi" w:eastAsia="Arial" w:hAnsiTheme="minorHAnsi" w:cstheme="minorHAnsi"/>
                <w:color w:val="000000"/>
                <w:spacing w:val="-1"/>
                <w:sz w:val="18"/>
                <w:szCs w:val="18"/>
                <w:lang w:val="es-ES"/>
              </w:rPr>
              <w:t xml:space="preserve">”), </w:t>
            </w:r>
            <w:bookmarkStart w:id="1" w:name="_Hlk17414843"/>
            <w:r w:rsidRPr="00365C8B">
              <w:rPr>
                <w:rFonts w:asciiTheme="minorHAnsi" w:eastAsia="Arial" w:hAnsiTheme="minorHAnsi" w:cstheme="minorHAnsi"/>
                <w:color w:val="000000"/>
                <w:spacing w:val="-1"/>
                <w:sz w:val="18"/>
                <w:szCs w:val="18"/>
                <w:lang w:val="es-ES"/>
              </w:rPr>
              <w:t>publicada por el Banco de México en el Diario Oficial de la Federación, el día del inicio del Periodo de Intereses</w:t>
            </w:r>
            <w:bookmarkEnd w:id="1"/>
            <w:r w:rsidRPr="00365C8B">
              <w:rPr>
                <w:rFonts w:asciiTheme="minorHAnsi" w:hAnsiTheme="minorHAnsi" w:cstheme="minorHAnsi"/>
                <w:sz w:val="18"/>
                <w:szCs w:val="18"/>
                <w:lang w:val="es-MX"/>
              </w:rPr>
              <w:t>.</w:t>
            </w:r>
          </w:p>
          <w:p w14:paraId="33D476AC" w14:textId="77777777" w:rsidR="00C54B06" w:rsidRPr="00365C8B" w:rsidRDefault="00C6291C" w:rsidP="00C54B06">
            <w:pPr>
              <w:spacing w:line="240" w:lineRule="auto"/>
              <w:jc w:val="both"/>
              <w:rPr>
                <w:rFonts w:asciiTheme="minorHAnsi" w:hAnsiTheme="minorHAnsi" w:cstheme="minorHAnsi"/>
                <w:sz w:val="18"/>
                <w:szCs w:val="18"/>
              </w:rPr>
            </w:pPr>
          </w:p>
        </w:tc>
      </w:tr>
      <w:tr w:rsidR="002A1527" w14:paraId="53022D91" w14:textId="77777777" w:rsidTr="00092F11">
        <w:tc>
          <w:tcPr>
            <w:tcW w:w="3052" w:type="dxa"/>
            <w:tcBorders>
              <w:top w:val="single" w:sz="4" w:space="0" w:color="auto"/>
              <w:left w:val="single" w:sz="4" w:space="0" w:color="auto"/>
              <w:bottom w:val="single" w:sz="4" w:space="0" w:color="auto"/>
              <w:right w:val="single" w:sz="4" w:space="0" w:color="auto"/>
            </w:tcBorders>
          </w:tcPr>
          <w:p w14:paraId="48E75DCF" w14:textId="77777777" w:rsidR="00156AEF" w:rsidRPr="00365C8B" w:rsidRDefault="00C6291C" w:rsidP="00092F11">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Periodicidad de pago de intereses:</w:t>
            </w:r>
          </w:p>
          <w:p w14:paraId="6F06B1A0" w14:textId="77777777" w:rsidR="00156AEF" w:rsidRPr="00365C8B" w:rsidRDefault="00C6291C" w:rsidP="00092F11">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6ED948C0" w14:textId="77777777" w:rsidR="00156AEF" w:rsidRPr="00365C8B" w:rsidRDefault="00C6291C" w:rsidP="00092F11">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Mensual.</w:t>
            </w:r>
          </w:p>
          <w:p w14:paraId="20C8D0E2" w14:textId="77777777" w:rsidR="00156AEF" w:rsidRPr="00365C8B" w:rsidRDefault="00C6291C" w:rsidP="00092F11">
            <w:pPr>
              <w:pStyle w:val="Sinespaciado1"/>
              <w:jc w:val="both"/>
              <w:rPr>
                <w:rFonts w:asciiTheme="minorHAnsi" w:hAnsiTheme="minorHAnsi" w:cstheme="minorHAnsi"/>
                <w:sz w:val="18"/>
                <w:szCs w:val="18"/>
                <w:lang w:val="es-MX"/>
              </w:rPr>
            </w:pPr>
          </w:p>
        </w:tc>
      </w:tr>
      <w:tr w:rsidR="002A1527" w14:paraId="419ADF91" w14:textId="77777777" w:rsidTr="00092F11">
        <w:tc>
          <w:tcPr>
            <w:tcW w:w="3052" w:type="dxa"/>
            <w:tcBorders>
              <w:top w:val="single" w:sz="4" w:space="0" w:color="auto"/>
              <w:left w:val="single" w:sz="4" w:space="0" w:color="auto"/>
              <w:bottom w:val="single" w:sz="4" w:space="0" w:color="auto"/>
              <w:right w:val="single" w:sz="4" w:space="0" w:color="auto"/>
            </w:tcBorders>
          </w:tcPr>
          <w:p w14:paraId="159AE7C0" w14:textId="77777777" w:rsidR="004F19E7" w:rsidRPr="00365C8B" w:rsidRDefault="00C6291C" w:rsidP="00092F11">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Oportunidad de entrega de los recursos:</w:t>
            </w:r>
          </w:p>
        </w:tc>
        <w:tc>
          <w:tcPr>
            <w:tcW w:w="6065" w:type="dxa"/>
            <w:tcBorders>
              <w:top w:val="single" w:sz="4" w:space="0" w:color="auto"/>
              <w:left w:val="single" w:sz="4" w:space="0" w:color="auto"/>
              <w:bottom w:val="single" w:sz="4" w:space="0" w:color="auto"/>
              <w:right w:val="single" w:sz="4" w:space="0" w:color="auto"/>
            </w:tcBorders>
          </w:tcPr>
          <w:p w14:paraId="72B95C95" w14:textId="77777777" w:rsidR="004F19E7" w:rsidRPr="00365C8B" w:rsidRDefault="00C6291C" w:rsidP="00092F11">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 xml:space="preserve">Dentro de los 3 </w:t>
            </w:r>
            <w:r w:rsidRPr="00365C8B">
              <w:rPr>
                <w:rFonts w:asciiTheme="minorHAnsi" w:hAnsiTheme="minorHAnsi" w:cstheme="minorHAnsi"/>
                <w:sz w:val="18"/>
                <w:szCs w:val="18"/>
                <w:lang w:val="es-MX"/>
              </w:rPr>
              <w:t>(tres) Días Hábiles siguientes a la entrega de la solicitud de desembolso por parte del fiduciario del Fideicomiso</w:t>
            </w:r>
            <w:r>
              <w:rPr>
                <w:rFonts w:asciiTheme="minorHAnsi" w:hAnsiTheme="minorHAnsi" w:cstheme="minorHAnsi"/>
                <w:sz w:val="18"/>
                <w:szCs w:val="18"/>
                <w:lang w:val="es-MX"/>
              </w:rPr>
              <w:t xml:space="preserve"> Maestro</w:t>
            </w:r>
            <w:r w:rsidRPr="00365C8B">
              <w:rPr>
                <w:rFonts w:asciiTheme="minorHAnsi" w:hAnsiTheme="minorHAnsi" w:cstheme="minorHAnsi"/>
                <w:sz w:val="18"/>
                <w:szCs w:val="18"/>
                <w:lang w:val="es-MX"/>
              </w:rPr>
              <w:t xml:space="preserve">. </w:t>
            </w:r>
          </w:p>
          <w:p w14:paraId="4C21A3EF" w14:textId="77777777" w:rsidR="004F19E7" w:rsidRPr="00365C8B" w:rsidRDefault="00C6291C" w:rsidP="00092F11">
            <w:pPr>
              <w:pStyle w:val="Sinespaciado1"/>
              <w:jc w:val="both"/>
              <w:rPr>
                <w:rFonts w:asciiTheme="minorHAnsi" w:hAnsiTheme="minorHAnsi" w:cstheme="minorHAnsi"/>
                <w:sz w:val="18"/>
                <w:szCs w:val="18"/>
                <w:lang w:val="es-MX"/>
              </w:rPr>
            </w:pPr>
          </w:p>
        </w:tc>
      </w:tr>
      <w:tr w:rsidR="002A1527" w14:paraId="661ACFE5" w14:textId="77777777" w:rsidTr="00C54B06">
        <w:tc>
          <w:tcPr>
            <w:tcW w:w="3052" w:type="dxa"/>
            <w:tcBorders>
              <w:top w:val="single" w:sz="4" w:space="0" w:color="auto"/>
              <w:left w:val="single" w:sz="4" w:space="0" w:color="auto"/>
              <w:bottom w:val="single" w:sz="4" w:space="0" w:color="auto"/>
              <w:right w:val="single" w:sz="4" w:space="0" w:color="auto"/>
            </w:tcBorders>
          </w:tcPr>
          <w:p w14:paraId="6D7F8C0C" w14:textId="77777777" w:rsidR="00C54B06" w:rsidRPr="00365C8B" w:rsidRDefault="00C6291C"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Fuente de pago</w:t>
            </w:r>
            <w:r w:rsidRPr="00365C8B">
              <w:rPr>
                <w:rFonts w:asciiTheme="minorHAnsi" w:hAnsiTheme="minorHAnsi" w:cstheme="minorHAnsi"/>
                <w:b/>
                <w:sz w:val="18"/>
                <w:szCs w:val="18"/>
              </w:rPr>
              <w:t xml:space="preserve"> de la Garantía</w:t>
            </w:r>
            <w:r w:rsidRPr="00365C8B">
              <w:rPr>
                <w:rFonts w:asciiTheme="minorHAnsi" w:hAnsiTheme="minorHAnsi" w:cstheme="minorHAnsi"/>
                <w:b/>
                <w:sz w:val="18"/>
                <w:szCs w:val="18"/>
              </w:rPr>
              <w:t>:</w:t>
            </w:r>
          </w:p>
          <w:p w14:paraId="512CA869" w14:textId="77777777" w:rsidR="00C54B06" w:rsidRPr="00365C8B" w:rsidRDefault="00C6291C"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3945AE52" w14:textId="77777777" w:rsidR="00C54B06" w:rsidRPr="00365C8B" w:rsidRDefault="00C6291C" w:rsidP="00C54B06">
            <w:pPr>
              <w:spacing w:line="240" w:lineRule="auto"/>
              <w:jc w:val="both"/>
              <w:rPr>
                <w:rFonts w:asciiTheme="minorHAnsi" w:eastAsia="Arial" w:hAnsiTheme="minorHAnsi" w:cstheme="minorHAnsi"/>
                <w:bCs/>
                <w:sz w:val="18"/>
                <w:szCs w:val="18"/>
              </w:rPr>
            </w:pPr>
            <w:r w:rsidRPr="00365C8B">
              <w:rPr>
                <w:rFonts w:asciiTheme="minorHAnsi" w:eastAsia="Arial" w:hAnsiTheme="minorHAnsi" w:cstheme="minorHAnsi"/>
                <w:bCs/>
                <w:sz w:val="18"/>
                <w:szCs w:val="18"/>
              </w:rPr>
              <w:t xml:space="preserve">El Porcentaje de Participaciones </w:t>
            </w:r>
            <w:r w:rsidRPr="00365C8B">
              <w:rPr>
                <w:rFonts w:asciiTheme="minorHAnsi" w:eastAsia="Arial" w:hAnsiTheme="minorHAnsi" w:cstheme="minorHAnsi"/>
                <w:bCs/>
                <w:sz w:val="18"/>
                <w:szCs w:val="18"/>
              </w:rPr>
              <w:t xml:space="preserve">que el </w:t>
            </w:r>
            <w:r w:rsidRPr="00365C8B">
              <w:rPr>
                <w:rFonts w:asciiTheme="minorHAnsi" w:eastAsia="Arial" w:hAnsiTheme="minorHAnsi" w:cstheme="minorHAnsi"/>
                <w:bCs/>
                <w:sz w:val="18"/>
                <w:szCs w:val="18"/>
              </w:rPr>
              <w:t>Crédito Garantizado</w:t>
            </w:r>
            <w:r w:rsidRPr="00365C8B">
              <w:rPr>
                <w:rFonts w:asciiTheme="minorHAnsi" w:eastAsia="Arial" w:hAnsiTheme="minorHAnsi" w:cstheme="minorHAnsi"/>
                <w:bCs/>
                <w:sz w:val="18"/>
                <w:szCs w:val="18"/>
              </w:rPr>
              <w:t xml:space="preserve"> tenga como fuente de pago</w:t>
            </w:r>
            <w:r w:rsidRPr="00365C8B">
              <w:rPr>
                <w:rFonts w:asciiTheme="minorHAnsi" w:eastAsia="Arial" w:hAnsiTheme="minorHAnsi" w:cstheme="minorHAnsi"/>
                <w:bCs/>
                <w:sz w:val="18"/>
                <w:szCs w:val="18"/>
              </w:rPr>
              <w:t xml:space="preserve">, </w:t>
            </w:r>
            <w:r w:rsidRPr="00365C8B">
              <w:rPr>
                <w:rFonts w:asciiTheme="minorHAnsi" w:eastAsia="Arial" w:hAnsiTheme="minorHAnsi" w:cstheme="minorHAnsi"/>
                <w:bCs/>
                <w:sz w:val="18"/>
                <w:szCs w:val="18"/>
              </w:rPr>
              <w:t xml:space="preserve">con </w:t>
            </w:r>
            <w:r w:rsidRPr="00365C8B">
              <w:rPr>
                <w:rFonts w:asciiTheme="minorHAnsi" w:eastAsia="Arial" w:hAnsiTheme="minorHAnsi" w:cstheme="minorHAnsi"/>
                <w:bCs/>
                <w:sz w:val="18"/>
                <w:szCs w:val="18"/>
              </w:rPr>
              <w:t>la prelación prevista en el Fideicomiso</w:t>
            </w:r>
            <w:r w:rsidRPr="00365C8B">
              <w:rPr>
                <w:rFonts w:asciiTheme="minorHAnsi" w:eastAsia="Arial" w:hAnsiTheme="minorHAnsi" w:cstheme="minorHAnsi"/>
                <w:bCs/>
                <w:sz w:val="18"/>
                <w:szCs w:val="18"/>
              </w:rPr>
              <w:t xml:space="preserve"> Maestro</w:t>
            </w:r>
            <w:r w:rsidRPr="00365C8B">
              <w:rPr>
                <w:rFonts w:asciiTheme="minorHAnsi" w:eastAsia="Arial" w:hAnsiTheme="minorHAnsi" w:cstheme="minorHAnsi"/>
                <w:bCs/>
                <w:sz w:val="18"/>
                <w:szCs w:val="18"/>
              </w:rPr>
              <w:t>.</w:t>
            </w:r>
          </w:p>
          <w:p w14:paraId="413D4207" w14:textId="77777777" w:rsidR="00C54B06" w:rsidRPr="00365C8B" w:rsidRDefault="00C6291C" w:rsidP="00C54B06">
            <w:pPr>
              <w:spacing w:line="240" w:lineRule="auto"/>
              <w:jc w:val="both"/>
              <w:rPr>
                <w:rFonts w:asciiTheme="minorHAnsi" w:hAnsiTheme="minorHAnsi" w:cstheme="minorHAnsi"/>
                <w:sz w:val="18"/>
                <w:szCs w:val="18"/>
              </w:rPr>
            </w:pPr>
          </w:p>
        </w:tc>
      </w:tr>
      <w:tr w:rsidR="002A1527" w14:paraId="0793D788"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2DA67DBA" w14:textId="77777777" w:rsidR="00C54B06" w:rsidRPr="00365C8B" w:rsidRDefault="00C6291C" w:rsidP="007749EC">
            <w:pPr>
              <w:spacing w:line="240" w:lineRule="auto"/>
              <w:jc w:val="both"/>
              <w:rPr>
                <w:rFonts w:asciiTheme="minorHAnsi" w:hAnsiTheme="minorHAnsi" w:cstheme="minorHAnsi"/>
                <w:b/>
                <w:sz w:val="18"/>
                <w:szCs w:val="18"/>
              </w:rPr>
            </w:pPr>
            <w:r w:rsidRPr="00365C8B">
              <w:rPr>
                <w:rFonts w:asciiTheme="minorHAnsi" w:hAnsiTheme="minorHAnsi" w:cstheme="minorHAnsi"/>
                <w:b/>
                <w:sz w:val="18"/>
                <w:szCs w:val="18"/>
              </w:rPr>
              <w:t>Vehículo de pago</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673213DF" w14:textId="77777777" w:rsidR="004F19E7" w:rsidRPr="004F19E7" w:rsidRDefault="00C6291C" w:rsidP="007749EC">
            <w:pPr>
              <w:spacing w:line="240" w:lineRule="auto"/>
              <w:jc w:val="both"/>
              <w:rPr>
                <w:rFonts w:asciiTheme="minorHAnsi" w:hAnsiTheme="minorHAnsi" w:cstheme="minorHAnsi"/>
                <w:sz w:val="18"/>
                <w:szCs w:val="18"/>
              </w:rPr>
            </w:pPr>
            <w:r w:rsidRPr="004F19E7">
              <w:rPr>
                <w:rFonts w:asciiTheme="minorHAnsi" w:hAnsiTheme="minorHAnsi" w:cstheme="minorHAnsi"/>
                <w:sz w:val="18"/>
                <w:szCs w:val="18"/>
              </w:rPr>
              <w:t>El contrato de fideicomiso maestro, irrevocable de administración y fuente de pago que, en términos del Modelo de Fideicomiso Maestro, celebre el Estado, e</w:t>
            </w:r>
            <w:r w:rsidRPr="004F19E7">
              <w:rPr>
                <w:rFonts w:asciiTheme="minorHAnsi" w:hAnsiTheme="minorHAnsi" w:cstheme="minorHAnsi"/>
                <w:sz w:val="18"/>
                <w:szCs w:val="18"/>
              </w:rPr>
              <w:t xml:space="preserve">n calidad de Fideicomitente y Fideicomisario en Segundo Lugar, con la institución de crédito de su elección como </w:t>
            </w:r>
            <w:r>
              <w:rPr>
                <w:rFonts w:asciiTheme="minorHAnsi" w:hAnsiTheme="minorHAnsi" w:cstheme="minorHAnsi"/>
                <w:sz w:val="18"/>
                <w:szCs w:val="18"/>
              </w:rPr>
              <w:t>F</w:t>
            </w:r>
            <w:r w:rsidRPr="004F19E7">
              <w:rPr>
                <w:rFonts w:asciiTheme="minorHAnsi" w:hAnsiTheme="minorHAnsi" w:cstheme="minorHAnsi"/>
                <w:sz w:val="18"/>
                <w:szCs w:val="18"/>
              </w:rPr>
              <w:t>iduciario, a cuyo patrimonio se afectará, entre otros ingresos y derechos, las Participaciones Fideicomitidas, para que sirva como fuente de p</w:t>
            </w:r>
            <w:r w:rsidRPr="004F19E7">
              <w:rPr>
                <w:rFonts w:asciiTheme="minorHAnsi" w:hAnsiTheme="minorHAnsi" w:cstheme="minorHAnsi"/>
                <w:sz w:val="18"/>
                <w:szCs w:val="18"/>
              </w:rPr>
              <w:t xml:space="preserve">ago de los </w:t>
            </w:r>
            <w:r>
              <w:rPr>
                <w:rFonts w:asciiTheme="minorHAnsi" w:hAnsiTheme="minorHAnsi" w:cstheme="minorHAnsi"/>
                <w:sz w:val="18"/>
                <w:szCs w:val="18"/>
              </w:rPr>
              <w:t>C</w:t>
            </w:r>
            <w:r w:rsidRPr="004F19E7">
              <w:rPr>
                <w:rFonts w:asciiTheme="minorHAnsi" w:hAnsiTheme="minorHAnsi" w:cstheme="minorHAnsi"/>
                <w:sz w:val="18"/>
                <w:szCs w:val="18"/>
              </w:rPr>
              <w:t xml:space="preserve">réditos, de los </w:t>
            </w:r>
            <w:r>
              <w:rPr>
                <w:rFonts w:asciiTheme="minorHAnsi" w:hAnsiTheme="minorHAnsi" w:cstheme="minorHAnsi"/>
                <w:sz w:val="18"/>
                <w:szCs w:val="18"/>
              </w:rPr>
              <w:t>I</w:t>
            </w:r>
            <w:r w:rsidRPr="004F19E7">
              <w:rPr>
                <w:rFonts w:asciiTheme="minorHAnsi" w:hAnsiTheme="minorHAnsi" w:cstheme="minorHAnsi"/>
                <w:sz w:val="18"/>
                <w:szCs w:val="18"/>
              </w:rPr>
              <w:t xml:space="preserve">nstrumentos </w:t>
            </w:r>
            <w:r>
              <w:rPr>
                <w:rFonts w:asciiTheme="minorHAnsi" w:hAnsiTheme="minorHAnsi" w:cstheme="minorHAnsi"/>
                <w:sz w:val="18"/>
                <w:szCs w:val="18"/>
              </w:rPr>
              <w:t>D</w:t>
            </w:r>
            <w:r w:rsidRPr="004F19E7">
              <w:rPr>
                <w:rFonts w:asciiTheme="minorHAnsi" w:hAnsiTheme="minorHAnsi" w:cstheme="minorHAnsi"/>
                <w:sz w:val="18"/>
                <w:szCs w:val="18"/>
              </w:rPr>
              <w:t xml:space="preserve">erivados de </w:t>
            </w:r>
            <w:r>
              <w:rPr>
                <w:rFonts w:asciiTheme="minorHAnsi" w:hAnsiTheme="minorHAnsi" w:cstheme="minorHAnsi"/>
                <w:sz w:val="18"/>
                <w:szCs w:val="18"/>
              </w:rPr>
              <w:t>I</w:t>
            </w:r>
            <w:r w:rsidRPr="004F19E7">
              <w:rPr>
                <w:rFonts w:asciiTheme="minorHAnsi" w:hAnsiTheme="minorHAnsi" w:cstheme="minorHAnsi"/>
                <w:sz w:val="18"/>
                <w:szCs w:val="18"/>
              </w:rPr>
              <w:t xml:space="preserve">ntercambio de </w:t>
            </w:r>
            <w:r>
              <w:rPr>
                <w:rFonts w:asciiTheme="minorHAnsi" w:hAnsiTheme="minorHAnsi" w:cstheme="minorHAnsi"/>
                <w:sz w:val="18"/>
                <w:szCs w:val="18"/>
              </w:rPr>
              <w:t xml:space="preserve">Tasas </w:t>
            </w:r>
            <w:r w:rsidRPr="004F19E7">
              <w:rPr>
                <w:rFonts w:asciiTheme="minorHAnsi" w:hAnsiTheme="minorHAnsi" w:cstheme="minorHAnsi"/>
                <w:sz w:val="18"/>
                <w:szCs w:val="18"/>
              </w:rPr>
              <w:t>y de las Garantías que, en su caso, celebre el Estado, en el cual los acreditante y</w:t>
            </w:r>
            <w:r>
              <w:rPr>
                <w:rFonts w:asciiTheme="minorHAnsi" w:hAnsiTheme="minorHAnsi" w:cstheme="minorHAnsi"/>
                <w:sz w:val="18"/>
                <w:szCs w:val="18"/>
              </w:rPr>
              <w:t>,</w:t>
            </w:r>
            <w:r w:rsidRPr="004F19E7">
              <w:rPr>
                <w:rFonts w:asciiTheme="minorHAnsi" w:hAnsiTheme="minorHAnsi" w:cstheme="minorHAnsi"/>
                <w:sz w:val="18"/>
                <w:szCs w:val="18"/>
              </w:rPr>
              <w:t xml:space="preserve"> en su caso</w:t>
            </w:r>
            <w:r>
              <w:rPr>
                <w:rFonts w:asciiTheme="minorHAnsi" w:hAnsiTheme="minorHAnsi" w:cstheme="minorHAnsi"/>
                <w:sz w:val="18"/>
                <w:szCs w:val="18"/>
              </w:rPr>
              <w:t>,</w:t>
            </w:r>
            <w:r w:rsidRPr="004F19E7">
              <w:rPr>
                <w:rFonts w:asciiTheme="minorHAnsi" w:hAnsiTheme="minorHAnsi" w:cstheme="minorHAnsi"/>
                <w:sz w:val="18"/>
                <w:szCs w:val="18"/>
              </w:rPr>
              <w:t xml:space="preserve"> las </w:t>
            </w:r>
            <w:r>
              <w:rPr>
                <w:rFonts w:asciiTheme="minorHAnsi" w:hAnsiTheme="minorHAnsi" w:cstheme="minorHAnsi"/>
                <w:sz w:val="18"/>
                <w:szCs w:val="18"/>
              </w:rPr>
              <w:t>C</w:t>
            </w:r>
            <w:r w:rsidRPr="004F19E7">
              <w:rPr>
                <w:rFonts w:asciiTheme="minorHAnsi" w:hAnsiTheme="minorHAnsi" w:cstheme="minorHAnsi"/>
                <w:sz w:val="18"/>
                <w:szCs w:val="18"/>
              </w:rPr>
              <w:t xml:space="preserve">ontrapartes y los </w:t>
            </w:r>
            <w:r>
              <w:rPr>
                <w:rFonts w:asciiTheme="minorHAnsi" w:hAnsiTheme="minorHAnsi" w:cstheme="minorHAnsi"/>
                <w:sz w:val="18"/>
                <w:szCs w:val="18"/>
              </w:rPr>
              <w:t>G</w:t>
            </w:r>
            <w:r w:rsidRPr="004F19E7">
              <w:rPr>
                <w:rFonts w:asciiTheme="minorHAnsi" w:hAnsiTheme="minorHAnsi" w:cstheme="minorHAnsi"/>
                <w:sz w:val="18"/>
                <w:szCs w:val="18"/>
              </w:rPr>
              <w:t xml:space="preserve">arantes tendrán la calidad de </w:t>
            </w:r>
            <w:r>
              <w:rPr>
                <w:rFonts w:asciiTheme="minorHAnsi" w:hAnsiTheme="minorHAnsi" w:cstheme="minorHAnsi"/>
                <w:sz w:val="18"/>
                <w:szCs w:val="18"/>
              </w:rPr>
              <w:t>F</w:t>
            </w:r>
            <w:r w:rsidRPr="004F19E7">
              <w:rPr>
                <w:rFonts w:asciiTheme="minorHAnsi" w:hAnsiTheme="minorHAnsi" w:cstheme="minorHAnsi"/>
                <w:sz w:val="18"/>
                <w:szCs w:val="18"/>
              </w:rPr>
              <w:t xml:space="preserve">ideicomisarios en </w:t>
            </w:r>
            <w:r>
              <w:rPr>
                <w:rFonts w:asciiTheme="minorHAnsi" w:hAnsiTheme="minorHAnsi" w:cstheme="minorHAnsi"/>
                <w:sz w:val="18"/>
                <w:szCs w:val="18"/>
              </w:rPr>
              <w:t>P</w:t>
            </w:r>
            <w:r w:rsidRPr="004F19E7">
              <w:rPr>
                <w:rFonts w:asciiTheme="minorHAnsi" w:hAnsiTheme="minorHAnsi" w:cstheme="minorHAnsi"/>
                <w:sz w:val="18"/>
                <w:szCs w:val="18"/>
              </w:rPr>
              <w:t xml:space="preserve">rimer </w:t>
            </w:r>
            <w:r>
              <w:rPr>
                <w:rFonts w:asciiTheme="minorHAnsi" w:hAnsiTheme="minorHAnsi" w:cstheme="minorHAnsi"/>
                <w:sz w:val="18"/>
                <w:szCs w:val="18"/>
              </w:rPr>
              <w:t>L</w:t>
            </w:r>
            <w:r w:rsidRPr="004F19E7">
              <w:rPr>
                <w:rFonts w:asciiTheme="minorHAnsi" w:hAnsiTheme="minorHAnsi" w:cstheme="minorHAnsi"/>
                <w:sz w:val="18"/>
                <w:szCs w:val="18"/>
              </w:rPr>
              <w:t>ugar, conforme a la prelación establecida en el mimos y previo cumplimiento de los requisitos correspondientes para la inscripción de sus respectivos contratos.</w:t>
            </w:r>
          </w:p>
          <w:p w14:paraId="073140E9" w14:textId="77777777" w:rsidR="00C54B06" w:rsidRPr="00365C8B" w:rsidRDefault="00C6291C" w:rsidP="007749EC">
            <w:pPr>
              <w:spacing w:line="240" w:lineRule="auto"/>
              <w:jc w:val="both"/>
              <w:rPr>
                <w:rFonts w:asciiTheme="minorHAnsi" w:eastAsia="Arial" w:hAnsiTheme="minorHAnsi" w:cstheme="minorHAnsi"/>
                <w:sz w:val="18"/>
                <w:szCs w:val="18"/>
              </w:rPr>
            </w:pPr>
          </w:p>
        </w:tc>
      </w:tr>
    </w:tbl>
    <w:p w14:paraId="4DC02850" w14:textId="77777777" w:rsidR="00C54B06" w:rsidRPr="00365C8B" w:rsidRDefault="00C6291C" w:rsidP="007749EC">
      <w:pPr>
        <w:spacing w:after="0" w:line="240" w:lineRule="auto"/>
        <w:ind w:hanging="426"/>
        <w:jc w:val="both"/>
        <w:rPr>
          <w:rFonts w:asciiTheme="minorHAnsi" w:hAnsiTheme="minorHAnsi" w:cstheme="minorHAnsi"/>
          <w:sz w:val="22"/>
          <w:szCs w:val="22"/>
        </w:rPr>
      </w:pPr>
    </w:p>
    <w:p w14:paraId="5FD76FD5" w14:textId="77777777" w:rsidR="00C54B06" w:rsidRPr="00365C8B" w:rsidRDefault="00C6291C" w:rsidP="007749EC">
      <w:pPr>
        <w:spacing w:after="0" w:line="240" w:lineRule="auto"/>
        <w:jc w:val="both"/>
        <w:rPr>
          <w:rFonts w:asciiTheme="minorHAnsi" w:hAnsiTheme="minorHAnsi" w:cstheme="minorHAnsi"/>
          <w:sz w:val="22"/>
          <w:szCs w:val="22"/>
        </w:rPr>
      </w:pPr>
      <w:r>
        <w:rPr>
          <w:rFonts w:asciiTheme="minorHAnsi" w:hAnsiTheme="minorHAnsi" w:cstheme="minorHAnsi"/>
          <w:sz w:val="22"/>
          <w:szCs w:val="22"/>
        </w:rPr>
        <w:t>El Licitante</w:t>
      </w:r>
      <w:r w:rsidRPr="00365C8B">
        <w:rPr>
          <w:rFonts w:asciiTheme="minorHAnsi" w:hAnsiTheme="minorHAnsi" w:cstheme="minorHAnsi"/>
          <w:sz w:val="22"/>
          <w:szCs w:val="22"/>
        </w:rPr>
        <w:t xml:space="preserve">, a través de su representante, manifiesta bajo </w:t>
      </w:r>
      <w:r w:rsidRPr="00365C8B">
        <w:rPr>
          <w:rFonts w:asciiTheme="minorHAnsi" w:hAnsiTheme="minorHAnsi" w:cstheme="minorHAnsi"/>
          <w:sz w:val="22"/>
          <w:szCs w:val="22"/>
        </w:rPr>
        <w:t>protesta de decir verdad, que:</w:t>
      </w:r>
    </w:p>
    <w:p w14:paraId="66EA385C" w14:textId="77777777" w:rsidR="00C54B06" w:rsidRPr="00365C8B" w:rsidRDefault="00C6291C" w:rsidP="007749EC">
      <w:pPr>
        <w:spacing w:after="0" w:line="240" w:lineRule="auto"/>
        <w:ind w:hanging="426"/>
        <w:jc w:val="both"/>
        <w:rPr>
          <w:rFonts w:asciiTheme="minorHAnsi" w:hAnsiTheme="minorHAnsi" w:cstheme="minorHAnsi"/>
          <w:sz w:val="22"/>
          <w:szCs w:val="22"/>
        </w:rPr>
      </w:pPr>
    </w:p>
    <w:p w14:paraId="42811689" w14:textId="77777777" w:rsidR="00721BB5" w:rsidRPr="00365C8B" w:rsidRDefault="00C6291C" w:rsidP="00721BB5">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(a)</w:t>
      </w:r>
      <w:r w:rsidRPr="00365C8B">
        <w:rPr>
          <w:rFonts w:asciiTheme="minorHAnsi" w:hAnsiTheme="minorHAnsi" w:cstheme="minorHAnsi"/>
          <w:sz w:val="22"/>
          <w:szCs w:val="22"/>
        </w:rPr>
        <w:tab/>
        <w:t>[</w:t>
      </w:r>
      <w:r w:rsidRPr="00365C8B">
        <w:rPr>
          <w:rFonts w:asciiTheme="minorHAnsi" w:hAnsiTheme="minorHAnsi" w:cstheme="minorHAnsi"/>
          <w:i/>
          <w:sz w:val="22"/>
          <w:szCs w:val="22"/>
        </w:rPr>
        <w:t>Nombre de la Institución</w:t>
      </w:r>
      <w:r w:rsidRPr="00365C8B">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w:t>
      </w:r>
      <w:r w:rsidRPr="00365C8B">
        <w:rPr>
          <w:rFonts w:asciiTheme="minorHAnsi" w:hAnsiTheme="minorHAnsi" w:cstheme="minorHAnsi"/>
          <w:sz w:val="22"/>
          <w:szCs w:val="22"/>
        </w:rPr>
        <w:t xml:space="preserve">Garantía en los términos de la Licitación. </w:t>
      </w:r>
      <w:r w:rsidRPr="00365C8B">
        <w:rPr>
          <w:rFonts w:asciiTheme="minorHAnsi" w:hAnsiTheme="minorHAnsi" w:cstheme="minorHAnsi"/>
          <w:i/>
          <w:sz w:val="22"/>
          <w:szCs w:val="22"/>
        </w:rPr>
        <w:t>[en el caso de sociedades nacionales de crédito, adaptar la declaración con los datos de la ley de creación].</w:t>
      </w:r>
    </w:p>
    <w:p w14:paraId="6D4A5BEF" w14:textId="77777777" w:rsidR="00C54B06" w:rsidRPr="00365C8B" w:rsidRDefault="00C6291C" w:rsidP="00721BB5">
      <w:pPr>
        <w:pStyle w:val="Default"/>
        <w:jc w:val="both"/>
        <w:rPr>
          <w:rFonts w:asciiTheme="minorHAnsi" w:hAnsiTheme="minorHAnsi" w:cstheme="minorHAnsi"/>
          <w:sz w:val="22"/>
          <w:szCs w:val="22"/>
        </w:rPr>
      </w:pPr>
      <w:r w:rsidRPr="00365C8B">
        <w:rPr>
          <w:rFonts w:asciiTheme="minorHAnsi" w:hAnsiTheme="minorHAnsi" w:cstheme="minorHAnsi"/>
          <w:sz w:val="22"/>
          <w:szCs w:val="22"/>
        </w:rPr>
        <w:t xml:space="preserve"> </w:t>
      </w:r>
    </w:p>
    <w:p w14:paraId="58B5DBAE" w14:textId="77777777" w:rsidR="00C54B06" w:rsidRPr="00365C8B" w:rsidRDefault="00C6291C"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(b)</w:t>
      </w:r>
      <w:r w:rsidRPr="00365C8B">
        <w:rPr>
          <w:rFonts w:asciiTheme="minorHAnsi" w:hAnsiTheme="minorHAnsi" w:cstheme="minorHAnsi"/>
          <w:sz w:val="22"/>
          <w:szCs w:val="22"/>
        </w:rPr>
        <w:tab/>
        <w:t xml:space="preserve">Sus órganos internos competentes autorizaron la Oferta en los términos contenidos en el presente </w:t>
      </w:r>
      <w:r w:rsidRPr="00365C8B">
        <w:rPr>
          <w:rFonts w:asciiTheme="minorHAnsi" w:hAnsiTheme="minorHAnsi" w:cstheme="minorHAnsi"/>
          <w:sz w:val="22"/>
          <w:szCs w:val="22"/>
        </w:rPr>
        <w:t>documento, la cual constituye una oferta en firme, vinculante e irrevocable, con una vigencia de 60 (sesenta) días naturales, contados a partir de su fecha de presentación en el Acto de Presentación y Apertura de Ofertas.</w:t>
      </w:r>
    </w:p>
    <w:p w14:paraId="53B985CA" w14:textId="77777777" w:rsidR="00C54B06" w:rsidRPr="00365C8B" w:rsidRDefault="00C6291C" w:rsidP="007749EC">
      <w:pPr>
        <w:pStyle w:val="Default"/>
        <w:ind w:left="567" w:hanging="567"/>
        <w:jc w:val="both"/>
        <w:rPr>
          <w:rFonts w:asciiTheme="minorHAnsi" w:hAnsiTheme="minorHAnsi" w:cstheme="minorHAnsi"/>
          <w:sz w:val="22"/>
          <w:szCs w:val="22"/>
        </w:rPr>
      </w:pPr>
    </w:p>
    <w:p w14:paraId="0F4E7F96" w14:textId="77777777" w:rsidR="00C54B06" w:rsidRPr="00365C8B" w:rsidRDefault="00C6291C"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(c)</w:t>
      </w:r>
      <w:r w:rsidRPr="00365C8B">
        <w:rPr>
          <w:rFonts w:asciiTheme="minorHAnsi" w:hAnsiTheme="minorHAnsi" w:cstheme="minorHAnsi"/>
          <w:sz w:val="22"/>
          <w:szCs w:val="22"/>
        </w:rPr>
        <w:tab/>
        <w:t>No ha comentado con otras ins</w:t>
      </w:r>
      <w:r w:rsidRPr="00365C8B">
        <w:rPr>
          <w:rFonts w:asciiTheme="minorHAnsi" w:hAnsiTheme="minorHAnsi" w:cstheme="minorHAnsi"/>
          <w:sz w:val="22"/>
          <w:szCs w:val="22"/>
        </w:rPr>
        <w:t>tituciones financieras el alcance y términos de esta Oferta, ni en forma alguna se ha puesto de acuerdo con otras instituciones financieras competidoras respecto de su participación en la presente Licitación.</w:t>
      </w:r>
    </w:p>
    <w:p w14:paraId="518151DE" w14:textId="77777777" w:rsidR="00C54B06" w:rsidRPr="00365C8B" w:rsidRDefault="00C6291C" w:rsidP="007749EC">
      <w:pPr>
        <w:pStyle w:val="Default"/>
        <w:ind w:left="567" w:hanging="567"/>
        <w:jc w:val="both"/>
        <w:rPr>
          <w:rFonts w:asciiTheme="minorHAnsi" w:hAnsiTheme="minorHAnsi" w:cstheme="minorHAnsi"/>
          <w:sz w:val="22"/>
          <w:szCs w:val="22"/>
        </w:rPr>
      </w:pPr>
    </w:p>
    <w:p w14:paraId="692E8A36" w14:textId="77777777" w:rsidR="00C54B06" w:rsidRPr="00365C8B" w:rsidRDefault="00C6291C"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(d)</w:t>
      </w:r>
      <w:r w:rsidRPr="00365C8B">
        <w:rPr>
          <w:rFonts w:asciiTheme="minorHAnsi" w:hAnsiTheme="minorHAnsi" w:cstheme="minorHAnsi"/>
          <w:sz w:val="22"/>
          <w:szCs w:val="22"/>
        </w:rPr>
        <w:tab/>
        <w:t>Su representante tiene facultades suficien</w:t>
      </w:r>
      <w:r w:rsidRPr="00365C8B">
        <w:rPr>
          <w:rFonts w:asciiTheme="minorHAnsi" w:hAnsiTheme="minorHAnsi" w:cstheme="minorHAnsi"/>
          <w:sz w:val="22"/>
          <w:szCs w:val="22"/>
        </w:rPr>
        <w:t xml:space="preserve">tes para representarla y presentar esta Oferta de </w:t>
      </w:r>
      <w:r w:rsidRPr="00365C8B">
        <w:rPr>
          <w:rFonts w:asciiTheme="minorHAnsi" w:hAnsiTheme="minorHAnsi" w:cstheme="minorHAnsi"/>
          <w:sz w:val="22"/>
          <w:szCs w:val="22"/>
        </w:rPr>
        <w:t>Garantía</w:t>
      </w:r>
      <w:r w:rsidRPr="00365C8B">
        <w:rPr>
          <w:rFonts w:asciiTheme="minorHAnsi" w:hAnsiTheme="minorHAnsi" w:cstheme="minorHAnsi"/>
          <w:sz w:val="22"/>
          <w:szCs w:val="22"/>
        </w:rPr>
        <w:t>, las cuales no le han sido revocadas, modificadas o limitadas en forma alguna.</w:t>
      </w:r>
    </w:p>
    <w:p w14:paraId="39792E48" w14:textId="77777777" w:rsidR="00C54B06" w:rsidRPr="00365C8B" w:rsidRDefault="00C6291C" w:rsidP="007749EC">
      <w:pPr>
        <w:pStyle w:val="Default"/>
        <w:ind w:left="567" w:hanging="567"/>
        <w:jc w:val="both"/>
        <w:rPr>
          <w:rFonts w:asciiTheme="minorHAnsi" w:hAnsiTheme="minorHAnsi" w:cstheme="minorHAnsi"/>
          <w:sz w:val="22"/>
          <w:szCs w:val="22"/>
        </w:rPr>
      </w:pPr>
    </w:p>
    <w:p w14:paraId="78F152E0" w14:textId="77777777" w:rsidR="00C54B06" w:rsidRDefault="00C6291C"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(e)</w:t>
      </w:r>
      <w:r w:rsidRPr="00365C8B">
        <w:rPr>
          <w:rFonts w:asciiTheme="minorHAnsi" w:hAnsiTheme="minorHAnsi" w:cstheme="minorHAnsi"/>
          <w:sz w:val="22"/>
          <w:szCs w:val="22"/>
        </w:rPr>
        <w:tab/>
        <w:t>No se encuentra impedida para contratar con el Estado, de conformidad con las Leyes Aplicables.</w:t>
      </w:r>
    </w:p>
    <w:p w14:paraId="5D054998" w14:textId="77777777" w:rsidR="0065758F" w:rsidRDefault="00C6291C" w:rsidP="007749EC">
      <w:pPr>
        <w:pStyle w:val="Default"/>
        <w:ind w:left="567" w:hanging="567"/>
        <w:jc w:val="both"/>
        <w:rPr>
          <w:rFonts w:asciiTheme="minorHAnsi" w:hAnsiTheme="minorHAnsi" w:cstheme="minorHAnsi"/>
          <w:sz w:val="22"/>
          <w:szCs w:val="22"/>
        </w:rPr>
      </w:pPr>
    </w:p>
    <w:p w14:paraId="2EE52D8D" w14:textId="77777777" w:rsidR="0065758F" w:rsidRPr="00365C8B" w:rsidRDefault="00C6291C" w:rsidP="007749EC">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t>R</w:t>
      </w:r>
      <w:r w:rsidRPr="00252B96">
        <w:rPr>
          <w:rFonts w:asciiTheme="minorHAnsi" w:hAnsiTheme="minorHAnsi" w:cstheme="minorHAnsi"/>
          <w:sz w:val="22"/>
          <w:szCs w:val="22"/>
        </w:rPr>
        <w:t>eitera su compromiso de sujetarse incondicionalmente a las disposiciones</w:t>
      </w:r>
      <w:r>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29115231" w14:textId="77777777" w:rsidR="00A126B3" w:rsidRPr="00365C8B" w:rsidRDefault="00C6291C" w:rsidP="007749EC">
      <w:pPr>
        <w:pStyle w:val="Default"/>
        <w:jc w:val="both"/>
        <w:rPr>
          <w:rFonts w:asciiTheme="minorHAnsi" w:hAnsiTheme="minorHAnsi" w:cstheme="minorHAnsi"/>
          <w:sz w:val="22"/>
          <w:szCs w:val="22"/>
        </w:rPr>
      </w:pPr>
    </w:p>
    <w:p w14:paraId="188ADEB8" w14:textId="77777777" w:rsidR="00A126B3" w:rsidRPr="00365C8B" w:rsidRDefault="00C6291C" w:rsidP="007749EC">
      <w:pPr>
        <w:pStyle w:val="Default"/>
        <w:jc w:val="both"/>
        <w:rPr>
          <w:rFonts w:asciiTheme="minorHAnsi" w:hAnsiTheme="minorHAnsi" w:cstheme="minorHAnsi"/>
          <w:sz w:val="22"/>
          <w:szCs w:val="22"/>
        </w:rPr>
      </w:pPr>
      <w:r w:rsidRPr="00365C8B">
        <w:rPr>
          <w:rFonts w:asciiTheme="minorHAnsi" w:hAnsiTheme="minorHAnsi" w:cstheme="minorHAnsi"/>
          <w:sz w:val="22"/>
          <w:szCs w:val="22"/>
        </w:rPr>
        <w:t xml:space="preserve">A la Oferta de Garantía se adjunta la siguiente documentación: </w:t>
      </w:r>
    </w:p>
    <w:p w14:paraId="228F062C" w14:textId="77777777" w:rsidR="00A126B3" w:rsidRPr="00365C8B" w:rsidRDefault="00C6291C" w:rsidP="007749EC">
      <w:pPr>
        <w:pStyle w:val="Default"/>
        <w:jc w:val="both"/>
        <w:rPr>
          <w:rFonts w:asciiTheme="minorHAnsi" w:hAnsiTheme="minorHAnsi" w:cstheme="minorHAnsi"/>
          <w:sz w:val="22"/>
          <w:szCs w:val="22"/>
        </w:rPr>
      </w:pPr>
    </w:p>
    <w:p w14:paraId="63EC8AD7" w14:textId="77777777" w:rsidR="007749EC" w:rsidRPr="007749EC" w:rsidRDefault="00C6291C" w:rsidP="007749EC">
      <w:pPr>
        <w:numPr>
          <w:ilvl w:val="0"/>
          <w:numId w:val="2"/>
        </w:numPr>
        <w:spacing w:after="0" w:line="240" w:lineRule="auto"/>
        <w:jc w:val="both"/>
        <w:rPr>
          <w:rFonts w:asciiTheme="minorHAnsi" w:hAnsiTheme="minorHAnsi" w:cstheme="minorHAnsi"/>
          <w:color w:val="000000"/>
          <w:sz w:val="22"/>
          <w:szCs w:val="22"/>
        </w:rPr>
      </w:pPr>
      <w:r w:rsidRPr="007749EC">
        <w:rPr>
          <w:rFonts w:asciiTheme="minorHAnsi" w:hAnsiTheme="minorHAnsi" w:cstheme="minorHAnsi"/>
          <w:color w:val="000000"/>
          <w:sz w:val="22"/>
          <w:szCs w:val="22"/>
        </w:rPr>
        <w:t xml:space="preserve">Modelo de Contrato de </w:t>
      </w:r>
      <w:r w:rsidRPr="00365C8B">
        <w:rPr>
          <w:rFonts w:asciiTheme="minorHAnsi" w:hAnsiTheme="minorHAnsi" w:cstheme="minorHAnsi"/>
          <w:color w:val="000000"/>
          <w:sz w:val="22"/>
          <w:szCs w:val="22"/>
        </w:rPr>
        <w:t>Garan</w:t>
      </w:r>
      <w:r w:rsidRPr="00365C8B">
        <w:rPr>
          <w:rFonts w:asciiTheme="minorHAnsi" w:hAnsiTheme="minorHAnsi" w:cstheme="minorHAnsi"/>
          <w:color w:val="000000"/>
          <w:sz w:val="22"/>
          <w:szCs w:val="22"/>
        </w:rPr>
        <w:t>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en su caso, con las modificaciones de forma que el Licitante propone en caso de resultar Licitante Ganador, en el entendido que la Secretaría se reserva el derecho de aceptarlas, en el caso que la presente Oferta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resulte Oferta Ganadora, pa</w:t>
      </w:r>
      <w:r w:rsidRPr="007749EC">
        <w:rPr>
          <w:rFonts w:asciiTheme="minorHAnsi" w:hAnsiTheme="minorHAnsi" w:cstheme="minorHAnsi"/>
          <w:iCs/>
          <w:color w:val="000000"/>
          <w:sz w:val="22"/>
          <w:szCs w:val="22"/>
        </w:rPr>
        <w:t xml:space="preserve">ra la elaboración de la versión de firma y suscripción del Contrato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correspondiente. Si no se presente el Modelo de Contrato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se entenderá que el Licitante acepta el Modelo de Garantía</w:t>
      </w:r>
      <w:r w:rsidRPr="00365C8B">
        <w:rPr>
          <w:rFonts w:asciiTheme="minorHAnsi" w:hAnsiTheme="minorHAnsi" w:cstheme="minorHAnsi"/>
          <w:iCs/>
          <w:color w:val="000000"/>
          <w:sz w:val="22"/>
          <w:szCs w:val="22"/>
        </w:rPr>
        <w:t xml:space="preserve"> </w:t>
      </w:r>
      <w:r w:rsidRPr="007749EC">
        <w:rPr>
          <w:rFonts w:asciiTheme="minorHAnsi" w:hAnsiTheme="minorHAnsi" w:cstheme="minorHAnsi"/>
          <w:iCs/>
          <w:color w:val="000000"/>
          <w:sz w:val="22"/>
          <w:szCs w:val="22"/>
        </w:rPr>
        <w:t xml:space="preserve">en los términos propuestos por el Estado. </w:t>
      </w:r>
    </w:p>
    <w:p w14:paraId="0497578A" w14:textId="77777777" w:rsidR="007749EC" w:rsidRPr="007749EC" w:rsidRDefault="00C6291C" w:rsidP="007749EC">
      <w:pPr>
        <w:spacing w:after="0" w:line="240" w:lineRule="auto"/>
        <w:ind w:left="284"/>
        <w:jc w:val="both"/>
        <w:rPr>
          <w:rFonts w:asciiTheme="minorHAnsi" w:hAnsiTheme="minorHAnsi" w:cstheme="minorHAnsi"/>
          <w:color w:val="000000"/>
          <w:sz w:val="22"/>
          <w:szCs w:val="22"/>
        </w:rPr>
      </w:pPr>
    </w:p>
    <w:p w14:paraId="3D05FF28" w14:textId="77777777" w:rsidR="007749EC" w:rsidRPr="007749EC" w:rsidRDefault="00C6291C" w:rsidP="007749EC">
      <w:pPr>
        <w:numPr>
          <w:ilvl w:val="0"/>
          <w:numId w:val="2"/>
        </w:numPr>
        <w:spacing w:after="0"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C</w:t>
      </w:r>
      <w:r w:rsidRPr="007749EC">
        <w:rPr>
          <w:rFonts w:asciiTheme="minorHAnsi" w:hAnsiTheme="minorHAnsi" w:cstheme="minorHAnsi"/>
          <w:iCs/>
          <w:color w:val="000000"/>
          <w:sz w:val="22"/>
          <w:szCs w:val="22"/>
        </w:rPr>
        <w:t xml:space="preserve">opia simple del poder que acredite las facultades del representante de la institución financiera para suscribir la Oferta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y, en su caso, el Contrato de </w:t>
      </w:r>
      <w:r w:rsidRPr="00365C8B">
        <w:rPr>
          <w:rFonts w:asciiTheme="minorHAnsi" w:hAnsiTheme="minorHAnsi" w:cstheme="minorHAnsi"/>
          <w:color w:val="000000"/>
          <w:sz w:val="22"/>
          <w:szCs w:val="22"/>
        </w:rPr>
        <w:t>Garantía</w:t>
      </w:r>
      <w:r w:rsidRPr="007749EC">
        <w:rPr>
          <w:rFonts w:asciiTheme="minorHAnsi" w:hAnsiTheme="minorHAnsi" w:cstheme="minorHAnsi"/>
          <w:iCs/>
          <w:color w:val="000000"/>
          <w:sz w:val="22"/>
          <w:szCs w:val="22"/>
        </w:rPr>
        <w:t xml:space="preserve">. </w:t>
      </w:r>
    </w:p>
    <w:p w14:paraId="2A1A79F3" w14:textId="77777777" w:rsidR="007749EC" w:rsidRPr="007749EC" w:rsidRDefault="00C6291C" w:rsidP="007749EC">
      <w:pPr>
        <w:spacing w:after="0" w:line="240" w:lineRule="auto"/>
        <w:ind w:left="284"/>
        <w:jc w:val="both"/>
        <w:rPr>
          <w:rFonts w:asciiTheme="minorHAnsi" w:hAnsiTheme="minorHAnsi" w:cstheme="minorHAnsi"/>
          <w:iCs/>
          <w:color w:val="000000"/>
          <w:sz w:val="22"/>
          <w:szCs w:val="22"/>
        </w:rPr>
      </w:pPr>
    </w:p>
    <w:p w14:paraId="54C51FA4" w14:textId="77777777" w:rsidR="007749EC" w:rsidRPr="00F72B03" w:rsidRDefault="00C6291C">
      <w:pPr>
        <w:numPr>
          <w:ilvl w:val="0"/>
          <w:numId w:val="2"/>
        </w:numPr>
        <w:spacing w:after="0" w:line="240" w:lineRule="auto"/>
        <w:jc w:val="both"/>
        <w:rPr>
          <w:rFonts w:asciiTheme="minorHAnsi" w:hAnsiTheme="minorHAnsi" w:cstheme="minorHAnsi"/>
          <w:iCs/>
          <w:color w:val="000000"/>
          <w:sz w:val="22"/>
          <w:szCs w:val="22"/>
        </w:rPr>
      </w:pPr>
      <w:r w:rsidRPr="007749EC">
        <w:rPr>
          <w:rFonts w:asciiTheme="minorHAnsi" w:hAnsiTheme="minorHAnsi" w:cstheme="minorHAnsi"/>
          <w:iCs/>
          <w:color w:val="000000"/>
          <w:sz w:val="22"/>
          <w:szCs w:val="22"/>
        </w:rPr>
        <w:t>Copia simple de los estatutos sociales de la institución de crédito</w:t>
      </w:r>
      <w:r>
        <w:rPr>
          <w:rFonts w:asciiTheme="minorHAnsi" w:hAnsiTheme="minorHAnsi" w:cstheme="minorHAnsi"/>
          <w:iCs/>
          <w:color w:val="000000"/>
          <w:sz w:val="22"/>
          <w:szCs w:val="22"/>
        </w:rPr>
        <w:t xml:space="preserve"> </w:t>
      </w:r>
      <w:r w:rsidRPr="00F72B03">
        <w:rPr>
          <w:rFonts w:asciiTheme="minorHAnsi" w:hAnsiTheme="minorHAnsi" w:cstheme="minorHAnsi"/>
          <w:iCs/>
          <w:color w:val="000000"/>
          <w:sz w:val="22"/>
          <w:szCs w:val="22"/>
        </w:rPr>
        <w:t>o, en su cas</w:t>
      </w:r>
      <w:r w:rsidRPr="00F72B03">
        <w:rPr>
          <w:rFonts w:asciiTheme="minorHAnsi" w:hAnsiTheme="minorHAnsi" w:cstheme="minorHAnsi"/>
          <w:iCs/>
          <w:color w:val="000000"/>
          <w:sz w:val="22"/>
          <w:szCs w:val="22"/>
        </w:rPr>
        <w:t>o, copia simple</w:t>
      </w:r>
      <w:r>
        <w:rPr>
          <w:rFonts w:asciiTheme="minorHAnsi" w:hAnsiTheme="minorHAnsi" w:cstheme="minorHAnsi"/>
          <w:iCs/>
          <w:color w:val="000000"/>
          <w:sz w:val="22"/>
          <w:szCs w:val="22"/>
        </w:rPr>
        <w:t xml:space="preserve"> </w:t>
      </w:r>
      <w:r w:rsidRPr="00F72B03">
        <w:rPr>
          <w:rFonts w:asciiTheme="minorHAnsi" w:hAnsiTheme="minorHAnsi" w:cstheme="minorHAnsi"/>
          <w:iCs/>
          <w:color w:val="000000"/>
          <w:sz w:val="22"/>
          <w:szCs w:val="22"/>
        </w:rPr>
        <w:t>de la Ley Orgánica o la ley de creación, en caso de tratarse de una institución de banca de</w:t>
      </w:r>
      <w:r>
        <w:rPr>
          <w:rFonts w:asciiTheme="minorHAnsi" w:hAnsiTheme="minorHAnsi" w:cstheme="minorHAnsi"/>
          <w:iCs/>
          <w:color w:val="000000"/>
          <w:sz w:val="22"/>
          <w:szCs w:val="22"/>
        </w:rPr>
        <w:t xml:space="preserve"> </w:t>
      </w:r>
      <w:r w:rsidRPr="00F72B03">
        <w:rPr>
          <w:rFonts w:asciiTheme="minorHAnsi" w:hAnsiTheme="minorHAnsi" w:cstheme="minorHAnsi"/>
          <w:iCs/>
          <w:color w:val="000000"/>
          <w:sz w:val="22"/>
          <w:szCs w:val="22"/>
        </w:rPr>
        <w:t>desarrollo</w:t>
      </w:r>
      <w:r>
        <w:rPr>
          <w:rFonts w:asciiTheme="minorHAnsi" w:hAnsiTheme="minorHAnsi" w:cstheme="minorHAnsi"/>
          <w:iCs/>
          <w:color w:val="000000"/>
          <w:sz w:val="22"/>
          <w:szCs w:val="22"/>
        </w:rPr>
        <w:t xml:space="preserve">; </w:t>
      </w:r>
      <w:r w:rsidRPr="00F72B03">
        <w:rPr>
          <w:rFonts w:asciiTheme="minorHAnsi" w:hAnsiTheme="minorHAnsi" w:cstheme="minorHAnsi"/>
          <w:iCs/>
          <w:color w:val="000000"/>
          <w:sz w:val="22"/>
          <w:szCs w:val="22"/>
        </w:rPr>
        <w:t>y</w:t>
      </w:r>
      <w:r w:rsidRPr="00F72B03">
        <w:rPr>
          <w:rFonts w:asciiTheme="minorHAnsi" w:hAnsiTheme="minorHAnsi" w:cstheme="minorHAnsi"/>
          <w:iCs/>
          <w:color w:val="000000"/>
          <w:sz w:val="22"/>
          <w:szCs w:val="22"/>
        </w:rPr>
        <w:t xml:space="preserve"> </w:t>
      </w:r>
    </w:p>
    <w:p w14:paraId="295BB18B" w14:textId="77777777" w:rsidR="007749EC" w:rsidRPr="007749EC" w:rsidRDefault="00C6291C" w:rsidP="007749EC">
      <w:pPr>
        <w:spacing w:after="0" w:line="240" w:lineRule="auto"/>
        <w:ind w:left="284"/>
        <w:jc w:val="both"/>
        <w:rPr>
          <w:rFonts w:asciiTheme="minorHAnsi" w:hAnsiTheme="minorHAnsi" w:cstheme="minorHAnsi"/>
          <w:iCs/>
          <w:color w:val="000000"/>
          <w:sz w:val="22"/>
          <w:szCs w:val="22"/>
        </w:rPr>
      </w:pPr>
    </w:p>
    <w:p w14:paraId="3DB6E89A" w14:textId="77777777" w:rsidR="007749EC" w:rsidRPr="007749EC" w:rsidRDefault="00C6291C" w:rsidP="007749EC">
      <w:pPr>
        <w:numPr>
          <w:ilvl w:val="0"/>
          <w:numId w:val="2"/>
        </w:numPr>
        <w:spacing w:after="0" w:line="240" w:lineRule="auto"/>
        <w:jc w:val="both"/>
        <w:rPr>
          <w:rFonts w:asciiTheme="minorHAnsi" w:hAnsiTheme="minorHAnsi" w:cstheme="minorHAnsi"/>
          <w:iCs/>
          <w:color w:val="000000"/>
          <w:sz w:val="22"/>
          <w:szCs w:val="22"/>
        </w:rPr>
      </w:pPr>
      <w:r w:rsidRPr="007749EC">
        <w:rPr>
          <w:rFonts w:asciiTheme="minorHAnsi" w:hAnsiTheme="minorHAnsi" w:cstheme="minorHAnsi"/>
          <w:iCs/>
          <w:color w:val="000000"/>
          <w:sz w:val="22"/>
          <w:szCs w:val="22"/>
        </w:rPr>
        <w:t>Copia de la identificación oficial vigente del representante que suscribió la Oferta.</w:t>
      </w:r>
    </w:p>
    <w:p w14:paraId="2D06443F" w14:textId="77777777" w:rsidR="007749EC" w:rsidRPr="007749EC" w:rsidRDefault="00C6291C" w:rsidP="007749EC">
      <w:pPr>
        <w:spacing w:after="0" w:line="240" w:lineRule="auto"/>
        <w:ind w:left="284"/>
        <w:jc w:val="both"/>
        <w:rPr>
          <w:rFonts w:asciiTheme="minorHAnsi" w:hAnsiTheme="minorHAnsi" w:cstheme="minorHAnsi"/>
          <w:iCs/>
          <w:color w:val="000000"/>
          <w:sz w:val="22"/>
          <w:szCs w:val="22"/>
        </w:rPr>
      </w:pPr>
    </w:p>
    <w:p w14:paraId="6474F8BB" w14:textId="77777777" w:rsidR="00C54B06" w:rsidRPr="00365C8B" w:rsidRDefault="00C6291C" w:rsidP="007749EC">
      <w:pPr>
        <w:spacing w:after="0" w:line="240" w:lineRule="auto"/>
        <w:ind w:left="284"/>
        <w:jc w:val="both"/>
        <w:rPr>
          <w:rFonts w:asciiTheme="minorHAnsi" w:hAnsiTheme="minorHAnsi" w:cstheme="minorHAnsi"/>
          <w:sz w:val="22"/>
          <w:szCs w:val="22"/>
        </w:rPr>
      </w:pPr>
      <w:r w:rsidRPr="00365C8B">
        <w:rPr>
          <w:rFonts w:asciiTheme="minorHAnsi" w:hAnsiTheme="minorHAnsi" w:cstheme="minorHAnsi"/>
          <w:sz w:val="22"/>
          <w:szCs w:val="22"/>
        </w:rPr>
        <w:t xml:space="preserve">La Institución Financiera señala los </w:t>
      </w:r>
      <w:r w:rsidRPr="00365C8B">
        <w:rPr>
          <w:rFonts w:asciiTheme="minorHAnsi" w:hAnsiTheme="minorHAnsi" w:cstheme="minorHAnsi"/>
          <w:sz w:val="22"/>
          <w:szCs w:val="22"/>
        </w:rPr>
        <w:t>siguientes datos de contacto, para efectos de cualquier notificación en relación con el proceso de la Licitación Pública:</w:t>
      </w:r>
    </w:p>
    <w:p w14:paraId="76770196" w14:textId="77777777" w:rsidR="00C54B06" w:rsidRPr="00365C8B" w:rsidRDefault="00C6291C" w:rsidP="007749EC">
      <w:pPr>
        <w:spacing w:after="0" w:line="240" w:lineRule="auto"/>
        <w:ind w:left="284"/>
        <w:jc w:val="both"/>
        <w:rPr>
          <w:rFonts w:asciiTheme="minorHAnsi" w:hAnsiTheme="minorHAnsi" w:cstheme="minorHAnsi"/>
          <w:sz w:val="22"/>
          <w:szCs w:val="22"/>
        </w:rPr>
      </w:pPr>
    </w:p>
    <w:p w14:paraId="4E84C7A9" w14:textId="77777777" w:rsidR="00C54B06" w:rsidRPr="00365C8B" w:rsidRDefault="00C6291C"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 xml:space="preserve">Atención a: </w:t>
      </w:r>
      <w:r w:rsidRPr="00365C8B">
        <w:rPr>
          <w:rFonts w:asciiTheme="minorHAnsi" w:hAnsiTheme="minorHAnsi" w:cstheme="minorHAnsi"/>
          <w:sz w:val="22"/>
          <w:szCs w:val="22"/>
          <w:lang w:val="es-ES"/>
        </w:rPr>
        <w:tab/>
      </w:r>
      <w:r w:rsidRPr="00365C8B">
        <w:rPr>
          <w:rFonts w:asciiTheme="minorHAnsi" w:hAnsiTheme="minorHAnsi" w:cstheme="minorHAnsi"/>
          <w:sz w:val="22"/>
          <w:szCs w:val="22"/>
          <w:lang w:val="es-ES"/>
        </w:rPr>
        <w:tab/>
        <w:t>[●].</w:t>
      </w:r>
    </w:p>
    <w:p w14:paraId="56EC7516" w14:textId="77777777" w:rsidR="00C54B06" w:rsidRPr="00365C8B" w:rsidRDefault="00C6291C"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Correo electrónico:</w:t>
      </w:r>
      <w:r w:rsidRPr="00365C8B">
        <w:rPr>
          <w:rFonts w:asciiTheme="minorHAnsi" w:hAnsiTheme="minorHAnsi" w:cstheme="minorHAnsi"/>
          <w:sz w:val="22"/>
          <w:szCs w:val="22"/>
          <w:lang w:val="es-ES"/>
        </w:rPr>
        <w:tab/>
        <w:t>[●]</w:t>
      </w:r>
    </w:p>
    <w:p w14:paraId="4854ACE6" w14:textId="77777777" w:rsidR="00C54B06" w:rsidRPr="00365C8B" w:rsidRDefault="00C6291C"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Domicilio:</w:t>
      </w:r>
      <w:r w:rsidRPr="00365C8B">
        <w:rPr>
          <w:rFonts w:asciiTheme="minorHAnsi" w:hAnsiTheme="minorHAnsi" w:cstheme="minorHAnsi"/>
          <w:sz w:val="22"/>
          <w:szCs w:val="22"/>
          <w:lang w:val="es-ES"/>
        </w:rPr>
        <w:tab/>
      </w:r>
      <w:r w:rsidRPr="00365C8B">
        <w:rPr>
          <w:rFonts w:asciiTheme="minorHAnsi" w:hAnsiTheme="minorHAnsi" w:cstheme="minorHAnsi"/>
          <w:sz w:val="22"/>
          <w:szCs w:val="22"/>
          <w:lang w:val="es-ES"/>
        </w:rPr>
        <w:tab/>
        <w:t>[●].</w:t>
      </w:r>
    </w:p>
    <w:p w14:paraId="7379E093" w14:textId="77777777" w:rsidR="00C54B06" w:rsidRPr="00365C8B" w:rsidRDefault="00C6291C" w:rsidP="00C54B06">
      <w:pPr>
        <w:spacing w:after="0" w:line="240" w:lineRule="auto"/>
        <w:ind w:firstLine="284"/>
        <w:rPr>
          <w:rFonts w:asciiTheme="minorHAnsi" w:hAnsiTheme="minorHAnsi" w:cstheme="minorHAnsi"/>
          <w:sz w:val="22"/>
          <w:szCs w:val="22"/>
          <w:lang w:val="pt-BR"/>
        </w:rPr>
      </w:pPr>
      <w:r w:rsidRPr="0065758F">
        <w:rPr>
          <w:rFonts w:asciiTheme="minorHAnsi" w:hAnsiTheme="minorHAnsi" w:cstheme="minorHAnsi"/>
          <w:sz w:val="22"/>
          <w:szCs w:val="22"/>
        </w:rPr>
        <w:t>Tel</w:t>
      </w:r>
      <w:r w:rsidRPr="0065758F">
        <w:rPr>
          <w:rFonts w:asciiTheme="minorHAnsi" w:hAnsiTheme="minorHAnsi" w:cstheme="minorHAnsi"/>
          <w:sz w:val="22"/>
          <w:szCs w:val="22"/>
        </w:rPr>
        <w:t>é</w:t>
      </w:r>
      <w:r w:rsidRPr="0065758F">
        <w:rPr>
          <w:rFonts w:asciiTheme="minorHAnsi" w:hAnsiTheme="minorHAnsi" w:cstheme="minorHAnsi"/>
          <w:sz w:val="22"/>
          <w:szCs w:val="22"/>
        </w:rPr>
        <w:t>fono</w:t>
      </w:r>
      <w:r w:rsidRPr="00365C8B">
        <w:rPr>
          <w:rFonts w:asciiTheme="minorHAnsi" w:hAnsiTheme="minorHAnsi" w:cstheme="minorHAnsi"/>
          <w:sz w:val="22"/>
          <w:szCs w:val="22"/>
          <w:lang w:val="pt-BR"/>
        </w:rPr>
        <w:t xml:space="preserve">: </w:t>
      </w:r>
      <w:r w:rsidRPr="00365C8B">
        <w:rPr>
          <w:rFonts w:asciiTheme="minorHAnsi" w:hAnsiTheme="minorHAnsi" w:cstheme="minorHAnsi"/>
          <w:sz w:val="22"/>
          <w:szCs w:val="22"/>
          <w:lang w:val="pt-BR"/>
        </w:rPr>
        <w:tab/>
      </w:r>
      <w:r w:rsidRPr="00365C8B">
        <w:rPr>
          <w:rFonts w:asciiTheme="minorHAnsi" w:hAnsiTheme="minorHAnsi" w:cstheme="minorHAnsi"/>
          <w:sz w:val="22"/>
          <w:szCs w:val="22"/>
          <w:lang w:val="pt-BR"/>
        </w:rPr>
        <w:tab/>
        <w:t>[●].</w:t>
      </w:r>
    </w:p>
    <w:p w14:paraId="25A94C42" w14:textId="77777777" w:rsidR="0065758F" w:rsidRDefault="00C6291C" w:rsidP="00C54B06">
      <w:pPr>
        <w:spacing w:after="0" w:line="240" w:lineRule="auto"/>
        <w:jc w:val="center"/>
        <w:rPr>
          <w:rFonts w:asciiTheme="minorHAnsi" w:hAnsiTheme="minorHAnsi" w:cstheme="minorHAnsi"/>
          <w:sz w:val="22"/>
          <w:szCs w:val="22"/>
          <w:lang w:val="pt-BR"/>
        </w:rPr>
      </w:pPr>
    </w:p>
    <w:p w14:paraId="6ADF4655" w14:textId="77777777" w:rsidR="00C54B06" w:rsidRPr="00365C8B" w:rsidRDefault="00C6291C" w:rsidP="00C54B06">
      <w:pPr>
        <w:spacing w:after="0" w:line="240" w:lineRule="auto"/>
        <w:jc w:val="center"/>
        <w:rPr>
          <w:rFonts w:asciiTheme="minorHAnsi" w:hAnsiTheme="minorHAnsi" w:cstheme="minorHAnsi"/>
          <w:sz w:val="22"/>
          <w:szCs w:val="22"/>
          <w:lang w:val="pt-BR"/>
        </w:rPr>
      </w:pPr>
      <w:r w:rsidRPr="00365C8B">
        <w:rPr>
          <w:rFonts w:asciiTheme="minorHAnsi" w:hAnsiTheme="minorHAnsi" w:cstheme="minorHAnsi"/>
          <w:sz w:val="22"/>
          <w:szCs w:val="22"/>
          <w:lang w:val="pt-BR"/>
        </w:rPr>
        <w:t>A t e n t a m e n t e,</w:t>
      </w:r>
    </w:p>
    <w:p w14:paraId="129A1A3A" w14:textId="77777777" w:rsidR="00C54B06" w:rsidRPr="00365C8B" w:rsidRDefault="00C6291C"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 xml:space="preserve">Nombre de la </w:t>
      </w:r>
      <w:r w:rsidRPr="00365C8B">
        <w:rPr>
          <w:rFonts w:asciiTheme="minorHAnsi" w:hAnsiTheme="minorHAnsi" w:cstheme="minorHAnsi"/>
          <w:sz w:val="22"/>
          <w:szCs w:val="22"/>
        </w:rPr>
        <w:t>Institución Financiera</w:t>
      </w:r>
    </w:p>
    <w:p w14:paraId="3CECD38D" w14:textId="77777777" w:rsidR="00C54B06" w:rsidRPr="00365C8B" w:rsidRDefault="00C6291C"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____________________________</w:t>
      </w:r>
    </w:p>
    <w:p w14:paraId="647C8FB4" w14:textId="77777777" w:rsidR="00C54B06" w:rsidRPr="00365C8B" w:rsidRDefault="00C6291C"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w:t>
      </w:r>
    </w:p>
    <w:p w14:paraId="19A1D12C" w14:textId="77777777" w:rsidR="00302242" w:rsidRPr="00365C8B" w:rsidRDefault="00C6291C" w:rsidP="00AC4AFD">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Representante legal</w:t>
      </w:r>
      <w:r>
        <w:rPr>
          <w:rStyle w:val="FootnoteReference"/>
          <w:rFonts w:asciiTheme="minorHAnsi" w:hAnsiTheme="minorHAnsi" w:cstheme="minorHAnsi"/>
          <w:sz w:val="22"/>
          <w:szCs w:val="22"/>
        </w:rPr>
        <w:footnoteReference w:id="4"/>
      </w:r>
    </w:p>
    <w:sectPr w:rsidR="00302242" w:rsidRPr="00365C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612BF" w14:textId="77777777" w:rsidR="00C6291C" w:rsidRDefault="00C6291C">
      <w:pPr>
        <w:spacing w:after="0" w:line="240" w:lineRule="auto"/>
      </w:pPr>
      <w:r>
        <w:separator/>
      </w:r>
    </w:p>
  </w:endnote>
  <w:endnote w:type="continuationSeparator" w:id="0">
    <w:p w14:paraId="4F645AB4" w14:textId="77777777" w:rsidR="00C6291C" w:rsidRDefault="00C6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E1A36" w14:textId="77777777" w:rsidR="00C6291C" w:rsidRDefault="00C6291C" w:rsidP="00C54B06">
      <w:pPr>
        <w:spacing w:after="0" w:line="240" w:lineRule="auto"/>
      </w:pPr>
      <w:r>
        <w:separator/>
      </w:r>
    </w:p>
  </w:footnote>
  <w:footnote w:type="continuationSeparator" w:id="0">
    <w:p w14:paraId="59FAA840" w14:textId="77777777" w:rsidR="00C6291C" w:rsidRDefault="00C6291C" w:rsidP="00C54B06">
      <w:pPr>
        <w:spacing w:after="0" w:line="240" w:lineRule="auto"/>
      </w:pPr>
      <w:r>
        <w:continuationSeparator/>
      </w:r>
    </w:p>
  </w:footnote>
  <w:footnote w:id="1">
    <w:p w14:paraId="13627717" w14:textId="77777777" w:rsidR="0050505C" w:rsidRPr="00554F6C" w:rsidRDefault="00C6291C" w:rsidP="009827D6">
      <w:pPr>
        <w:pStyle w:val="FootnoteText"/>
        <w:rPr>
          <w:rFonts w:asciiTheme="minorHAnsi" w:hAnsiTheme="minorHAnsi" w:cstheme="minorHAnsi"/>
          <w:sz w:val="18"/>
          <w:szCs w:val="18"/>
        </w:rPr>
      </w:pPr>
      <w:r w:rsidRPr="00554F6C">
        <w:rPr>
          <w:rStyle w:val="FootnoteReference"/>
          <w:rFonts w:asciiTheme="minorHAnsi" w:hAnsiTheme="minorHAnsi" w:cstheme="minorHAnsi"/>
          <w:sz w:val="18"/>
          <w:szCs w:val="18"/>
        </w:rPr>
        <w:footnoteRef/>
      </w:r>
      <w:r w:rsidRPr="00554F6C">
        <w:rPr>
          <w:rFonts w:asciiTheme="minorHAnsi" w:hAnsiTheme="minorHAnsi" w:cstheme="minorHAnsi"/>
          <w:sz w:val="18"/>
          <w:szCs w:val="18"/>
        </w:rPr>
        <w:t xml:space="preserve"> Se refiere a las calificaciones en escala nacional.</w:t>
      </w:r>
      <w:r w:rsidRPr="00554F6C">
        <w:rPr>
          <w:rFonts w:asciiTheme="minorHAnsi" w:hAnsiTheme="minorHAnsi" w:cs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2">
    <w:p w14:paraId="437F797C" w14:textId="77777777" w:rsidR="0050505C" w:rsidRDefault="00C6291C" w:rsidP="0050505C">
      <w:pPr>
        <w:pStyle w:val="FootnoteText"/>
      </w:pPr>
      <w:r w:rsidRPr="00554F6C">
        <w:rPr>
          <w:rStyle w:val="FootnoteReference"/>
          <w:rFonts w:asciiTheme="minorHAnsi" w:hAnsiTheme="minorHAnsi" w:cstheme="minorHAnsi"/>
          <w:sz w:val="18"/>
          <w:szCs w:val="18"/>
        </w:rPr>
        <w:footnoteRef/>
      </w:r>
      <w:r w:rsidRPr="00554F6C">
        <w:rPr>
          <w:rFonts w:asciiTheme="minorHAnsi" w:hAnsiTheme="minorHAnsi" w:cstheme="minorHAnsi"/>
          <w:sz w:val="18"/>
          <w:szCs w:val="18"/>
        </w:rPr>
        <w:t xml:space="preserve"> Aplicables sobre el Monto Expuesto.</w:t>
      </w:r>
    </w:p>
  </w:footnote>
  <w:footnote w:id="3">
    <w:p w14:paraId="0C645282" w14:textId="77777777" w:rsidR="009827D6" w:rsidRPr="00554F6C" w:rsidRDefault="00C6291C" w:rsidP="00554F6C">
      <w:pPr>
        <w:pStyle w:val="FootnoteText"/>
        <w:jc w:val="both"/>
        <w:rPr>
          <w:rFonts w:asciiTheme="minorHAnsi" w:hAnsiTheme="minorHAnsi"/>
          <w:sz w:val="18"/>
          <w:szCs w:val="18"/>
        </w:rPr>
      </w:pPr>
      <w:r w:rsidRPr="00554F6C">
        <w:rPr>
          <w:rStyle w:val="FootnoteReference"/>
          <w:rFonts w:asciiTheme="minorHAnsi" w:hAnsiTheme="minorHAnsi"/>
          <w:sz w:val="18"/>
          <w:szCs w:val="18"/>
        </w:rPr>
        <w:footnoteRef/>
      </w:r>
      <w:r w:rsidRPr="00554F6C">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4">
    <w:p w14:paraId="7FBDEB23" w14:textId="77777777" w:rsidR="00D7733B" w:rsidRDefault="00C6291C" w:rsidP="00D7733B">
      <w:pPr>
        <w:pStyle w:val="FootnoteText"/>
        <w:jc w:val="both"/>
      </w:pPr>
      <w:r>
        <w:rPr>
          <w:rStyle w:val="FootnoteReference"/>
        </w:rPr>
        <w:footnoteRef/>
      </w:r>
      <w:r>
        <w:t xml:space="preserve"> </w:t>
      </w:r>
      <w:r w:rsidRPr="00F431C5">
        <w:rPr>
          <w:rFonts w:asciiTheme="minorHAnsi" w:hAnsiTheme="minorHAnsi" w:cstheme="minorHAnsi"/>
          <w:sz w:val="18"/>
          <w:szCs w:val="18"/>
        </w:rPr>
        <w:t>Los Licitantes al individuali</w:t>
      </w:r>
      <w:r w:rsidRPr="00F431C5">
        <w:rPr>
          <w:rFonts w:asciiTheme="minorHAnsi" w:hAnsiTheme="minorHAnsi" w:cstheme="minorHAnsi"/>
          <w:sz w:val="18"/>
          <w:szCs w:val="18"/>
        </w:rPr>
        <w:t xml:space="preserve">zar la Oferta de </w:t>
      </w:r>
      <w:r>
        <w:rPr>
          <w:rFonts w:asciiTheme="minorHAnsi" w:hAnsiTheme="minorHAnsi" w:cstheme="minorHAnsi"/>
          <w:sz w:val="18"/>
          <w:szCs w:val="18"/>
        </w:rPr>
        <w:t xml:space="preserve">Garantía </w:t>
      </w:r>
      <w:r w:rsidRPr="00F431C5">
        <w:rPr>
          <w:rFonts w:asciiTheme="minorHAnsi" w:hAnsiTheme="minorHAnsi" w:cstheme="minorHAnsi"/>
          <w:sz w:val="18"/>
          <w:szCs w:val="18"/>
        </w:rPr>
        <w:t xml:space="preserve">pueden incluir la firma de dos representantes, dada su política de mancomunidad de poderes, sin que esto pueda considerarse una modificación indebida del Formato de Oferta de </w:t>
      </w:r>
      <w:r>
        <w:rPr>
          <w:rFonts w:asciiTheme="minorHAnsi" w:hAnsiTheme="minorHAnsi" w:cstheme="minorHAnsi"/>
          <w:sz w:val="18"/>
          <w:szCs w:val="18"/>
        </w:rPr>
        <w:t>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850E" w14:textId="77777777" w:rsidR="00576C68" w:rsidRPr="0016115F" w:rsidRDefault="00C6291C" w:rsidP="00576C68">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sidRPr="00D74871">
      <w:rPr>
        <w:rFonts w:asciiTheme="minorHAnsi" w:hAnsiTheme="minorHAnsi"/>
        <w:b/>
        <w:i/>
        <w:color w:val="404040" w:themeColor="text1" w:themeTint="BF"/>
        <w:sz w:val="18"/>
        <w:szCs w:val="18"/>
      </w:rPr>
      <w:t>LA-OAX-DRF-001-2020</w:t>
    </w:r>
  </w:p>
  <w:p w14:paraId="758809DA" w14:textId="77777777" w:rsidR="00C54B06" w:rsidRDefault="00C6291C" w:rsidP="00C54B0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w:t>
    </w:r>
    <w:r>
      <w:rPr>
        <w:rFonts w:asciiTheme="minorHAnsi" w:hAnsiTheme="minorHAnsi"/>
        <w:b/>
        <w:i/>
        <w:color w:val="404040" w:themeColor="text1" w:themeTint="BF"/>
        <w:sz w:val="18"/>
        <w:szCs w:val="18"/>
      </w:rPr>
      <w:t>Garantía</w:t>
    </w:r>
    <w:r w:rsidRPr="0016115F">
      <w:rPr>
        <w:rFonts w:asciiTheme="minorHAnsi" w:hAnsiTheme="minorHAnsi"/>
        <w:b/>
        <w:i/>
        <w:color w:val="404040" w:themeColor="text1" w:themeTint="BF"/>
        <w:sz w:val="18"/>
        <w:szCs w:val="18"/>
      </w:rPr>
      <w:t xml:space="preserve"> </w:t>
    </w:r>
  </w:p>
  <w:p w14:paraId="7EEEF0FF" w14:textId="77777777" w:rsidR="00C54B06" w:rsidRPr="0016115F" w:rsidRDefault="00C6291C" w:rsidP="00C54B06">
    <w:pPr>
      <w:pStyle w:val="Header"/>
      <w:jc w:val="right"/>
      <w:rPr>
        <w:sz w:val="18"/>
        <w:szCs w:val="18"/>
      </w:rPr>
    </w:pPr>
    <w:r>
      <w:rPr>
        <w:rFonts w:asciiTheme="minorHAnsi" w:hAnsiTheme="minorHAnsi"/>
        <w:b/>
        <w:i/>
        <w:color w:val="404040" w:themeColor="text1" w:themeTint="BF"/>
        <w:sz w:val="18"/>
        <w:szCs w:val="18"/>
      </w:rPr>
      <w:t>V</w:t>
    </w:r>
    <w:r w:rsidRPr="0016115F">
      <w:rPr>
        <w:rFonts w:asciiTheme="minorHAnsi" w:hAnsiTheme="minorHAnsi"/>
        <w:b/>
        <w:i/>
        <w:color w:val="404040" w:themeColor="text1" w:themeTint="BF"/>
        <w:sz w:val="18"/>
        <w:szCs w:val="18"/>
      </w:rPr>
      <w:t>ersión</w:t>
    </w:r>
    <w:r>
      <w:rPr>
        <w:rFonts w:asciiTheme="minorHAnsi" w:hAnsiTheme="minorHAnsi"/>
        <w:b/>
        <w:i/>
        <w:color w:val="404040" w:themeColor="text1" w:themeTint="BF"/>
        <w:sz w:val="18"/>
        <w:szCs w:val="18"/>
      </w:rPr>
      <w:t xml:space="preserve"> Inicial</w:t>
    </w:r>
  </w:p>
  <w:p w14:paraId="2FA060B2" w14:textId="77777777" w:rsidR="00C54B06" w:rsidRPr="0016115F" w:rsidRDefault="00C6291C" w:rsidP="00C54B06">
    <w:pPr>
      <w:pStyle w:val="Header"/>
      <w:jc w:val="center"/>
      <w:rPr>
        <w:rFonts w:asciiTheme="minorHAnsi" w:hAnsiTheme="minorHAnsi"/>
        <w:i/>
        <w:sz w:val="22"/>
        <w:szCs w:val="22"/>
      </w:rPr>
    </w:pPr>
  </w:p>
  <w:p w14:paraId="36AA6275" w14:textId="77777777" w:rsidR="00C54B06" w:rsidRDefault="00C6291C" w:rsidP="00C54B06">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418FFB85" w14:textId="77777777" w:rsidR="00576C68" w:rsidRPr="00C54B06" w:rsidRDefault="00C6291C" w:rsidP="00C54B06">
    <w:pPr>
      <w:pStyle w:val="Header"/>
      <w:jc w:val="center"/>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27206E4C">
      <w:start w:val="1"/>
      <w:numFmt w:val="lowerRoman"/>
      <w:lvlText w:val="(%1)"/>
      <w:lvlJc w:val="left"/>
      <w:pPr>
        <w:ind w:left="720" w:hanging="720"/>
      </w:pPr>
      <w:rPr>
        <w:rFonts w:eastAsia="Times New Roman" w:hint="default"/>
        <w:i w:val="0"/>
        <w:iCs/>
      </w:rPr>
    </w:lvl>
    <w:lvl w:ilvl="1" w:tplc="D1A2D19A" w:tentative="1">
      <w:start w:val="1"/>
      <w:numFmt w:val="lowerLetter"/>
      <w:lvlText w:val="%2."/>
      <w:lvlJc w:val="left"/>
      <w:pPr>
        <w:ind w:left="1080" w:hanging="360"/>
      </w:pPr>
    </w:lvl>
    <w:lvl w:ilvl="2" w:tplc="A6DE4100" w:tentative="1">
      <w:start w:val="1"/>
      <w:numFmt w:val="lowerRoman"/>
      <w:lvlText w:val="%3."/>
      <w:lvlJc w:val="right"/>
      <w:pPr>
        <w:ind w:left="1800" w:hanging="180"/>
      </w:pPr>
    </w:lvl>
    <w:lvl w:ilvl="3" w:tplc="020A7292" w:tentative="1">
      <w:start w:val="1"/>
      <w:numFmt w:val="decimal"/>
      <w:lvlText w:val="%4."/>
      <w:lvlJc w:val="left"/>
      <w:pPr>
        <w:ind w:left="2520" w:hanging="360"/>
      </w:pPr>
    </w:lvl>
    <w:lvl w:ilvl="4" w:tplc="EC16AB14" w:tentative="1">
      <w:start w:val="1"/>
      <w:numFmt w:val="lowerLetter"/>
      <w:lvlText w:val="%5."/>
      <w:lvlJc w:val="left"/>
      <w:pPr>
        <w:ind w:left="3240" w:hanging="360"/>
      </w:pPr>
    </w:lvl>
    <w:lvl w:ilvl="5" w:tplc="C226A5B0" w:tentative="1">
      <w:start w:val="1"/>
      <w:numFmt w:val="lowerRoman"/>
      <w:lvlText w:val="%6."/>
      <w:lvlJc w:val="right"/>
      <w:pPr>
        <w:ind w:left="3960" w:hanging="180"/>
      </w:pPr>
    </w:lvl>
    <w:lvl w:ilvl="6" w:tplc="CC382564" w:tentative="1">
      <w:start w:val="1"/>
      <w:numFmt w:val="decimal"/>
      <w:lvlText w:val="%7."/>
      <w:lvlJc w:val="left"/>
      <w:pPr>
        <w:ind w:left="4680" w:hanging="360"/>
      </w:pPr>
    </w:lvl>
    <w:lvl w:ilvl="7" w:tplc="D77A093C" w:tentative="1">
      <w:start w:val="1"/>
      <w:numFmt w:val="lowerLetter"/>
      <w:lvlText w:val="%8."/>
      <w:lvlJc w:val="left"/>
      <w:pPr>
        <w:ind w:left="5400" w:hanging="360"/>
      </w:pPr>
    </w:lvl>
    <w:lvl w:ilvl="8" w:tplc="A08A4968" w:tentative="1">
      <w:start w:val="1"/>
      <w:numFmt w:val="lowerRoman"/>
      <w:lvlText w:val="%9."/>
      <w:lvlJc w:val="right"/>
      <w:pPr>
        <w:ind w:left="6120" w:hanging="180"/>
      </w:pPr>
    </w:lvl>
  </w:abstractNum>
  <w:abstractNum w:abstractNumId="1" w15:restartNumberingAfterBreak="0">
    <w:nsid w:val="51B42550"/>
    <w:multiLevelType w:val="hybridMultilevel"/>
    <w:tmpl w:val="344E1662"/>
    <w:lvl w:ilvl="0" w:tplc="9B42B7EA">
      <w:start w:val="1"/>
      <w:numFmt w:val="lowerRoman"/>
      <w:lvlText w:val="(%1)"/>
      <w:lvlJc w:val="left"/>
      <w:pPr>
        <w:ind w:left="1080" w:hanging="720"/>
      </w:pPr>
    </w:lvl>
    <w:lvl w:ilvl="1" w:tplc="05BC68EE">
      <w:start w:val="1"/>
      <w:numFmt w:val="lowerLetter"/>
      <w:lvlText w:val="%2."/>
      <w:lvlJc w:val="left"/>
      <w:pPr>
        <w:ind w:left="1440" w:hanging="360"/>
      </w:pPr>
    </w:lvl>
    <w:lvl w:ilvl="2" w:tplc="F0E8B792">
      <w:start w:val="1"/>
      <w:numFmt w:val="lowerRoman"/>
      <w:lvlText w:val="%3."/>
      <w:lvlJc w:val="right"/>
      <w:pPr>
        <w:ind w:left="2160" w:hanging="180"/>
      </w:pPr>
    </w:lvl>
    <w:lvl w:ilvl="3" w:tplc="F6A02128">
      <w:start w:val="1"/>
      <w:numFmt w:val="decimal"/>
      <w:lvlText w:val="%4."/>
      <w:lvlJc w:val="left"/>
      <w:pPr>
        <w:ind w:left="2880" w:hanging="360"/>
      </w:pPr>
    </w:lvl>
    <w:lvl w:ilvl="4" w:tplc="6F720282">
      <w:start w:val="1"/>
      <w:numFmt w:val="lowerLetter"/>
      <w:lvlText w:val="%5."/>
      <w:lvlJc w:val="left"/>
      <w:pPr>
        <w:ind w:left="3600" w:hanging="360"/>
      </w:pPr>
    </w:lvl>
    <w:lvl w:ilvl="5" w:tplc="8176F9A6">
      <w:start w:val="1"/>
      <w:numFmt w:val="lowerRoman"/>
      <w:lvlText w:val="%6."/>
      <w:lvlJc w:val="right"/>
      <w:pPr>
        <w:ind w:left="4320" w:hanging="180"/>
      </w:pPr>
    </w:lvl>
    <w:lvl w:ilvl="6" w:tplc="F4284C48">
      <w:start w:val="1"/>
      <w:numFmt w:val="decimal"/>
      <w:lvlText w:val="%7."/>
      <w:lvlJc w:val="left"/>
      <w:pPr>
        <w:ind w:left="5040" w:hanging="360"/>
      </w:pPr>
    </w:lvl>
    <w:lvl w:ilvl="7" w:tplc="FB766580">
      <w:start w:val="1"/>
      <w:numFmt w:val="lowerLetter"/>
      <w:lvlText w:val="%8."/>
      <w:lvlJc w:val="left"/>
      <w:pPr>
        <w:ind w:left="5760" w:hanging="360"/>
      </w:pPr>
    </w:lvl>
    <w:lvl w:ilvl="8" w:tplc="52F6F9EC">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27"/>
    <w:rsid w:val="002A1527"/>
    <w:rsid w:val="00822084"/>
    <w:rsid w:val="00C62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E249"/>
  <w15:docId w15:val="{6F56718B-BBD5-4569-8F82-5F7D285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B06"/>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espaciado1">
    <w:name w:val="Sin espaciado1"/>
    <w:uiPriority w:val="1"/>
    <w:qFormat/>
    <w:rsid w:val="00C54B06"/>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C54B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54B06"/>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B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C54B06"/>
    <w:rPr>
      <w:rFonts w:ascii="Times New Roman" w:hAnsi="Times New Roman" w:cs="Times New Roman"/>
      <w:sz w:val="24"/>
      <w:szCs w:val="28"/>
    </w:rPr>
  </w:style>
  <w:style w:type="paragraph" w:styleId="Footer">
    <w:name w:val="footer"/>
    <w:basedOn w:val="Normal"/>
    <w:link w:val="FooterChar"/>
    <w:uiPriority w:val="99"/>
    <w:unhideWhenUsed/>
    <w:rsid w:val="00C54B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4B06"/>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C55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B8"/>
    <w:rPr>
      <w:rFonts w:ascii="Segoe UI" w:hAnsi="Segoe UI" w:cs="Segoe UI"/>
      <w:sz w:val="18"/>
      <w:szCs w:val="18"/>
    </w:rPr>
  </w:style>
  <w:style w:type="paragraph" w:styleId="FootnoteText">
    <w:name w:val="footnote text"/>
    <w:basedOn w:val="Normal"/>
    <w:link w:val="FootnoteTextChar"/>
    <w:uiPriority w:val="99"/>
    <w:semiHidden/>
    <w:unhideWhenUsed/>
    <w:rsid w:val="00C55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0B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550B8"/>
    <w:rPr>
      <w:vertAlign w:val="superscript"/>
    </w:rPr>
  </w:style>
  <w:style w:type="character" w:styleId="CommentReference">
    <w:name w:val="annotation reference"/>
    <w:basedOn w:val="DefaultParagraphFont"/>
    <w:uiPriority w:val="99"/>
    <w:semiHidden/>
    <w:unhideWhenUsed/>
    <w:rsid w:val="004F0372"/>
    <w:rPr>
      <w:sz w:val="16"/>
      <w:szCs w:val="16"/>
    </w:rPr>
  </w:style>
  <w:style w:type="paragraph" w:styleId="CommentText">
    <w:name w:val="annotation text"/>
    <w:basedOn w:val="Normal"/>
    <w:link w:val="CommentTextChar"/>
    <w:uiPriority w:val="99"/>
    <w:semiHidden/>
    <w:unhideWhenUsed/>
    <w:rsid w:val="004F0372"/>
    <w:pPr>
      <w:spacing w:line="240" w:lineRule="auto"/>
    </w:pPr>
    <w:rPr>
      <w:sz w:val="20"/>
      <w:szCs w:val="20"/>
    </w:rPr>
  </w:style>
  <w:style w:type="character" w:customStyle="1" w:styleId="CommentTextChar">
    <w:name w:val="Comment Text Char"/>
    <w:basedOn w:val="DefaultParagraphFont"/>
    <w:link w:val="CommentText"/>
    <w:uiPriority w:val="99"/>
    <w:semiHidden/>
    <w:rsid w:val="004F03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0372"/>
    <w:rPr>
      <w:b/>
      <w:bCs/>
    </w:rPr>
  </w:style>
  <w:style w:type="character" w:customStyle="1" w:styleId="CommentSubjectChar">
    <w:name w:val="Comment Subject Char"/>
    <w:basedOn w:val="CommentTextChar"/>
    <w:link w:val="CommentSubject"/>
    <w:uiPriority w:val="99"/>
    <w:semiHidden/>
    <w:rsid w:val="004F037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A70A-3350-4D99-A467-1ADA3D09F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9149</Characters>
  <Application>Microsoft Office Word</Application>
  <DocSecurity>0</DocSecurity>
  <Lines>76</Lines>
  <Paragraphs>21</Paragraphs>
  <ScaleCrop>false</ScaleCrop>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Jorge Coria</cp:lastModifiedBy>
  <cp:revision>2</cp:revision>
  <dcterms:created xsi:type="dcterms:W3CDTF">2020-02-13T01:37:00Z</dcterms:created>
  <dcterms:modified xsi:type="dcterms:W3CDTF">2020-02-13T01:37:00Z</dcterms:modified>
</cp:coreProperties>
</file>