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D37" w:rsidRDefault="00FD2D37" w:rsidP="00FD2D3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Programa </w:t>
      </w:r>
      <w:r>
        <w:rPr>
          <w:rFonts w:ascii="Arial" w:hAnsi="Arial" w:cs="Arial"/>
          <w:b/>
          <w:sz w:val="24"/>
          <w:szCs w:val="24"/>
        </w:rPr>
        <w:t>de Fomento a la Productividad Pesquera y Acuícola</w:t>
      </w:r>
    </w:p>
    <w:p w:rsidR="00FD2D37" w:rsidRDefault="00FD2D37" w:rsidP="00FD2D3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tbl>
      <w:tblPr>
        <w:tblW w:w="9923" w:type="dxa"/>
        <w:tblInd w:w="-459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  <w:insideH w:val="single" w:sz="12" w:space="0" w:color="538135" w:themeColor="accent6" w:themeShade="BF"/>
          <w:insideV w:val="single" w:sz="12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9923"/>
      </w:tblGrid>
      <w:tr w:rsidR="00304A75" w:rsidTr="00016259">
        <w:trPr>
          <w:trHeight w:val="637"/>
        </w:trPr>
        <w:tc>
          <w:tcPr>
            <w:tcW w:w="9923" w:type="dxa"/>
            <w:shd w:val="clear" w:color="auto" w:fill="FFE599" w:themeFill="accent4" w:themeFillTint="66"/>
            <w:vAlign w:val="bottom"/>
            <w:hideMark/>
          </w:tcPr>
          <w:p w:rsidR="00304A75" w:rsidRPr="00304A75" w:rsidRDefault="00304A75" w:rsidP="00D341F5">
            <w:pPr>
              <w:pStyle w:val="Texto"/>
              <w:spacing w:line="237" w:lineRule="exact"/>
              <w:ind w:firstLine="0"/>
              <w:rPr>
                <w:szCs w:val="18"/>
              </w:rPr>
            </w:pPr>
            <w:r>
              <w:rPr>
                <w:b/>
                <w:szCs w:val="18"/>
              </w:rPr>
              <w:t>OBJETIVO GENERAL:</w:t>
            </w:r>
            <w:r>
              <w:rPr>
                <w:szCs w:val="18"/>
              </w:rPr>
              <w:t xml:space="preserve"> </w:t>
            </w:r>
            <w:r w:rsidR="00FD2D37">
              <w:rPr>
                <w:sz w:val="20"/>
              </w:rPr>
              <w:t>Lograr que las Unidades Económicas Pesqueras y Acuícolas incrementen su productividad.</w:t>
            </w:r>
          </w:p>
        </w:tc>
      </w:tr>
    </w:tbl>
    <w:p w:rsidR="00304A75" w:rsidRDefault="00304A75" w:rsidP="00304A75">
      <w:pPr>
        <w:jc w:val="both"/>
        <w:rPr>
          <w:rFonts w:ascii="Arial" w:hAnsi="Arial" w:cs="Arial"/>
          <w:color w:val="2F2F2F"/>
          <w:sz w:val="4"/>
          <w:szCs w:val="18"/>
          <w:lang w:eastAsia="es-MX"/>
        </w:rPr>
      </w:pPr>
    </w:p>
    <w:tbl>
      <w:tblPr>
        <w:tblW w:w="9923" w:type="dxa"/>
        <w:tblInd w:w="-459" w:type="dxa"/>
        <w:tblBorders>
          <w:top w:val="single" w:sz="4" w:space="0" w:color="FFD966" w:themeColor="accent4" w:themeTint="99"/>
          <w:left w:val="single" w:sz="4" w:space="0" w:color="FFD966" w:themeColor="accent4" w:themeTint="99"/>
          <w:bottom w:val="single" w:sz="4" w:space="0" w:color="FFD966" w:themeColor="accent4" w:themeTint="99"/>
          <w:right w:val="single" w:sz="4" w:space="0" w:color="FFD966" w:themeColor="accent4" w:themeTint="99"/>
          <w:insideH w:val="single" w:sz="6" w:space="0" w:color="FFD966" w:themeColor="accent4" w:themeTint="99"/>
          <w:insideV w:val="single" w:sz="6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2703"/>
        <w:gridCol w:w="2244"/>
        <w:gridCol w:w="4976"/>
      </w:tblGrid>
      <w:tr w:rsidR="00FD2D37" w:rsidTr="00A14143">
        <w:tc>
          <w:tcPr>
            <w:tcW w:w="2703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  <w:vAlign w:val="bottom"/>
            <w:hideMark/>
          </w:tcPr>
          <w:p w:rsidR="00FD2D37" w:rsidRPr="00304A75" w:rsidRDefault="00FD2D37">
            <w:pPr>
              <w:spacing w:line="256" w:lineRule="auto"/>
              <w:jc w:val="center"/>
              <w:rPr>
                <w:b/>
                <w:color w:val="000000" w:themeColor="text1"/>
                <w:lang w:val="es-ES"/>
              </w:rPr>
            </w:pPr>
            <w:r w:rsidRPr="00304A75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ES"/>
              </w:rPr>
              <w:t>COBERTURA</w:t>
            </w:r>
          </w:p>
        </w:tc>
        <w:tc>
          <w:tcPr>
            <w:tcW w:w="2244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  <w:vAlign w:val="bottom"/>
            <w:hideMark/>
          </w:tcPr>
          <w:p w:rsidR="00FD2D37" w:rsidRPr="00304A75" w:rsidRDefault="00FD2D37">
            <w:pPr>
              <w:spacing w:line="256" w:lineRule="auto"/>
              <w:jc w:val="center"/>
              <w:rPr>
                <w:b/>
                <w:color w:val="000000" w:themeColor="text1"/>
                <w:lang w:val="es-ES"/>
              </w:rPr>
            </w:pPr>
            <w:r w:rsidRPr="00304A75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ES"/>
              </w:rPr>
              <w:t>SECTOR</w:t>
            </w:r>
          </w:p>
        </w:tc>
        <w:tc>
          <w:tcPr>
            <w:tcW w:w="4976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  <w:vAlign w:val="bottom"/>
            <w:hideMark/>
          </w:tcPr>
          <w:p w:rsidR="00FD2D37" w:rsidRPr="00304A75" w:rsidRDefault="00FD2D37">
            <w:pPr>
              <w:spacing w:line="256" w:lineRule="auto"/>
              <w:jc w:val="center"/>
              <w:rPr>
                <w:b/>
                <w:color w:val="000000" w:themeColor="text1"/>
                <w:lang w:val="es-ES"/>
              </w:rPr>
            </w:pPr>
            <w:r w:rsidRPr="00304A75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ES"/>
              </w:rPr>
              <w:t>REQUIERE APORTACIÓN</w:t>
            </w:r>
          </w:p>
        </w:tc>
      </w:tr>
      <w:tr w:rsidR="00FD2D37" w:rsidTr="00016259">
        <w:tc>
          <w:tcPr>
            <w:tcW w:w="2703" w:type="dxa"/>
            <w:tcBorders>
              <w:top w:val="single" w:sz="12" w:space="0" w:color="538135" w:themeColor="accent6" w:themeShade="BF"/>
            </w:tcBorders>
            <w:vAlign w:val="center"/>
          </w:tcPr>
          <w:p w:rsidR="00FD2D37" w:rsidRDefault="00FD2D3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8"/>
              </w:rPr>
            </w:pPr>
          </w:p>
          <w:p w:rsidR="00FD2D37" w:rsidRDefault="00FD2D3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Nacional</w:t>
            </w:r>
          </w:p>
          <w:p w:rsidR="00FD2D37" w:rsidRDefault="00FD2D3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244" w:type="dxa"/>
            <w:tcBorders>
              <w:top w:val="single" w:sz="12" w:space="0" w:color="538135" w:themeColor="accent6" w:themeShade="BF"/>
            </w:tcBorders>
            <w:vAlign w:val="center"/>
            <w:hideMark/>
          </w:tcPr>
          <w:p w:rsidR="00FD2D37" w:rsidRDefault="00FD2D37">
            <w:pPr>
              <w:pStyle w:val="Texto"/>
              <w:spacing w:after="60"/>
              <w:ind w:firstLine="0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Desarrollo Agropecuario</w:t>
            </w:r>
          </w:p>
        </w:tc>
        <w:tc>
          <w:tcPr>
            <w:tcW w:w="4976" w:type="dxa"/>
            <w:tcBorders>
              <w:top w:val="single" w:sz="12" w:space="0" w:color="538135" w:themeColor="accent6" w:themeShade="BF"/>
            </w:tcBorders>
            <w:hideMark/>
          </w:tcPr>
          <w:p w:rsidR="00FD2D37" w:rsidRDefault="00FD2D37">
            <w:pPr>
              <w:spacing w:line="256" w:lineRule="auto"/>
              <w:jc w:val="center"/>
              <w:rPr>
                <w:sz w:val="16"/>
                <w:lang w:val="es-ES"/>
              </w:rPr>
            </w:pPr>
            <w:r>
              <w:rPr>
                <w:rFonts w:cs="Arial"/>
                <w:sz w:val="20"/>
              </w:rPr>
              <w:t>Estatal, municipal o del beneficiario (según aplique).</w:t>
            </w:r>
          </w:p>
        </w:tc>
      </w:tr>
    </w:tbl>
    <w:p w:rsidR="00304A75" w:rsidRDefault="00304A75" w:rsidP="00304A75">
      <w:pPr>
        <w:jc w:val="both"/>
        <w:rPr>
          <w:rFonts w:ascii="Calibri" w:hAnsi="Calibri" w:cs="Times New Roman"/>
          <w:sz w:val="8"/>
          <w:lang w:val="es-ES"/>
        </w:rPr>
      </w:pPr>
    </w:p>
    <w:tbl>
      <w:tblPr>
        <w:tblW w:w="9923" w:type="dxa"/>
        <w:tblInd w:w="-459" w:type="dxa"/>
        <w:tblBorders>
          <w:top w:val="single" w:sz="4" w:space="0" w:color="FFD966" w:themeColor="accent4" w:themeTint="99"/>
          <w:left w:val="single" w:sz="4" w:space="0" w:color="FFD966" w:themeColor="accent4" w:themeTint="99"/>
          <w:bottom w:val="single" w:sz="4" w:space="0" w:color="FFD966" w:themeColor="accent4" w:themeTint="99"/>
          <w:right w:val="single" w:sz="4" w:space="0" w:color="FFD966" w:themeColor="accent4" w:themeTint="99"/>
          <w:insideH w:val="single" w:sz="6" w:space="0" w:color="FFD966" w:themeColor="accent4" w:themeTint="99"/>
          <w:insideV w:val="single" w:sz="6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4111"/>
        <w:gridCol w:w="3260"/>
        <w:gridCol w:w="2552"/>
      </w:tblGrid>
      <w:tr w:rsidR="00FD2D37" w:rsidTr="00A14143">
        <w:tc>
          <w:tcPr>
            <w:tcW w:w="4111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  <w:vAlign w:val="center"/>
            <w:hideMark/>
          </w:tcPr>
          <w:p w:rsidR="00FD2D37" w:rsidRPr="008A6AA7" w:rsidRDefault="00FD2D37">
            <w:pPr>
              <w:spacing w:line="256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A6AA7">
              <w:rPr>
                <w:rFonts w:ascii="Arial" w:hAnsi="Arial" w:cs="Arial"/>
                <w:b/>
                <w:sz w:val="18"/>
                <w:szCs w:val="18"/>
                <w:lang w:val="es-ES"/>
              </w:rPr>
              <w:t>BENEFICIARIOS</w:t>
            </w:r>
          </w:p>
        </w:tc>
        <w:tc>
          <w:tcPr>
            <w:tcW w:w="3260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  <w:vAlign w:val="center"/>
            <w:hideMark/>
          </w:tcPr>
          <w:p w:rsidR="00FD2D37" w:rsidRPr="008A6AA7" w:rsidRDefault="00FD2D37">
            <w:pPr>
              <w:spacing w:line="256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A6AA7">
              <w:rPr>
                <w:rFonts w:ascii="Arial" w:hAnsi="Arial" w:cs="Arial"/>
                <w:b/>
                <w:sz w:val="18"/>
                <w:szCs w:val="18"/>
                <w:lang w:val="es-ES"/>
              </w:rPr>
              <w:t>CONCEPTO DE APOYO</w:t>
            </w:r>
          </w:p>
        </w:tc>
        <w:tc>
          <w:tcPr>
            <w:tcW w:w="2552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  <w:vAlign w:val="center"/>
            <w:hideMark/>
          </w:tcPr>
          <w:p w:rsidR="00FD2D37" w:rsidRPr="008A6AA7" w:rsidRDefault="00FD2D37">
            <w:pPr>
              <w:spacing w:line="256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8A6AA7">
              <w:rPr>
                <w:rFonts w:ascii="Arial" w:hAnsi="Arial" w:cs="Arial"/>
                <w:b/>
                <w:sz w:val="18"/>
                <w:szCs w:val="18"/>
              </w:rPr>
              <w:t>EJECUTORAS</w:t>
            </w:r>
          </w:p>
        </w:tc>
      </w:tr>
      <w:tr w:rsidR="00FD2D37" w:rsidTr="00A14143">
        <w:trPr>
          <w:trHeight w:val="866"/>
        </w:trPr>
        <w:tc>
          <w:tcPr>
            <w:tcW w:w="4111" w:type="dxa"/>
            <w:tcBorders>
              <w:top w:val="single" w:sz="12" w:space="0" w:color="538135" w:themeColor="accent6" w:themeShade="BF"/>
            </w:tcBorders>
            <w:vAlign w:val="center"/>
            <w:hideMark/>
          </w:tcPr>
          <w:p w:rsidR="00FD2D37" w:rsidRPr="00A14143" w:rsidRDefault="00FD2D37" w:rsidP="00016259">
            <w:pPr>
              <w:pStyle w:val="Texto"/>
              <w:spacing w:after="60"/>
              <w:ind w:firstLine="0"/>
              <w:rPr>
                <w:szCs w:val="18"/>
              </w:rPr>
            </w:pPr>
            <w:r w:rsidRPr="00A14143">
              <w:rPr>
                <w:szCs w:val="18"/>
              </w:rPr>
              <w:t>Unidades Económicas Pesqueras y Acuícolas activas inscritas en el Registro Nacional de Pesca y Acuacultura</w:t>
            </w:r>
          </w:p>
        </w:tc>
        <w:tc>
          <w:tcPr>
            <w:tcW w:w="3260" w:type="dxa"/>
            <w:tcBorders>
              <w:top w:val="single" w:sz="12" w:space="0" w:color="538135" w:themeColor="accent6" w:themeShade="BF"/>
            </w:tcBorders>
            <w:vAlign w:val="center"/>
          </w:tcPr>
          <w:p w:rsidR="00FD2D37" w:rsidRPr="00A14143" w:rsidRDefault="00FD2D37" w:rsidP="00FD2D37">
            <w:pPr>
              <w:pStyle w:val="Texto"/>
              <w:spacing w:line="260" w:lineRule="exact"/>
              <w:ind w:firstLine="0"/>
              <w:rPr>
                <w:szCs w:val="18"/>
                <w:lang w:val="es-MX"/>
              </w:rPr>
            </w:pPr>
            <w:r w:rsidRPr="00A14143">
              <w:rPr>
                <w:szCs w:val="18"/>
              </w:rPr>
              <w:t>Componentes del programa con sus respectivos conceptos</w:t>
            </w:r>
          </w:p>
        </w:tc>
        <w:tc>
          <w:tcPr>
            <w:tcW w:w="2552" w:type="dxa"/>
            <w:tcBorders>
              <w:top w:val="single" w:sz="12" w:space="0" w:color="538135" w:themeColor="accent6" w:themeShade="BF"/>
            </w:tcBorders>
            <w:vAlign w:val="center"/>
            <w:hideMark/>
          </w:tcPr>
          <w:p w:rsidR="00FD2D37" w:rsidRPr="00A14143" w:rsidRDefault="00FD2D37" w:rsidP="00FD2D37">
            <w:pPr>
              <w:pStyle w:val="Texto"/>
              <w:numPr>
                <w:ilvl w:val="0"/>
                <w:numId w:val="8"/>
              </w:numPr>
              <w:spacing w:after="60"/>
              <w:ind w:left="317" w:hanging="241"/>
              <w:jc w:val="center"/>
              <w:rPr>
                <w:szCs w:val="18"/>
              </w:rPr>
            </w:pPr>
            <w:r w:rsidRPr="00A14143">
              <w:rPr>
                <w:szCs w:val="18"/>
              </w:rPr>
              <w:t>CONAPESCA</w:t>
            </w:r>
          </w:p>
          <w:p w:rsidR="00FD2D37" w:rsidRPr="00A14143" w:rsidRDefault="00FD2D37" w:rsidP="00FD2D37">
            <w:pPr>
              <w:pStyle w:val="Texto"/>
              <w:numPr>
                <w:ilvl w:val="0"/>
                <w:numId w:val="8"/>
              </w:numPr>
              <w:spacing w:after="60"/>
              <w:ind w:left="317" w:hanging="241"/>
              <w:jc w:val="center"/>
              <w:rPr>
                <w:szCs w:val="18"/>
              </w:rPr>
            </w:pPr>
            <w:r w:rsidRPr="00A14143">
              <w:rPr>
                <w:szCs w:val="18"/>
              </w:rPr>
              <w:t>PROPESCA</w:t>
            </w:r>
          </w:p>
          <w:p w:rsidR="00FD2D37" w:rsidRPr="00A14143" w:rsidRDefault="00FD2D37" w:rsidP="00A14143">
            <w:pPr>
              <w:pStyle w:val="Texto"/>
              <w:numPr>
                <w:ilvl w:val="0"/>
                <w:numId w:val="8"/>
              </w:numPr>
              <w:spacing w:after="60"/>
              <w:ind w:left="317" w:hanging="241"/>
              <w:jc w:val="center"/>
              <w:rPr>
                <w:szCs w:val="18"/>
              </w:rPr>
            </w:pPr>
            <w:r w:rsidRPr="00A14143">
              <w:rPr>
                <w:szCs w:val="18"/>
              </w:rPr>
              <w:t>INAPESCA</w:t>
            </w:r>
          </w:p>
        </w:tc>
      </w:tr>
    </w:tbl>
    <w:p w:rsidR="00304A75" w:rsidRDefault="00304A75" w:rsidP="00304A75">
      <w:pPr>
        <w:spacing w:line="256" w:lineRule="auto"/>
        <w:ind w:left="360"/>
        <w:jc w:val="both"/>
        <w:rPr>
          <w:rFonts w:ascii="Arial" w:hAnsi="Arial" w:cs="Arial"/>
          <w:b/>
          <w:lang w:val="es-ES"/>
        </w:rPr>
      </w:pPr>
    </w:p>
    <w:tbl>
      <w:tblPr>
        <w:tblW w:w="9923" w:type="dxa"/>
        <w:tblInd w:w="-459" w:type="dxa"/>
        <w:tblBorders>
          <w:top w:val="single" w:sz="4" w:space="0" w:color="FFD966" w:themeColor="accent4" w:themeTint="99"/>
          <w:left w:val="single" w:sz="4" w:space="0" w:color="FFD966" w:themeColor="accent4" w:themeTint="99"/>
          <w:bottom w:val="single" w:sz="4" w:space="0" w:color="FFD966" w:themeColor="accent4" w:themeTint="99"/>
          <w:right w:val="single" w:sz="4" w:space="0" w:color="FFD966" w:themeColor="accent4" w:themeTint="99"/>
          <w:insideH w:val="single" w:sz="6" w:space="0" w:color="FFD966" w:themeColor="accent4" w:themeTint="99"/>
          <w:insideV w:val="single" w:sz="6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9923"/>
      </w:tblGrid>
      <w:tr w:rsidR="00304A75" w:rsidTr="00A14143">
        <w:tc>
          <w:tcPr>
            <w:tcW w:w="9923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  <w:vAlign w:val="bottom"/>
            <w:hideMark/>
          </w:tcPr>
          <w:p w:rsidR="00304A75" w:rsidRPr="00304A75" w:rsidRDefault="00304A75" w:rsidP="008A6AA7">
            <w:pPr>
              <w:spacing w:line="256" w:lineRule="auto"/>
              <w:ind w:left="36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CRITERIOS Y REQUISITOS DE PARTICIPACIÓN.</w:t>
            </w:r>
          </w:p>
        </w:tc>
      </w:tr>
      <w:tr w:rsidR="00304A75" w:rsidTr="00016259">
        <w:tc>
          <w:tcPr>
            <w:tcW w:w="9923" w:type="dxa"/>
            <w:tcBorders>
              <w:top w:val="single" w:sz="12" w:space="0" w:color="538135" w:themeColor="accent6" w:themeShade="BF"/>
            </w:tcBorders>
            <w:vAlign w:val="center"/>
          </w:tcPr>
          <w:p w:rsidR="00304A75" w:rsidRDefault="00304A75" w:rsidP="00641C7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8"/>
              </w:rPr>
            </w:pPr>
          </w:p>
          <w:p w:rsidR="00304A75" w:rsidRDefault="00304A75" w:rsidP="00304A75">
            <w:pPr>
              <w:pStyle w:val="Texto"/>
              <w:ind w:firstLine="0"/>
              <w:rPr>
                <w:szCs w:val="18"/>
              </w:rPr>
            </w:pPr>
            <w:r>
              <w:rPr>
                <w:szCs w:val="18"/>
              </w:rPr>
              <w:t>Para participar en el Programa se deberá cumplir con los criterios y los requisitos asociados que se mencionan a continuación, según el tipo de proyecto:</w:t>
            </w:r>
          </w:p>
          <w:p w:rsidR="00304A75" w:rsidRDefault="00B96961" w:rsidP="00304A75">
            <w:pPr>
              <w:pStyle w:val="Tex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bCs/>
                <w:color w:val="2F2F2F"/>
                <w:szCs w:val="18"/>
                <w:shd w:val="clear" w:color="auto" w:fill="FFFFFF"/>
              </w:rPr>
              <w:t>De los Criterios de elegibilidad y requisitos generales</w:t>
            </w:r>
          </w:p>
          <w:tbl>
            <w:tblPr>
              <w:tblW w:w="9514" w:type="dxa"/>
              <w:tblInd w:w="144" w:type="dxa"/>
              <w:tblBorders>
                <w:top w:val="single" w:sz="4" w:space="0" w:color="FFD966" w:themeColor="accent4" w:themeTint="99"/>
                <w:left w:val="single" w:sz="4" w:space="0" w:color="FFD966" w:themeColor="accent4" w:themeTint="99"/>
                <w:bottom w:val="single" w:sz="4" w:space="0" w:color="FFD966" w:themeColor="accent4" w:themeTint="99"/>
                <w:right w:val="single" w:sz="4" w:space="0" w:color="FFD966" w:themeColor="accent4" w:themeTint="99"/>
                <w:insideH w:val="single" w:sz="6" w:space="0" w:color="FFD966" w:themeColor="accent4" w:themeTint="99"/>
                <w:insideV w:val="single" w:sz="6" w:space="0" w:color="FFD966" w:themeColor="accent4" w:themeTint="99"/>
              </w:tblBorders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2143"/>
              <w:gridCol w:w="7371"/>
            </w:tblGrid>
            <w:tr w:rsidR="008A6AA7" w:rsidRPr="00A14143" w:rsidTr="00A14143">
              <w:trPr>
                <w:trHeight w:val="144"/>
              </w:trPr>
              <w:tc>
                <w:tcPr>
                  <w:tcW w:w="2143" w:type="dxa"/>
                  <w:tcBorders>
                    <w:top w:val="single" w:sz="12" w:space="0" w:color="538135" w:themeColor="accent6" w:themeShade="BF"/>
                    <w:left w:val="single" w:sz="12" w:space="0" w:color="538135" w:themeColor="accent6" w:themeShade="BF"/>
                    <w:bottom w:val="single" w:sz="12" w:space="0" w:color="538135" w:themeColor="accent6" w:themeShade="BF"/>
                    <w:right w:val="single" w:sz="12" w:space="0" w:color="538135" w:themeColor="accent6" w:themeShade="BF"/>
                  </w:tcBorders>
                  <w:shd w:val="clear" w:color="auto" w:fill="FFE599" w:themeFill="accent4" w:themeFillTint="66"/>
                  <w:noWrap/>
                  <w:hideMark/>
                </w:tcPr>
                <w:p w:rsidR="00304A75" w:rsidRPr="00A14143" w:rsidRDefault="00304A75" w:rsidP="002E593D">
                  <w:pPr>
                    <w:pStyle w:val="Texto"/>
                    <w:spacing w:after="80"/>
                    <w:ind w:firstLine="0"/>
                    <w:jc w:val="center"/>
                    <w:rPr>
                      <w:b/>
                      <w:sz w:val="16"/>
                      <w:szCs w:val="16"/>
                      <w:lang w:val="es-ES_tradnl"/>
                    </w:rPr>
                  </w:pPr>
                  <w:r w:rsidRPr="00A14143">
                    <w:rPr>
                      <w:b/>
                      <w:sz w:val="16"/>
                      <w:szCs w:val="16"/>
                      <w:lang w:val="es-ES_tradnl"/>
                    </w:rPr>
                    <w:t>Criterios</w:t>
                  </w:r>
                </w:p>
              </w:tc>
              <w:tc>
                <w:tcPr>
                  <w:tcW w:w="7371" w:type="dxa"/>
                  <w:tcBorders>
                    <w:top w:val="single" w:sz="12" w:space="0" w:color="538135" w:themeColor="accent6" w:themeShade="BF"/>
                    <w:left w:val="single" w:sz="12" w:space="0" w:color="538135" w:themeColor="accent6" w:themeShade="BF"/>
                    <w:bottom w:val="single" w:sz="12" w:space="0" w:color="538135" w:themeColor="accent6" w:themeShade="BF"/>
                    <w:right w:val="single" w:sz="12" w:space="0" w:color="538135" w:themeColor="accent6" w:themeShade="BF"/>
                  </w:tcBorders>
                  <w:shd w:val="clear" w:color="auto" w:fill="FFE599" w:themeFill="accent4" w:themeFillTint="66"/>
                  <w:hideMark/>
                </w:tcPr>
                <w:p w:rsidR="00304A75" w:rsidRPr="00A14143" w:rsidRDefault="00304A75" w:rsidP="002E593D">
                  <w:pPr>
                    <w:pStyle w:val="Texto"/>
                    <w:spacing w:after="80"/>
                    <w:ind w:firstLine="0"/>
                    <w:jc w:val="center"/>
                    <w:rPr>
                      <w:b/>
                      <w:sz w:val="16"/>
                      <w:szCs w:val="16"/>
                      <w:lang w:val="es-ES_tradnl"/>
                    </w:rPr>
                  </w:pPr>
                  <w:r w:rsidRPr="00A14143">
                    <w:rPr>
                      <w:b/>
                      <w:sz w:val="16"/>
                      <w:szCs w:val="16"/>
                      <w:lang w:val="es-ES_tradnl"/>
                    </w:rPr>
                    <w:t>Requisitos (documentación)</w:t>
                  </w:r>
                </w:p>
              </w:tc>
            </w:tr>
            <w:tr w:rsidR="00304A75" w:rsidRPr="00A14143" w:rsidTr="00A14143">
              <w:trPr>
                <w:trHeight w:val="144"/>
              </w:trPr>
              <w:tc>
                <w:tcPr>
                  <w:tcW w:w="2143" w:type="dxa"/>
                  <w:tcBorders>
                    <w:top w:val="single" w:sz="12" w:space="0" w:color="538135" w:themeColor="accent6" w:themeShade="BF"/>
                  </w:tcBorders>
                  <w:vAlign w:val="center"/>
                  <w:hideMark/>
                </w:tcPr>
                <w:p w:rsidR="00304A75" w:rsidRPr="00A14143" w:rsidRDefault="000F3C3C" w:rsidP="002E593D">
                  <w:pPr>
                    <w:pStyle w:val="Texto"/>
                    <w:spacing w:after="80"/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A14143">
                    <w:rPr>
                      <w:b/>
                      <w:bCs/>
                      <w:color w:val="2F2F2F"/>
                      <w:sz w:val="16"/>
                      <w:szCs w:val="16"/>
                      <w:shd w:val="clear" w:color="auto" w:fill="FFFFFF"/>
                    </w:rPr>
                    <w:t>I.</w:t>
                  </w:r>
                  <w:r w:rsidRPr="00A14143">
                    <w:rPr>
                      <w:rStyle w:val="apple-converted-space"/>
                      <w:b/>
                      <w:bCs/>
                      <w:color w:val="2F2F2F"/>
                      <w:sz w:val="16"/>
                      <w:szCs w:val="16"/>
                      <w:shd w:val="clear" w:color="auto" w:fill="FFFFFF"/>
                    </w:rPr>
                    <w:t> </w:t>
                  </w:r>
                  <w:r w:rsidRPr="00A14143">
                    <w:rPr>
                      <w:b/>
                      <w:bCs/>
                      <w:color w:val="2F2F2F"/>
                      <w:sz w:val="16"/>
                      <w:szCs w:val="16"/>
                      <w:shd w:val="clear" w:color="auto" w:fill="FFFFFF"/>
                    </w:rPr>
                    <w:t>Personas físicas mayores de edad;</w:t>
                  </w:r>
                </w:p>
              </w:tc>
              <w:tc>
                <w:tcPr>
                  <w:tcW w:w="7371" w:type="dxa"/>
                  <w:tcBorders>
                    <w:top w:val="single" w:sz="12" w:space="0" w:color="538135" w:themeColor="accent6" w:themeShade="BF"/>
                  </w:tcBorders>
                  <w:hideMark/>
                </w:tcPr>
                <w:p w:rsidR="000F3C3C" w:rsidRPr="00A14143" w:rsidRDefault="000F3C3C" w:rsidP="00086B6B">
                  <w:pPr>
                    <w:shd w:val="clear" w:color="auto" w:fill="FFFFFF"/>
                    <w:spacing w:after="0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sz w:val="16"/>
                      <w:szCs w:val="16"/>
                      <w:lang w:val="es-ES_tradnl"/>
                    </w:rPr>
                    <w:t xml:space="preserve"> </w:t>
                  </w: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a)     Identificación oficial vigente (Credencial para Votar, Pasaporte, Cartilla del Servicio Militar Nacional o Cédula Profesional);</w:t>
                  </w:r>
                </w:p>
                <w:p w:rsidR="000F3C3C" w:rsidRPr="00A14143" w:rsidRDefault="000F3C3C" w:rsidP="00086B6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b)     CURP; en los casos en que presenten identificación oficial y la misma contenga la CURP, no será necesario presentar ésta;</w:t>
                  </w:r>
                </w:p>
                <w:p w:rsidR="000F3C3C" w:rsidRPr="00A14143" w:rsidRDefault="000F3C3C" w:rsidP="00086B6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c)     RFC, en su caso;</w:t>
                  </w:r>
                </w:p>
                <w:p w:rsidR="00304A75" w:rsidRPr="00A14143" w:rsidRDefault="000F3C3C" w:rsidP="00086B6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d)     Comprobante de domicilio del solicitante (Luz, teléfono, predial, agua, constancia de residencia expedida por el ayuntamiento), con una vigencia no mayor a tres meses anteriores a la fecha de solicitud.</w:t>
                  </w:r>
                </w:p>
              </w:tc>
            </w:tr>
            <w:tr w:rsidR="00304A75" w:rsidRPr="00A14143" w:rsidTr="00A14143">
              <w:trPr>
                <w:trHeight w:val="144"/>
              </w:trPr>
              <w:tc>
                <w:tcPr>
                  <w:tcW w:w="2143" w:type="dxa"/>
                  <w:vAlign w:val="center"/>
                  <w:hideMark/>
                </w:tcPr>
                <w:p w:rsidR="00304A75" w:rsidRPr="00A14143" w:rsidRDefault="000F3C3C" w:rsidP="00016259">
                  <w:pPr>
                    <w:pStyle w:val="Texto"/>
                    <w:spacing w:after="80"/>
                    <w:ind w:firstLine="0"/>
                    <w:rPr>
                      <w:i/>
                      <w:sz w:val="16"/>
                      <w:szCs w:val="16"/>
                    </w:rPr>
                  </w:pPr>
                  <w:r w:rsidRPr="00A14143">
                    <w:rPr>
                      <w:i/>
                      <w:color w:val="2F2F2F"/>
                      <w:sz w:val="16"/>
                      <w:szCs w:val="16"/>
                      <w:shd w:val="clear" w:color="auto" w:fill="FFFFFF"/>
                    </w:rPr>
                    <w:t>Para los componentes del Programa de Fomento a la Agricultura, los apoderados de personas físicas sólo</w:t>
                  </w:r>
                  <w:r w:rsidRPr="00A14143">
                    <w:rPr>
                      <w:rStyle w:val="apple-converted-space"/>
                      <w:i/>
                      <w:color w:val="2F2F2F"/>
                      <w:sz w:val="16"/>
                      <w:szCs w:val="16"/>
                      <w:shd w:val="clear" w:color="auto" w:fill="FFFFFF"/>
                    </w:rPr>
                    <w:t> </w:t>
                  </w:r>
                  <w:r w:rsidRPr="00A14143">
                    <w:rPr>
                      <w:i/>
                      <w:color w:val="2F2F2F"/>
                      <w:sz w:val="16"/>
                      <w:szCs w:val="16"/>
                      <w:shd w:val="clear" w:color="auto" w:fill="FFFFFF"/>
                    </w:rPr>
                    <w:t>podrán registrar hasta 5 solicitudes como máximo en este ejercicio 2016.</w:t>
                  </w:r>
                </w:p>
              </w:tc>
              <w:tc>
                <w:tcPr>
                  <w:tcW w:w="7371" w:type="dxa"/>
                  <w:hideMark/>
                </w:tcPr>
                <w:p w:rsidR="000F3C3C" w:rsidRPr="00A14143" w:rsidRDefault="000F3C3C" w:rsidP="00A1414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a)    Poder o carta poder firmados por el otorgante y ratificada ante Fedatario Público, para gestionar los incentivos. Varias personas físicas pueden designar, en un mismo instrumento, un representante común. La designación de un representante o apoderado legal, no presumirá que éste adquiere la calidad de participante así como los derechos y obligaciones que le correspondan a su(s) representado(s), por tanto, tampoco se presumirá la existencia de una asociación ni copropiedad sobre derechos empresariales entre el solicitante y el representante o apoderado legal, salvo que se compruebe con el documento respectivo lo contrario.</w:t>
                  </w:r>
                </w:p>
                <w:p w:rsidR="000F3C3C" w:rsidRPr="00A14143" w:rsidRDefault="000F3C3C" w:rsidP="00A14143">
                  <w:pPr>
                    <w:shd w:val="clear" w:color="auto" w:fill="FFFFFF"/>
                    <w:spacing w:after="0" w:line="240" w:lineRule="auto"/>
                    <w:ind w:hanging="432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b)    Identificación oficial vigente (Credencial para Votar, Pasaporte, Cartilla del Servicio Militar Nacional o Cédula Profesional);</w:t>
                  </w:r>
                </w:p>
                <w:p w:rsidR="000F3C3C" w:rsidRPr="00A14143" w:rsidRDefault="000F3C3C" w:rsidP="00A14143">
                  <w:pPr>
                    <w:shd w:val="clear" w:color="auto" w:fill="FFFFFF"/>
                    <w:spacing w:after="0" w:line="240" w:lineRule="auto"/>
                    <w:ind w:hanging="432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 </w:t>
                  </w:r>
                </w:p>
                <w:p w:rsidR="000F3C3C" w:rsidRPr="00A14143" w:rsidRDefault="000F3C3C" w:rsidP="00A14143">
                  <w:pPr>
                    <w:shd w:val="clear" w:color="auto" w:fill="FFFFFF"/>
                    <w:spacing w:after="0" w:line="240" w:lineRule="auto"/>
                    <w:ind w:hanging="432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c)     CURP, y</w:t>
                  </w:r>
                </w:p>
                <w:p w:rsidR="00304A75" w:rsidRPr="00A14143" w:rsidRDefault="000F3C3C" w:rsidP="00A14143">
                  <w:pPr>
                    <w:shd w:val="clear" w:color="auto" w:fill="FFFFFF"/>
                    <w:spacing w:after="0" w:line="240" w:lineRule="auto"/>
                    <w:ind w:hanging="432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d)    Comprobante de domicilio (Luz, teléfono, predial, agua), con una vigencia no mayor a tres meses anteriores a la fecha de solicitud.</w:t>
                  </w:r>
                </w:p>
              </w:tc>
            </w:tr>
            <w:tr w:rsidR="00304A75" w:rsidRPr="00A14143" w:rsidTr="00A14143">
              <w:trPr>
                <w:trHeight w:val="144"/>
              </w:trPr>
              <w:tc>
                <w:tcPr>
                  <w:tcW w:w="2143" w:type="dxa"/>
                  <w:vAlign w:val="center"/>
                </w:tcPr>
                <w:p w:rsidR="00304A75" w:rsidRPr="00A14143" w:rsidRDefault="000F3C3C" w:rsidP="002E593D">
                  <w:pPr>
                    <w:pStyle w:val="Texto"/>
                    <w:spacing w:after="80"/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A14143">
                    <w:rPr>
                      <w:b/>
                      <w:bCs/>
                      <w:color w:val="2F2F2F"/>
                      <w:sz w:val="16"/>
                      <w:szCs w:val="16"/>
                      <w:shd w:val="clear" w:color="auto" w:fill="FFFFFF"/>
                    </w:rPr>
                    <w:t>II. Personas morales</w:t>
                  </w:r>
                  <w:r w:rsidRPr="00A14143">
                    <w:rPr>
                      <w:color w:val="2F2F2F"/>
                      <w:sz w:val="16"/>
                      <w:szCs w:val="16"/>
                      <w:shd w:val="clear" w:color="auto" w:fill="FFFFFF"/>
                    </w:rPr>
                    <w:t>:</w:t>
                  </w:r>
                </w:p>
              </w:tc>
              <w:tc>
                <w:tcPr>
                  <w:tcW w:w="7371" w:type="dxa"/>
                  <w:hideMark/>
                </w:tcPr>
                <w:p w:rsidR="000F3C3C" w:rsidRPr="00A14143" w:rsidRDefault="000F3C3C" w:rsidP="00086B6B">
                  <w:pPr>
                    <w:shd w:val="clear" w:color="auto" w:fill="FFFFFF"/>
                    <w:spacing w:after="68" w:line="240" w:lineRule="auto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a)    Acta constitutiva y, de las modificaciones a ésta y/o a sus estatutos, que en su caso haya tenido a la fecha de la solicitud, debidamente protocolizada ante Fedatario Público;</w:t>
                  </w:r>
                </w:p>
                <w:p w:rsidR="000F3C3C" w:rsidRPr="00A14143" w:rsidRDefault="000F3C3C" w:rsidP="00086B6B">
                  <w:pPr>
                    <w:shd w:val="clear" w:color="auto" w:fill="FFFFFF"/>
                    <w:spacing w:after="68" w:line="240" w:lineRule="auto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b)    Acta de asamblea en la que conste la designación de su representante legal o el poder que otorga las facultades suficientes para realizar actos de administración o de dominio, debidamente protocolizado ante fedatario público;</w:t>
                  </w:r>
                </w:p>
                <w:p w:rsidR="000F3C3C" w:rsidRPr="00A14143" w:rsidRDefault="000F3C3C" w:rsidP="00086B6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c)     Comprobante de domicilio fiscal (Luz, teléfono, predial, agua, constancia de residencia expedida por el ayuntamiento), con una vigencia no mayor a tres meses anteriores a la fecha de solicitud;</w:t>
                  </w:r>
                </w:p>
                <w:p w:rsidR="000F3C3C" w:rsidRPr="00A14143" w:rsidRDefault="000F3C3C" w:rsidP="00086B6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       Dicha vigencia será de hasta seis meses en el Programa de Comercialización y Desarrollo de Mercados.</w:t>
                  </w:r>
                </w:p>
                <w:p w:rsidR="000F3C3C" w:rsidRPr="00A14143" w:rsidRDefault="000F3C3C" w:rsidP="00086B6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d)    RFC;</w:t>
                  </w:r>
                </w:p>
                <w:p w:rsidR="000F3C3C" w:rsidRPr="00A14143" w:rsidRDefault="000F3C3C" w:rsidP="00086B6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e)    Identificación oficial del representante legal vigente (Credencial para Votar, Pasaporte, Cartilla del Servicio Militar Nacional o Cédula Profesional);</w:t>
                  </w:r>
                </w:p>
                <w:p w:rsidR="000F3C3C" w:rsidRPr="00A14143" w:rsidRDefault="000F3C3C" w:rsidP="00086B6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f)     CURP del representante legal;</w:t>
                  </w:r>
                </w:p>
                <w:p w:rsidR="000F3C3C" w:rsidRPr="00A14143" w:rsidRDefault="000F3C3C" w:rsidP="00086B6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lastRenderedPageBreak/>
                    <w:t>g)    Acreditar, en su caso, la legal posesión del predio mediante documento jurídico que corresponda, con las formalidades que exija el marco legal aplicable en la materia, y</w:t>
                  </w:r>
                </w:p>
                <w:p w:rsidR="00304A75" w:rsidRPr="00A14143" w:rsidRDefault="000F3C3C" w:rsidP="00086B6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h)    Listado de productores integrantes de la persona moral solicitante. (Anexo V)</w:t>
                  </w:r>
                </w:p>
              </w:tc>
            </w:tr>
            <w:tr w:rsidR="00304A75" w:rsidRPr="00A14143" w:rsidTr="00A14143">
              <w:trPr>
                <w:trHeight w:val="144"/>
              </w:trPr>
              <w:tc>
                <w:tcPr>
                  <w:tcW w:w="2143" w:type="dxa"/>
                  <w:vAlign w:val="center"/>
                  <w:hideMark/>
                </w:tcPr>
                <w:p w:rsidR="00304A75" w:rsidRPr="00A14143" w:rsidRDefault="000F3C3C" w:rsidP="002E593D">
                  <w:pPr>
                    <w:pStyle w:val="Texto"/>
                    <w:spacing w:after="80"/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A14143">
                    <w:rPr>
                      <w:b/>
                      <w:bCs/>
                      <w:color w:val="2F2F2F"/>
                      <w:sz w:val="16"/>
                      <w:szCs w:val="16"/>
                      <w:shd w:val="clear" w:color="auto" w:fill="FFFFFF"/>
                    </w:rPr>
                    <w:lastRenderedPageBreak/>
                    <w:t>III. Grupos de Personas:</w:t>
                  </w:r>
                </w:p>
              </w:tc>
              <w:tc>
                <w:tcPr>
                  <w:tcW w:w="7371" w:type="dxa"/>
                  <w:hideMark/>
                </w:tcPr>
                <w:p w:rsidR="000F3C3C" w:rsidRPr="00A14143" w:rsidRDefault="000F3C3C" w:rsidP="00A14143">
                  <w:pPr>
                    <w:shd w:val="clear" w:color="auto" w:fill="FFFFFF"/>
                    <w:spacing w:after="0" w:line="240" w:lineRule="auto"/>
                    <w:ind w:firstLine="288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a) Acta de asamblea constitutiva y de designación de representantes, con la lista de asistencia y firmas correspondientes, certificada por la autoridad municipal;</w:t>
                  </w:r>
                </w:p>
                <w:p w:rsidR="000F3C3C" w:rsidRPr="00A14143" w:rsidRDefault="000F3C3C" w:rsidP="00A14143">
                  <w:pPr>
                    <w:shd w:val="clear" w:color="auto" w:fill="FFFFFF"/>
                    <w:spacing w:after="0" w:line="240" w:lineRule="auto"/>
                    <w:ind w:firstLine="288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b) Identificación oficial del representante vigente (Credencial para Votar, Pasaporte, Cartilla del Servicio Militar Nacional o Cédula Profesional);</w:t>
                  </w:r>
                </w:p>
                <w:p w:rsidR="000F3C3C" w:rsidRPr="00A14143" w:rsidRDefault="000F3C3C" w:rsidP="00A14143">
                  <w:pPr>
                    <w:shd w:val="clear" w:color="auto" w:fill="FFFFFF"/>
                    <w:spacing w:after="0" w:line="240" w:lineRule="auto"/>
                    <w:ind w:firstLine="288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c) CURP del representante, y</w:t>
                  </w:r>
                </w:p>
                <w:p w:rsidR="00304A75" w:rsidRPr="00A14143" w:rsidRDefault="000F3C3C" w:rsidP="00A14143">
                  <w:pPr>
                    <w:shd w:val="clear" w:color="auto" w:fill="FFFFFF"/>
                    <w:spacing w:after="0" w:line="240" w:lineRule="auto"/>
                    <w:ind w:firstLine="288"/>
                    <w:jc w:val="both"/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</w:pPr>
                  <w:r w:rsidRPr="00A14143">
                    <w:rPr>
                      <w:rFonts w:ascii="Arial" w:eastAsia="Times New Roman" w:hAnsi="Arial" w:cs="Arial"/>
                      <w:color w:val="2F2F2F"/>
                      <w:sz w:val="16"/>
                      <w:szCs w:val="16"/>
                      <w:lang w:eastAsia="es-MX"/>
                    </w:rPr>
                    <w:t>d) Documento escrito con los datos de cada integrante del grupo.</w:t>
                  </w:r>
                </w:p>
              </w:tc>
            </w:tr>
          </w:tbl>
          <w:p w:rsidR="00304A75" w:rsidRDefault="00304A75" w:rsidP="00304A75">
            <w:pPr>
              <w:pStyle w:val="Texto"/>
              <w:ind w:firstLine="0"/>
              <w:jc w:val="center"/>
              <w:rPr>
                <w:sz w:val="20"/>
                <w:lang w:val="es-MX"/>
              </w:rPr>
            </w:pPr>
          </w:p>
          <w:tbl>
            <w:tblPr>
              <w:tblW w:w="0" w:type="auto"/>
              <w:tblBorders>
                <w:top w:val="single" w:sz="12" w:space="0" w:color="FFD966" w:themeColor="accent4" w:themeTint="99"/>
                <w:left w:val="single" w:sz="12" w:space="0" w:color="FFD966" w:themeColor="accent4" w:themeTint="99"/>
                <w:bottom w:val="single" w:sz="12" w:space="0" w:color="FFD966" w:themeColor="accent4" w:themeTint="99"/>
                <w:right w:val="single" w:sz="12" w:space="0" w:color="FFD966" w:themeColor="accent4" w:themeTint="99"/>
                <w:insideH w:val="single" w:sz="12" w:space="0" w:color="FFD966" w:themeColor="accent4" w:themeTint="99"/>
                <w:insideV w:val="single" w:sz="12" w:space="0" w:color="FFD966" w:themeColor="accent4" w:themeTint="99"/>
              </w:tblBorders>
              <w:tblLook w:val="04A0" w:firstRow="1" w:lastRow="0" w:firstColumn="1" w:lastColumn="0" w:noHBand="0" w:noVBand="1"/>
            </w:tblPr>
            <w:tblGrid>
              <w:gridCol w:w="9677"/>
            </w:tblGrid>
            <w:tr w:rsidR="00FD2D37" w:rsidRPr="00B5344E" w:rsidTr="00A14143">
              <w:tc>
                <w:tcPr>
                  <w:tcW w:w="9677" w:type="dxa"/>
                </w:tcPr>
                <w:p w:rsidR="00FD2D37" w:rsidRPr="00B5344E" w:rsidRDefault="00FD2D37" w:rsidP="00B5344E">
                  <w:pPr>
                    <w:pStyle w:val="ROMANOS"/>
                    <w:shd w:val="clear" w:color="auto" w:fill="D9D9D9"/>
                    <w:tabs>
                      <w:tab w:val="left" w:pos="0"/>
                    </w:tabs>
                    <w:spacing w:after="0" w:line="240" w:lineRule="auto"/>
                    <w:ind w:left="0" w:firstLine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B5344E">
                    <w:rPr>
                      <w:b/>
                      <w:sz w:val="16"/>
                      <w:szCs w:val="16"/>
                    </w:rPr>
                    <w:t>Componente de Impulso a la Capitalización</w:t>
                  </w:r>
                </w:p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sz w:val="16"/>
                      <w:szCs w:val="16"/>
                    </w:rPr>
                  </w:pPr>
                  <w:r w:rsidRPr="00B5344E">
                    <w:rPr>
                      <w:sz w:val="16"/>
                      <w:szCs w:val="16"/>
                    </w:rPr>
                    <w:t>Su objetivo es apoyar a las Unidades Económicas, Pesqueras y Acuícolas para incrementar su capitalización.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164"/>
                    <w:gridCol w:w="4127"/>
                    <w:gridCol w:w="3140"/>
                  </w:tblGrid>
                  <w:tr w:rsidR="00FD2D37" w:rsidRPr="00B5344E" w:rsidTr="00A14143">
                    <w:tc>
                      <w:tcPr>
                        <w:tcW w:w="2164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Conceptos</w:t>
                        </w:r>
                      </w:p>
                    </w:tc>
                    <w:tc>
                      <w:tcPr>
                        <w:tcW w:w="4127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Monto</w:t>
                        </w:r>
                      </w:p>
                    </w:tc>
                    <w:tc>
                      <w:tcPr>
                        <w:tcW w:w="3140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Requisitos</w:t>
                        </w:r>
                      </w:p>
                    </w:tc>
                  </w:tr>
                  <w:tr w:rsidR="00FD2D37" w:rsidRPr="00B5344E" w:rsidTr="00A14143">
                    <w:tc>
                      <w:tcPr>
                        <w:tcW w:w="9431" w:type="dxa"/>
                        <w:gridSpan w:val="3"/>
                        <w:tcBorders>
                          <w:top w:val="single" w:sz="12" w:space="0" w:color="538135" w:themeColor="accent6" w:themeShade="BF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b) Modernización de embarcaciones menores</w:t>
                        </w:r>
                      </w:p>
                    </w:tc>
                  </w:tr>
                  <w:tr w:rsidR="00FD2D37" w:rsidRPr="00B5344E" w:rsidTr="00A14143">
                    <w:tc>
                      <w:tcPr>
                        <w:tcW w:w="21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I. Sustitución de motor dentro o fuera de borda de hasta 115 HP.</w:t>
                        </w:r>
                      </w:p>
                    </w:tc>
                    <w:tc>
                      <w:tcPr>
                        <w:tcW w:w="412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386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Hasta el 40% del costo total del bien a adquirir con los siguientes topes máximos: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527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Motores: $90,000.00 (noventa mil pesos 00/100 m.n.);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527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II. Embarcaciones: $50,000.00 (cincuenta mil pesos m.n.);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527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III. Hieleras hasta $4,000.00 (cuatro mil pesos 00/100 </w:t>
                        </w:r>
                        <w:proofErr w:type="spellStart"/>
                        <w:r w:rsidRPr="00B5344E">
                          <w:rPr>
                            <w:sz w:val="16"/>
                            <w:szCs w:val="16"/>
                          </w:rPr>
                          <w:t>m.n</w:t>
                        </w:r>
                        <w:proofErr w:type="spellEnd"/>
                        <w:r w:rsidRPr="00B5344E">
                          <w:rPr>
                            <w:sz w:val="16"/>
                            <w:szCs w:val="16"/>
                          </w:rPr>
                          <w:t>).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En caso de participar los gobiernos de los estados y/o municipios, su aportación será hasta el 30% del costo total del bien adquirido y el complemento será por cuenta del beneficiario.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527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IV. Equipo satelital y radio comunicación hasta $10,000.00 (diez mil pesos 00/100 m.n.); donde el apoyo Federal será de hasta el 50% y el apoyo estatal o municipal será del 40 % y el productor el 10%.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Si al día último del mes de Junio, no se comprueba la aportación Estatal o Municipal, la SAGARPA se reserva el derecho de redistribuir los recursos.</w:t>
                        </w:r>
                      </w:p>
                    </w:tc>
                    <w:tc>
                      <w:tcPr>
                        <w:tcW w:w="314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ind w:left="176" w:hanging="176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Certificado de Matrícula de la Embarcación (copia y original para cotejo).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ind w:left="176" w:hanging="176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Copia del Acta de Asamblea (una por cada organización) certificada ante Fedatario Estatal, Municipal o Local) que incluya la lista de socios vigente.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174" w:hanging="174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III. Cotización vigente a nombre del solicitante emitida por el proveedor en donde se señalen las características y precio del bien solicitado, se permitirá el incremento de potencia (H.P.) del motor solicitado al inmediato superior, por cambio de tecnología de 2 a 4 tiempos, o cuando la marca del motor solicitado no cuente con la misma potencia del motor a sustituir. </w:t>
                        </w:r>
                      </w:p>
                    </w:tc>
                  </w:tr>
                  <w:tr w:rsidR="00FD2D37" w:rsidRPr="00B5344E" w:rsidTr="00A14143">
                    <w:tc>
                      <w:tcPr>
                        <w:tcW w:w="21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II. Sustitución de embarcación menor de hasta 10.5 metros de eslora.</w:t>
                        </w:r>
                      </w:p>
                    </w:tc>
                    <w:tc>
                      <w:tcPr>
                        <w:tcW w:w="412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val="es-ES" w:eastAsia="es-ES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val="es-ES" w:eastAsia="es-ES"/>
                          </w:rPr>
                        </w:pPr>
                      </w:p>
                    </w:tc>
                  </w:tr>
                  <w:tr w:rsidR="00FD2D37" w:rsidRPr="00B5344E" w:rsidTr="00A14143">
                    <w:tc>
                      <w:tcPr>
                        <w:tcW w:w="21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III. Adquisición de equipo para conservación de producto a bordo.</w:t>
                        </w:r>
                      </w:p>
                    </w:tc>
                    <w:tc>
                      <w:tcPr>
                        <w:tcW w:w="412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val="es-ES" w:eastAsia="es-ES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val="es-ES" w:eastAsia="es-ES"/>
                          </w:rPr>
                        </w:pPr>
                      </w:p>
                    </w:tc>
                  </w:tr>
                  <w:tr w:rsidR="00FD2D37" w:rsidRPr="00B5344E" w:rsidTr="00A14143">
                    <w:tc>
                      <w:tcPr>
                        <w:tcW w:w="9431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En el incentivo de modernización de embarcaciones menores, para los conceptos sustitución de motor o embarcación, el solicitante deberá acreditar que la embarcación menor cuenta con el dispositivo transmisor instalado por la SCT.</w:t>
                        </w:r>
                      </w:p>
                    </w:tc>
                  </w:tr>
                </w:tbl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sz w:val="16"/>
                      <w:szCs w:val="16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138"/>
                    <w:gridCol w:w="3149"/>
                    <w:gridCol w:w="3144"/>
                  </w:tblGrid>
                  <w:tr w:rsidR="00FD2D37" w:rsidRPr="00B5344E" w:rsidTr="00016259">
                    <w:tc>
                      <w:tcPr>
                        <w:tcW w:w="3138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Conceptos</w:t>
                        </w:r>
                      </w:p>
                    </w:tc>
                    <w:tc>
                      <w:tcPr>
                        <w:tcW w:w="3149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Monto</w:t>
                        </w:r>
                      </w:p>
                    </w:tc>
                    <w:tc>
                      <w:tcPr>
                        <w:tcW w:w="3144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Requisitos</w:t>
                        </w:r>
                      </w:p>
                    </w:tc>
                  </w:tr>
                  <w:tr w:rsidR="00FD2D37" w:rsidRPr="00B5344E" w:rsidTr="00016259">
                    <w:tc>
                      <w:tcPr>
                        <w:tcW w:w="9431" w:type="dxa"/>
                        <w:gridSpan w:val="3"/>
                        <w:tcBorders>
                          <w:top w:val="single" w:sz="12" w:space="0" w:color="538135" w:themeColor="accent6" w:themeShade="BF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c) Obras y Estudios</w:t>
                        </w:r>
                      </w:p>
                    </w:tc>
                  </w:tr>
                  <w:tr w:rsidR="00FD2D37" w:rsidRPr="00B5344E" w:rsidTr="00016259">
                    <w:tc>
                      <w:tcPr>
                        <w:tcW w:w="31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Desazolves</w:t>
                        </w:r>
                      </w:p>
                    </w:tc>
                    <w:tc>
                      <w:tcPr>
                        <w:tcW w:w="31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I. Hasta $20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 (veinte millones de pesos 00/100 M.N.).</w:t>
                        </w:r>
                      </w:p>
                    </w:tc>
                    <w:tc>
                      <w:tcPr>
                        <w:tcW w:w="314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1025"/>
                          </w:tabs>
                          <w:spacing w:after="0" w:line="240" w:lineRule="auto"/>
                          <w:ind w:left="316" w:hanging="291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Ficha Técnica para Obras y Estudios. Anexo XXXVIII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316" w:hanging="284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II. Autorización de impacto ambiental, emitida por la autoridad competente con excepción de los estudios.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Además, para el caso de desazolves: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316" w:hanging="284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III. Autorización de vertimientos en zonas marinas. Cuando el material sea vertido en presencia de agua (zona federal marítima).</w:t>
                        </w:r>
                      </w:p>
                    </w:tc>
                  </w:tr>
                  <w:tr w:rsidR="00FD2D37" w:rsidRPr="00B5344E" w:rsidTr="00016259">
                    <w:tc>
                      <w:tcPr>
                        <w:tcW w:w="31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II. Unidad Básica de Infraestructura para acopio, proceso y conservación.</w:t>
                        </w:r>
                      </w:p>
                    </w:tc>
                    <w:tc>
                      <w:tcPr>
                        <w:tcW w:w="31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II. Hasta $2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 (Dos millones de pesos 00/100 M.N.)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val="es-ES" w:eastAsia="es-ES"/>
                          </w:rPr>
                        </w:pPr>
                      </w:p>
                    </w:tc>
                  </w:tr>
                  <w:tr w:rsidR="00FD2D37" w:rsidRPr="00B5344E" w:rsidTr="00016259">
                    <w:tc>
                      <w:tcPr>
                        <w:tcW w:w="31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III. Muelle o atracadero.</w:t>
                        </w:r>
                      </w:p>
                    </w:tc>
                    <w:tc>
                      <w:tcPr>
                        <w:tcW w:w="31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III. Hasta $4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 (Cuatro millones de pesos 00/100 M.N.)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val="es-ES" w:eastAsia="es-ES"/>
                          </w:rPr>
                        </w:pPr>
                      </w:p>
                    </w:tc>
                  </w:tr>
                  <w:tr w:rsidR="00FD2D37" w:rsidRPr="00B5344E" w:rsidTr="00016259">
                    <w:tc>
                      <w:tcPr>
                        <w:tcW w:w="31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IV. Rampas de botado.</w:t>
                        </w:r>
                      </w:p>
                    </w:tc>
                    <w:tc>
                      <w:tcPr>
                        <w:tcW w:w="31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IV. Hasta $1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 (un millón de pesos 00/100 M.N.)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val="es-ES" w:eastAsia="es-ES"/>
                          </w:rPr>
                        </w:pPr>
                      </w:p>
                    </w:tc>
                  </w:tr>
                  <w:tr w:rsidR="00FD2D37" w:rsidRPr="00B5344E" w:rsidTr="00016259">
                    <w:tc>
                      <w:tcPr>
                        <w:tcW w:w="31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V. Obras de protección marginal.</w:t>
                        </w:r>
                      </w:p>
                    </w:tc>
                    <w:tc>
                      <w:tcPr>
                        <w:tcW w:w="31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V. Hasta $10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 (diez millones de pesos 00/100 M.N.)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val="es-ES" w:eastAsia="es-ES"/>
                          </w:rPr>
                        </w:pPr>
                      </w:p>
                    </w:tc>
                  </w:tr>
                  <w:tr w:rsidR="00FD2D37" w:rsidRPr="00B5344E" w:rsidTr="00016259">
                    <w:tc>
                      <w:tcPr>
                        <w:tcW w:w="31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VI. Estudios para obras de desazolve en sistemas lagunares costeros e infraestructura portuaria pesquera.</w:t>
                        </w:r>
                      </w:p>
                    </w:tc>
                    <w:tc>
                      <w:tcPr>
                        <w:tcW w:w="31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VI. Hasta el 90% del costo, sin rebasar $3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 (tres millones de pesos 00/100 M.N.) El 10% podrá ser aportación del solicitante, de Gobiernos Estatales, Municipales y/</w:t>
                        </w:r>
                        <w:proofErr w:type="spellStart"/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o</w:t>
                        </w:r>
                        <w:proofErr w:type="spellEnd"/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 otra fuente de financiamiento.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val="es-ES" w:eastAsia="es-ES"/>
                          </w:rPr>
                        </w:pPr>
                      </w:p>
                    </w:tc>
                  </w:tr>
                </w:tbl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b/>
                      <w:sz w:val="16"/>
                      <w:szCs w:val="16"/>
                    </w:rPr>
                  </w:pPr>
                </w:p>
                <w:p w:rsidR="00FD2D37" w:rsidRPr="00B5344E" w:rsidRDefault="00FD2D37" w:rsidP="00B5344E">
                  <w:pPr>
                    <w:pStyle w:val="ROMANOS"/>
                    <w:tabs>
                      <w:tab w:val="clear" w:pos="720"/>
                      <w:tab w:val="left" w:pos="0"/>
                      <w:tab w:val="left" w:pos="851"/>
                    </w:tabs>
                    <w:spacing w:after="0" w:line="240" w:lineRule="auto"/>
                    <w:ind w:left="0" w:firstLine="4"/>
                    <w:rPr>
                      <w:sz w:val="16"/>
                      <w:szCs w:val="16"/>
                    </w:rPr>
                  </w:pPr>
                  <w:r w:rsidRPr="00B5344E">
                    <w:rPr>
                      <w:sz w:val="16"/>
                      <w:szCs w:val="16"/>
                    </w:rPr>
                    <w:t>En el caso de obras y estudios, no se apoyará más de un concepto por solicitante en un mismo ejercicio fiscal. Los conceptos de “Muelles o Atracaderos”, “Rampas de Botado” y “Unidad Básica de Infraestructura” no podrán ser apoyadas en etapas.</w:t>
                  </w:r>
                </w:p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b/>
                      <w:sz w:val="16"/>
                      <w:szCs w:val="16"/>
                    </w:rPr>
                  </w:pPr>
                  <w:r w:rsidRPr="00B5344E">
                    <w:rPr>
                      <w:sz w:val="16"/>
                      <w:szCs w:val="16"/>
                    </w:rPr>
                    <w:t>La Unidad Responsable pondrá a disposición de los solicitantes “proyectos tipo” que estarán disponibles en la página oficial de la CONAPESCA.</w:t>
                  </w:r>
                </w:p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b/>
                      <w:sz w:val="16"/>
                      <w:szCs w:val="16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306"/>
                    <w:gridCol w:w="2410"/>
                    <w:gridCol w:w="4715"/>
                  </w:tblGrid>
                  <w:tr w:rsidR="00FD2D37" w:rsidRPr="00B5344E" w:rsidTr="00A14143">
                    <w:tc>
                      <w:tcPr>
                        <w:tcW w:w="2306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Conceptos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Montos máximos</w:t>
                        </w:r>
                      </w:p>
                    </w:tc>
                    <w:tc>
                      <w:tcPr>
                        <w:tcW w:w="4715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Requisitos</w:t>
                        </w:r>
                      </w:p>
                    </w:tc>
                  </w:tr>
                  <w:tr w:rsidR="00FD2D37" w:rsidRPr="00B5344E" w:rsidTr="00A14143">
                    <w:tc>
                      <w:tcPr>
                        <w:tcW w:w="9431" w:type="dxa"/>
                        <w:gridSpan w:val="3"/>
                        <w:tcBorders>
                          <w:top w:val="single" w:sz="12" w:space="0" w:color="538135" w:themeColor="accent6" w:themeShade="BF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d) Diésel Marino</w:t>
                        </w:r>
                      </w:p>
                    </w:tc>
                  </w:tr>
                  <w:tr w:rsidR="00FD2D37" w:rsidRPr="00B5344E" w:rsidTr="00A14143">
                    <w:tc>
                      <w:tcPr>
                        <w:tcW w:w="23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I. Incentivo para la adquisición de diésel marino a los beneficiarios del Padrón 2015.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953"/>
                          </w:tabs>
                          <w:spacing w:after="0" w:line="240" w:lineRule="auto"/>
                          <w:ind w:left="244" w:hanging="239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$2.00 (dos pesos 00/100 M.N.) por litro de diésel marino.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Hasta 2 millones de litros por </w:t>
                        </w: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>unidad productiva.</w:t>
                        </w:r>
                      </w:p>
                    </w:tc>
                    <w:tc>
                      <w:tcPr>
                        <w:tcW w:w="4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  <w:tab w:val="left" w:pos="458"/>
                          </w:tabs>
                          <w:spacing w:after="0" w:line="240" w:lineRule="auto"/>
                          <w:ind w:left="458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>Para reinscripción: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  <w:tab w:val="left" w:pos="458"/>
                          </w:tabs>
                          <w:spacing w:after="0" w:line="240" w:lineRule="auto"/>
                          <w:ind w:left="458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I.- Solicitud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458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II.- Identificación oficial vigente del beneficiario o representante legal.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458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>III.- Permiso o concesión de pesca o acuacultura vigente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En caso de modificación en la información General y la establecida en el artículo 351 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fracción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 IV de estas reglas de operación, presentar las actualizaciones correspondientes.</w:t>
                        </w:r>
                      </w:p>
                    </w:tc>
                  </w:tr>
                </w:tbl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b/>
                      <w:sz w:val="16"/>
                      <w:szCs w:val="16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414"/>
                    <w:gridCol w:w="2302"/>
                    <w:gridCol w:w="4677"/>
                  </w:tblGrid>
                  <w:tr w:rsidR="00FD2D37" w:rsidRPr="00B5344E" w:rsidTr="00A14143">
                    <w:tc>
                      <w:tcPr>
                        <w:tcW w:w="2414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Conceptos</w:t>
                        </w:r>
                      </w:p>
                    </w:tc>
                    <w:tc>
                      <w:tcPr>
                        <w:tcW w:w="2302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Montos Máximos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Requisitos</w:t>
                        </w:r>
                      </w:p>
                    </w:tc>
                  </w:tr>
                  <w:tr w:rsidR="00FD2D37" w:rsidRPr="00B5344E" w:rsidTr="00016259">
                    <w:tc>
                      <w:tcPr>
                        <w:tcW w:w="9393" w:type="dxa"/>
                        <w:gridSpan w:val="3"/>
                        <w:tcBorders>
                          <w:top w:val="single" w:sz="12" w:space="0" w:color="538135" w:themeColor="accent6" w:themeShade="BF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e) Gasolina Ribereña</w:t>
                        </w:r>
                      </w:p>
                    </w:tc>
                  </w:tr>
                  <w:tr w:rsidR="00FD2D37" w:rsidRPr="00B5344E" w:rsidTr="00A14143">
                    <w:tc>
                      <w:tcPr>
                        <w:tcW w:w="24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I. Incentivo para la adquisición de gasolina ribereña a los beneficiarios del Padrón 2015.</w:t>
                        </w:r>
                      </w:p>
                    </w:tc>
                    <w:tc>
                      <w:tcPr>
                        <w:tcW w:w="23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  <w:tab w:val="left" w:pos="386"/>
                          </w:tabs>
                          <w:spacing w:after="0" w:line="240" w:lineRule="auto"/>
                          <w:ind w:left="527" w:hanging="527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$2.00 (dos pesos 00/100 M.N.) por litro de gasolina ribereña.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Hasta 10 mil litros por embarcación.</w:t>
                        </w:r>
                      </w:p>
                    </w:tc>
                    <w:tc>
                      <w:tcPr>
                        <w:tcW w:w="46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hanging="688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Para reinscripción: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hanging="688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Solicitud.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hanging="688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II. Identificación oficial vigente del beneficiario o representante legal.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hanging="688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III. Permiso o concesión de pesca vigente.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En caso de modificación en la información General y la establecida en el artículo 351 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fracción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 IV de las reglas de operación, presentar las actualizaciones correspondientes.</w:t>
                        </w:r>
                      </w:p>
                    </w:tc>
                  </w:tr>
                </w:tbl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b/>
                      <w:sz w:val="16"/>
                      <w:szCs w:val="16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163"/>
                    <w:gridCol w:w="3140"/>
                    <w:gridCol w:w="3148"/>
                  </w:tblGrid>
                  <w:tr w:rsidR="00FD2D37" w:rsidRPr="00B5344E" w:rsidTr="008A6AA7">
                    <w:tc>
                      <w:tcPr>
                        <w:tcW w:w="9989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12" w:space="0" w:color="538135" w:themeColor="accent6" w:themeShade="BF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PROPESCA</w:t>
                        </w:r>
                      </w:p>
                    </w:tc>
                  </w:tr>
                  <w:tr w:rsidR="00FD2D37" w:rsidRPr="00B5344E" w:rsidTr="008A6AA7">
                    <w:tc>
                      <w:tcPr>
                        <w:tcW w:w="3329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Conceptos</w:t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Montos Máximos</w:t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Requisitos</w:t>
                        </w:r>
                      </w:p>
                    </w:tc>
                  </w:tr>
                  <w:tr w:rsidR="00FD2D37" w:rsidRPr="00B5344E" w:rsidTr="008A6AA7">
                    <w:tc>
                      <w:tcPr>
                        <w:tcW w:w="9989" w:type="dxa"/>
                        <w:gridSpan w:val="3"/>
                        <w:tcBorders>
                          <w:top w:val="single" w:sz="12" w:space="0" w:color="538135" w:themeColor="accent6" w:themeShade="BF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f) PROPESCA. Apoyos directos para pescadores ribereños y de aguas interiores y tripulantes de embarcaciones mayores (excepto los que ostenten el cargo de patrón o capitán de la embarcación) y trabajadores operativos de unidades acuícolas.</w:t>
                        </w:r>
                      </w:p>
                    </w:tc>
                  </w:tr>
                  <w:tr w:rsidR="00FD2D37" w:rsidRPr="00B5344E">
                    <w:tc>
                      <w:tcPr>
                        <w:tcW w:w="33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1305"/>
                          </w:tabs>
                          <w:spacing w:after="0" w:line="240" w:lineRule="auto"/>
                          <w:ind w:left="29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Talleres de capacitación para pescadores y trabajadores de unidades acuícolas, cuyas actividades se encuentren temporalmente restringidas por una Regulación Pesquera Oficial o por Contingencia Natural en la que afecte de manera drástica su producción, declarada por la autoridad competente en: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880"/>
                          </w:tabs>
                          <w:spacing w:after="0" w:line="240" w:lineRule="auto"/>
                          <w:ind w:left="313" w:hanging="284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Buenas prácticas de manejo, Mantenimiento sanitario y seguridad laboral.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313" w:hanging="284"/>
                          <w:jc w:val="left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ii. Administración, Comercialización o Valor Agregado.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313" w:hanging="284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iii. Normatividad pesquera.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iv. Sanidad y buenas prácticas.</w:t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I. Hasta $8,000.00 (Ocho mil pesos 00/100 M.N.) por solicitante por ejercicio fiscal.</w:t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883"/>
                          </w:tabs>
                          <w:spacing w:after="0" w:line="240" w:lineRule="auto"/>
                          <w:ind w:left="32" w:hanging="28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Para pescadores ribereños y de aguas interiores y tripulantes de embarcaciones mayores: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883"/>
                          </w:tabs>
                          <w:spacing w:after="0" w:line="240" w:lineRule="auto"/>
                          <w:ind w:left="174" w:hanging="142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Escrito de la unidad económica que acredite la pertenencia del solicitante. Anexo XXXIX, que incluya: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174" w:hanging="142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Copia certificada ante Fedatario Estatal, Municipal o Local del Acta de Asamblea (una por cada organización) que incluya la lista de socios vigente o Aviso del despacho vía la pesca de la temporada de pesca inmediata anterior donde se identifique al solicitante, según corresponda.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32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Para trabajadores de las Unidades de Producción Acuícola: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174" w:hanging="142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Escrito de pertenencia del solicitante a la Unidad Acuícola, donde se indique la contingencia natural ocurrida. Anexo XXXIX.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174" w:hanging="17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II. Inscripción del trabajador en el Instituto Mexicano del Seguro Social, vigente.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III. Aviso de cosecha del último ciclo.</w:t>
                        </w:r>
                      </w:p>
                    </w:tc>
                  </w:tr>
                  <w:tr w:rsidR="00FD2D37" w:rsidRPr="00B5344E">
                    <w:tc>
                      <w:tcPr>
                        <w:tcW w:w="9989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883"/>
                          </w:tabs>
                          <w:spacing w:after="0" w:line="240" w:lineRule="auto"/>
                          <w:ind w:left="32" w:hanging="28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g) Fortalecimiento de Capacidades</w:t>
                        </w:r>
                      </w:p>
                    </w:tc>
                  </w:tr>
                  <w:tr w:rsidR="00FD2D37" w:rsidRPr="00B5344E">
                    <w:tc>
                      <w:tcPr>
                        <w:tcW w:w="33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1305"/>
                          </w:tabs>
                          <w:spacing w:after="0" w:line="240" w:lineRule="auto"/>
                          <w:ind w:left="29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I. Cursos-talleres y/o procesos de formación presencial teórico-práctico.</w:t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953"/>
                          </w:tabs>
                          <w:spacing w:after="0" w:line="240" w:lineRule="auto"/>
                          <w:ind w:left="102" w:hanging="102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I. Hasta $80,000.00 (Ochenta mil pesos 00/100 M.N) por curso especializado.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spacing w:after="0" w:line="240" w:lineRule="auto"/>
                          <w:ind w:left="102" w:hanging="102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II. Hasta $600,000.00 (Seiscientos mil pesos 00/100 M.N.) por curso especializado de estrategia transversal y/o regional.</w:t>
                        </w:r>
                      </w:p>
                    </w:tc>
                    <w:tc>
                      <w:tcPr>
                        <w:tcW w:w="333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  <w:tab w:val="left" w:pos="883"/>
                          </w:tabs>
                          <w:spacing w:after="0" w:line="240" w:lineRule="auto"/>
                          <w:ind w:left="32" w:hanging="28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Programa de trabajo conforme al Guión para la elaboración del Programa de Trabajo de Fortalecimiento (Anexo XL de las reglas de operación).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883"/>
                          </w:tabs>
                          <w:spacing w:after="0" w:line="240" w:lineRule="auto"/>
                          <w:ind w:left="32" w:hanging="28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II. Currículum vítae del prestador de servicios profesionales con experiencia en el tema.</w:t>
                        </w:r>
                      </w:p>
                    </w:tc>
                  </w:tr>
                  <w:tr w:rsidR="00FD2D37" w:rsidRPr="00B5344E">
                    <w:tc>
                      <w:tcPr>
                        <w:tcW w:w="33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  <w:tab w:val="left" w:pos="1305"/>
                          </w:tabs>
                          <w:spacing w:after="0" w:line="240" w:lineRule="auto"/>
                          <w:ind w:left="29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II. Asistencia Técnica Integral.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1305"/>
                          </w:tabs>
                          <w:spacing w:after="0" w:line="240" w:lineRule="auto"/>
                          <w:ind w:left="29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Acompañamiento técnico para elevar la productividad e implementar procesos de transformación y comercialización.</w:t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102" w:hanging="102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I. Hasta $350,000.00 (Trescientos cincuenta mil pesos 00/100 M.N.), considerando como mínimo, cinco unidades económicas por atender.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val="es-ES" w:eastAsia="es-ES"/>
                          </w:rPr>
                        </w:pPr>
                      </w:p>
                    </w:tc>
                  </w:tr>
                </w:tbl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right="-357" w:firstLine="0"/>
                    <w:rPr>
                      <w:b/>
                      <w:sz w:val="16"/>
                      <w:szCs w:val="16"/>
                    </w:rPr>
                  </w:pPr>
                </w:p>
                <w:p w:rsidR="00FD2D37" w:rsidRPr="00B5344E" w:rsidRDefault="00FD2D37" w:rsidP="00B5344E">
                  <w:pPr>
                    <w:pStyle w:val="ROMANOS"/>
                    <w:shd w:val="clear" w:color="auto" w:fill="D9D9D9"/>
                    <w:tabs>
                      <w:tab w:val="left" w:pos="0"/>
                    </w:tabs>
                    <w:spacing w:after="0" w:line="240" w:lineRule="auto"/>
                    <w:ind w:left="0" w:firstLine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B5344E">
                    <w:rPr>
                      <w:b/>
                      <w:sz w:val="16"/>
                      <w:szCs w:val="16"/>
                    </w:rPr>
                    <w:t>Componente de Desarrollo a la Acuacultura</w:t>
                  </w:r>
                </w:p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sz w:val="16"/>
                      <w:szCs w:val="16"/>
                    </w:rPr>
                  </w:pPr>
                  <w:r w:rsidRPr="00B5344E">
                    <w:rPr>
                      <w:sz w:val="16"/>
                      <w:szCs w:val="16"/>
                    </w:rPr>
                    <w:t>Su objetivo es Incentivar a las unidades económicas acuícolas para incrementar el desarrollo de la acuacultura.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151"/>
                    <w:gridCol w:w="3141"/>
                    <w:gridCol w:w="3139"/>
                  </w:tblGrid>
                  <w:tr w:rsidR="00FD2D37" w:rsidRPr="00B5344E" w:rsidTr="008A6AA7">
                    <w:tc>
                      <w:tcPr>
                        <w:tcW w:w="3329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Conceptos</w:t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Montos Máximos</w:t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Requisitos</w:t>
                        </w:r>
                      </w:p>
                    </w:tc>
                  </w:tr>
                  <w:tr w:rsidR="00FD2D37" w:rsidRPr="00B5344E" w:rsidTr="008A6AA7">
                    <w:tc>
                      <w:tcPr>
                        <w:tcW w:w="9989" w:type="dxa"/>
                        <w:gridSpan w:val="3"/>
                        <w:tcBorders>
                          <w:top w:val="single" w:sz="12" w:space="0" w:color="538135" w:themeColor="accent6" w:themeShade="BF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a) Acuacultura Rural</w:t>
                        </w:r>
                      </w:p>
                    </w:tc>
                  </w:tr>
                  <w:tr w:rsidR="00FD2D37" w:rsidRPr="00B5344E">
                    <w:tc>
                      <w:tcPr>
                        <w:tcW w:w="33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1447"/>
                          </w:tabs>
                          <w:spacing w:after="0" w:line="240" w:lineRule="auto"/>
                          <w:ind w:left="29" w:hanging="7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Los Gobiernos de los Estados como instancias ejecutoras apoyarán a productores de municipios de la Cruzada Nacional contra el Hambre y/o con alta y muy alta marginación definidas por CONAPO, con: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880"/>
                          </w:tabs>
                          <w:spacing w:after="0" w:line="240" w:lineRule="auto"/>
                          <w:ind w:left="313" w:hanging="291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Infraestructura y Equipamiento: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313"/>
                            <w:tab w:val="left" w:pos="880"/>
                          </w:tabs>
                          <w:spacing w:after="0" w:line="240" w:lineRule="auto"/>
                          <w:ind w:left="313" w:hanging="7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Principalmente sistemas de cultivo, </w:t>
                        </w: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>jaulas, tinas, estanques, bombas, aireadores, filtros, equipos de medición de parámetros, alimentadores.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313" w:hanging="291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II. Crías.</w:t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1094"/>
                          </w:tabs>
                          <w:spacing w:after="0" w:line="240" w:lineRule="auto"/>
                          <w:ind w:left="386" w:hanging="426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>I. Hasta el 80% sin rebasar 500,000.00 (Quinientos mil pesos 00/100 M.N.)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811"/>
                          </w:tabs>
                          <w:spacing w:after="0" w:line="240" w:lineRule="auto"/>
                          <w:ind w:left="102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El 20% complementario será aportación del beneficiario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II. Hasta 50,000.00 (cincuenta mil pesos 00/100 M.N.).</w:t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1592"/>
                          </w:tabs>
                          <w:spacing w:after="0" w:line="240" w:lineRule="auto"/>
                          <w:ind w:left="174" w:hanging="148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Estar incluido en la “Ficha de Identificación de Unidades de Producción sujetas al Incentivo de Acuacultura Rural 2016”. (Anexo XLI de las reglas de operación).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174" w:hanging="148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Propuesta de proyecto conforme al Guión Único para la Elaboración de Proyectos de Inversión. (Anexo II de </w:t>
                        </w: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>las reglas de operación).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174" w:hanging="148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III. Listado de Productores Integrantes, en el Caso de Personas Morales. (Anexo XLVI de las reglas de operación).</w:t>
                        </w:r>
                      </w:p>
                    </w:tc>
                  </w:tr>
                  <w:tr w:rsidR="00FD2D37" w:rsidRPr="00B5344E">
                    <w:tc>
                      <w:tcPr>
                        <w:tcW w:w="33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lastRenderedPageBreak/>
                          <w:t>Fondo de apoyo para el Programa Estatal de Acuacultura Rural, para ejecutarse en los municipios de la Cruzada Nacional contra el Hambre y/o con alta y muy alta marginación definidas por CONAPO.</w:t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Para la constitución del Fondo de Apoyo se podrá aportar hasta el 75% sin rebasar los $10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 (diez millones de pesos 00/100 M.N, el Gobierno del Estado mínimamente aportará el 25%.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Se deberá destinar hasta el 15% del Fondo de Apoyo para Asistencia Técnica y Acompañamiento de los proyectos apoyados.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Para que el Gobierno Federal realice su aportación, una vez formalizado el instrumento jurídico correspondiente, el Gobierno Estatal deberá depositar en la cuenta indicada, los recursos comprometidos</w:t>
                        </w:r>
                        <w:r w:rsidRPr="00B5344E"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I. Oficio emitido por el Gobierno Estatal que establezca el compromiso de aportación de al menos el 25% de la inversión en el programa.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II. “Ficha de Identificación de Unidades de Producción sujetas al Incentivo de Acuacultura Rural 2016” (Anexo XLI de las reglas de operación).</w:t>
                        </w:r>
                        <w:r w:rsidRPr="00B5344E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</w:tr>
                  <w:tr w:rsidR="00FD2D37" w:rsidRPr="00B5344E">
                    <w:tc>
                      <w:tcPr>
                        <w:tcW w:w="9989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b) Mejoramiento Productivo de Embalses</w:t>
                        </w:r>
                      </w:p>
                    </w:tc>
                  </w:tr>
                  <w:tr w:rsidR="00FD2D37" w:rsidRPr="00B5344E">
                    <w:tc>
                      <w:tcPr>
                        <w:tcW w:w="33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Proyecto de Mejoramiento Productivo de Embalses para ejecutarse en los Municipios de la Cruzada Nacional contra el Hambre y/o con alta y muy alta marginación definidas por CONAPO.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Conceptos de apoyo para unidades económicas: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I. Estudios para el mejoramiento productivo, basado en prácticas de acuacultura.</w:t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I. Hasta $ 500,000 (quinientos mil pesos 00/100 M.N.) por estudio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c>
                    <w:tc>
                      <w:tcPr>
                        <w:tcW w:w="3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I Guión Único para la Elaboración de Proyectos de Inversión (Anexo II de las reglas de operación).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c>
                  </w:tr>
                  <w:tr w:rsidR="00FD2D37" w:rsidRPr="00B5344E">
                    <w:tc>
                      <w:tcPr>
                        <w:tcW w:w="33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II. Suministro de crías para repoblamiento.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c>
                    <w:tc>
                      <w:tcPr>
                        <w:tcW w:w="3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II. Hasta $1’600,000 (Un millón seiscientos mil pesos 00/100 M.N), considerando principalmente crías de bagre, carpa o tilapia.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c>
                    <w:tc>
                      <w:tcPr>
                        <w:tcW w:w="3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II. Listado de Productores Integrantes, en el Caso de Personas Morales, (Anexo XLVI de las reglas de operación).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c>
                  </w:tr>
                  <w:tr w:rsidR="00FD2D37" w:rsidRPr="00B5344E">
                    <w:tc>
                      <w:tcPr>
                        <w:tcW w:w="9989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c) Acuacultura Comercial en Aguas Interiores</w:t>
                        </w:r>
                      </w:p>
                    </w:tc>
                  </w:tr>
                  <w:tr w:rsidR="00FD2D37" w:rsidRPr="00B5344E">
                    <w:tc>
                      <w:tcPr>
                        <w:tcW w:w="33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Conceptos de apoyo para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Unidades Económicas: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Infraestructura productiva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(Principalmente invernaderos sistemas de cultivo, jaulas, tinas,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estanques, bodega de alimento y maternidades)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Equipamiento acuícola (Principalmente, bombas, aireadores, filtros, equipos de medición de parámetros, alimentadores,)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III. Instalaciones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(Principalmente hidráulicas, eléctricas de media tensión, aireación, malla sombra, tratamiento de agua para recirculación)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IV. Asistencia técnica especializada (Programa de capacitación, instalación puesta en marcha, acompañamiento y/o asesoría por parte de un técnico especializado</w:t>
                        </w: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.</w:t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Hasta el 50% del valor de las inversiones a realizar, sin rebasar $10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 (Diez millones de pesos 100/00 M.N).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Para el caso de Asistencia Técnica hasta $350,000.00 (Trescientos cincuenta mil pesos, M.N. 00/100). </w:t>
                        </w:r>
                      </w:p>
                    </w:tc>
                    <w:tc>
                      <w:tcPr>
                        <w:tcW w:w="333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Resolutivo en materia de impacto ambiental por la autoridad competente, en el que se autorice el proyecto, vigente, a nombre del solicitante y que concuerde con las obras y especies solicitadas.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Guion Único para la elaboración de Proyectos de Inversión (Anexo II)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III. </w:t>
                        </w:r>
                        <w:proofErr w:type="spellStart"/>
                        <w:r w:rsidRPr="00B5344E">
                          <w:rPr>
                            <w:sz w:val="16"/>
                            <w:szCs w:val="16"/>
                          </w:rPr>
                          <w:t>Curriculum</w:t>
                        </w:r>
                        <w:proofErr w:type="spellEnd"/>
                        <w:r w:rsidRPr="00B5344E">
                          <w:rPr>
                            <w:sz w:val="16"/>
                            <w:szCs w:val="16"/>
                          </w:rPr>
                          <w:t xml:space="preserve"> vítae y documentos que amparen la capacidad del responsable técnico y operativo del proyecto (en caso de solicitar asistencia técnica se deberán incluir los datos del técnico especializado).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IV. Cotización(es) emitida(s) por persona(s) legalmente registrada(s) ante la SHCP que amparen el monto que será solicitados para el desarrollo del proyecto, con el I.V.A. desglosado.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V. Título para el uso y/o, aprovechamiento de agua vigente, a nombre del Solicitante expedido por autoridad competente (Acorde al área, obras y especies citadas en el proyecto) o autorización emitida por el distrito de riego, (Acorde al área, obras y especies citadas en el proyecto). Se exceptúa de lo anterior a las unidades de producción que acrediten mediante avisos de cosecha 2 de los últimos 3 años.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VI. Listado de Productores Integrantes, </w:t>
                        </w: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 xml:space="preserve">en el Caso de Personas Morales (Anexo XLVI)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Acreditar la legal propiedad o posesión del predio, bien o inmueble, no aplica en proyectos en aguas de jurisdicción federal. </w:t>
                        </w:r>
                      </w:p>
                    </w:tc>
                  </w:tr>
                  <w:tr w:rsidR="00FD2D37" w:rsidRPr="00B5344E">
                    <w:tc>
                      <w:tcPr>
                        <w:tcW w:w="665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d) Maricultura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val="es-ES" w:eastAsia="es-ES"/>
                          </w:rPr>
                        </w:pPr>
                      </w:p>
                    </w:tc>
                  </w:tr>
                  <w:tr w:rsidR="00FD2D37" w:rsidRPr="00B5344E">
                    <w:tc>
                      <w:tcPr>
                        <w:tcW w:w="33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Infraestructura Productiva.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(Principalmente, invernaderos </w:t>
                        </w:r>
                        <w:proofErr w:type="spellStart"/>
                        <w:r w:rsidRPr="00B5344E">
                          <w:rPr>
                            <w:sz w:val="16"/>
                            <w:szCs w:val="16"/>
                          </w:rPr>
                          <w:t>estanquería</w:t>
                        </w:r>
                        <w:proofErr w:type="spellEnd"/>
                        <w:r w:rsidRPr="00B5344E">
                          <w:rPr>
                            <w:sz w:val="16"/>
                            <w:szCs w:val="16"/>
                          </w:rPr>
                          <w:t xml:space="preserve">, jaulas, sistemas de cultivo suspendidos, líneas madre, sartas, bodegas flotantes, artes fijadas al sustrato)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Equipamiento acuícola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(Principalmente, bombas, aireadores, filtros, equipos de medición de parámetros, alimentadores, barcaza).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 xml:space="preserve">III. Instalaciones (Principalmente hidráulicas, eléctricas de media tensión, aireación, malla sombra, tratamiento de agua para circulación).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IV. Asistencia Técnica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especializada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>, (Programa de capacitación, instalación, puesta en marcha) acompañamiento y/o asesoría por parte de un técnico especializado</w:t>
                        </w: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.</w:t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 xml:space="preserve">I. Hasta el 50% del valor de las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inversiones sin rebasar 10,000,000.00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(Diez millones de pesos 100/00 M.N).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Para el caso de Asistencia Técnica hasta $350,000.00 (Trescientos cincuenta mil pesos, M.N. 00/100). 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val="es-ES" w:eastAsia="es-ES"/>
                          </w:rPr>
                        </w:pPr>
                      </w:p>
                    </w:tc>
                  </w:tr>
                  <w:tr w:rsidR="00FD2D37" w:rsidRPr="00B5344E">
                    <w:tc>
                      <w:tcPr>
                        <w:tcW w:w="9989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>e) Adquisición de insumos biológicos</w:t>
                        </w:r>
                      </w:p>
                    </w:tc>
                  </w:tr>
                  <w:tr w:rsidR="00FD2D37" w:rsidRPr="00B5344E">
                    <w:tc>
                      <w:tcPr>
                        <w:tcW w:w="33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Insumos biológicos (</w:t>
                        </w:r>
                        <w:proofErr w:type="spellStart"/>
                        <w:r w:rsidRPr="00B5344E">
                          <w:rPr>
                            <w:sz w:val="16"/>
                            <w:szCs w:val="16"/>
                          </w:rPr>
                          <w:t>postlarva</w:t>
                        </w:r>
                        <w:proofErr w:type="spellEnd"/>
                        <w:r w:rsidRPr="00B5344E">
                          <w:rPr>
                            <w:sz w:val="16"/>
                            <w:szCs w:val="16"/>
                          </w:rPr>
                          <w:t xml:space="preserve">, semilla, crías y juveniles.)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c>
                    <w:tc>
                      <w:tcPr>
                        <w:tcW w:w="3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</w:t>
                        </w:r>
                        <w:proofErr w:type="spellStart"/>
                        <w:r w:rsidRPr="00B5344E">
                          <w:rPr>
                            <w:sz w:val="16"/>
                            <w:szCs w:val="16"/>
                          </w:rPr>
                          <w:t>Postlarva</w:t>
                        </w:r>
                        <w:proofErr w:type="spellEnd"/>
                        <w:r w:rsidRPr="00B5344E">
                          <w:rPr>
                            <w:sz w:val="16"/>
                            <w:szCs w:val="16"/>
                          </w:rPr>
                          <w:t xml:space="preserve"> de camarón: Hasta $30.00 (Treinta pesos 00/100 M.N.) por cada millar de </w:t>
                        </w:r>
                        <w:proofErr w:type="spellStart"/>
                        <w:r w:rsidRPr="00B5344E">
                          <w:rPr>
                            <w:sz w:val="16"/>
                            <w:szCs w:val="16"/>
                          </w:rPr>
                          <w:t>postlarvas</w:t>
                        </w:r>
                        <w:proofErr w:type="spellEnd"/>
                        <w:r w:rsidRPr="00B5344E">
                          <w:rPr>
                            <w:sz w:val="16"/>
                            <w:szCs w:val="16"/>
                          </w:rPr>
                          <w:t xml:space="preserve">, considerando una densidad de siembra por unidad de producción acuícola de máximo 15 organismos por m2 y sólo para un ciclo de producción por año.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Semilla: $8,500.00 (Ocho mil quinientos pesos 00/100) por millón, considerando las especies: ostión, mejillón, almejas y abulón, sin rebasar 100,000.00 (cien mil pesos, M.N.)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III. Crías de peces: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Tilapia: $140.00 (Ciento cuarenta pesos 00/100) por millar, sin rebasar 80,000.00 (ochenta mil pesos, M.N.)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Bagre: $360.00 (Trescientos sesenta pesos 00/100) por millar, sin rebasar 100,000.00 (cien mil pesos, M.N.).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Trucha: $400.00 (Cuatrocientos pesos 00/100) por millar, sin rebasar 100,000.00 (cien mil pesos, M.N.).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Peces marinos: $6,000.00 (Seis mil pesos 00/100) por millar, sin rebasar 300,000.00 (trescientos mil pesos, M.N.). </w:t>
                        </w:r>
                      </w:p>
                    </w:tc>
                    <w:tc>
                      <w:tcPr>
                        <w:tcW w:w="3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Cotización (es) que ampare el monto que será solicitado para el desarrollo del proyecto.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II. Listado de productores integrantes, en el caso de personas morales (Anexo XLVI de las reglas de operación).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III. Avisos de cosecha de al menos uno de los últimos tres años.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Acreditar la legal propiedad o posesión del predio, bien o inmueble, no aplica en proyectos en aguas de jurisdicción federal</w:t>
                        </w: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.</w:t>
                        </w:r>
                      </w:p>
                    </w:tc>
                  </w:tr>
                </w:tbl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b/>
                      <w:sz w:val="16"/>
                      <w:szCs w:val="16"/>
                    </w:rPr>
                  </w:pPr>
                </w:p>
                <w:p w:rsidR="00FD2D37" w:rsidRPr="00B5344E" w:rsidRDefault="00FD2D37" w:rsidP="00B5344E">
                  <w:pPr>
                    <w:pStyle w:val="ROMANOS"/>
                    <w:shd w:val="clear" w:color="auto" w:fill="D9D9D9"/>
                    <w:tabs>
                      <w:tab w:val="left" w:pos="0"/>
                    </w:tabs>
                    <w:spacing w:after="0" w:line="240" w:lineRule="auto"/>
                    <w:ind w:left="0" w:firstLine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B5344E">
                    <w:rPr>
                      <w:b/>
                      <w:sz w:val="16"/>
                      <w:szCs w:val="16"/>
                    </w:rPr>
                    <w:t>Componente de Ordenamiento Pesquero y Acuícola</w:t>
                  </w:r>
                </w:p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sz w:val="16"/>
                      <w:szCs w:val="16"/>
                    </w:rPr>
                  </w:pPr>
                  <w:r w:rsidRPr="00B5344E">
                    <w:rPr>
                      <w:sz w:val="16"/>
                      <w:szCs w:val="16"/>
                    </w:rPr>
                    <w:t>El objetivo es incentivar la mejora de la gestión del ordenamiento y la vigilancia de los recursos pesqueros.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298"/>
                    <w:gridCol w:w="2552"/>
                    <w:gridCol w:w="3581"/>
                  </w:tblGrid>
                  <w:tr w:rsidR="00FD2D37" w:rsidRPr="00B5344E" w:rsidTr="00016259">
                    <w:tc>
                      <w:tcPr>
                        <w:tcW w:w="3298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Conceptos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Montos Máximos</w:t>
                        </w:r>
                      </w:p>
                    </w:tc>
                    <w:tc>
                      <w:tcPr>
                        <w:tcW w:w="3581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Requisitos</w:t>
                        </w:r>
                      </w:p>
                    </w:tc>
                  </w:tr>
                  <w:tr w:rsidR="00FD2D37" w:rsidRPr="00B5344E" w:rsidTr="00016259">
                    <w:tc>
                      <w:tcPr>
                        <w:tcW w:w="9431" w:type="dxa"/>
                        <w:gridSpan w:val="3"/>
                        <w:tcBorders>
                          <w:top w:val="single" w:sz="12" w:space="0" w:color="538135" w:themeColor="accent6" w:themeShade="BF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clear" w:pos="720"/>
                            <w:tab w:val="left" w:pos="0"/>
                            <w:tab w:val="left" w:pos="2325"/>
                          </w:tabs>
                          <w:spacing w:after="0" w:line="240" w:lineRule="auto"/>
                          <w:ind w:left="0" w:firstLine="0"/>
                          <w:jc w:val="left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a) Proyectos de Ordenamiento Pesquero y Acuícola</w:t>
                        </w:r>
                      </w:p>
                    </w:tc>
                  </w:tr>
                  <w:tr w:rsidR="00FD2D37" w:rsidRPr="00B5344E" w:rsidTr="00016259">
                    <w:tc>
                      <w:tcPr>
                        <w:tcW w:w="32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Proyectos de Ordenamiento Pesquero para implementar acciones en: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Ordenamiento ribereño.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Ordenamiento de pesquerías en máximo aprovechamiento.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iii. Ordenamiento de pesquerías con potencial.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iv. Ordenamiento para la recuperación de recursos pesqueros.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v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. Zonas de Refugio Pesquero (Diseño y sociabilización, Implementación y monitoreo). 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Por proyecto: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Hasta $20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 (veinte millones de pesos 00/100 M.N.). </w:t>
                        </w:r>
                      </w:p>
                    </w:tc>
                    <w:tc>
                      <w:tcPr>
                        <w:tcW w:w="35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Proyecto de Ordenamiento Pesquero concertado con la Unidad Responsable.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c>
                  </w:tr>
                  <w:tr w:rsidR="00FD2D37" w:rsidRPr="00B5344E" w:rsidTr="00016259">
                    <w:tc>
                      <w:tcPr>
                        <w:tcW w:w="32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II. Proyectos de ordenamiento acuícola.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Por proyecto local, estatal o regional: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Hasta $ 5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 (cinco millones </w:t>
                        </w: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de</w:t>
                        </w:r>
                        <w:r w:rsidRPr="00B5344E">
                          <w:rPr>
                            <w:sz w:val="16"/>
                            <w:szCs w:val="16"/>
                          </w:rPr>
                          <w:t xml:space="preserve"> pesos 00/100 M.N.). </w:t>
                        </w:r>
                      </w:p>
                    </w:tc>
                    <w:tc>
                      <w:tcPr>
                        <w:tcW w:w="35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Presentar proyecto de ordenamiento acuícola concertado con la Unidad Responsable. </w:t>
                        </w:r>
                      </w:p>
                    </w:tc>
                  </w:tr>
                  <w:tr w:rsidR="00FD2D37" w:rsidRPr="00B5344E" w:rsidTr="00016259">
                    <w:tc>
                      <w:tcPr>
                        <w:tcW w:w="9431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b) Disminución del Esfuerzo Pesquero</w:t>
                        </w:r>
                      </w:p>
                    </w:tc>
                  </w:tr>
                  <w:tr w:rsidR="00FD2D37" w:rsidRPr="00B5344E" w:rsidTr="00016259">
                    <w:tc>
                      <w:tcPr>
                        <w:tcW w:w="32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Retiro voluntario de embarcaciones mayores. 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Para embarcaciones mayores camaroneras: $2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 (Dos millones de pesos 00/100 M.N.) por embarcación.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Para embarcaciones mayores </w:t>
                        </w:r>
                        <w:proofErr w:type="spellStart"/>
                        <w:r w:rsidRPr="00B5344E">
                          <w:rPr>
                            <w:sz w:val="16"/>
                            <w:szCs w:val="16"/>
                          </w:rPr>
                          <w:t>escameras</w:t>
                        </w:r>
                        <w:proofErr w:type="spellEnd"/>
                        <w:r w:rsidRPr="00B5344E">
                          <w:rPr>
                            <w:sz w:val="16"/>
                            <w:szCs w:val="16"/>
                          </w:rPr>
                          <w:t xml:space="preserve">: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$1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,300,000.00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 (un millón trescientos mil pesos 00/100 M.N.) por embarcación. </w:t>
                        </w:r>
                      </w:p>
                    </w:tc>
                    <w:tc>
                      <w:tcPr>
                        <w:tcW w:w="35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Concesión y/o permiso(s) para pesca comercial, con los que opera la embarcación a retirar, para su cancelación.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Certificado de libertad de gravamen de la embarcación a retirar en original con una antigüedad no mayor a 30 días hábiles a partir a la presentación de la solicitud.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En caso de que la embarcación se encuentre gravada, original de anuencia por parte del(los) acreedor(es), en el que otorgue(n) su conformidad y consentimiento más amplio que en derecho proceda para el retiro de la </w:t>
                        </w: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 xml:space="preserve">embarcación.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III. Copia del Certificado Nacional de Seguridad Marítima vigente.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IV. Contrato original con el astillero, planta fundidora de metales u organización o persona física con actividad empresarial, en el que se establezcan las acciones para el desguace de la embarcación a retirar.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V. En caso de persona moral, presentar copia certificada del acta de asamblea debidamente protocolizada en la que se otorgue la conformidad y consentimiento para el retiro de la embarcación, desguace de la misma y cancelación concesiones y/o permisos para pesca comercial respectivos. </w:t>
                        </w:r>
                      </w:p>
                    </w:tc>
                  </w:tr>
                  <w:tr w:rsidR="00FD2D37" w:rsidRPr="00B5344E" w:rsidTr="00016259">
                    <w:tc>
                      <w:tcPr>
                        <w:tcW w:w="32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>II. Arrecifes artificiales.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Hasta 5,000,000.00 (cinco millones de pesos 00/100 M.N.</w:t>
                        </w:r>
                      </w:p>
                    </w:tc>
                    <w:tc>
                      <w:tcPr>
                        <w:tcW w:w="35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Presentar proyecto de inversión (Anexo II. Guión Único para la Elaboración de Proyectos de Inversión) que contenga estudio de factibilidad biológico-pesquera (antecedentes, problemática, objetivo, producción pesquera, vinculación con los ordenamientos jurídicos aplicables), técnica (definición del sitio para la instalación de estructuras </w:t>
                        </w:r>
                        <w:proofErr w:type="spellStart"/>
                        <w:r w:rsidRPr="00B5344E">
                          <w:rPr>
                            <w:sz w:val="16"/>
                            <w:szCs w:val="16"/>
                          </w:rPr>
                          <w:t>arrecifales</w:t>
                        </w:r>
                        <w:proofErr w:type="spellEnd"/>
                        <w:r w:rsidRPr="00B5344E">
                          <w:rPr>
                            <w:sz w:val="16"/>
                            <w:szCs w:val="16"/>
                          </w:rPr>
                          <w:t>, incluyendo geo-</w:t>
                        </w:r>
                        <w:proofErr w:type="spellStart"/>
                        <w:r w:rsidRPr="00B5344E">
                          <w:rPr>
                            <w:sz w:val="16"/>
                            <w:szCs w:val="16"/>
                          </w:rPr>
                          <w:t>referenciación</w:t>
                        </w:r>
                        <w:proofErr w:type="spellEnd"/>
                        <w:r w:rsidRPr="00B5344E">
                          <w:rPr>
                            <w:sz w:val="16"/>
                            <w:szCs w:val="16"/>
                          </w:rPr>
                          <w:t xml:space="preserve">, batimetría de detalle, medición de corrientes, muestreo del material de fondo) y económica (detalle de conceptos y desglose del IVA, programa de ejecución, así como el análisis de rentabilidad del proyecto).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Resolución en materia de impacto ambiental, emitida por la SEMARNAT.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III. Permiso de la Secretaría de Comunicaciones y Transportes (SCT), y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IV. Autorización para realizar vertimientos en zonas marinas mexicanas, de conformidad con el Formato # 8 SMEDCM “Sustancias, materiales y estructuras destinadas a construcciones en el mar, emitida por la SEMAR. </w:t>
                        </w:r>
                      </w:p>
                    </w:tc>
                  </w:tr>
                  <w:tr w:rsidR="00FD2D37" w:rsidRPr="00B5344E" w:rsidTr="00016259">
                    <w:tc>
                      <w:tcPr>
                        <w:tcW w:w="9431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c) Cumplimiento y Observancia Normativa</w:t>
                        </w:r>
                      </w:p>
                    </w:tc>
                  </w:tr>
                  <w:tr w:rsidR="00FD2D37" w:rsidRPr="00B5344E" w:rsidTr="00016259">
                    <w:tc>
                      <w:tcPr>
                        <w:tcW w:w="32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bCs/>
                            <w:sz w:val="16"/>
                            <w:szCs w:val="16"/>
                          </w:rPr>
                          <w:t xml:space="preserve">I. Acciones de inspección y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Cs/>
                            <w:sz w:val="16"/>
                            <w:szCs w:val="16"/>
                          </w:rPr>
                          <w:t xml:space="preserve">vigilancia, las cuales contemplan: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a) Gastos para asesores técnicos de pesca que participen en las acciones de inspección y vigilancia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b) Gastos para el desarrollo de campañas de difusión orientadas a combatir la pesca ilegal y prevenir la comisión de infracciones administrativas así como los instrumentos y medios para su desarrollo.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c) Gastos para la operación y mantenimiento de vehículos terrestres, marítimos, aéreos y demás bienes y equipos aportados por los beneficiarios conforme al Proyecto.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d) Gastos de instalación y de alimentación en bases y zonas de operación, así como avituallamiento de embarcaciones en bases marítimas.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e) Gastos que permitan a los beneficiarios poner a disposición infraestructura y equipo que coadyuven en la implementación de acciones de inspección y vigilancia. 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Persona física: Hasta $2’000,000.00 (Dos millones de pesos 00/100 M.N.).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II. Persona moral: Hasta $8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 (Ocho millones de pesos 00/100 M.N.). </w:t>
                        </w:r>
                      </w:p>
                    </w:tc>
                    <w:tc>
                      <w:tcPr>
                        <w:tcW w:w="35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Proyecto concertado.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sz w:val="16"/>
                      <w:szCs w:val="16"/>
                    </w:rPr>
                  </w:pPr>
                </w:p>
                <w:p w:rsidR="00FD2D37" w:rsidRPr="00B5344E" w:rsidRDefault="00FD2D37" w:rsidP="00B5344E">
                  <w:pPr>
                    <w:pStyle w:val="ROMANOS"/>
                    <w:shd w:val="clear" w:color="auto" w:fill="D9D9D9"/>
                    <w:tabs>
                      <w:tab w:val="left" w:pos="0"/>
                    </w:tabs>
                    <w:spacing w:after="0" w:line="240" w:lineRule="auto"/>
                    <w:ind w:left="0" w:firstLine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B5344E">
                    <w:rPr>
                      <w:b/>
                      <w:sz w:val="16"/>
                      <w:szCs w:val="16"/>
                    </w:rPr>
                    <w:t>Componente de Fomento al Consumo</w:t>
                  </w:r>
                </w:p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sz w:val="16"/>
                      <w:szCs w:val="16"/>
                    </w:rPr>
                  </w:pPr>
                  <w:r w:rsidRPr="00B5344E">
                    <w:rPr>
                      <w:sz w:val="16"/>
                      <w:szCs w:val="16"/>
                    </w:rPr>
                    <w:t>El objetivo es Incentivar la demanda de los productos pesqueros y acuícolas.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152"/>
                    <w:gridCol w:w="3406"/>
                    <w:gridCol w:w="2873"/>
                  </w:tblGrid>
                  <w:tr w:rsidR="00FD2D37" w:rsidRPr="00B5344E" w:rsidTr="00A14143">
                    <w:tc>
                      <w:tcPr>
                        <w:tcW w:w="3152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Conceptos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Montos Máximos</w:t>
                        </w:r>
                      </w:p>
                    </w:tc>
                    <w:tc>
                      <w:tcPr>
                        <w:tcW w:w="2873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</w:rPr>
                          <w:t>Requisitos</w:t>
                        </w:r>
                      </w:p>
                    </w:tc>
                  </w:tr>
                  <w:tr w:rsidR="00FD2D37" w:rsidRPr="00B5344E" w:rsidTr="00A14143">
                    <w:tc>
                      <w:tcPr>
                        <w:tcW w:w="3152" w:type="dxa"/>
                        <w:tcBorders>
                          <w:top w:val="single" w:sz="12" w:space="0" w:color="538135" w:themeColor="accent6" w:themeShade="BF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Campañas integrales de promoción de </w:t>
                        </w: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 xml:space="preserve">fomento al consumo y legal procedencia del producto. 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single" w:sz="12" w:space="0" w:color="538135" w:themeColor="accent6" w:themeShade="BF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 xml:space="preserve">I. Por Campaña Nacional hasta </w:t>
                        </w: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>$35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 (Treinta y cinco millones de pesos 00/100 M.N.)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II. Por Campaña Regional hasta $20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 (Veinte millones de pesos 00/100 M.N.) </w:t>
                        </w:r>
                      </w:p>
                    </w:tc>
                    <w:tc>
                      <w:tcPr>
                        <w:tcW w:w="2873" w:type="dxa"/>
                        <w:vMerge w:val="restart"/>
                        <w:tcBorders>
                          <w:top w:val="single" w:sz="12" w:space="0" w:color="538135" w:themeColor="accent6" w:themeShade="BF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 xml:space="preserve">I. Proyecto concertado con la </w:t>
                        </w: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>Instancia Ejecutora conforme al Guion para la elaboración del Proyecto Concertado de Fomento al Consumo (Anexo XLIV de las reglas de operación).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Currículum Vítae, incluyendo alcance, logros y resultados de las distintas actividades y proyectos realizados. </w:t>
                        </w:r>
                      </w:p>
                    </w:tc>
                  </w:tr>
                  <w:tr w:rsidR="00FD2D37" w:rsidRPr="00B5344E" w:rsidTr="00A14143">
                    <w:tc>
                      <w:tcPr>
                        <w:tcW w:w="31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lastRenderedPageBreak/>
                          <w:t xml:space="preserve">II. Estudios de mercado, diagnóstico y monitoreo de consumo y análisis nutrimental. 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Hasta $ 3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 (Tres millones de pesos 00/100 M.N) por estudio. </w:t>
                        </w:r>
                      </w:p>
                    </w:tc>
                    <w:tc>
                      <w:tcPr>
                        <w:tcW w:w="287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val="es-ES" w:eastAsia="es-ES"/>
                          </w:rPr>
                        </w:pPr>
                      </w:p>
                    </w:tc>
                  </w:tr>
                  <w:tr w:rsidR="00FD2D37" w:rsidRPr="00B5344E" w:rsidTr="00A14143">
                    <w:tc>
                      <w:tcPr>
                        <w:tcW w:w="31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III. Eventos y ferias regionales, nacionales e internacionales tecnológicos, comerciales, gastronómicos y de salud. 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Por Evento hasta $4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,500,000.00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 (Cuatro millones quinientos mil pesos 00/100 M.N.)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Por Feria hasta $300,000.00 (Trescientos mil pesos 00/100 M.N.) </w:t>
                        </w:r>
                      </w:p>
                    </w:tc>
                    <w:tc>
                      <w:tcPr>
                        <w:tcW w:w="287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val="es-ES" w:eastAsia="es-ES"/>
                          </w:rPr>
                        </w:pPr>
                      </w:p>
                    </w:tc>
                  </w:tr>
                  <w:tr w:rsidR="00FD2D37" w:rsidRPr="00B5344E" w:rsidTr="00A14143">
                    <w:tc>
                      <w:tcPr>
                        <w:tcW w:w="31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IV. Difusión.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Material impreso, digital y audiovisual, así como material informativo, didáctico y publicitario</w:t>
                        </w: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.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Por Acción Estatal o Regional hasta $250,000.00 (Doscientos cincuenta mil pesos 00/100 M.N.)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Por Acción Nacional hasta $500,000.00 (Quinientos mil pesos 00/100 M.N.) </w:t>
                        </w:r>
                      </w:p>
                    </w:tc>
                    <w:tc>
                      <w:tcPr>
                        <w:tcW w:w="287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val="es-ES" w:eastAsia="es-ES"/>
                          </w:rPr>
                        </w:pPr>
                      </w:p>
                    </w:tc>
                  </w:tr>
                </w:tbl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sz w:val="16"/>
                      <w:szCs w:val="16"/>
                    </w:rPr>
                  </w:pPr>
                </w:p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b/>
                      <w:sz w:val="16"/>
                      <w:szCs w:val="16"/>
                    </w:rPr>
                  </w:pPr>
                  <w:r w:rsidRPr="00B5344E">
                    <w:rPr>
                      <w:b/>
                      <w:sz w:val="16"/>
                      <w:szCs w:val="16"/>
                    </w:rPr>
                    <w:t>Desarrollo de cadenas productivas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177"/>
                    <w:gridCol w:w="3523"/>
                    <w:gridCol w:w="2731"/>
                  </w:tblGrid>
                  <w:tr w:rsidR="00FD2D37" w:rsidRPr="00B5344E" w:rsidTr="00A14143">
                    <w:tc>
                      <w:tcPr>
                        <w:tcW w:w="3177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Conceptos</w:t>
                        </w:r>
                      </w:p>
                    </w:tc>
                    <w:tc>
                      <w:tcPr>
                        <w:tcW w:w="3523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Montos Máximos</w:t>
                        </w:r>
                      </w:p>
                    </w:tc>
                    <w:tc>
                      <w:tcPr>
                        <w:tcW w:w="2731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Requisitos</w:t>
                        </w:r>
                      </w:p>
                    </w:tc>
                  </w:tr>
                  <w:tr w:rsidR="00FD2D37" w:rsidRPr="00B5344E" w:rsidTr="00A14143">
                    <w:tc>
                      <w:tcPr>
                        <w:tcW w:w="3177" w:type="dxa"/>
                        <w:tcBorders>
                          <w:top w:val="single" w:sz="12" w:space="0" w:color="538135" w:themeColor="accent6" w:themeShade="BF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Profesionalización. Pago de servicios profesionales y de consultoría para el acompañamiento de la cadena productiva. </w:t>
                        </w:r>
                      </w:p>
                    </w:tc>
                    <w:tc>
                      <w:tcPr>
                        <w:tcW w:w="3523" w:type="dxa"/>
                        <w:tcBorders>
                          <w:top w:val="single" w:sz="12" w:space="0" w:color="538135" w:themeColor="accent6" w:themeShade="BF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Sistema Producto Estatal o Regional hasta el 70% sin rebasar $400,000.00 (Cuatrocientos mil pesos 00/100 M.N.)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Sistema Producto Nacional hasta el 70% sin rebasar $600,000.00 (Hasta Seiscientos mil pesos 00/100 M.N.) </w:t>
                        </w:r>
                      </w:p>
                    </w:tc>
                    <w:tc>
                      <w:tcPr>
                        <w:tcW w:w="2731" w:type="dxa"/>
                        <w:vMerge w:val="restart"/>
                        <w:tcBorders>
                          <w:top w:val="single" w:sz="12" w:space="0" w:color="538135" w:themeColor="accent6" w:themeShade="BF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Proyecto concertado con la instancia ejecutora, conforme al Guión para la Elaboración de Proyecto Concertado para el Incentivo de Desarrollo de Cadenas Productivas (Anexo XLIII de las reglas de operación).</w:t>
                        </w:r>
                      </w:p>
                    </w:tc>
                  </w:tr>
                  <w:tr w:rsidR="00FD2D37" w:rsidRPr="00B5344E" w:rsidTr="00A14143">
                    <w:tc>
                      <w:tcPr>
                        <w:tcW w:w="31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Asistencia a eventos y Reuniones.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Transportación y viáticos para representantes y agentes operativos de los Sistemas Producto. </w:t>
                        </w:r>
                      </w:p>
                    </w:tc>
                    <w:tc>
                      <w:tcPr>
                        <w:tcW w:w="35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Sistema Producto Estatal o Regional Hasta el 70% sin rebasar $150,000.00 (Ciento cincuenta mil pesos 00/100 M.N.)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Sistema Producto Nacional Hasta el 70% sin rebasar $500,000.00 (Quinientos mil pesos 00/100 M.N.) </w:t>
                        </w:r>
                      </w:p>
                    </w:tc>
                    <w:tc>
                      <w:tcPr>
                        <w:tcW w:w="273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</w:tr>
                  <w:tr w:rsidR="00FD2D37" w:rsidRPr="00B5344E" w:rsidTr="00A14143">
                    <w:tc>
                      <w:tcPr>
                        <w:tcW w:w="31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III. Estudios, proyectos y certificaciones. (Estudios de mercado, certificación, esquemas de calidad, formulación de proyectos productivos, planes de negocios, desarrollo de nuevos productos, valor agregado, diseño de imagen y empaque); así como para la conformación de centros de servicios empresariales, empresas integradoras y comercializadoras. </w:t>
                        </w:r>
                      </w:p>
                    </w:tc>
                    <w:tc>
                      <w:tcPr>
                        <w:tcW w:w="35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Sistema Producto Estatal o Regional Hasta el 70% sin rebasar $600,000.00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(Seiscientos mil pesos 00/100 M.N.)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Sistema Producto Nacional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Hasta el 70% sin rebasar Hasta 1,000,000.00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(Un millón de pesos 00/100 M.N.) </w:t>
                        </w:r>
                      </w:p>
                    </w:tc>
                    <w:tc>
                      <w:tcPr>
                        <w:tcW w:w="273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</w:tr>
                  <w:tr w:rsidR="00FD2D37" w:rsidRPr="00B5344E" w:rsidTr="00A14143">
                    <w:tc>
                      <w:tcPr>
                        <w:tcW w:w="31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IV. Misiones y visitas comerciales y de intercambio. </w:t>
                        </w:r>
                      </w:p>
                    </w:tc>
                    <w:tc>
                      <w:tcPr>
                        <w:tcW w:w="35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Nacionales hasta el 60% sin rebasar $200,000.00 (Doscientos mil pesos 00/100 M.N.)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Internacionales hasta el 40% sin rebasar $500,000.00 (Quinientos mil pesos 00/100 M.N.) </w:t>
                        </w:r>
                      </w:p>
                    </w:tc>
                    <w:tc>
                      <w:tcPr>
                        <w:tcW w:w="273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</w:tr>
                </w:tbl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sz w:val="16"/>
                      <w:szCs w:val="16"/>
                    </w:rPr>
                  </w:pPr>
                </w:p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b/>
                      <w:sz w:val="16"/>
                      <w:szCs w:val="16"/>
                    </w:rPr>
                  </w:pPr>
                  <w:r w:rsidRPr="00B5344E">
                    <w:rPr>
                      <w:b/>
                      <w:sz w:val="16"/>
                      <w:szCs w:val="16"/>
                    </w:rPr>
                    <w:t>Transformación y Comercialización de Productos.</w:t>
                  </w:r>
                </w:p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681"/>
                    <w:gridCol w:w="3085"/>
                    <w:gridCol w:w="3685"/>
                  </w:tblGrid>
                  <w:tr w:rsidR="00502907" w:rsidRPr="00B5344E" w:rsidTr="00A14143">
                    <w:trPr>
                      <w:trHeight w:val="1552"/>
                    </w:trPr>
                    <w:tc>
                      <w:tcPr>
                        <w:tcW w:w="2707" w:type="dxa"/>
                      </w:tcPr>
                      <w:p w:rsidR="00502907" w:rsidRPr="00B5344E" w:rsidRDefault="00502907" w:rsidP="00B5344E">
                        <w:pPr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Equipamiento y mobiliario. Para realizar actividades de transformación y desarrollo de nuevos productos, así como mobiliario para puntos de venta y/o valor agregado.</w:t>
                        </w:r>
                        <w:r w:rsidRPr="00B5344E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eastAsia="es-MX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19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69"/>
                        </w:tblGrid>
                        <w:tr w:rsidR="00502907" w:rsidRPr="00B5344E" w:rsidTr="004F6987">
                          <w:trPr>
                            <w:trHeight w:val="419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502907" w:rsidRPr="00B5344E" w:rsidRDefault="00502907" w:rsidP="00B5344E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5344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  <w:t>I. Hasta el 50%, sin rebasar $1</w:t>
                              </w:r>
                              <w:proofErr w:type="gramStart"/>
                              <w:r w:rsidRPr="00B5344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  <w:t>,500,000.00</w:t>
                              </w:r>
                              <w:proofErr w:type="gramEnd"/>
                              <w:r w:rsidRPr="00B5344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  <w:t xml:space="preserve"> (Un millón quinientos mil pesos 00/100 M.N.).  </w:t>
                              </w:r>
                            </w:p>
                            <w:p w:rsidR="00502907" w:rsidRPr="00B5344E" w:rsidRDefault="00502907" w:rsidP="00B5344E">
                              <w:pPr>
                                <w:spacing w:after="0" w:line="240" w:lineRule="auto"/>
                                <w:rPr>
                                  <w:rFonts w:ascii="Calibri" w:hAnsi="Calibri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:rsidR="00502907" w:rsidRPr="00B5344E" w:rsidRDefault="0050290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c>
                    <w:tc>
                      <w:tcPr>
                        <w:tcW w:w="2751" w:type="dxa"/>
                        <w:vMerge w:val="restart"/>
                      </w:tcPr>
                      <w:tbl>
                        <w:tblPr>
                          <w:tblW w:w="3469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469"/>
                        </w:tblGrid>
                        <w:tr w:rsidR="00502907" w:rsidRPr="00B5344E" w:rsidTr="00016259">
                          <w:trPr>
                            <w:trHeight w:val="1859"/>
                          </w:trPr>
                          <w:tc>
                            <w:tcPr>
                              <w:tcW w:w="346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502907" w:rsidRPr="00B5344E" w:rsidRDefault="00502907" w:rsidP="00B5344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</w:pPr>
                              <w:r w:rsidRPr="00B5344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  <w:t xml:space="preserve">I. Estudio técnico-financiero conforme al Guión para la elaboración de Proyectos Concertado para el Concepto de Puntos de Venta (Puntos de Venta Fijos, </w:t>
                              </w:r>
                              <w:proofErr w:type="spellStart"/>
                              <w:r w:rsidRPr="00B5344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  <w:t>Semi</w:t>
                              </w:r>
                              <w:proofErr w:type="spellEnd"/>
                              <w:r w:rsidRPr="00B5344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  <w:t>-Fijos y Móviles), Anexo XLII de las reglas de operación.</w:t>
                              </w:r>
                            </w:p>
                            <w:p w:rsidR="00502907" w:rsidRPr="00B5344E" w:rsidRDefault="00502907" w:rsidP="00B5344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</w:pPr>
                            </w:p>
                            <w:p w:rsidR="00502907" w:rsidRPr="00B5344E" w:rsidRDefault="00502907" w:rsidP="00B5344E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5344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  <w:t>II. Proyecto concertado con la instancia ejecutora, conforme al Guion para la Elaboración de Proyecto Concertado para el Incentivo de Desarrollo de Cadenas Productivas, (Anexo XLIII de las reglas de operación).</w:t>
                              </w:r>
                            </w:p>
                          </w:tc>
                        </w:tr>
                      </w:tbl>
                      <w:p w:rsidR="00502907" w:rsidRPr="00B5344E" w:rsidRDefault="0050290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502907" w:rsidRPr="00B5344E" w:rsidTr="00502907">
                    <w:tc>
                      <w:tcPr>
                        <w:tcW w:w="2707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65"/>
                        </w:tblGrid>
                        <w:tr w:rsidR="00502907" w:rsidRPr="00B5344E" w:rsidTr="00B32F2C">
                          <w:trPr>
                            <w:trHeight w:val="838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502907" w:rsidRPr="00B5344E" w:rsidRDefault="00502907" w:rsidP="00B5344E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5344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  <w:t xml:space="preserve">II Puntos de Venta. Estructura y Equipamiento y para venta de productos acuícolas procesados: Punto de Venta Fijo, </w:t>
                              </w:r>
                              <w:proofErr w:type="spellStart"/>
                              <w:r w:rsidRPr="00B5344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  <w:t>Semi</w:t>
                              </w:r>
                              <w:proofErr w:type="spellEnd"/>
                              <w:r w:rsidRPr="00B5344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  <w:t xml:space="preserve">-Fijo y móvil. </w:t>
                              </w:r>
                              <w:r w:rsidRPr="00B5344E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502907" w:rsidRPr="00B5344E" w:rsidRDefault="00502907" w:rsidP="00B5344E">
                              <w:pPr>
                                <w:spacing w:after="0" w:line="240" w:lineRule="auto"/>
                                <w:rPr>
                                  <w:rFonts w:ascii="Calibri" w:hAnsi="Calibri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:rsidR="00502907" w:rsidRPr="00B5344E" w:rsidRDefault="00502907" w:rsidP="00B5344E">
                        <w:pPr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119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69"/>
                        </w:tblGrid>
                        <w:tr w:rsidR="00502907" w:rsidRPr="00B5344E" w:rsidTr="00A14143">
                          <w:trPr>
                            <w:trHeight w:val="1561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502907" w:rsidRPr="00B5344E" w:rsidRDefault="00502907" w:rsidP="00B5344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</w:pPr>
                              <w:r w:rsidRPr="00B5344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  <w:t xml:space="preserve">I. Punto de Venta Fijo: Hasta el 50% sin rebasar $600,000.00 (Seiscientos mil pesos 00/100 M.N.) </w:t>
                              </w:r>
                            </w:p>
                            <w:p w:rsidR="00502907" w:rsidRPr="00B5344E" w:rsidRDefault="00502907" w:rsidP="00B5344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</w:pPr>
                              <w:r w:rsidRPr="00B5344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  <w:t xml:space="preserve">II. Puntos de venta </w:t>
                              </w:r>
                              <w:proofErr w:type="spellStart"/>
                              <w:r w:rsidRPr="00B5344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  <w:t>Semi</w:t>
                              </w:r>
                              <w:proofErr w:type="spellEnd"/>
                              <w:r w:rsidRPr="00B5344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  <w:t xml:space="preserve">-Fijos: Hasta el 50% sin rebasar $400,000.00 (Cuatrocientos mil pesos 00/100 M.N.) </w:t>
                              </w:r>
                            </w:p>
                            <w:p w:rsidR="00502907" w:rsidRPr="00B5344E" w:rsidRDefault="00502907" w:rsidP="00B5344E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5344E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es-MX"/>
                                </w:rPr>
                                <w:t xml:space="preserve">III. Puntos de venta Móvil: Hasta el 50% sin rebasar $200,000.00 (Doscientos mil pesos 00/100 M.N.) </w:t>
                              </w:r>
                              <w:r w:rsidRPr="00B5344E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502907" w:rsidRPr="00B5344E" w:rsidRDefault="00502907" w:rsidP="00B5344E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eastAsia="es-MX"/>
                          </w:rPr>
                        </w:pPr>
                      </w:p>
                    </w:tc>
                    <w:tc>
                      <w:tcPr>
                        <w:tcW w:w="2751" w:type="dxa"/>
                        <w:vMerge/>
                      </w:tcPr>
                      <w:p w:rsidR="00502907" w:rsidRPr="00B5344E" w:rsidRDefault="0050290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502907" w:rsidRPr="00B5344E" w:rsidTr="001F0F5D">
                    <w:tc>
                      <w:tcPr>
                        <w:tcW w:w="8577" w:type="dxa"/>
                        <w:gridSpan w:val="3"/>
                      </w:tcPr>
                      <w:p w:rsidR="00502907" w:rsidRPr="00B5344E" w:rsidRDefault="0050290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Se otorgará hasta el 70% del apoyo sin rebasar los montos estipulados, a productores de bajos ingresos ubicados en zonas y </w:t>
                        </w: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lastRenderedPageBreak/>
                          <w:t>localidades de alta y muy alta marginación, de la Cruzada Nacional contra el Hambre, Próspera y proyectos promovidos por mujeres.</w:t>
                        </w:r>
                      </w:p>
                    </w:tc>
                  </w:tr>
                </w:tbl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rPr>
                      <w:sz w:val="16"/>
                      <w:szCs w:val="16"/>
                      <w:lang w:val="es-MX"/>
                    </w:rPr>
                  </w:pPr>
                </w:p>
                <w:p w:rsidR="00FD2D37" w:rsidRPr="00B5344E" w:rsidRDefault="00FD2D37" w:rsidP="00B5344E">
                  <w:pPr>
                    <w:pStyle w:val="ROMANOS"/>
                    <w:shd w:val="clear" w:color="auto" w:fill="D9D9D9"/>
                    <w:tabs>
                      <w:tab w:val="left" w:pos="0"/>
                    </w:tabs>
                    <w:spacing w:after="0" w:line="240" w:lineRule="auto"/>
                    <w:ind w:left="0" w:firstLine="0"/>
                    <w:jc w:val="center"/>
                    <w:rPr>
                      <w:b/>
                      <w:sz w:val="16"/>
                      <w:szCs w:val="16"/>
                      <w:shd w:val="clear" w:color="auto" w:fill="D9D9D9"/>
                      <w:lang w:val="es-MX"/>
                    </w:rPr>
                  </w:pPr>
                  <w:r w:rsidRPr="00B5344E">
                    <w:rPr>
                      <w:b/>
                      <w:sz w:val="16"/>
                      <w:szCs w:val="16"/>
                      <w:shd w:val="clear" w:color="auto" w:fill="D9D9D9"/>
                      <w:lang w:val="es-MX"/>
                    </w:rPr>
                    <w:t>COMPONENTE INNOVACIÓN Y TECNOLOGÍA PESQUERA</w:t>
                  </w:r>
                </w:p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jc w:val="left"/>
                    <w:rPr>
                      <w:sz w:val="16"/>
                      <w:szCs w:val="16"/>
                      <w:lang w:val="es-MX"/>
                    </w:rPr>
                  </w:pPr>
                  <w:r w:rsidRPr="00B5344E">
                    <w:rPr>
                      <w:sz w:val="16"/>
                      <w:szCs w:val="16"/>
                      <w:lang w:val="es-MX"/>
                    </w:rPr>
                    <w:t>El objetivo es apoyar a entidades de investigación y transferencia tecnológica para mejorar la calidad de las líneas genéticas acuícolas.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697"/>
                    <w:gridCol w:w="147"/>
                    <w:gridCol w:w="2688"/>
                    <w:gridCol w:w="3861"/>
                  </w:tblGrid>
                  <w:tr w:rsidR="00FD2D37" w:rsidRPr="00B5344E" w:rsidTr="00A14143">
                    <w:tc>
                      <w:tcPr>
                        <w:tcW w:w="2844" w:type="dxa"/>
                        <w:gridSpan w:val="2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  <w:lang w:val="es-MX"/>
                          </w:rPr>
                          <w:t>Concepto</w:t>
                        </w:r>
                      </w:p>
                    </w:tc>
                    <w:tc>
                      <w:tcPr>
                        <w:tcW w:w="2688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  <w:lang w:val="es-MX"/>
                          </w:rPr>
                          <w:t>Montos Máximos</w:t>
                        </w:r>
                      </w:p>
                    </w:tc>
                    <w:tc>
                      <w:tcPr>
                        <w:tcW w:w="3861" w:type="dxa"/>
                        <w:tcBorders>
                          <w:top w:val="single" w:sz="12" w:space="0" w:color="538135" w:themeColor="accent6" w:themeShade="BF"/>
                          <w:left w:val="single" w:sz="12" w:space="0" w:color="538135" w:themeColor="accent6" w:themeShade="BF"/>
                          <w:bottom w:val="single" w:sz="12" w:space="0" w:color="538135" w:themeColor="accent6" w:themeShade="BF"/>
                          <w:right w:val="single" w:sz="12" w:space="0" w:color="538135" w:themeColor="accent6" w:themeShade="BF"/>
                        </w:tcBorders>
                        <w:shd w:val="clear" w:color="auto" w:fill="FFE599" w:themeFill="accent4" w:themeFillTint="66"/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center"/>
                          <w:rPr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b/>
                            <w:sz w:val="16"/>
                            <w:szCs w:val="16"/>
                            <w:lang w:val="es-MX"/>
                          </w:rPr>
                          <w:t>Requisitos</w:t>
                        </w:r>
                      </w:p>
                    </w:tc>
                  </w:tr>
                  <w:tr w:rsidR="00FD2D37" w:rsidRPr="00B5344E" w:rsidTr="00016259">
                    <w:tc>
                      <w:tcPr>
                        <w:tcW w:w="9393" w:type="dxa"/>
                        <w:gridSpan w:val="4"/>
                        <w:tcBorders>
                          <w:top w:val="single" w:sz="12" w:space="0" w:color="538135" w:themeColor="accent6" w:themeShade="BF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jc w:val="left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>Recursos Genéticos Acuícolas</w:t>
                        </w:r>
                      </w:p>
                    </w:tc>
                  </w:tr>
                  <w:tr w:rsidR="00FD2D37" w:rsidRPr="00B5344E" w:rsidTr="00016259">
                    <w:tc>
                      <w:tcPr>
                        <w:tcW w:w="26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Adquisición de líneas genéticas de interés comercial.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Hasta $1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 (un millón de pesos 00/100 M.N.):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a) 10% para asistencia técnica especializada.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b) 90% para adquisición de reproductores. </w:t>
                        </w:r>
                      </w:p>
                    </w:tc>
                    <w:tc>
                      <w:tcPr>
                        <w:tcW w:w="386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I. Título para el uso y/o aprovechamiento de agua vigente, a nombre del Solicitante expedido por autoridad competente (Acorde al área, obras y especies citadas en el proyecto) o autorización emitida por el distrito de riego, siempre y cuando sea usuario del mismo.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Resolutivo en materia de impacto ambiental, emitido por la autoridad competente, en el que se autorice el proyecto, vigente, a nombre del solicitante y que concuerde con las obras y especies solicitadas;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III. Proyecto a desarrollar conforme al Guion Único para la elaboración de proyectos de inversión. Anexo II de las reglas de operación.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IV. Carta de capacidades técnicas Anexos XLV</w:t>
                        </w: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 de las reglas de operación.</w:t>
                        </w:r>
                      </w:p>
                    </w:tc>
                  </w:tr>
                  <w:tr w:rsidR="00FD2D37" w:rsidRPr="00B5344E" w:rsidTr="00016259">
                    <w:tc>
                      <w:tcPr>
                        <w:tcW w:w="26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Construcción y/o adecuación de infraestructura, instalaciones y equipamiento de laboratorios de producción de larvas, post-larvas, semillas, crías o juveniles de organismos acuáticos: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a) Infraestructura e instalaciones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b) Materiales y equipo.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c) Asistencia técnica. 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Hasta el 50% del proyecto, sin rebasar $5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 (cinco millones de pesos 00/100 M.N.).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Para el caso de asistencia técnica hasta $350,000.00 (Trescientos cincuenta mil, pesos, M.N. 00/100). </w:t>
                        </w:r>
                      </w:p>
                    </w:tc>
                    <w:tc>
                      <w:tcPr>
                        <w:tcW w:w="386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</w:tr>
                  <w:tr w:rsidR="00FD2D37" w:rsidRPr="00B5344E" w:rsidTr="00016259">
                    <w:tc>
                      <w:tcPr>
                        <w:tcW w:w="26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III. Manejo y preservación de productos sexuales de especies de importancia comercial, con fines de mantener bancos de genoma.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a) Materiales y equipo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b) Asistencia Técnica 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Hasta $5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 (cinco millones de pesos 00/100 M.N.).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II. Para el caso de asistencia técnica hasta 500,000.00 (Quinientos mil pesos M.N 00/100) </w:t>
                        </w:r>
                      </w:p>
                    </w:tc>
                    <w:tc>
                      <w:tcPr>
                        <w:tcW w:w="386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I. Proyecto a desarrollar conforme al Guion Único para la elaboración de proyectos de inversión. Anexo II de las reglas de operación.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II. Carta de capacidades Técnicas Recursos Genéticos Acuícolas, (Anexo XLV</w:t>
                        </w:r>
                        <w:r w:rsidRPr="00B5344E">
                          <w:rPr>
                            <w:sz w:val="16"/>
                            <w:szCs w:val="16"/>
                            <w:lang w:val="es-MX"/>
                          </w:rPr>
                          <w:t xml:space="preserve"> de las reglas de operación).</w:t>
                        </w:r>
                      </w:p>
                    </w:tc>
                  </w:tr>
                  <w:tr w:rsidR="00FD2D37" w:rsidRPr="00B5344E" w:rsidTr="00016259">
                    <w:tc>
                      <w:tcPr>
                        <w:tcW w:w="26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IV. Caracterización de líneas genéticas.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  <w:lang w:eastAsia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>Hasta $1</w:t>
                        </w:r>
                        <w:proofErr w:type="gramStart"/>
                        <w:r w:rsidRPr="00B5344E">
                          <w:rPr>
                            <w:sz w:val="16"/>
                            <w:szCs w:val="16"/>
                          </w:rPr>
                          <w:t>,000,000.00</w:t>
                        </w:r>
                        <w:proofErr w:type="gramEnd"/>
                        <w:r w:rsidRPr="00B5344E">
                          <w:rPr>
                            <w:sz w:val="16"/>
                            <w:szCs w:val="16"/>
                          </w:rPr>
                          <w:t xml:space="preserve"> (un millón de pesos 00/100 M.N.): </w:t>
                        </w:r>
                      </w:p>
                      <w:p w:rsidR="00FD2D37" w:rsidRPr="00B5344E" w:rsidRDefault="00FD2D37" w:rsidP="00B5344E">
                        <w:pPr>
                          <w:pStyle w:val="Default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a) 10% para asistencia técnica especializada. </w:t>
                        </w:r>
                      </w:p>
                      <w:p w:rsidR="00FD2D37" w:rsidRPr="00B5344E" w:rsidRDefault="00FD2D37" w:rsidP="00B5344E">
                        <w:pPr>
                          <w:pStyle w:val="ROMANOS"/>
                          <w:tabs>
                            <w:tab w:val="left" w:pos="0"/>
                          </w:tabs>
                          <w:spacing w:after="0" w:line="240" w:lineRule="auto"/>
                          <w:ind w:left="0" w:firstLine="0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B5344E">
                          <w:rPr>
                            <w:sz w:val="16"/>
                            <w:szCs w:val="16"/>
                          </w:rPr>
                          <w:t xml:space="preserve">b) 90 % para caracterización de líneas genéticas. </w:t>
                        </w:r>
                      </w:p>
                    </w:tc>
                    <w:tc>
                      <w:tcPr>
                        <w:tcW w:w="386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D2D37" w:rsidRPr="00B5344E" w:rsidRDefault="00FD2D37" w:rsidP="00B5344E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</w:tr>
                </w:tbl>
                <w:p w:rsidR="00FD2D37" w:rsidRPr="00B5344E" w:rsidRDefault="00FD2D37" w:rsidP="00B5344E">
                  <w:pPr>
                    <w:pStyle w:val="ROMANOS"/>
                    <w:tabs>
                      <w:tab w:val="left" w:pos="0"/>
                    </w:tabs>
                    <w:spacing w:after="0" w:line="240" w:lineRule="auto"/>
                    <w:ind w:left="0" w:firstLine="0"/>
                    <w:jc w:val="left"/>
                    <w:rPr>
                      <w:sz w:val="16"/>
                      <w:szCs w:val="16"/>
                      <w:lang w:val="es-MX"/>
                    </w:rPr>
                  </w:pPr>
                </w:p>
              </w:tc>
            </w:tr>
          </w:tbl>
          <w:p w:rsidR="00D02782" w:rsidRPr="00FD2D37" w:rsidRDefault="00D02782" w:rsidP="00A14143">
            <w:pPr>
              <w:spacing w:line="256" w:lineRule="auto"/>
              <w:rPr>
                <w:sz w:val="16"/>
                <w:lang w:val="es-ES"/>
              </w:rPr>
            </w:pPr>
          </w:p>
        </w:tc>
      </w:tr>
    </w:tbl>
    <w:p w:rsidR="00304A75" w:rsidRPr="00304A75" w:rsidRDefault="00304A75" w:rsidP="00304A75">
      <w:pPr>
        <w:spacing w:line="256" w:lineRule="auto"/>
        <w:ind w:left="360"/>
        <w:jc w:val="both"/>
        <w:rPr>
          <w:rFonts w:ascii="Arial" w:hAnsi="Arial" w:cs="Arial"/>
          <w:b/>
        </w:rPr>
      </w:pPr>
    </w:p>
    <w:p w:rsidR="00064A56" w:rsidRPr="00304A75" w:rsidRDefault="00064A56" w:rsidP="00304A75">
      <w:pPr>
        <w:rPr>
          <w:lang w:val="es-ES"/>
        </w:rPr>
      </w:pPr>
    </w:p>
    <w:sectPr w:rsidR="00064A56" w:rsidRPr="00304A75" w:rsidSect="00381E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EF6" w:rsidRDefault="00641EF6" w:rsidP="00FF763C">
      <w:pPr>
        <w:spacing w:after="0" w:line="240" w:lineRule="auto"/>
      </w:pPr>
      <w:r>
        <w:separator/>
      </w:r>
    </w:p>
  </w:endnote>
  <w:endnote w:type="continuationSeparator" w:id="0">
    <w:p w:rsidR="00641EF6" w:rsidRDefault="00641EF6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37A" w:rsidRDefault="00D2437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FF763C" w:rsidTr="0095453E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FF763C" w:rsidRDefault="00C85000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FF763C">
            <w:instrText xml:space="preserve"> PAGE   \* MERGEFORMAT </w:instrText>
          </w:r>
          <w:r>
            <w:fldChar w:fldCharType="separate"/>
          </w:r>
          <w:r w:rsidR="00D2437A" w:rsidRPr="00D2437A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F763C" w:rsidRDefault="00FF763C" w:rsidP="00314DE9">
          <w:pPr>
            <w:pStyle w:val="Piedepgina"/>
            <w:jc w:val="right"/>
          </w:pPr>
          <w:r>
            <w:t>Catá</w:t>
          </w:r>
          <w:r w:rsidR="00D02125">
            <w:t>logo de Programas Federales 201</w:t>
          </w:r>
          <w:r w:rsidR="00314DE9">
            <w:t>6</w:t>
          </w:r>
          <w:r>
            <w:t xml:space="preserve">    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FF763C" w:rsidRDefault="00FF763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37A" w:rsidRDefault="00D2437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EF6" w:rsidRDefault="00641EF6" w:rsidP="00FF763C">
      <w:pPr>
        <w:spacing w:after="0" w:line="240" w:lineRule="auto"/>
      </w:pPr>
      <w:r>
        <w:separator/>
      </w:r>
    </w:p>
  </w:footnote>
  <w:footnote w:type="continuationSeparator" w:id="0">
    <w:p w:rsidR="00641EF6" w:rsidRDefault="00641EF6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37A" w:rsidRDefault="00D2437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3C" w:rsidRDefault="00D2437A" w:rsidP="00DC7B3B">
    <w:pPr>
      <w:pStyle w:val="Encabezado"/>
      <w:ind w:left="-567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-925830</wp:posOffset>
          </wp:positionH>
          <wp:positionV relativeFrom="paragraph">
            <wp:posOffset>-300990</wp:posOffset>
          </wp:positionV>
          <wp:extent cx="7054850" cy="792480"/>
          <wp:effectExtent l="0" t="0" r="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37A" w:rsidRDefault="00D2437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05399"/>
    <w:multiLevelType w:val="hybridMultilevel"/>
    <w:tmpl w:val="B714F1D8"/>
    <w:lvl w:ilvl="0" w:tplc="F8AA5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5B075B"/>
    <w:multiLevelType w:val="hybridMultilevel"/>
    <w:tmpl w:val="C47A1A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451F7E39"/>
    <w:multiLevelType w:val="hybridMultilevel"/>
    <w:tmpl w:val="31E82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2617DE"/>
    <w:multiLevelType w:val="hybridMultilevel"/>
    <w:tmpl w:val="5C1E61C8"/>
    <w:lvl w:ilvl="0" w:tplc="080A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7B250B7F"/>
    <w:multiLevelType w:val="hybridMultilevel"/>
    <w:tmpl w:val="71343F1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01893"/>
    <w:rsid w:val="00002645"/>
    <w:rsid w:val="00016259"/>
    <w:rsid w:val="00021423"/>
    <w:rsid w:val="00026058"/>
    <w:rsid w:val="00051994"/>
    <w:rsid w:val="000525E8"/>
    <w:rsid w:val="00064A56"/>
    <w:rsid w:val="00085583"/>
    <w:rsid w:val="00086B6B"/>
    <w:rsid w:val="00087825"/>
    <w:rsid w:val="000F3C3C"/>
    <w:rsid w:val="001528B5"/>
    <w:rsid w:val="001C75D3"/>
    <w:rsid w:val="0020014C"/>
    <w:rsid w:val="002260BE"/>
    <w:rsid w:val="00232957"/>
    <w:rsid w:val="0023295F"/>
    <w:rsid w:val="00252743"/>
    <w:rsid w:val="002C36CB"/>
    <w:rsid w:val="00304A75"/>
    <w:rsid w:val="00314DE9"/>
    <w:rsid w:val="00321C6F"/>
    <w:rsid w:val="00340293"/>
    <w:rsid w:val="00344B08"/>
    <w:rsid w:val="00363465"/>
    <w:rsid w:val="00381E76"/>
    <w:rsid w:val="003A7745"/>
    <w:rsid w:val="003E6550"/>
    <w:rsid w:val="003E7414"/>
    <w:rsid w:val="00415BCF"/>
    <w:rsid w:val="00452EA6"/>
    <w:rsid w:val="00496D9E"/>
    <w:rsid w:val="004A6F7F"/>
    <w:rsid w:val="004D3FA5"/>
    <w:rsid w:val="00502907"/>
    <w:rsid w:val="00503133"/>
    <w:rsid w:val="0053615A"/>
    <w:rsid w:val="005508CD"/>
    <w:rsid w:val="00582AB3"/>
    <w:rsid w:val="00595614"/>
    <w:rsid w:val="005D4689"/>
    <w:rsid w:val="00605CDF"/>
    <w:rsid w:val="00641EF6"/>
    <w:rsid w:val="00701384"/>
    <w:rsid w:val="00703ADE"/>
    <w:rsid w:val="00721B6F"/>
    <w:rsid w:val="00806069"/>
    <w:rsid w:val="008070D2"/>
    <w:rsid w:val="00820B0B"/>
    <w:rsid w:val="008834C2"/>
    <w:rsid w:val="008848A1"/>
    <w:rsid w:val="00884B06"/>
    <w:rsid w:val="008A6AA7"/>
    <w:rsid w:val="008C795F"/>
    <w:rsid w:val="008F53CE"/>
    <w:rsid w:val="00901937"/>
    <w:rsid w:val="0091343C"/>
    <w:rsid w:val="009413A4"/>
    <w:rsid w:val="00947FE5"/>
    <w:rsid w:val="00954ECD"/>
    <w:rsid w:val="00956CA2"/>
    <w:rsid w:val="00957323"/>
    <w:rsid w:val="00984A9B"/>
    <w:rsid w:val="00A14143"/>
    <w:rsid w:val="00A33B5A"/>
    <w:rsid w:val="00A35A98"/>
    <w:rsid w:val="00A9151E"/>
    <w:rsid w:val="00AA080C"/>
    <w:rsid w:val="00B13E7F"/>
    <w:rsid w:val="00B5344E"/>
    <w:rsid w:val="00B6159A"/>
    <w:rsid w:val="00B703E7"/>
    <w:rsid w:val="00B96961"/>
    <w:rsid w:val="00BB3DF2"/>
    <w:rsid w:val="00BD7EE9"/>
    <w:rsid w:val="00BF53A1"/>
    <w:rsid w:val="00C24835"/>
    <w:rsid w:val="00C27528"/>
    <w:rsid w:val="00C31BA2"/>
    <w:rsid w:val="00C3756C"/>
    <w:rsid w:val="00C85000"/>
    <w:rsid w:val="00CA4C12"/>
    <w:rsid w:val="00CA5A49"/>
    <w:rsid w:val="00CC6DDD"/>
    <w:rsid w:val="00CE33EB"/>
    <w:rsid w:val="00D02125"/>
    <w:rsid w:val="00D02782"/>
    <w:rsid w:val="00D2437A"/>
    <w:rsid w:val="00D341F5"/>
    <w:rsid w:val="00D34997"/>
    <w:rsid w:val="00D35C09"/>
    <w:rsid w:val="00D51245"/>
    <w:rsid w:val="00D546F2"/>
    <w:rsid w:val="00D904A7"/>
    <w:rsid w:val="00DC59A7"/>
    <w:rsid w:val="00DC7B3B"/>
    <w:rsid w:val="00DF4633"/>
    <w:rsid w:val="00DF52B8"/>
    <w:rsid w:val="00DF6AAD"/>
    <w:rsid w:val="00E13FCF"/>
    <w:rsid w:val="00E1549F"/>
    <w:rsid w:val="00E35369"/>
    <w:rsid w:val="00E70F6B"/>
    <w:rsid w:val="00E71C49"/>
    <w:rsid w:val="00E82EFB"/>
    <w:rsid w:val="00EA3F2F"/>
    <w:rsid w:val="00EB323A"/>
    <w:rsid w:val="00ED5F79"/>
    <w:rsid w:val="00F26848"/>
    <w:rsid w:val="00F81996"/>
    <w:rsid w:val="00F907BE"/>
    <w:rsid w:val="00F92A19"/>
    <w:rsid w:val="00FB37F7"/>
    <w:rsid w:val="00FD2D37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41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341F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8834C2"/>
  </w:style>
  <w:style w:type="paragraph" w:customStyle="1" w:styleId="Default">
    <w:name w:val="Default"/>
    <w:rsid w:val="00B969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41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341F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8834C2"/>
  </w:style>
  <w:style w:type="paragraph" w:customStyle="1" w:styleId="Default">
    <w:name w:val="Default"/>
    <w:rsid w:val="00B969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9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0308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651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1579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15211">
          <w:marLeft w:val="72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8511">
          <w:marLeft w:val="72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52947">
          <w:marLeft w:val="72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2291">
          <w:marLeft w:val="72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3788">
          <w:marLeft w:val="72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5944">
          <w:marLeft w:val="72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8504">
          <w:marLeft w:val="72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4353">
          <w:marLeft w:val="72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16">
          <w:marLeft w:val="72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40682">
          <w:marLeft w:val="72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6578">
          <w:marLeft w:val="72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0962">
          <w:marLeft w:val="72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1680">
          <w:marLeft w:val="72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7747">
          <w:marLeft w:val="72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2306">
          <w:marLeft w:val="72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4414">
          <w:marLeft w:val="72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77648">
          <w:marLeft w:val="72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3347">
          <w:marLeft w:val="72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9502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9841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28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6670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866AB"/>
    <w:rsid w:val="001762CF"/>
    <w:rsid w:val="00246C54"/>
    <w:rsid w:val="002538F0"/>
    <w:rsid w:val="002962D8"/>
    <w:rsid w:val="002C27FA"/>
    <w:rsid w:val="00376722"/>
    <w:rsid w:val="003F11E6"/>
    <w:rsid w:val="00475E67"/>
    <w:rsid w:val="005620A9"/>
    <w:rsid w:val="00580998"/>
    <w:rsid w:val="005F69BF"/>
    <w:rsid w:val="008E16E7"/>
    <w:rsid w:val="00A4430B"/>
    <w:rsid w:val="00AE3A55"/>
    <w:rsid w:val="00B02B61"/>
    <w:rsid w:val="00C96295"/>
    <w:rsid w:val="00D6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44906B-5ADB-4EB0-AAF5-72AB88C03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4668</Words>
  <Characters>25677</Characters>
  <Application>Microsoft Office Word</Application>
  <DocSecurity>0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30285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8</cp:revision>
  <cp:lastPrinted>2013-12-06T17:20:00Z</cp:lastPrinted>
  <dcterms:created xsi:type="dcterms:W3CDTF">2016-04-14T14:34:00Z</dcterms:created>
  <dcterms:modified xsi:type="dcterms:W3CDTF">2016-07-05T17:12:00Z</dcterms:modified>
</cp:coreProperties>
</file>