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A32" w:rsidRDefault="003B6A32" w:rsidP="003B6A32">
      <w:pPr>
        <w:spacing w:before="240" w:line="240" w:lineRule="auto"/>
        <w:jc w:val="center"/>
        <w:rPr>
          <w:rFonts w:ascii="Arial" w:hAnsi="Arial" w:cs="Arial"/>
          <w:b/>
          <w:color w:val="000000"/>
          <w:sz w:val="24"/>
          <w:szCs w:val="24"/>
        </w:rPr>
      </w:pPr>
      <w:r w:rsidRPr="003B6A32">
        <w:rPr>
          <w:rFonts w:ascii="Arial" w:hAnsi="Arial" w:cs="Arial"/>
          <w:b/>
          <w:color w:val="000000"/>
          <w:sz w:val="24"/>
          <w:szCs w:val="24"/>
        </w:rPr>
        <w:t>Programa de Sanidad e Inocuidad Agroalimentaria</w:t>
      </w:r>
    </w:p>
    <w:tbl>
      <w:tblPr>
        <w:tblStyle w:val="Tablaconcuadrcula"/>
        <w:tblpPr w:leftFromText="141" w:rightFromText="141" w:vertAnchor="page" w:horzAnchor="margin" w:tblpY="2701"/>
        <w:tblW w:w="9747" w:type="dxa"/>
        <w:tblLook w:val="04A0" w:firstRow="1" w:lastRow="0" w:firstColumn="1" w:lastColumn="0" w:noHBand="0" w:noVBand="1"/>
      </w:tblPr>
      <w:tblGrid>
        <w:gridCol w:w="2616"/>
        <w:gridCol w:w="2170"/>
        <w:gridCol w:w="1701"/>
        <w:gridCol w:w="3260"/>
      </w:tblGrid>
      <w:tr w:rsidR="00003CB7" w:rsidRPr="001317D8" w:rsidTr="00F50DE4">
        <w:tc>
          <w:tcPr>
            <w:tcW w:w="9747" w:type="dxa"/>
            <w:gridSpan w:val="4"/>
            <w:tc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tcBorders>
            <w:shd w:val="clear" w:color="auto" w:fill="FFE599" w:themeFill="accent4" w:themeFillTint="66"/>
          </w:tcPr>
          <w:p w:rsidR="00003CB7" w:rsidRPr="001317D8" w:rsidRDefault="00003CB7" w:rsidP="001317D8">
            <w:pPr>
              <w:pStyle w:val="Texto"/>
              <w:spacing w:after="0"/>
              <w:ind w:firstLine="0"/>
              <w:rPr>
                <w:sz w:val="16"/>
                <w:szCs w:val="16"/>
              </w:rPr>
            </w:pPr>
            <w:r w:rsidRPr="001317D8">
              <w:rPr>
                <w:b/>
                <w:sz w:val="16"/>
                <w:szCs w:val="16"/>
              </w:rPr>
              <w:t>OBJETIVO:</w:t>
            </w:r>
            <w:r w:rsidRPr="001317D8">
              <w:rPr>
                <w:sz w:val="16"/>
                <w:szCs w:val="16"/>
              </w:rPr>
              <w:t xml:space="preserve"> </w:t>
            </w:r>
            <w:r w:rsidR="009714F6">
              <w:rPr>
                <w:szCs w:val="18"/>
              </w:rPr>
              <w:t xml:space="preserve">Es mejorar el patrimonio </w:t>
            </w:r>
            <w:proofErr w:type="spellStart"/>
            <w:r w:rsidR="009714F6">
              <w:rPr>
                <w:szCs w:val="18"/>
              </w:rPr>
              <w:t>fito</w:t>
            </w:r>
            <w:proofErr w:type="spellEnd"/>
            <w:r w:rsidR="009714F6">
              <w:rPr>
                <w:szCs w:val="18"/>
              </w:rPr>
              <w:t>-zoosanitario y la inocuidad agroalimentaria, acuícola y pesquera.</w:t>
            </w:r>
          </w:p>
        </w:tc>
      </w:tr>
      <w:tr w:rsidR="00003CB7" w:rsidRPr="001317D8" w:rsidTr="00F901B7">
        <w:tc>
          <w:tcPr>
            <w:tcW w:w="2616" w:type="dxa"/>
            <w:tcBorders>
              <w:top w:val="single" w:sz="12" w:space="0" w:color="385623" w:themeColor="accent6" w:themeShade="80"/>
              <w:left w:val="nil"/>
              <w:bottom w:val="single" w:sz="12" w:space="0" w:color="FFE599" w:themeColor="accent4" w:themeTint="66"/>
              <w:right w:val="nil"/>
            </w:tcBorders>
            <w:vAlign w:val="center"/>
          </w:tcPr>
          <w:p w:rsidR="00003CB7" w:rsidRPr="001317D8" w:rsidRDefault="00003CB7" w:rsidP="001317D8">
            <w:pPr>
              <w:jc w:val="center"/>
              <w:rPr>
                <w:rFonts w:ascii="Arial" w:hAnsi="Arial" w:cs="Arial"/>
                <w:sz w:val="16"/>
                <w:szCs w:val="16"/>
                <w:lang w:val="es-ES"/>
              </w:rPr>
            </w:pPr>
          </w:p>
          <w:p w:rsidR="00003CB7" w:rsidRPr="001317D8" w:rsidRDefault="00003CB7" w:rsidP="001317D8">
            <w:pPr>
              <w:jc w:val="center"/>
              <w:rPr>
                <w:rFonts w:ascii="Arial" w:hAnsi="Arial" w:cs="Arial"/>
                <w:sz w:val="16"/>
                <w:szCs w:val="16"/>
                <w:lang w:val="es-ES"/>
              </w:rPr>
            </w:pPr>
            <w:r w:rsidRPr="001317D8">
              <w:rPr>
                <w:rFonts w:ascii="Arial" w:hAnsi="Arial" w:cs="Arial"/>
                <w:sz w:val="16"/>
                <w:szCs w:val="16"/>
                <w:lang w:val="es-ES"/>
              </w:rPr>
              <w:t>COBERTURA</w:t>
            </w:r>
          </w:p>
        </w:tc>
        <w:tc>
          <w:tcPr>
            <w:tcW w:w="2170" w:type="dxa"/>
            <w:tcBorders>
              <w:top w:val="single" w:sz="12" w:space="0" w:color="385623" w:themeColor="accent6" w:themeShade="80"/>
              <w:left w:val="nil"/>
              <w:bottom w:val="single" w:sz="12" w:space="0" w:color="FFE599" w:themeColor="accent4" w:themeTint="66"/>
              <w:right w:val="nil"/>
            </w:tcBorders>
            <w:vAlign w:val="center"/>
          </w:tcPr>
          <w:p w:rsidR="00003CB7" w:rsidRPr="001317D8" w:rsidRDefault="00003CB7" w:rsidP="001317D8">
            <w:pPr>
              <w:jc w:val="center"/>
              <w:rPr>
                <w:rFonts w:ascii="Arial" w:hAnsi="Arial" w:cs="Arial"/>
                <w:sz w:val="16"/>
                <w:szCs w:val="16"/>
                <w:lang w:val="es-ES"/>
              </w:rPr>
            </w:pPr>
          </w:p>
          <w:p w:rsidR="00003CB7" w:rsidRPr="001317D8" w:rsidRDefault="00003CB7" w:rsidP="001317D8">
            <w:pPr>
              <w:jc w:val="center"/>
              <w:rPr>
                <w:rFonts w:ascii="Arial" w:hAnsi="Arial" w:cs="Arial"/>
                <w:sz w:val="16"/>
                <w:szCs w:val="16"/>
                <w:lang w:val="es-ES"/>
              </w:rPr>
            </w:pPr>
            <w:r w:rsidRPr="001317D8">
              <w:rPr>
                <w:rFonts w:ascii="Arial" w:hAnsi="Arial" w:cs="Arial"/>
                <w:sz w:val="16"/>
                <w:szCs w:val="16"/>
                <w:lang w:val="es-ES"/>
              </w:rPr>
              <w:t>SECTOR</w:t>
            </w:r>
          </w:p>
        </w:tc>
        <w:tc>
          <w:tcPr>
            <w:tcW w:w="1701" w:type="dxa"/>
            <w:tcBorders>
              <w:top w:val="single" w:sz="12" w:space="0" w:color="385623" w:themeColor="accent6" w:themeShade="80"/>
              <w:left w:val="nil"/>
              <w:bottom w:val="single" w:sz="12" w:space="0" w:color="FFE599" w:themeColor="accent4" w:themeTint="66"/>
              <w:right w:val="nil"/>
            </w:tcBorders>
            <w:vAlign w:val="center"/>
          </w:tcPr>
          <w:p w:rsidR="00003CB7" w:rsidRPr="001317D8" w:rsidRDefault="00003CB7" w:rsidP="001317D8">
            <w:pPr>
              <w:jc w:val="center"/>
              <w:rPr>
                <w:rFonts w:ascii="Arial" w:hAnsi="Arial" w:cs="Arial"/>
                <w:sz w:val="16"/>
                <w:szCs w:val="16"/>
                <w:lang w:val="es-ES"/>
              </w:rPr>
            </w:pPr>
          </w:p>
          <w:p w:rsidR="00003CB7" w:rsidRPr="001317D8" w:rsidRDefault="00003CB7" w:rsidP="001317D8">
            <w:pPr>
              <w:jc w:val="center"/>
              <w:rPr>
                <w:rFonts w:ascii="Arial" w:hAnsi="Arial" w:cs="Arial"/>
                <w:sz w:val="16"/>
                <w:szCs w:val="16"/>
                <w:lang w:val="es-ES"/>
              </w:rPr>
            </w:pPr>
            <w:r w:rsidRPr="001317D8">
              <w:rPr>
                <w:rFonts w:ascii="Arial" w:hAnsi="Arial" w:cs="Arial"/>
                <w:sz w:val="16"/>
                <w:szCs w:val="16"/>
                <w:lang w:val="es-ES"/>
              </w:rPr>
              <w:t>REQUIERE APORTACIÓN</w:t>
            </w:r>
          </w:p>
        </w:tc>
        <w:tc>
          <w:tcPr>
            <w:tcW w:w="3260" w:type="dxa"/>
            <w:tcBorders>
              <w:top w:val="single" w:sz="12" w:space="0" w:color="385623" w:themeColor="accent6" w:themeShade="80"/>
              <w:left w:val="nil"/>
              <w:bottom w:val="single" w:sz="12" w:space="0" w:color="FFE599" w:themeColor="accent4" w:themeTint="66"/>
              <w:right w:val="nil"/>
            </w:tcBorders>
            <w:vAlign w:val="center"/>
          </w:tcPr>
          <w:p w:rsidR="00003CB7" w:rsidRPr="001317D8" w:rsidRDefault="00003CB7" w:rsidP="001317D8">
            <w:pPr>
              <w:jc w:val="center"/>
              <w:rPr>
                <w:rFonts w:ascii="Arial" w:hAnsi="Arial" w:cs="Arial"/>
                <w:sz w:val="16"/>
                <w:szCs w:val="16"/>
                <w:lang w:val="es-ES"/>
              </w:rPr>
            </w:pPr>
          </w:p>
          <w:p w:rsidR="00003CB7" w:rsidRPr="001317D8" w:rsidRDefault="00003CB7" w:rsidP="001317D8">
            <w:pPr>
              <w:jc w:val="center"/>
              <w:rPr>
                <w:rFonts w:ascii="Arial" w:hAnsi="Arial" w:cs="Arial"/>
                <w:sz w:val="16"/>
                <w:szCs w:val="16"/>
                <w:lang w:val="es-ES"/>
              </w:rPr>
            </w:pPr>
            <w:r w:rsidRPr="001317D8">
              <w:rPr>
                <w:rFonts w:ascii="Arial" w:hAnsi="Arial" w:cs="Arial"/>
                <w:sz w:val="16"/>
                <w:szCs w:val="16"/>
                <w:lang w:val="es-ES"/>
              </w:rPr>
              <w:t>MONTOS DE APOYO</w:t>
            </w:r>
          </w:p>
        </w:tc>
      </w:tr>
      <w:tr w:rsidR="00003CB7" w:rsidRPr="001317D8" w:rsidTr="00F901B7">
        <w:tc>
          <w:tcPr>
            <w:tcW w:w="261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003CB7" w:rsidRPr="001317D8" w:rsidRDefault="00003CB7" w:rsidP="001317D8">
            <w:pPr>
              <w:jc w:val="center"/>
              <w:rPr>
                <w:rFonts w:ascii="Arial" w:hAnsi="Arial" w:cs="Arial"/>
                <w:sz w:val="16"/>
                <w:szCs w:val="16"/>
              </w:rPr>
            </w:pPr>
          </w:p>
          <w:p w:rsidR="00003CB7" w:rsidRPr="001317D8" w:rsidRDefault="00003CB7" w:rsidP="001317D8">
            <w:pPr>
              <w:jc w:val="center"/>
              <w:rPr>
                <w:rFonts w:ascii="Arial" w:hAnsi="Arial" w:cs="Arial"/>
                <w:sz w:val="16"/>
                <w:szCs w:val="16"/>
              </w:rPr>
            </w:pPr>
            <w:r w:rsidRPr="001317D8">
              <w:rPr>
                <w:rFonts w:ascii="Arial" w:hAnsi="Arial" w:cs="Arial"/>
                <w:sz w:val="16"/>
                <w:szCs w:val="16"/>
              </w:rPr>
              <w:t>Nacional</w:t>
            </w:r>
          </w:p>
          <w:p w:rsidR="00003CB7" w:rsidRPr="001317D8" w:rsidRDefault="00003CB7" w:rsidP="001317D8">
            <w:pPr>
              <w:jc w:val="center"/>
              <w:rPr>
                <w:rFonts w:ascii="Arial" w:hAnsi="Arial" w:cs="Arial"/>
                <w:sz w:val="16"/>
                <w:szCs w:val="16"/>
              </w:rPr>
            </w:pPr>
          </w:p>
        </w:tc>
        <w:tc>
          <w:tcPr>
            <w:tcW w:w="2170"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003CB7" w:rsidRPr="001317D8" w:rsidRDefault="00003CB7" w:rsidP="001317D8">
            <w:pPr>
              <w:pStyle w:val="Texto"/>
              <w:spacing w:after="0"/>
              <w:ind w:firstLine="0"/>
              <w:rPr>
                <w:sz w:val="16"/>
                <w:szCs w:val="16"/>
              </w:rPr>
            </w:pPr>
            <w:r w:rsidRPr="001317D8">
              <w:rPr>
                <w:sz w:val="16"/>
                <w:szCs w:val="16"/>
              </w:rPr>
              <w:t>Agroalimentario,  Agropecuario, Acuícola y Pesquero</w:t>
            </w:r>
          </w:p>
        </w:tc>
        <w:tc>
          <w:tcPr>
            <w:tcW w:w="170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003CB7" w:rsidRPr="001317D8" w:rsidRDefault="00003CB7" w:rsidP="001317D8">
            <w:pPr>
              <w:jc w:val="center"/>
              <w:rPr>
                <w:rFonts w:ascii="Arial" w:hAnsi="Arial" w:cs="Arial"/>
                <w:sz w:val="16"/>
                <w:szCs w:val="16"/>
              </w:rPr>
            </w:pPr>
            <w:r w:rsidRPr="001317D8">
              <w:rPr>
                <w:rFonts w:ascii="Arial" w:hAnsi="Arial" w:cs="Arial"/>
                <w:sz w:val="16"/>
                <w:szCs w:val="16"/>
              </w:rPr>
              <w:t>Del beneficiario</w:t>
            </w:r>
          </w:p>
        </w:tc>
        <w:tc>
          <w:tcPr>
            <w:tcW w:w="3260"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003CB7" w:rsidRPr="001317D8" w:rsidRDefault="00003CB7" w:rsidP="001317D8">
            <w:pPr>
              <w:jc w:val="both"/>
              <w:rPr>
                <w:rFonts w:ascii="Arial" w:hAnsi="Arial" w:cs="Arial"/>
                <w:sz w:val="16"/>
                <w:szCs w:val="16"/>
              </w:rPr>
            </w:pPr>
            <w:r w:rsidRPr="001317D8">
              <w:rPr>
                <w:rFonts w:ascii="Arial" w:hAnsi="Arial" w:cs="Arial"/>
                <w:sz w:val="16"/>
                <w:szCs w:val="16"/>
              </w:rPr>
              <w:t>El monto de los incentivos federales será en función de la priorización de los proyectos y así cubrir el 100%.</w:t>
            </w:r>
          </w:p>
        </w:tc>
      </w:tr>
      <w:tr w:rsidR="00F50DE4" w:rsidRPr="001317D8" w:rsidTr="00F901B7">
        <w:tc>
          <w:tcPr>
            <w:tcW w:w="4786" w:type="dxa"/>
            <w:gridSpan w:val="2"/>
            <w:tcBorders>
              <w:top w:val="single" w:sz="12" w:space="0" w:color="FFE599" w:themeColor="accent4" w:themeTint="66"/>
              <w:left w:val="nil"/>
              <w:bottom w:val="single" w:sz="12" w:space="0" w:color="FFE599" w:themeColor="accent4" w:themeTint="66"/>
              <w:right w:val="nil"/>
            </w:tcBorders>
            <w:vAlign w:val="center"/>
          </w:tcPr>
          <w:p w:rsidR="00F50DE4" w:rsidRPr="001317D8" w:rsidRDefault="00F50DE4" w:rsidP="00F50DE4">
            <w:pPr>
              <w:jc w:val="center"/>
              <w:rPr>
                <w:rFonts w:ascii="Arial" w:hAnsi="Arial" w:cs="Arial"/>
                <w:sz w:val="16"/>
                <w:szCs w:val="16"/>
                <w:lang w:val="es-ES"/>
              </w:rPr>
            </w:pPr>
          </w:p>
          <w:p w:rsidR="00F50DE4" w:rsidRPr="001317D8" w:rsidRDefault="00F50DE4" w:rsidP="00F50DE4">
            <w:pPr>
              <w:pStyle w:val="Texto"/>
              <w:spacing w:after="0"/>
              <w:ind w:firstLine="0"/>
              <w:jc w:val="center"/>
              <w:rPr>
                <w:sz w:val="16"/>
                <w:szCs w:val="16"/>
              </w:rPr>
            </w:pPr>
            <w:r w:rsidRPr="001317D8">
              <w:rPr>
                <w:sz w:val="16"/>
                <w:szCs w:val="16"/>
              </w:rPr>
              <w:t>BENEFICIARIOS</w:t>
            </w:r>
          </w:p>
        </w:tc>
        <w:tc>
          <w:tcPr>
            <w:tcW w:w="1701" w:type="dxa"/>
            <w:tcBorders>
              <w:top w:val="single" w:sz="12" w:space="0" w:color="FFE599" w:themeColor="accent4" w:themeTint="66"/>
              <w:left w:val="nil"/>
              <w:bottom w:val="single" w:sz="12" w:space="0" w:color="FFE599" w:themeColor="accent4" w:themeTint="66"/>
              <w:right w:val="nil"/>
            </w:tcBorders>
            <w:vAlign w:val="center"/>
          </w:tcPr>
          <w:p w:rsidR="00F50DE4" w:rsidRPr="001317D8" w:rsidRDefault="00F50DE4" w:rsidP="00F50DE4">
            <w:pPr>
              <w:pStyle w:val="Texto"/>
              <w:spacing w:after="0"/>
              <w:ind w:firstLine="0"/>
              <w:jc w:val="center"/>
              <w:rPr>
                <w:sz w:val="16"/>
                <w:szCs w:val="16"/>
              </w:rPr>
            </w:pPr>
          </w:p>
          <w:p w:rsidR="00F50DE4" w:rsidRPr="001317D8" w:rsidRDefault="00F50DE4" w:rsidP="00F50DE4">
            <w:pPr>
              <w:pStyle w:val="Texto"/>
              <w:spacing w:after="0"/>
              <w:ind w:firstLine="0"/>
              <w:jc w:val="center"/>
              <w:rPr>
                <w:sz w:val="16"/>
                <w:szCs w:val="16"/>
              </w:rPr>
            </w:pPr>
            <w:r w:rsidRPr="001317D8">
              <w:rPr>
                <w:sz w:val="16"/>
                <w:szCs w:val="16"/>
              </w:rPr>
              <w:t>CONCEPTO DE APOYO</w:t>
            </w:r>
          </w:p>
        </w:tc>
        <w:tc>
          <w:tcPr>
            <w:tcW w:w="3260" w:type="dxa"/>
            <w:tcBorders>
              <w:top w:val="single" w:sz="12" w:space="0" w:color="FFE599" w:themeColor="accent4" w:themeTint="66"/>
              <w:left w:val="nil"/>
              <w:bottom w:val="single" w:sz="12" w:space="0" w:color="FFE599" w:themeColor="accent4" w:themeTint="66"/>
              <w:right w:val="nil"/>
            </w:tcBorders>
            <w:vAlign w:val="center"/>
          </w:tcPr>
          <w:p w:rsidR="00F50DE4" w:rsidRPr="001317D8" w:rsidRDefault="00F50DE4" w:rsidP="00F50DE4">
            <w:pPr>
              <w:jc w:val="center"/>
              <w:rPr>
                <w:rFonts w:ascii="Arial" w:hAnsi="Arial" w:cs="Arial"/>
                <w:sz w:val="16"/>
                <w:szCs w:val="16"/>
              </w:rPr>
            </w:pPr>
          </w:p>
          <w:p w:rsidR="00F50DE4" w:rsidRPr="001317D8" w:rsidRDefault="00F50DE4" w:rsidP="00F50DE4">
            <w:pPr>
              <w:jc w:val="center"/>
              <w:rPr>
                <w:rFonts w:ascii="Arial" w:hAnsi="Arial" w:cs="Arial"/>
                <w:sz w:val="16"/>
                <w:szCs w:val="16"/>
              </w:rPr>
            </w:pPr>
            <w:r w:rsidRPr="001317D8">
              <w:rPr>
                <w:rFonts w:ascii="Arial" w:hAnsi="Arial" w:cs="Arial"/>
                <w:sz w:val="16"/>
                <w:szCs w:val="16"/>
              </w:rPr>
              <w:t>TIPOS DE APOYO</w:t>
            </w:r>
          </w:p>
        </w:tc>
      </w:tr>
      <w:tr w:rsidR="00F50DE4" w:rsidRPr="001317D8" w:rsidTr="00F901B7">
        <w:tc>
          <w:tcPr>
            <w:tcW w:w="4786"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F50DE4" w:rsidRPr="001317D8" w:rsidRDefault="00F50DE4" w:rsidP="00F50DE4">
            <w:pPr>
              <w:pStyle w:val="Texto"/>
              <w:spacing w:after="0"/>
              <w:ind w:firstLine="0"/>
              <w:rPr>
                <w:sz w:val="16"/>
                <w:szCs w:val="16"/>
              </w:rPr>
            </w:pPr>
            <w:r>
              <w:rPr>
                <w:szCs w:val="18"/>
              </w:rPr>
              <w:t xml:space="preserve">Los estados, zonas o regiones del país donde se previenen y combaten plagas y enfermedades que afectan a la agricultura, la ganadería, la acuicultura y la pesca; así como las unidades de producción y/o procesamiento primario agrícolas, pecuarias, acuícolas y pesqueras donde se implementan Sistemas de Reducción de Riesgos de Contaminación y/o Buenas Prácticas. </w:t>
            </w:r>
          </w:p>
        </w:tc>
        <w:tc>
          <w:tcPr>
            <w:tcW w:w="170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F50DE4" w:rsidRPr="001317D8" w:rsidRDefault="00F50DE4" w:rsidP="00F50DE4">
            <w:pPr>
              <w:pStyle w:val="Texto"/>
              <w:spacing w:after="0"/>
              <w:ind w:firstLine="0"/>
              <w:jc w:val="center"/>
              <w:rPr>
                <w:sz w:val="16"/>
                <w:szCs w:val="16"/>
              </w:rPr>
            </w:pPr>
            <w:r w:rsidRPr="001317D8">
              <w:rPr>
                <w:sz w:val="16"/>
                <w:szCs w:val="16"/>
              </w:rPr>
              <w:t>Incentivo</w:t>
            </w:r>
          </w:p>
        </w:tc>
        <w:tc>
          <w:tcPr>
            <w:tcW w:w="3260"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F50DE4" w:rsidRDefault="00F50DE4" w:rsidP="00F50DE4">
            <w:pPr>
              <w:pStyle w:val="Default"/>
              <w:jc w:val="both"/>
              <w:rPr>
                <w:sz w:val="18"/>
                <w:szCs w:val="18"/>
              </w:rPr>
            </w:pPr>
            <w:r>
              <w:rPr>
                <w:sz w:val="18"/>
                <w:szCs w:val="18"/>
              </w:rPr>
              <w:t xml:space="preserve">a) </w:t>
            </w:r>
            <w:r>
              <w:rPr>
                <w:b/>
                <w:bCs/>
                <w:sz w:val="18"/>
                <w:szCs w:val="18"/>
              </w:rPr>
              <w:t>Componente de Sanidad Federalizado</w:t>
            </w:r>
            <w:r>
              <w:rPr>
                <w:sz w:val="18"/>
                <w:szCs w:val="18"/>
              </w:rPr>
              <w:t xml:space="preserve">. </w:t>
            </w:r>
          </w:p>
          <w:p w:rsidR="000B46A7" w:rsidRDefault="00F50DE4" w:rsidP="000B46A7">
            <w:pPr>
              <w:pStyle w:val="Default"/>
              <w:rPr>
                <w:sz w:val="18"/>
                <w:szCs w:val="18"/>
              </w:rPr>
            </w:pPr>
            <w:r>
              <w:rPr>
                <w:sz w:val="18"/>
                <w:szCs w:val="18"/>
              </w:rPr>
              <w:t xml:space="preserve">b) </w:t>
            </w:r>
            <w:r w:rsidR="000B46A7">
              <w:rPr>
                <w:b/>
                <w:bCs/>
                <w:sz w:val="18"/>
                <w:szCs w:val="18"/>
              </w:rPr>
              <w:t xml:space="preserve">Componente de Sacrificio de Ganado en Establecimientos </w:t>
            </w:r>
          </w:p>
          <w:p w:rsidR="00F50DE4" w:rsidRPr="001317D8" w:rsidRDefault="000B46A7" w:rsidP="000B46A7">
            <w:pPr>
              <w:jc w:val="both"/>
              <w:rPr>
                <w:rFonts w:ascii="Arial" w:hAnsi="Arial" w:cs="Arial"/>
                <w:sz w:val="16"/>
                <w:szCs w:val="16"/>
                <w:lang w:val="es-ES"/>
              </w:rPr>
            </w:pPr>
            <w:r>
              <w:rPr>
                <w:b/>
                <w:bCs/>
                <w:sz w:val="18"/>
                <w:szCs w:val="18"/>
              </w:rPr>
              <w:t>Tipo Inspección Federal (TIF)</w:t>
            </w:r>
          </w:p>
        </w:tc>
      </w:tr>
    </w:tbl>
    <w:p w:rsidR="00003CB7" w:rsidRDefault="00003CB7" w:rsidP="003B6A32">
      <w:pPr>
        <w:pStyle w:val="Texto"/>
        <w:spacing w:after="86" w:line="240" w:lineRule="auto"/>
        <w:ind w:firstLine="0"/>
        <w:contextualSpacing/>
        <w:rPr>
          <w:color w:val="000000"/>
          <w:szCs w:val="18"/>
        </w:rPr>
      </w:pPr>
    </w:p>
    <w:p w:rsidR="003B6A32" w:rsidRPr="00003CB7" w:rsidRDefault="003B6A32" w:rsidP="00F901B7">
      <w:pPr>
        <w:pStyle w:val="Texto"/>
        <w:spacing w:after="0" w:line="240" w:lineRule="auto"/>
        <w:ind w:firstLine="0"/>
        <w:contextualSpacing/>
        <w:rPr>
          <w:color w:val="000000"/>
          <w:szCs w:val="18"/>
          <w:lang w:val="es-MX"/>
        </w:rPr>
      </w:pPr>
    </w:p>
    <w:p w:rsidR="00C54630" w:rsidRDefault="00C54630" w:rsidP="00F901B7">
      <w:pPr>
        <w:autoSpaceDE w:val="0"/>
        <w:autoSpaceDN w:val="0"/>
        <w:adjustRightInd w:val="0"/>
        <w:spacing w:after="0" w:line="240" w:lineRule="auto"/>
        <w:ind w:left="-142" w:right="-93"/>
        <w:jc w:val="both"/>
        <w:rPr>
          <w:color w:val="000000"/>
          <w:szCs w:val="18"/>
        </w:rPr>
      </w:pPr>
      <w:r>
        <w:rPr>
          <w:rFonts w:ascii="Arial" w:hAnsi="Arial" w:cs="Arial"/>
          <w:sz w:val="18"/>
          <w:szCs w:val="18"/>
          <w:lang w:val="es-ES"/>
        </w:rPr>
        <w:t>La calidad de Ventanilla operará durante la vigencia del proyecto, por lo que a la conclusión del mismo no generará la adquisición de derecho alguno y sólo podrá ser mantenida, siempre y cuando no pierda su  reconocimiento Tipo Inspección Federal, cumpla con las actividades, procedimientos y responsabilidades señaladas en las presentes Reglas.</w:t>
      </w:r>
    </w:p>
    <w:p w:rsidR="00C54630" w:rsidRDefault="00C54630" w:rsidP="003B6A32">
      <w:pPr>
        <w:pStyle w:val="Texto"/>
        <w:spacing w:after="86" w:line="240" w:lineRule="auto"/>
        <w:ind w:firstLine="0"/>
        <w:contextualSpacing/>
        <w:rPr>
          <w:color w:val="000000"/>
          <w:szCs w:val="18"/>
        </w:rPr>
      </w:pPr>
    </w:p>
    <w:p w:rsidR="003B6A32" w:rsidRPr="003C4E24" w:rsidRDefault="003B6A32" w:rsidP="001317D8">
      <w:pPr>
        <w:pStyle w:val="Texto"/>
        <w:shd w:val="clear" w:color="auto" w:fill="FFE599" w:themeFill="accent4" w:themeFillTint="66"/>
        <w:spacing w:after="86" w:line="240" w:lineRule="auto"/>
        <w:ind w:left="-142" w:firstLine="0"/>
        <w:contextualSpacing/>
        <w:jc w:val="center"/>
        <w:rPr>
          <w:b/>
          <w:color w:val="000000"/>
          <w:szCs w:val="18"/>
        </w:rPr>
      </w:pPr>
      <w:r w:rsidRPr="003C4E24">
        <w:rPr>
          <w:b/>
          <w:color w:val="000000"/>
          <w:szCs w:val="18"/>
        </w:rPr>
        <w:t>SECCIÓN I</w:t>
      </w:r>
      <w:r>
        <w:rPr>
          <w:b/>
          <w:color w:val="000000"/>
          <w:szCs w:val="18"/>
        </w:rPr>
        <w:t xml:space="preserve"> </w:t>
      </w:r>
      <w:r w:rsidR="001317D8">
        <w:rPr>
          <w:b/>
          <w:color w:val="000000"/>
          <w:szCs w:val="18"/>
        </w:rPr>
        <w:t xml:space="preserve"> </w:t>
      </w:r>
      <w:r w:rsidRPr="003C4E24">
        <w:rPr>
          <w:b/>
          <w:color w:val="000000"/>
          <w:szCs w:val="18"/>
        </w:rPr>
        <w:t>DEL COMPONENTE DE SANIDAD</w:t>
      </w:r>
      <w:r w:rsidR="00697926">
        <w:rPr>
          <w:b/>
          <w:color w:val="000000"/>
          <w:szCs w:val="18"/>
        </w:rPr>
        <w:t xml:space="preserve"> FEDERALIZADO</w:t>
      </w:r>
    </w:p>
    <w:p w:rsidR="003B6A32" w:rsidRDefault="003B6A32" w:rsidP="00F901B7">
      <w:pPr>
        <w:spacing w:after="0" w:line="240" w:lineRule="auto"/>
        <w:ind w:left="-142"/>
        <w:jc w:val="both"/>
        <w:rPr>
          <w:sz w:val="18"/>
          <w:szCs w:val="18"/>
        </w:rPr>
      </w:pPr>
      <w:r w:rsidRPr="001317D8">
        <w:rPr>
          <w:b/>
          <w:color w:val="000000"/>
          <w:szCs w:val="18"/>
        </w:rPr>
        <w:t xml:space="preserve">OBJETIVO: </w:t>
      </w:r>
      <w:r w:rsidR="008A6FC9">
        <w:rPr>
          <w:sz w:val="18"/>
          <w:szCs w:val="18"/>
        </w:rPr>
        <w:t>Mejorar la sanidad e inocuidad agroalimentaria, acuícola y pesquera.</w:t>
      </w:r>
    </w:p>
    <w:p w:rsidR="00697926" w:rsidRPr="00697926" w:rsidRDefault="00697926" w:rsidP="00F901B7">
      <w:pPr>
        <w:spacing w:after="0" w:line="240" w:lineRule="auto"/>
        <w:ind w:left="-142"/>
        <w:jc w:val="both"/>
        <w:rPr>
          <w:rFonts w:ascii="Arial" w:hAnsi="Arial" w:cs="Arial"/>
          <w:color w:val="000000"/>
          <w:sz w:val="20"/>
          <w:szCs w:val="18"/>
          <w:u w:val="single"/>
        </w:rPr>
      </w:pPr>
      <w:r w:rsidRPr="00697926">
        <w:rPr>
          <w:rFonts w:ascii="Arial" w:hAnsi="Arial" w:cs="Arial"/>
          <w:b/>
          <w:bCs/>
          <w:sz w:val="20"/>
          <w:szCs w:val="18"/>
          <w:u w:val="single"/>
        </w:rPr>
        <w:t>Del Incentivo de Sanidad</w:t>
      </w:r>
    </w:p>
    <w:p w:rsidR="003B6A32" w:rsidRDefault="003B6A32" w:rsidP="00F901B7">
      <w:pPr>
        <w:spacing w:after="0" w:line="240" w:lineRule="auto"/>
        <w:jc w:val="center"/>
        <w:rPr>
          <w:rFonts w:ascii="Arial" w:hAnsi="Arial" w:cs="Arial"/>
          <w:b/>
          <w:color w:val="000000"/>
          <w:sz w:val="18"/>
          <w:szCs w:val="18"/>
        </w:rPr>
      </w:pPr>
      <w:r w:rsidRPr="003B6A32">
        <w:rPr>
          <w:rFonts w:ascii="Arial" w:hAnsi="Arial" w:cs="Arial"/>
          <w:b/>
          <w:color w:val="000000"/>
          <w:sz w:val="18"/>
          <w:szCs w:val="18"/>
        </w:rPr>
        <w:t>CONCEPTOS DE APOYO Y MONTOS MÁXIMOS</w:t>
      </w:r>
    </w:p>
    <w:p w:rsidR="003B6A32" w:rsidRDefault="008A6FC9" w:rsidP="00F901B7">
      <w:pPr>
        <w:pStyle w:val="Texto"/>
        <w:spacing w:after="0" w:line="240" w:lineRule="auto"/>
        <w:contextualSpacing/>
        <w:rPr>
          <w:szCs w:val="18"/>
        </w:rPr>
      </w:pPr>
      <w:r>
        <w:rPr>
          <w:szCs w:val="18"/>
        </w:rPr>
        <w:t>Las medidas sanitarias se aplicarán a través organizaciones de productores y/o unidades de producción agropecuaria, acuícola y pesquera, a través de:</w:t>
      </w:r>
    </w:p>
    <w:p w:rsidR="00F50DE4" w:rsidRDefault="00F50DE4" w:rsidP="00F901B7">
      <w:pPr>
        <w:pStyle w:val="Texto"/>
        <w:spacing w:after="0" w:line="240" w:lineRule="auto"/>
        <w:contextualSpacing/>
        <w:rPr>
          <w:szCs w:val="18"/>
        </w:rPr>
      </w:pPr>
    </w:p>
    <w:tbl>
      <w:tblPr>
        <w:tblW w:w="9747"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6629"/>
        <w:gridCol w:w="3118"/>
      </w:tblGrid>
      <w:tr w:rsidR="008A6FC9" w:rsidTr="00697926">
        <w:trPr>
          <w:trHeight w:val="84"/>
        </w:trPr>
        <w:tc>
          <w:tcPr>
            <w:tcW w:w="6629"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tcPr>
          <w:p w:rsidR="008A6FC9" w:rsidRDefault="008A6FC9" w:rsidP="00F901B7">
            <w:pPr>
              <w:pStyle w:val="Default"/>
              <w:jc w:val="center"/>
              <w:rPr>
                <w:sz w:val="18"/>
                <w:szCs w:val="18"/>
              </w:rPr>
            </w:pPr>
            <w:r>
              <w:rPr>
                <w:b/>
                <w:bCs/>
                <w:sz w:val="18"/>
                <w:szCs w:val="18"/>
              </w:rPr>
              <w:t>Concepto</w:t>
            </w:r>
          </w:p>
        </w:tc>
        <w:tc>
          <w:tcPr>
            <w:tcW w:w="311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tcPr>
          <w:p w:rsidR="008A6FC9" w:rsidRDefault="008A6FC9" w:rsidP="00F901B7">
            <w:pPr>
              <w:pStyle w:val="Default"/>
              <w:jc w:val="center"/>
              <w:rPr>
                <w:sz w:val="18"/>
                <w:szCs w:val="18"/>
              </w:rPr>
            </w:pPr>
            <w:r>
              <w:rPr>
                <w:b/>
                <w:bCs/>
                <w:sz w:val="18"/>
                <w:szCs w:val="18"/>
              </w:rPr>
              <w:t>Montos Máximos</w:t>
            </w:r>
          </w:p>
        </w:tc>
      </w:tr>
      <w:tr w:rsidR="00F50DE4" w:rsidTr="00697926">
        <w:trPr>
          <w:trHeight w:val="498"/>
        </w:trPr>
        <w:tc>
          <w:tcPr>
            <w:tcW w:w="6629" w:type="dxa"/>
            <w:tcBorders>
              <w:top w:val="single" w:sz="12" w:space="0" w:color="538135" w:themeColor="accent6" w:themeShade="BF"/>
            </w:tcBorders>
          </w:tcPr>
          <w:p w:rsidR="00F50DE4" w:rsidRDefault="00F50DE4" w:rsidP="00F50DE4">
            <w:pPr>
              <w:pStyle w:val="Default"/>
              <w:jc w:val="both"/>
              <w:rPr>
                <w:sz w:val="18"/>
                <w:szCs w:val="18"/>
              </w:rPr>
            </w:pPr>
            <w:r>
              <w:rPr>
                <w:b/>
                <w:bCs/>
                <w:sz w:val="18"/>
                <w:szCs w:val="18"/>
              </w:rPr>
              <w:t>I. Salud Animal</w:t>
            </w:r>
            <w:r>
              <w:rPr>
                <w:sz w:val="18"/>
                <w:szCs w:val="18"/>
              </w:rPr>
              <w:t xml:space="preserve">. Incentivos para la operación de los proyectos zoosanitarios en el territorio nacional. </w:t>
            </w:r>
          </w:p>
        </w:tc>
        <w:tc>
          <w:tcPr>
            <w:tcW w:w="3118" w:type="dxa"/>
            <w:vMerge w:val="restart"/>
            <w:tcBorders>
              <w:top w:val="single" w:sz="12" w:space="0" w:color="538135" w:themeColor="accent6" w:themeShade="BF"/>
            </w:tcBorders>
          </w:tcPr>
          <w:p w:rsidR="00F50DE4" w:rsidRDefault="00F50DE4" w:rsidP="00F50DE4">
            <w:pPr>
              <w:pStyle w:val="Default"/>
              <w:jc w:val="both"/>
              <w:rPr>
                <w:sz w:val="18"/>
                <w:szCs w:val="18"/>
              </w:rPr>
            </w:pPr>
            <w:r>
              <w:rPr>
                <w:sz w:val="18"/>
                <w:szCs w:val="18"/>
              </w:rPr>
              <w:t xml:space="preserve">El monto de los incentivos federales será en función de la priorización de los proyectos y así cubrir el 100%. </w:t>
            </w:r>
          </w:p>
          <w:p w:rsidR="00F50DE4" w:rsidRDefault="00F50DE4" w:rsidP="00F50DE4">
            <w:pPr>
              <w:pStyle w:val="Default"/>
              <w:jc w:val="both"/>
              <w:rPr>
                <w:sz w:val="18"/>
                <w:szCs w:val="18"/>
              </w:rPr>
            </w:pPr>
            <w:r>
              <w:rPr>
                <w:sz w:val="18"/>
                <w:szCs w:val="18"/>
              </w:rPr>
              <w:t xml:space="preserve">En el caso que exista aportación de incentivos estatales se considerarán complementarios y deberá suscribirse el instrumento jurídico en el que se establezcan las condiciones específicas de operación. </w:t>
            </w:r>
          </w:p>
          <w:p w:rsidR="00F50DE4" w:rsidRDefault="00F50DE4" w:rsidP="00F50DE4">
            <w:pPr>
              <w:pStyle w:val="Default"/>
              <w:jc w:val="both"/>
              <w:rPr>
                <w:sz w:val="18"/>
                <w:szCs w:val="18"/>
              </w:rPr>
            </w:pPr>
            <w:r>
              <w:rPr>
                <w:sz w:val="18"/>
                <w:szCs w:val="18"/>
              </w:rPr>
              <w:t xml:space="preserve">En caso contrario, la Unidad Responsable determinará en su totalidad las condiciones de operación. </w:t>
            </w:r>
          </w:p>
          <w:p w:rsidR="00F50DE4" w:rsidRDefault="00F50DE4" w:rsidP="00F50DE4">
            <w:pPr>
              <w:pStyle w:val="Default"/>
              <w:jc w:val="both"/>
              <w:rPr>
                <w:sz w:val="18"/>
                <w:szCs w:val="18"/>
              </w:rPr>
            </w:pPr>
            <w:r>
              <w:rPr>
                <w:sz w:val="18"/>
                <w:szCs w:val="18"/>
              </w:rPr>
              <w:t xml:space="preserve">Los montos deberán ser destinados exclusivamente a los proyectos y/o actividades de Sanidad e Inocuidad, comprometidos en el programa de trabajo correspondiente. </w:t>
            </w:r>
          </w:p>
        </w:tc>
      </w:tr>
      <w:tr w:rsidR="00F50DE4" w:rsidTr="00697926">
        <w:trPr>
          <w:trHeight w:val="1115"/>
        </w:trPr>
        <w:tc>
          <w:tcPr>
            <w:tcW w:w="6629" w:type="dxa"/>
            <w:tcBorders>
              <w:top w:val="single" w:sz="12" w:space="0" w:color="FFE599" w:themeColor="accent4" w:themeTint="66"/>
            </w:tcBorders>
          </w:tcPr>
          <w:p w:rsidR="00F50DE4" w:rsidRDefault="00F50DE4" w:rsidP="00F50DE4">
            <w:pPr>
              <w:pStyle w:val="Default"/>
              <w:jc w:val="both"/>
              <w:rPr>
                <w:sz w:val="18"/>
                <w:szCs w:val="18"/>
              </w:rPr>
            </w:pPr>
            <w:r>
              <w:rPr>
                <w:b/>
                <w:bCs/>
                <w:sz w:val="18"/>
                <w:szCs w:val="18"/>
              </w:rPr>
              <w:t>II. Vigilancia Epidemiológica en Salud Animal, Acuícola y Pesquera</w:t>
            </w:r>
            <w:r>
              <w:rPr>
                <w:sz w:val="18"/>
                <w:szCs w:val="18"/>
              </w:rPr>
              <w:t xml:space="preserve">. Incentivos para el establecimiento y aplicación de acciones de promoción, difusión, capacitación y asistencia técnica para la prevención, investigación, diagnóstico de enfermedades y plagas de especies terrestres, acuáticas y trazabilidad. </w:t>
            </w:r>
          </w:p>
        </w:tc>
        <w:tc>
          <w:tcPr>
            <w:tcW w:w="3118" w:type="dxa"/>
            <w:vMerge/>
          </w:tcPr>
          <w:p w:rsidR="00F50DE4" w:rsidRDefault="00F50DE4">
            <w:pPr>
              <w:pStyle w:val="Default"/>
              <w:rPr>
                <w:sz w:val="18"/>
                <w:szCs w:val="18"/>
              </w:rPr>
            </w:pPr>
          </w:p>
        </w:tc>
      </w:tr>
      <w:tr w:rsidR="00F50DE4" w:rsidTr="00697926">
        <w:trPr>
          <w:trHeight w:val="663"/>
        </w:trPr>
        <w:tc>
          <w:tcPr>
            <w:tcW w:w="6629" w:type="dxa"/>
            <w:tcBorders>
              <w:top w:val="single" w:sz="12" w:space="0" w:color="FFE599" w:themeColor="accent4" w:themeTint="66"/>
            </w:tcBorders>
          </w:tcPr>
          <w:p w:rsidR="00F50DE4" w:rsidRDefault="00F50DE4" w:rsidP="00F50DE4">
            <w:pPr>
              <w:pStyle w:val="Default"/>
              <w:jc w:val="both"/>
              <w:rPr>
                <w:sz w:val="18"/>
                <w:szCs w:val="18"/>
              </w:rPr>
            </w:pPr>
            <w:r>
              <w:rPr>
                <w:b/>
                <w:bCs/>
                <w:sz w:val="18"/>
                <w:szCs w:val="18"/>
              </w:rPr>
              <w:t>III. Sanidad Acuícola y Pesquera</w:t>
            </w:r>
            <w:r>
              <w:rPr>
                <w:sz w:val="18"/>
                <w:szCs w:val="18"/>
              </w:rPr>
              <w:t xml:space="preserve">. Incentivos para el establecimiento y aplicación de acciones de prevención, control y en su caso, erradicación de enfermedades y plagas de especies acuáticas. </w:t>
            </w:r>
          </w:p>
        </w:tc>
        <w:tc>
          <w:tcPr>
            <w:tcW w:w="3118" w:type="dxa"/>
            <w:vMerge/>
          </w:tcPr>
          <w:p w:rsidR="00F50DE4" w:rsidRDefault="00F50DE4">
            <w:pPr>
              <w:pStyle w:val="Default"/>
              <w:rPr>
                <w:sz w:val="18"/>
                <w:szCs w:val="18"/>
              </w:rPr>
            </w:pPr>
          </w:p>
        </w:tc>
      </w:tr>
      <w:tr w:rsidR="00F50DE4" w:rsidTr="00697926">
        <w:trPr>
          <w:trHeight w:val="829"/>
        </w:trPr>
        <w:tc>
          <w:tcPr>
            <w:tcW w:w="6629" w:type="dxa"/>
            <w:tcBorders>
              <w:top w:val="single" w:sz="12" w:space="0" w:color="FFE599" w:themeColor="accent4" w:themeTint="66"/>
            </w:tcBorders>
          </w:tcPr>
          <w:p w:rsidR="00F50DE4" w:rsidRDefault="00F50DE4" w:rsidP="00F50DE4">
            <w:pPr>
              <w:pStyle w:val="Default"/>
              <w:jc w:val="both"/>
              <w:rPr>
                <w:sz w:val="18"/>
                <w:szCs w:val="18"/>
              </w:rPr>
            </w:pPr>
            <w:r>
              <w:rPr>
                <w:b/>
                <w:bCs/>
                <w:sz w:val="18"/>
                <w:szCs w:val="18"/>
              </w:rPr>
              <w:t>IV. Sanidad Vegetal</w:t>
            </w:r>
            <w:r>
              <w:rPr>
                <w:sz w:val="18"/>
                <w:szCs w:val="18"/>
              </w:rPr>
              <w:t xml:space="preserve">. Incentivos para el desarrollo de los Proyectos Fitosanitarios en estados, zonas o regiones del país, susceptibles de ser afectadas por plagas reglamentadas determinadas como prioritarias por la Unidad Responsable. </w:t>
            </w:r>
          </w:p>
        </w:tc>
        <w:tc>
          <w:tcPr>
            <w:tcW w:w="3118" w:type="dxa"/>
            <w:vMerge/>
          </w:tcPr>
          <w:p w:rsidR="00F50DE4" w:rsidRDefault="00F50DE4">
            <w:pPr>
              <w:pStyle w:val="Default"/>
              <w:rPr>
                <w:sz w:val="18"/>
                <w:szCs w:val="18"/>
              </w:rPr>
            </w:pPr>
          </w:p>
        </w:tc>
      </w:tr>
      <w:tr w:rsidR="00F50DE4" w:rsidTr="00697926">
        <w:trPr>
          <w:trHeight w:val="927"/>
        </w:trPr>
        <w:tc>
          <w:tcPr>
            <w:tcW w:w="6629" w:type="dxa"/>
            <w:tcBorders>
              <w:top w:val="single" w:sz="12" w:space="0" w:color="FFE599" w:themeColor="accent4" w:themeTint="66"/>
            </w:tcBorders>
          </w:tcPr>
          <w:p w:rsidR="00F50DE4" w:rsidRDefault="00F50DE4" w:rsidP="00F50DE4">
            <w:pPr>
              <w:pStyle w:val="Default"/>
              <w:jc w:val="both"/>
              <w:rPr>
                <w:sz w:val="18"/>
                <w:szCs w:val="18"/>
              </w:rPr>
            </w:pPr>
            <w:r>
              <w:rPr>
                <w:b/>
                <w:bCs/>
                <w:sz w:val="18"/>
                <w:szCs w:val="18"/>
              </w:rPr>
              <w:t>V. Vigilancia Epidemiológica en Sanidad Vegetal</w:t>
            </w:r>
            <w:r>
              <w:rPr>
                <w:sz w:val="18"/>
                <w:szCs w:val="18"/>
              </w:rPr>
              <w:t xml:space="preserve">: Incentivos para el desarrollo del Programa de Vigilancia Epidemiológica Fitosanitaria en zonas o regiones del país, susceptibles de ser afectadas por plagas reglamentadas o cuarentenaria determinadas como prioritarias por la Unidad Responsable. </w:t>
            </w:r>
          </w:p>
        </w:tc>
        <w:tc>
          <w:tcPr>
            <w:tcW w:w="3118" w:type="dxa"/>
            <w:vMerge/>
          </w:tcPr>
          <w:p w:rsidR="00F50DE4" w:rsidRDefault="00F50DE4">
            <w:pPr>
              <w:pStyle w:val="Default"/>
              <w:rPr>
                <w:sz w:val="18"/>
                <w:szCs w:val="18"/>
              </w:rPr>
            </w:pPr>
          </w:p>
        </w:tc>
      </w:tr>
    </w:tbl>
    <w:p w:rsidR="008A6FC9" w:rsidRPr="008A6FC9" w:rsidRDefault="008A6FC9" w:rsidP="003B6A32">
      <w:pPr>
        <w:pStyle w:val="Texto"/>
        <w:spacing w:after="86" w:line="240" w:lineRule="auto"/>
        <w:contextualSpacing/>
        <w:rPr>
          <w:szCs w:val="18"/>
          <w:lang w:val="es-MX"/>
        </w:rPr>
      </w:pPr>
    </w:p>
    <w:p w:rsidR="003B6A32" w:rsidRPr="003B6A32" w:rsidRDefault="003B6A32" w:rsidP="003B6A32">
      <w:pPr>
        <w:spacing w:after="101" w:line="240" w:lineRule="auto"/>
        <w:ind w:firstLine="288"/>
        <w:jc w:val="both"/>
        <w:rPr>
          <w:rFonts w:ascii="Arial" w:hAnsi="Arial" w:cs="Arial"/>
          <w:color w:val="000000"/>
          <w:sz w:val="14"/>
          <w:szCs w:val="14"/>
        </w:rPr>
      </w:pPr>
    </w:p>
    <w:p w:rsidR="00F901B7" w:rsidRDefault="00F901B7" w:rsidP="003B6A32">
      <w:pPr>
        <w:spacing w:after="86" w:line="240" w:lineRule="auto"/>
        <w:jc w:val="center"/>
        <w:rPr>
          <w:rFonts w:ascii="Arial" w:hAnsi="Arial" w:cs="Arial"/>
          <w:b/>
          <w:color w:val="000000"/>
          <w:sz w:val="18"/>
          <w:szCs w:val="18"/>
        </w:rPr>
      </w:pPr>
    </w:p>
    <w:p w:rsidR="003B6A32" w:rsidRDefault="003B6A32" w:rsidP="003B6A32">
      <w:pPr>
        <w:spacing w:after="86" w:line="240" w:lineRule="auto"/>
        <w:jc w:val="center"/>
        <w:rPr>
          <w:rFonts w:ascii="Arial" w:hAnsi="Arial" w:cs="Arial"/>
          <w:b/>
          <w:color w:val="000000"/>
          <w:sz w:val="18"/>
          <w:szCs w:val="18"/>
        </w:rPr>
      </w:pPr>
      <w:r w:rsidRPr="003B6A32">
        <w:rPr>
          <w:rFonts w:ascii="Arial" w:hAnsi="Arial" w:cs="Arial"/>
          <w:b/>
          <w:color w:val="000000"/>
          <w:sz w:val="18"/>
          <w:szCs w:val="18"/>
        </w:rPr>
        <w:lastRenderedPageBreak/>
        <w:t>CRITERIOS TÉCNICOS Y REQUISITOS ESPECÍFICOS DEL COMPONENTE</w:t>
      </w:r>
    </w:p>
    <w:p w:rsidR="008A6FC9" w:rsidRDefault="008A6FC9" w:rsidP="00F901B7">
      <w:pPr>
        <w:pStyle w:val="Default"/>
        <w:jc w:val="both"/>
        <w:rPr>
          <w:sz w:val="18"/>
          <w:szCs w:val="18"/>
        </w:rPr>
      </w:pPr>
      <w:r>
        <w:rPr>
          <w:sz w:val="18"/>
          <w:szCs w:val="18"/>
        </w:rPr>
        <w:t xml:space="preserve">Cédula de Registro vigente de reconocimiento o autorización oficial como Organismo Auxiliar expedida por la Unidad Responsable, a través de la Dirección General correspondiente. </w:t>
      </w:r>
    </w:p>
    <w:p w:rsidR="008A6FC9" w:rsidRDefault="008A6FC9" w:rsidP="00F901B7">
      <w:pPr>
        <w:pStyle w:val="Default"/>
        <w:jc w:val="both"/>
        <w:rPr>
          <w:sz w:val="18"/>
          <w:szCs w:val="18"/>
        </w:rPr>
      </w:pPr>
      <w:r>
        <w:rPr>
          <w:sz w:val="18"/>
          <w:szCs w:val="18"/>
        </w:rPr>
        <w:t xml:space="preserve">Los criterios de autorización están determinados por: </w:t>
      </w:r>
    </w:p>
    <w:p w:rsidR="008A6FC9" w:rsidRDefault="008A6FC9" w:rsidP="00F901B7">
      <w:pPr>
        <w:pStyle w:val="Default"/>
        <w:numPr>
          <w:ilvl w:val="0"/>
          <w:numId w:val="24"/>
        </w:numPr>
        <w:jc w:val="both"/>
        <w:rPr>
          <w:sz w:val="18"/>
          <w:szCs w:val="18"/>
        </w:rPr>
      </w:pPr>
      <w:r>
        <w:rPr>
          <w:sz w:val="18"/>
          <w:szCs w:val="18"/>
        </w:rPr>
        <w:t xml:space="preserve">La Instancia Ejecutora deberá presentar el Proyecto del Programa de Trabajo de acuerdo a los Términos de Referencia, y </w:t>
      </w:r>
    </w:p>
    <w:p w:rsidR="008A6FC9" w:rsidRDefault="008A6FC9" w:rsidP="00F901B7">
      <w:pPr>
        <w:pStyle w:val="Texto"/>
        <w:numPr>
          <w:ilvl w:val="0"/>
          <w:numId w:val="24"/>
        </w:numPr>
        <w:spacing w:line="240" w:lineRule="auto"/>
        <w:contextualSpacing/>
        <w:rPr>
          <w:szCs w:val="18"/>
        </w:rPr>
      </w:pPr>
      <w:r>
        <w:rPr>
          <w:szCs w:val="18"/>
        </w:rPr>
        <w:t xml:space="preserve">Obtener la autorización del Proyecto del Programa de Trabajo por parte de la Dirección General correspondiente del SENASICA. </w:t>
      </w:r>
    </w:p>
    <w:p w:rsidR="008A6FC9" w:rsidRPr="00697926" w:rsidRDefault="00697926" w:rsidP="00F901B7">
      <w:pPr>
        <w:pStyle w:val="Default"/>
        <w:jc w:val="both"/>
        <w:rPr>
          <w:b/>
          <w:bCs/>
          <w:sz w:val="20"/>
          <w:szCs w:val="18"/>
          <w:u w:val="single"/>
        </w:rPr>
      </w:pPr>
      <w:r w:rsidRPr="00697926">
        <w:rPr>
          <w:b/>
          <w:bCs/>
          <w:sz w:val="20"/>
          <w:szCs w:val="18"/>
          <w:u w:val="single"/>
        </w:rPr>
        <w:t>Del Incentivo de Inocuidad</w:t>
      </w:r>
    </w:p>
    <w:p w:rsidR="00697926" w:rsidRDefault="00697926" w:rsidP="00F901B7">
      <w:pPr>
        <w:pStyle w:val="Default"/>
        <w:jc w:val="both"/>
        <w:rPr>
          <w:sz w:val="18"/>
          <w:szCs w:val="18"/>
        </w:rPr>
      </w:pPr>
      <w:r>
        <w:rPr>
          <w:sz w:val="18"/>
          <w:szCs w:val="18"/>
        </w:rPr>
        <w:t>Concepto de Apoyo y Montos Máximos. Las acciones podrán realizarse a través de las Instancias Ejecutoras que cuenten con reconocimiento, experiencia y cumplan las condiciones y requisitos exigidos por la Unidad Responsable.</w:t>
      </w:r>
    </w:p>
    <w:p w:rsidR="00697926" w:rsidRDefault="00697926" w:rsidP="00697926">
      <w:pPr>
        <w:pStyle w:val="Default"/>
        <w:jc w:val="both"/>
        <w:rPr>
          <w:sz w:val="18"/>
          <w:szCs w:val="18"/>
        </w:rPr>
      </w:pPr>
    </w:p>
    <w:tbl>
      <w:tblPr>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3652"/>
        <w:gridCol w:w="6095"/>
      </w:tblGrid>
      <w:tr w:rsidR="00697926" w:rsidTr="00697926">
        <w:trPr>
          <w:trHeight w:val="84"/>
        </w:trPr>
        <w:tc>
          <w:tcPr>
            <w:tcW w:w="3652"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tcPr>
          <w:p w:rsidR="00697926" w:rsidRDefault="00697926" w:rsidP="00697926">
            <w:pPr>
              <w:pStyle w:val="Default"/>
              <w:jc w:val="center"/>
              <w:rPr>
                <w:sz w:val="18"/>
                <w:szCs w:val="18"/>
              </w:rPr>
            </w:pPr>
            <w:r>
              <w:rPr>
                <w:b/>
                <w:bCs/>
                <w:sz w:val="18"/>
                <w:szCs w:val="18"/>
              </w:rPr>
              <w:t>Concepto</w:t>
            </w:r>
          </w:p>
        </w:tc>
        <w:tc>
          <w:tcPr>
            <w:tcW w:w="609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tcPr>
          <w:p w:rsidR="00697926" w:rsidRDefault="00697926" w:rsidP="00697926">
            <w:pPr>
              <w:pStyle w:val="Default"/>
              <w:jc w:val="center"/>
              <w:rPr>
                <w:sz w:val="18"/>
                <w:szCs w:val="18"/>
              </w:rPr>
            </w:pPr>
            <w:r>
              <w:rPr>
                <w:b/>
                <w:bCs/>
                <w:sz w:val="18"/>
                <w:szCs w:val="18"/>
              </w:rPr>
              <w:t>Montos máximos</w:t>
            </w:r>
          </w:p>
        </w:tc>
      </w:tr>
      <w:tr w:rsidR="00697926" w:rsidTr="00697926">
        <w:trPr>
          <w:trHeight w:val="1574"/>
        </w:trPr>
        <w:tc>
          <w:tcPr>
            <w:tcW w:w="3652" w:type="dxa"/>
            <w:tcBorders>
              <w:top w:val="single" w:sz="12" w:space="0" w:color="538135" w:themeColor="accent6" w:themeShade="BF"/>
            </w:tcBorders>
          </w:tcPr>
          <w:p w:rsidR="00697926" w:rsidRDefault="00697926" w:rsidP="00697926">
            <w:pPr>
              <w:pStyle w:val="Default"/>
              <w:jc w:val="both"/>
              <w:rPr>
                <w:sz w:val="18"/>
                <w:szCs w:val="18"/>
              </w:rPr>
            </w:pPr>
            <w:r>
              <w:rPr>
                <w:sz w:val="18"/>
                <w:szCs w:val="18"/>
              </w:rPr>
              <w:t xml:space="preserve">Inocuidad Agroalimentaria, Acuícola y Pesquera. Incentivos para la implementación de acciones apoyadas en actividades de capacitación, asistencia técnica, divulgación, toma de muestra para el monitoreo y vigilancia de contaminantes, complemento a la infraestructura para unidades de producción en estados, zonas o regiones agropecuarias, acuícolas y pesqueras. </w:t>
            </w:r>
          </w:p>
        </w:tc>
        <w:tc>
          <w:tcPr>
            <w:tcW w:w="6095" w:type="dxa"/>
            <w:tcBorders>
              <w:top w:val="single" w:sz="12" w:space="0" w:color="538135" w:themeColor="accent6" w:themeShade="BF"/>
            </w:tcBorders>
          </w:tcPr>
          <w:p w:rsidR="00697926" w:rsidRDefault="00697926" w:rsidP="00697926">
            <w:pPr>
              <w:pStyle w:val="Default"/>
              <w:jc w:val="both"/>
              <w:rPr>
                <w:sz w:val="18"/>
                <w:szCs w:val="18"/>
              </w:rPr>
            </w:pPr>
            <w:r>
              <w:rPr>
                <w:sz w:val="18"/>
                <w:szCs w:val="18"/>
              </w:rPr>
              <w:t xml:space="preserve">El monto de los incentivos federales será en función de la priorización de los proyectos y así cubrir el 100%; </w:t>
            </w:r>
          </w:p>
          <w:p w:rsidR="00697926" w:rsidRDefault="00697926" w:rsidP="00697926">
            <w:pPr>
              <w:pStyle w:val="Default"/>
              <w:jc w:val="both"/>
              <w:rPr>
                <w:sz w:val="18"/>
                <w:szCs w:val="18"/>
              </w:rPr>
            </w:pPr>
            <w:r>
              <w:rPr>
                <w:sz w:val="18"/>
                <w:szCs w:val="18"/>
              </w:rPr>
              <w:t xml:space="preserve">En el caso en que exista aportación de incentivos estatales se considerarán complementarios y deberá suscribirse el instrumento jurídico en el que se establezcan las condiciones específicas de operación. </w:t>
            </w:r>
          </w:p>
          <w:p w:rsidR="00697926" w:rsidRDefault="00697926" w:rsidP="00697926">
            <w:pPr>
              <w:pStyle w:val="Default"/>
              <w:jc w:val="both"/>
              <w:rPr>
                <w:sz w:val="18"/>
                <w:szCs w:val="18"/>
              </w:rPr>
            </w:pPr>
            <w:r>
              <w:rPr>
                <w:sz w:val="18"/>
                <w:szCs w:val="18"/>
              </w:rPr>
              <w:t xml:space="preserve">En caso contrario, la Unidad Responsable determinará en su totalidad las condiciones de operación. </w:t>
            </w:r>
          </w:p>
          <w:p w:rsidR="00697926" w:rsidRDefault="00697926" w:rsidP="00697926">
            <w:pPr>
              <w:pStyle w:val="Default"/>
              <w:jc w:val="both"/>
              <w:rPr>
                <w:sz w:val="18"/>
                <w:szCs w:val="18"/>
              </w:rPr>
            </w:pPr>
            <w:r>
              <w:rPr>
                <w:sz w:val="18"/>
                <w:szCs w:val="18"/>
              </w:rPr>
              <w:t xml:space="preserve">Los montos deberán ser destinados exclusivamente a los proyectos y/o actividades de Inocuidad, comprometidos en el Programa de Trabajo correspondiente. </w:t>
            </w:r>
          </w:p>
        </w:tc>
      </w:tr>
    </w:tbl>
    <w:p w:rsidR="00697926" w:rsidRPr="00697926" w:rsidRDefault="00697926" w:rsidP="008A6FC9">
      <w:pPr>
        <w:pStyle w:val="Default"/>
        <w:rPr>
          <w:sz w:val="18"/>
          <w:szCs w:val="18"/>
          <w:lang w:val="es-MX"/>
        </w:rPr>
      </w:pPr>
    </w:p>
    <w:p w:rsidR="00697926" w:rsidRPr="00697926" w:rsidRDefault="00697926" w:rsidP="00697926">
      <w:pPr>
        <w:pStyle w:val="Default"/>
        <w:rPr>
          <w:b/>
          <w:sz w:val="20"/>
          <w:szCs w:val="18"/>
        </w:rPr>
      </w:pPr>
      <w:r w:rsidRPr="00697926">
        <w:rPr>
          <w:b/>
          <w:sz w:val="20"/>
          <w:szCs w:val="18"/>
        </w:rPr>
        <w:t xml:space="preserve">Criterios Técnicos y requisitos específicos. </w:t>
      </w:r>
    </w:p>
    <w:p w:rsidR="00697926" w:rsidRDefault="00697926" w:rsidP="00697926">
      <w:pPr>
        <w:pStyle w:val="Default"/>
        <w:jc w:val="both"/>
        <w:rPr>
          <w:sz w:val="18"/>
          <w:szCs w:val="18"/>
        </w:rPr>
      </w:pPr>
      <w:r>
        <w:rPr>
          <w:sz w:val="18"/>
          <w:szCs w:val="18"/>
        </w:rPr>
        <w:t xml:space="preserve">I. Se deberá contar con la autorización por parte de la Unidad Responsable, a través de la Dirección General de Inocuidad Agroalimentaria, Acuícola y Pesquera, para la operación con base en la experiencia, capacidad técnica, reconocimiento y demás requisitos que contemplen las disposiciones legales aplicables. </w:t>
      </w:r>
    </w:p>
    <w:p w:rsidR="00697926" w:rsidRDefault="00697926" w:rsidP="00697926">
      <w:pPr>
        <w:pStyle w:val="Default"/>
        <w:jc w:val="both"/>
        <w:rPr>
          <w:sz w:val="18"/>
          <w:szCs w:val="18"/>
        </w:rPr>
      </w:pPr>
      <w:r>
        <w:rPr>
          <w:b/>
          <w:bCs/>
          <w:sz w:val="18"/>
          <w:szCs w:val="18"/>
        </w:rPr>
        <w:t xml:space="preserve">II. </w:t>
      </w:r>
      <w:r>
        <w:rPr>
          <w:sz w:val="18"/>
          <w:szCs w:val="18"/>
        </w:rPr>
        <w:t xml:space="preserve">Para la operación a través de la Instancia Ejecutora deberá presentar copia de Cédula de Registro de reconocimiento oficial o su autorización expedida por la Unidad Responsable, a través de la Dirección General de Inocuidad Agroalimentaria Acuícola y Pesquera. </w:t>
      </w:r>
    </w:p>
    <w:p w:rsidR="00697926" w:rsidRDefault="00697926" w:rsidP="00697926">
      <w:pPr>
        <w:pStyle w:val="Default"/>
        <w:jc w:val="both"/>
        <w:rPr>
          <w:sz w:val="18"/>
          <w:szCs w:val="18"/>
        </w:rPr>
      </w:pPr>
      <w:r>
        <w:rPr>
          <w:sz w:val="18"/>
          <w:szCs w:val="18"/>
        </w:rPr>
        <w:t xml:space="preserve">Los criterios de </w:t>
      </w:r>
      <w:proofErr w:type="spellStart"/>
      <w:r>
        <w:rPr>
          <w:sz w:val="18"/>
          <w:szCs w:val="18"/>
        </w:rPr>
        <w:t>dictaminación</w:t>
      </w:r>
      <w:proofErr w:type="spellEnd"/>
      <w:r>
        <w:rPr>
          <w:sz w:val="18"/>
          <w:szCs w:val="18"/>
        </w:rPr>
        <w:t xml:space="preserve">. El procedimiento de selección será conforme a lo siguiente: </w:t>
      </w:r>
    </w:p>
    <w:p w:rsidR="00697926" w:rsidRDefault="00697926" w:rsidP="00697926">
      <w:pPr>
        <w:pStyle w:val="Default"/>
        <w:jc w:val="both"/>
        <w:rPr>
          <w:sz w:val="18"/>
          <w:szCs w:val="18"/>
        </w:rPr>
      </w:pPr>
      <w:r>
        <w:rPr>
          <w:sz w:val="18"/>
          <w:szCs w:val="18"/>
        </w:rPr>
        <w:t xml:space="preserve">I. La Instancia Ejecutora deberá presentar el Proyecto del Programa de Trabajo de acuerdo a los Términos de Referencia, y </w:t>
      </w:r>
    </w:p>
    <w:p w:rsidR="00697926" w:rsidRDefault="00697926" w:rsidP="00697926">
      <w:pPr>
        <w:pStyle w:val="Default"/>
        <w:jc w:val="both"/>
        <w:rPr>
          <w:b/>
          <w:bCs/>
          <w:sz w:val="20"/>
          <w:szCs w:val="18"/>
        </w:rPr>
      </w:pPr>
      <w:r>
        <w:rPr>
          <w:sz w:val="18"/>
          <w:szCs w:val="18"/>
        </w:rPr>
        <w:t>II. Autorización por parte de la Dirección General de Inocuidad Agroalimentaria Acuícola y Pesquera.</w:t>
      </w:r>
    </w:p>
    <w:p w:rsidR="00697926" w:rsidRDefault="00697926" w:rsidP="008A6FC9">
      <w:pPr>
        <w:pStyle w:val="Default"/>
        <w:rPr>
          <w:sz w:val="20"/>
          <w:szCs w:val="18"/>
        </w:rPr>
      </w:pPr>
    </w:p>
    <w:p w:rsidR="00697926" w:rsidRPr="00697926" w:rsidRDefault="00697926" w:rsidP="008A6FC9">
      <w:pPr>
        <w:pStyle w:val="Default"/>
        <w:rPr>
          <w:sz w:val="22"/>
          <w:szCs w:val="18"/>
          <w:u w:val="single"/>
        </w:rPr>
      </w:pPr>
      <w:r w:rsidRPr="00697926">
        <w:rPr>
          <w:b/>
          <w:bCs/>
          <w:sz w:val="20"/>
          <w:szCs w:val="18"/>
          <w:u w:val="single"/>
        </w:rPr>
        <w:t>Del Incentivo de Inspección de la Movilización Nacional</w:t>
      </w:r>
    </w:p>
    <w:p w:rsidR="000B46A7" w:rsidRPr="00F901B7" w:rsidRDefault="000B46A7" w:rsidP="000B46A7">
      <w:pPr>
        <w:pStyle w:val="Default"/>
        <w:rPr>
          <w:sz w:val="16"/>
          <w:szCs w:val="16"/>
        </w:rPr>
      </w:pPr>
    </w:p>
    <w:p w:rsidR="000B46A7" w:rsidRDefault="000B46A7" w:rsidP="000B46A7">
      <w:pPr>
        <w:pStyle w:val="Default"/>
        <w:rPr>
          <w:sz w:val="18"/>
          <w:szCs w:val="18"/>
        </w:rPr>
      </w:pPr>
      <w:r>
        <w:rPr>
          <w:sz w:val="18"/>
          <w:szCs w:val="18"/>
        </w:rPr>
        <w:t xml:space="preserve">Conceptos de apoyo y montos máximos de apoyo. </w:t>
      </w:r>
    </w:p>
    <w:p w:rsidR="00697926" w:rsidRPr="00697926" w:rsidRDefault="000B46A7" w:rsidP="000B46A7">
      <w:pPr>
        <w:pStyle w:val="Default"/>
        <w:rPr>
          <w:sz w:val="20"/>
          <w:szCs w:val="18"/>
        </w:rPr>
      </w:pPr>
      <w:r>
        <w:rPr>
          <w:sz w:val="18"/>
          <w:szCs w:val="18"/>
        </w:rPr>
        <w:t>Las acciones se realizarán a través de la Instancia Ejecutora que cuente con reconocimiento, experiencia y que cumpla las condiciones y requisitos exigidos por la Unidad Responsable.</w:t>
      </w:r>
    </w:p>
    <w:tbl>
      <w:tblPr>
        <w:tblW w:w="0" w:type="auto"/>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ayout w:type="fixed"/>
        <w:tblLook w:val="0000" w:firstRow="0" w:lastRow="0" w:firstColumn="0" w:lastColumn="0" w:noHBand="0" w:noVBand="0"/>
      </w:tblPr>
      <w:tblGrid>
        <w:gridCol w:w="5211"/>
        <w:gridCol w:w="4536"/>
      </w:tblGrid>
      <w:tr w:rsidR="000B46A7" w:rsidTr="00F901B7">
        <w:trPr>
          <w:trHeight w:val="84"/>
        </w:trPr>
        <w:tc>
          <w:tcPr>
            <w:tcW w:w="521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tcPr>
          <w:p w:rsidR="000B46A7" w:rsidRDefault="000B46A7" w:rsidP="000B46A7">
            <w:pPr>
              <w:pStyle w:val="Default"/>
              <w:jc w:val="center"/>
              <w:rPr>
                <w:sz w:val="18"/>
                <w:szCs w:val="18"/>
              </w:rPr>
            </w:pPr>
            <w:r>
              <w:rPr>
                <w:b/>
                <w:bCs/>
                <w:sz w:val="18"/>
                <w:szCs w:val="18"/>
              </w:rPr>
              <w:t>Concepto</w:t>
            </w:r>
          </w:p>
        </w:tc>
        <w:tc>
          <w:tcPr>
            <w:tcW w:w="4536"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tcPr>
          <w:p w:rsidR="000B46A7" w:rsidRDefault="000B46A7" w:rsidP="000B46A7">
            <w:pPr>
              <w:pStyle w:val="Default"/>
              <w:jc w:val="center"/>
              <w:rPr>
                <w:sz w:val="18"/>
                <w:szCs w:val="18"/>
              </w:rPr>
            </w:pPr>
            <w:r>
              <w:rPr>
                <w:b/>
                <w:bCs/>
                <w:sz w:val="18"/>
                <w:szCs w:val="18"/>
              </w:rPr>
              <w:t>Montos Máximos</w:t>
            </w:r>
          </w:p>
        </w:tc>
      </w:tr>
      <w:tr w:rsidR="000B46A7" w:rsidTr="00F901B7">
        <w:trPr>
          <w:trHeight w:val="1734"/>
        </w:trPr>
        <w:tc>
          <w:tcPr>
            <w:tcW w:w="5211" w:type="dxa"/>
            <w:tcBorders>
              <w:top w:val="single" w:sz="12" w:space="0" w:color="538135" w:themeColor="accent6" w:themeShade="BF"/>
            </w:tcBorders>
          </w:tcPr>
          <w:p w:rsidR="000B46A7" w:rsidRPr="00F901B7" w:rsidRDefault="000B46A7" w:rsidP="000B46A7">
            <w:pPr>
              <w:pStyle w:val="Default"/>
              <w:jc w:val="both"/>
              <w:rPr>
                <w:sz w:val="16"/>
                <w:szCs w:val="16"/>
              </w:rPr>
            </w:pPr>
            <w:r w:rsidRPr="00F901B7">
              <w:rPr>
                <w:b/>
                <w:bCs/>
                <w:sz w:val="16"/>
                <w:szCs w:val="16"/>
              </w:rPr>
              <w:t>Inspección de la Movilización Agropecuaria Nacional</w:t>
            </w:r>
            <w:r w:rsidRPr="00F901B7">
              <w:rPr>
                <w:sz w:val="16"/>
                <w:szCs w:val="16"/>
              </w:rPr>
              <w:t xml:space="preserve">. Incentivos orientados a la verificación e inspección para la evaluación de la conformidad del cumplimiento de las disposiciones legales en materia de control de la movilización agropecuaria, y en caso de incumplimiento, aplicar las medidas sanitarias que correspondan. </w:t>
            </w:r>
          </w:p>
          <w:p w:rsidR="000B46A7" w:rsidRPr="00F901B7" w:rsidRDefault="000B46A7" w:rsidP="000B46A7">
            <w:pPr>
              <w:pStyle w:val="Default"/>
              <w:jc w:val="both"/>
              <w:rPr>
                <w:sz w:val="16"/>
                <w:szCs w:val="16"/>
              </w:rPr>
            </w:pPr>
            <w:r w:rsidRPr="00F901B7">
              <w:rPr>
                <w:sz w:val="16"/>
                <w:szCs w:val="16"/>
              </w:rPr>
              <w:t xml:space="preserve">Los incentivos se otorgarán para el desarrollo de los Programas de Trabajo, a través de los siguientes Proyectos: </w:t>
            </w:r>
          </w:p>
          <w:p w:rsidR="000B46A7" w:rsidRPr="00F901B7" w:rsidRDefault="000B46A7" w:rsidP="000B46A7">
            <w:pPr>
              <w:pStyle w:val="Default"/>
              <w:jc w:val="both"/>
              <w:rPr>
                <w:sz w:val="16"/>
                <w:szCs w:val="16"/>
              </w:rPr>
            </w:pPr>
            <w:r w:rsidRPr="00F901B7">
              <w:rPr>
                <w:sz w:val="16"/>
                <w:szCs w:val="16"/>
              </w:rPr>
              <w:t xml:space="preserve">a) Puntos de Verificación e Inspección Federal, </w:t>
            </w:r>
          </w:p>
          <w:p w:rsidR="000B46A7" w:rsidRPr="00F901B7" w:rsidRDefault="000B46A7" w:rsidP="000B46A7">
            <w:pPr>
              <w:pStyle w:val="Default"/>
              <w:jc w:val="both"/>
              <w:rPr>
                <w:sz w:val="16"/>
                <w:szCs w:val="16"/>
              </w:rPr>
            </w:pPr>
            <w:r w:rsidRPr="00F901B7">
              <w:rPr>
                <w:sz w:val="16"/>
                <w:szCs w:val="16"/>
              </w:rPr>
              <w:t xml:space="preserve">b) Puntos de Verificación e Inspección Interna, </w:t>
            </w:r>
          </w:p>
          <w:p w:rsidR="000B46A7" w:rsidRPr="00F901B7" w:rsidRDefault="000B46A7" w:rsidP="000B46A7">
            <w:pPr>
              <w:pStyle w:val="Default"/>
              <w:jc w:val="both"/>
              <w:rPr>
                <w:sz w:val="16"/>
                <w:szCs w:val="16"/>
              </w:rPr>
            </w:pPr>
            <w:r w:rsidRPr="00F901B7">
              <w:rPr>
                <w:sz w:val="16"/>
                <w:szCs w:val="16"/>
              </w:rPr>
              <w:t xml:space="preserve">c) Proyectos Especiales de Inspección para: </w:t>
            </w:r>
          </w:p>
          <w:p w:rsidR="000B46A7" w:rsidRPr="00F901B7" w:rsidRDefault="000B46A7" w:rsidP="000B46A7">
            <w:pPr>
              <w:pStyle w:val="Default"/>
              <w:jc w:val="both"/>
              <w:rPr>
                <w:sz w:val="16"/>
                <w:szCs w:val="16"/>
              </w:rPr>
            </w:pPr>
          </w:p>
          <w:p w:rsidR="000B46A7" w:rsidRPr="00F901B7" w:rsidRDefault="000B46A7" w:rsidP="000B46A7">
            <w:pPr>
              <w:pStyle w:val="Default"/>
              <w:numPr>
                <w:ilvl w:val="0"/>
                <w:numId w:val="25"/>
              </w:numPr>
              <w:jc w:val="both"/>
              <w:rPr>
                <w:sz w:val="16"/>
                <w:szCs w:val="16"/>
              </w:rPr>
            </w:pPr>
            <w:r w:rsidRPr="00F901B7">
              <w:rPr>
                <w:sz w:val="16"/>
                <w:szCs w:val="16"/>
              </w:rPr>
              <w:t>Construcción de Infraestructura de Inspección.</w:t>
            </w:r>
          </w:p>
          <w:p w:rsidR="000B46A7" w:rsidRPr="00F901B7" w:rsidRDefault="000B46A7" w:rsidP="000B46A7">
            <w:pPr>
              <w:pStyle w:val="Default"/>
              <w:numPr>
                <w:ilvl w:val="0"/>
                <w:numId w:val="25"/>
              </w:numPr>
              <w:jc w:val="both"/>
              <w:rPr>
                <w:sz w:val="16"/>
                <w:szCs w:val="16"/>
              </w:rPr>
            </w:pPr>
            <w:r w:rsidRPr="00F901B7">
              <w:rPr>
                <w:sz w:val="16"/>
                <w:szCs w:val="16"/>
              </w:rPr>
              <w:t xml:space="preserve">Otros Sitios de Inspección </w:t>
            </w:r>
          </w:p>
          <w:p w:rsidR="000B46A7" w:rsidRPr="00F901B7" w:rsidRDefault="000B46A7" w:rsidP="000B46A7">
            <w:pPr>
              <w:pStyle w:val="Default"/>
              <w:numPr>
                <w:ilvl w:val="0"/>
                <w:numId w:val="25"/>
              </w:numPr>
              <w:jc w:val="both"/>
              <w:rPr>
                <w:sz w:val="16"/>
                <w:szCs w:val="16"/>
              </w:rPr>
            </w:pPr>
            <w:r w:rsidRPr="00F901B7">
              <w:rPr>
                <w:sz w:val="16"/>
                <w:szCs w:val="16"/>
              </w:rPr>
              <w:t xml:space="preserve">Esquemas Alternos de Inspección </w:t>
            </w:r>
          </w:p>
          <w:p w:rsidR="000B46A7" w:rsidRPr="00F901B7" w:rsidRDefault="000B46A7" w:rsidP="000B46A7">
            <w:pPr>
              <w:pStyle w:val="Default"/>
              <w:jc w:val="both"/>
              <w:rPr>
                <w:sz w:val="16"/>
                <w:szCs w:val="16"/>
              </w:rPr>
            </w:pPr>
          </w:p>
          <w:p w:rsidR="000B46A7" w:rsidRPr="00F901B7" w:rsidRDefault="000B46A7" w:rsidP="000B46A7">
            <w:pPr>
              <w:pStyle w:val="Default"/>
              <w:jc w:val="both"/>
              <w:rPr>
                <w:rFonts w:ascii="Wingdings" w:hAnsi="Wingdings" w:cs="Wingdings"/>
                <w:sz w:val="16"/>
                <w:szCs w:val="16"/>
              </w:rPr>
            </w:pPr>
          </w:p>
        </w:tc>
        <w:tc>
          <w:tcPr>
            <w:tcW w:w="4536" w:type="dxa"/>
            <w:tcBorders>
              <w:top w:val="single" w:sz="12" w:space="0" w:color="538135" w:themeColor="accent6" w:themeShade="BF"/>
            </w:tcBorders>
          </w:tcPr>
          <w:p w:rsidR="000B46A7" w:rsidRPr="00F901B7" w:rsidRDefault="000B46A7" w:rsidP="000B46A7">
            <w:pPr>
              <w:pStyle w:val="Default"/>
              <w:jc w:val="both"/>
              <w:rPr>
                <w:sz w:val="16"/>
                <w:szCs w:val="16"/>
              </w:rPr>
            </w:pPr>
            <w:r w:rsidRPr="00F901B7">
              <w:rPr>
                <w:sz w:val="16"/>
                <w:szCs w:val="16"/>
              </w:rPr>
              <w:t xml:space="preserve">El monto de los incentivos federales será en función de la priorización de los proyectos y así cubrir hasta el 100% de su costo; </w:t>
            </w:r>
          </w:p>
          <w:p w:rsidR="000B46A7" w:rsidRPr="00F901B7" w:rsidRDefault="000B46A7" w:rsidP="000B46A7">
            <w:pPr>
              <w:pStyle w:val="Default"/>
              <w:jc w:val="both"/>
              <w:rPr>
                <w:sz w:val="16"/>
                <w:szCs w:val="16"/>
              </w:rPr>
            </w:pPr>
            <w:r w:rsidRPr="00F901B7">
              <w:rPr>
                <w:sz w:val="16"/>
                <w:szCs w:val="16"/>
              </w:rPr>
              <w:t xml:space="preserve">En el caso en que exista aportación de incentivos estatales se considerarán complementarios y deberá suscribirse el instrumento jurídico en el que se establezcan las condiciones específicas de operación. </w:t>
            </w:r>
          </w:p>
          <w:p w:rsidR="000B46A7" w:rsidRPr="00F901B7" w:rsidRDefault="000B46A7" w:rsidP="000B46A7">
            <w:pPr>
              <w:pStyle w:val="Default"/>
              <w:jc w:val="both"/>
              <w:rPr>
                <w:sz w:val="16"/>
                <w:szCs w:val="16"/>
              </w:rPr>
            </w:pPr>
            <w:r w:rsidRPr="00F901B7">
              <w:rPr>
                <w:sz w:val="16"/>
                <w:szCs w:val="16"/>
              </w:rPr>
              <w:t xml:space="preserve">En caso contrario, la Unidad Responsable determinará en su totalidad las condiciones de operación </w:t>
            </w:r>
          </w:p>
          <w:p w:rsidR="000B46A7" w:rsidRPr="00F901B7" w:rsidRDefault="000B46A7" w:rsidP="00F901B7">
            <w:pPr>
              <w:pStyle w:val="Default"/>
              <w:jc w:val="both"/>
              <w:rPr>
                <w:sz w:val="16"/>
                <w:szCs w:val="16"/>
              </w:rPr>
            </w:pPr>
            <w:r w:rsidRPr="00F901B7">
              <w:rPr>
                <w:sz w:val="16"/>
                <w:szCs w:val="16"/>
              </w:rPr>
              <w:t>Los montos deberán ser destinados exclusivamente a los proyectos y/o actividades de Sanidad e Inocuidad, comprometidos en el programa de trabajo correspondiente.</w:t>
            </w:r>
          </w:p>
        </w:tc>
      </w:tr>
    </w:tbl>
    <w:p w:rsidR="00697926" w:rsidRPr="000B46A7" w:rsidRDefault="00697926" w:rsidP="008A6FC9">
      <w:pPr>
        <w:pStyle w:val="Default"/>
        <w:rPr>
          <w:sz w:val="18"/>
          <w:szCs w:val="18"/>
          <w:lang w:val="es-MX"/>
        </w:rPr>
      </w:pPr>
    </w:p>
    <w:p w:rsidR="000B46A7" w:rsidRDefault="000B46A7" w:rsidP="000B46A7">
      <w:pPr>
        <w:pStyle w:val="Default"/>
        <w:rPr>
          <w:sz w:val="18"/>
          <w:szCs w:val="18"/>
        </w:rPr>
      </w:pPr>
      <w:r w:rsidRPr="000B46A7">
        <w:rPr>
          <w:b/>
          <w:sz w:val="20"/>
          <w:szCs w:val="18"/>
        </w:rPr>
        <w:t>Criterios técnicos y requisitos específicos</w:t>
      </w:r>
      <w:r>
        <w:rPr>
          <w:sz w:val="18"/>
          <w:szCs w:val="18"/>
        </w:rPr>
        <w:t xml:space="preserve">. </w:t>
      </w:r>
    </w:p>
    <w:p w:rsidR="000B46A7" w:rsidRDefault="000B46A7" w:rsidP="000B46A7">
      <w:pPr>
        <w:pStyle w:val="Default"/>
        <w:jc w:val="both"/>
        <w:rPr>
          <w:sz w:val="18"/>
          <w:szCs w:val="18"/>
        </w:rPr>
      </w:pPr>
      <w:r>
        <w:rPr>
          <w:b/>
          <w:bCs/>
          <w:sz w:val="18"/>
          <w:szCs w:val="18"/>
        </w:rPr>
        <w:lastRenderedPageBreak/>
        <w:t xml:space="preserve">I. </w:t>
      </w:r>
      <w:r>
        <w:rPr>
          <w:sz w:val="18"/>
          <w:szCs w:val="18"/>
        </w:rPr>
        <w:t xml:space="preserve">Se deberá contar con la autorización por parte de la Unidad Responsable, a través de la Dirección General de Inspección </w:t>
      </w:r>
      <w:proofErr w:type="spellStart"/>
      <w:r>
        <w:rPr>
          <w:sz w:val="18"/>
          <w:szCs w:val="18"/>
        </w:rPr>
        <w:t>Fitozoosanitaria</w:t>
      </w:r>
      <w:proofErr w:type="spellEnd"/>
      <w:r>
        <w:rPr>
          <w:sz w:val="18"/>
          <w:szCs w:val="18"/>
        </w:rPr>
        <w:t xml:space="preserve">, para la operación con base en la experiencia, capacidad técnica, reconocimiento y demás requisitos que contemplen las disposiciones legales aplicables. </w:t>
      </w:r>
    </w:p>
    <w:p w:rsidR="000B46A7" w:rsidRDefault="000B46A7" w:rsidP="000B46A7">
      <w:pPr>
        <w:pStyle w:val="Default"/>
        <w:jc w:val="both"/>
        <w:rPr>
          <w:sz w:val="18"/>
          <w:szCs w:val="18"/>
        </w:rPr>
      </w:pPr>
      <w:r>
        <w:rPr>
          <w:b/>
          <w:bCs/>
          <w:sz w:val="18"/>
          <w:szCs w:val="18"/>
        </w:rPr>
        <w:t xml:space="preserve">II. </w:t>
      </w:r>
      <w:r>
        <w:rPr>
          <w:sz w:val="18"/>
          <w:szCs w:val="18"/>
        </w:rPr>
        <w:t xml:space="preserve">Para el caso de la operación a través de los Organismos Auxiliares deberá presentar copia de Cédula de Registro de reconocimiento oficial; </w:t>
      </w:r>
    </w:p>
    <w:p w:rsidR="000B46A7" w:rsidRDefault="000B46A7" w:rsidP="000B46A7">
      <w:pPr>
        <w:pStyle w:val="Default"/>
        <w:jc w:val="both"/>
        <w:rPr>
          <w:sz w:val="18"/>
          <w:szCs w:val="18"/>
        </w:rPr>
      </w:pPr>
      <w:r>
        <w:rPr>
          <w:b/>
          <w:bCs/>
          <w:sz w:val="18"/>
          <w:szCs w:val="18"/>
        </w:rPr>
        <w:t xml:space="preserve">III. </w:t>
      </w:r>
      <w:r>
        <w:rPr>
          <w:sz w:val="18"/>
          <w:szCs w:val="18"/>
        </w:rPr>
        <w:t>En el caso de que la operación sea a través de una instancia diferente a un organismo auxiliar, se deberá presentar solicitud en formato libre, en la que manifieste la intención de participar como instancia ejecutora para todo el Componente o algún proyecto del mismo.</w:t>
      </w:r>
    </w:p>
    <w:p w:rsidR="000B46A7" w:rsidRDefault="000B46A7" w:rsidP="008A6FC9">
      <w:pPr>
        <w:pStyle w:val="Default"/>
        <w:rPr>
          <w:sz w:val="18"/>
          <w:szCs w:val="18"/>
        </w:rPr>
      </w:pPr>
    </w:p>
    <w:p w:rsidR="000B46A7" w:rsidRPr="000B46A7" w:rsidRDefault="003B6A32" w:rsidP="000B46A7">
      <w:pPr>
        <w:pStyle w:val="Default"/>
        <w:shd w:val="clear" w:color="auto" w:fill="FFD966" w:themeFill="accent4" w:themeFillTint="99"/>
        <w:jc w:val="center"/>
        <w:rPr>
          <w:sz w:val="20"/>
          <w:szCs w:val="20"/>
        </w:rPr>
      </w:pPr>
      <w:r w:rsidRPr="000B46A7">
        <w:rPr>
          <w:b/>
          <w:sz w:val="20"/>
          <w:szCs w:val="20"/>
        </w:rPr>
        <w:t xml:space="preserve">SECCIÓN II </w:t>
      </w:r>
      <w:r w:rsidR="000B46A7" w:rsidRPr="000B46A7">
        <w:rPr>
          <w:b/>
          <w:bCs/>
          <w:sz w:val="20"/>
          <w:szCs w:val="20"/>
        </w:rPr>
        <w:t>Del Componente de Sacrificio de Ganado en Establecimientos</w:t>
      </w:r>
    </w:p>
    <w:p w:rsidR="003B6A32" w:rsidRPr="000B46A7" w:rsidRDefault="000B46A7" w:rsidP="000B46A7">
      <w:pPr>
        <w:pStyle w:val="Texto"/>
        <w:shd w:val="clear" w:color="auto" w:fill="FFD966" w:themeFill="accent4" w:themeFillTint="99"/>
        <w:spacing w:line="240" w:lineRule="auto"/>
        <w:ind w:firstLine="0"/>
        <w:contextualSpacing/>
        <w:jc w:val="center"/>
        <w:rPr>
          <w:b/>
          <w:color w:val="000000"/>
          <w:sz w:val="20"/>
        </w:rPr>
      </w:pPr>
      <w:r w:rsidRPr="000B46A7">
        <w:rPr>
          <w:b/>
          <w:bCs/>
          <w:sz w:val="20"/>
        </w:rPr>
        <w:t>Tipo Inspección Federal (TIF)</w:t>
      </w:r>
    </w:p>
    <w:p w:rsidR="003B6A32" w:rsidRDefault="003B6A32" w:rsidP="00F901B7">
      <w:pPr>
        <w:pStyle w:val="Texto"/>
        <w:spacing w:after="0" w:line="240" w:lineRule="auto"/>
        <w:ind w:left="360" w:firstLine="0"/>
        <w:contextualSpacing/>
        <w:rPr>
          <w:b/>
          <w:color w:val="000000"/>
          <w:szCs w:val="18"/>
        </w:rPr>
      </w:pPr>
    </w:p>
    <w:p w:rsidR="003B6A32" w:rsidRDefault="003B6A32" w:rsidP="00F901B7">
      <w:pPr>
        <w:spacing w:after="0" w:line="240" w:lineRule="auto"/>
        <w:jc w:val="both"/>
        <w:rPr>
          <w:sz w:val="18"/>
          <w:szCs w:val="18"/>
        </w:rPr>
      </w:pPr>
      <w:r w:rsidRPr="0027633C">
        <w:rPr>
          <w:b/>
          <w:color w:val="000000"/>
          <w:szCs w:val="18"/>
          <w:lang w:val="es-ES_tradnl"/>
        </w:rPr>
        <w:t xml:space="preserve">OBJETIVO: </w:t>
      </w:r>
      <w:r w:rsidR="000B46A7">
        <w:rPr>
          <w:sz w:val="18"/>
          <w:szCs w:val="18"/>
        </w:rPr>
        <w:t>Incentivar el sacrificio de ganado en establecimientos Tipo Inspección Federal.</w:t>
      </w:r>
    </w:p>
    <w:p w:rsidR="000B46A7" w:rsidRPr="0027633C" w:rsidRDefault="000B46A7" w:rsidP="00F901B7">
      <w:pPr>
        <w:spacing w:after="0" w:line="240" w:lineRule="auto"/>
        <w:jc w:val="both"/>
        <w:rPr>
          <w:rFonts w:ascii="Arial" w:hAnsi="Arial" w:cs="Arial"/>
          <w:color w:val="000000"/>
          <w:sz w:val="18"/>
          <w:szCs w:val="18"/>
          <w:lang w:val="es-ES_tradnl"/>
        </w:rPr>
      </w:pPr>
    </w:p>
    <w:p w:rsidR="000B46A7" w:rsidRDefault="003B6A32" w:rsidP="00F901B7">
      <w:pPr>
        <w:spacing w:after="0" w:line="240" w:lineRule="auto"/>
        <w:jc w:val="both"/>
        <w:rPr>
          <w:rFonts w:ascii="Arial" w:hAnsi="Arial" w:cs="Arial"/>
          <w:color w:val="000000"/>
          <w:sz w:val="18"/>
          <w:szCs w:val="18"/>
        </w:rPr>
      </w:pPr>
      <w:r w:rsidRPr="003C4E24">
        <w:rPr>
          <w:rFonts w:ascii="Arial" w:hAnsi="Arial" w:cs="Arial"/>
          <w:color w:val="000000"/>
          <w:sz w:val="18"/>
          <w:szCs w:val="18"/>
        </w:rPr>
        <w:t xml:space="preserve">Concepto de Apoyo y Montos Máximos. </w:t>
      </w:r>
    </w:p>
    <w:p w:rsidR="000B46A7" w:rsidRDefault="000B46A7" w:rsidP="00F901B7">
      <w:pPr>
        <w:spacing w:after="0" w:line="240" w:lineRule="auto"/>
        <w:jc w:val="both"/>
        <w:rPr>
          <w:rFonts w:ascii="Arial" w:hAnsi="Arial" w:cs="Arial"/>
          <w:color w:val="000000"/>
          <w:sz w:val="18"/>
          <w:szCs w:val="18"/>
        </w:rPr>
      </w:pPr>
    </w:p>
    <w:p w:rsidR="000B46A7" w:rsidRPr="000B46A7" w:rsidRDefault="000B46A7" w:rsidP="00F901B7">
      <w:pPr>
        <w:pStyle w:val="Prrafodelista"/>
        <w:numPr>
          <w:ilvl w:val="0"/>
          <w:numId w:val="27"/>
        </w:numPr>
        <w:spacing w:after="0" w:line="240" w:lineRule="auto"/>
        <w:rPr>
          <w:sz w:val="18"/>
          <w:szCs w:val="18"/>
        </w:rPr>
      </w:pPr>
      <w:r w:rsidRPr="000B46A7">
        <w:rPr>
          <w:sz w:val="18"/>
          <w:szCs w:val="18"/>
        </w:rPr>
        <w:t>El incentivo se otorgará por especie y cabeza de ganado, de conformidad con las siguientes características:</w:t>
      </w:r>
    </w:p>
    <w:tbl>
      <w:tblPr>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1951"/>
        <w:gridCol w:w="3686"/>
        <w:gridCol w:w="2126"/>
        <w:gridCol w:w="1984"/>
      </w:tblGrid>
      <w:tr w:rsidR="00F901B7" w:rsidRPr="00F901B7" w:rsidTr="00F901B7">
        <w:trPr>
          <w:trHeight w:val="306"/>
        </w:trPr>
        <w:tc>
          <w:tcPr>
            <w:tcW w:w="195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tcPr>
          <w:p w:rsidR="000B46A7" w:rsidRPr="00F901B7" w:rsidRDefault="000B46A7" w:rsidP="00F901B7">
            <w:pPr>
              <w:pStyle w:val="Default"/>
              <w:jc w:val="center"/>
              <w:rPr>
                <w:sz w:val="16"/>
                <w:szCs w:val="16"/>
              </w:rPr>
            </w:pPr>
            <w:r w:rsidRPr="00F901B7">
              <w:rPr>
                <w:b/>
                <w:bCs/>
                <w:sz w:val="16"/>
                <w:szCs w:val="16"/>
              </w:rPr>
              <w:t>Concepto (Especies de ganado)</w:t>
            </w:r>
          </w:p>
        </w:tc>
        <w:tc>
          <w:tcPr>
            <w:tcW w:w="3686"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tcPr>
          <w:p w:rsidR="000B46A7" w:rsidRPr="00F901B7" w:rsidRDefault="000B46A7" w:rsidP="00F901B7">
            <w:pPr>
              <w:pStyle w:val="Default"/>
              <w:jc w:val="center"/>
              <w:rPr>
                <w:sz w:val="16"/>
                <w:szCs w:val="16"/>
              </w:rPr>
            </w:pPr>
            <w:r w:rsidRPr="00F901B7">
              <w:rPr>
                <w:b/>
                <w:bCs/>
                <w:sz w:val="16"/>
                <w:szCs w:val="16"/>
              </w:rPr>
              <w:t>Características del ganado:</w:t>
            </w:r>
          </w:p>
        </w:tc>
        <w:tc>
          <w:tcPr>
            <w:tcW w:w="2126"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tcPr>
          <w:p w:rsidR="000B46A7" w:rsidRPr="00F901B7" w:rsidRDefault="000B46A7" w:rsidP="00F901B7">
            <w:pPr>
              <w:pStyle w:val="Default"/>
              <w:jc w:val="center"/>
              <w:rPr>
                <w:sz w:val="16"/>
                <w:szCs w:val="16"/>
              </w:rPr>
            </w:pPr>
            <w:r w:rsidRPr="00F901B7">
              <w:rPr>
                <w:b/>
                <w:bCs/>
                <w:sz w:val="16"/>
                <w:szCs w:val="16"/>
              </w:rPr>
              <w:t>Límite de Cabezas de ganado</w:t>
            </w:r>
          </w:p>
        </w:tc>
        <w:tc>
          <w:tcPr>
            <w:tcW w:w="198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tcPr>
          <w:p w:rsidR="000B46A7" w:rsidRPr="00F901B7" w:rsidRDefault="000B46A7" w:rsidP="00F901B7">
            <w:pPr>
              <w:pStyle w:val="Default"/>
              <w:jc w:val="center"/>
              <w:rPr>
                <w:sz w:val="16"/>
                <w:szCs w:val="16"/>
              </w:rPr>
            </w:pPr>
            <w:r w:rsidRPr="00F901B7">
              <w:rPr>
                <w:b/>
                <w:bCs/>
                <w:sz w:val="16"/>
                <w:szCs w:val="16"/>
              </w:rPr>
              <w:t>Monto máximo cabeza de ganado</w:t>
            </w:r>
          </w:p>
        </w:tc>
      </w:tr>
      <w:tr w:rsidR="00F901B7" w:rsidRPr="00F901B7" w:rsidTr="00F901B7">
        <w:trPr>
          <w:trHeight w:val="196"/>
        </w:trPr>
        <w:tc>
          <w:tcPr>
            <w:tcW w:w="1951" w:type="dxa"/>
            <w:tcBorders>
              <w:top w:val="single" w:sz="12" w:space="0" w:color="538135" w:themeColor="accent6" w:themeShade="BF"/>
            </w:tcBorders>
          </w:tcPr>
          <w:p w:rsidR="000B46A7" w:rsidRPr="00F901B7" w:rsidRDefault="000B46A7">
            <w:pPr>
              <w:pStyle w:val="Default"/>
              <w:rPr>
                <w:sz w:val="16"/>
                <w:szCs w:val="16"/>
              </w:rPr>
            </w:pPr>
            <w:r w:rsidRPr="00F901B7">
              <w:rPr>
                <w:sz w:val="16"/>
                <w:szCs w:val="16"/>
              </w:rPr>
              <w:t xml:space="preserve">Bovino </w:t>
            </w:r>
          </w:p>
        </w:tc>
        <w:tc>
          <w:tcPr>
            <w:tcW w:w="3686" w:type="dxa"/>
            <w:tcBorders>
              <w:top w:val="single" w:sz="12" w:space="0" w:color="538135" w:themeColor="accent6" w:themeShade="BF"/>
            </w:tcBorders>
          </w:tcPr>
          <w:p w:rsidR="000B46A7" w:rsidRPr="00F901B7" w:rsidRDefault="000B46A7">
            <w:pPr>
              <w:pStyle w:val="Default"/>
              <w:rPr>
                <w:sz w:val="16"/>
                <w:szCs w:val="16"/>
              </w:rPr>
            </w:pPr>
            <w:r w:rsidRPr="00F901B7">
              <w:rPr>
                <w:sz w:val="16"/>
                <w:szCs w:val="16"/>
              </w:rPr>
              <w:t xml:space="preserve">Animal para abasto, mayores de 12 meses de edad. </w:t>
            </w:r>
          </w:p>
        </w:tc>
        <w:tc>
          <w:tcPr>
            <w:tcW w:w="2126" w:type="dxa"/>
            <w:tcBorders>
              <w:top w:val="single" w:sz="12" w:space="0" w:color="538135" w:themeColor="accent6" w:themeShade="BF"/>
            </w:tcBorders>
          </w:tcPr>
          <w:p w:rsidR="000B46A7" w:rsidRPr="00F901B7" w:rsidRDefault="000B46A7">
            <w:pPr>
              <w:pStyle w:val="Default"/>
              <w:rPr>
                <w:sz w:val="16"/>
                <w:szCs w:val="16"/>
              </w:rPr>
            </w:pPr>
            <w:r w:rsidRPr="00F901B7">
              <w:rPr>
                <w:sz w:val="16"/>
                <w:szCs w:val="16"/>
              </w:rPr>
              <w:t xml:space="preserve">Hasta 2,500 cabezas </w:t>
            </w:r>
          </w:p>
        </w:tc>
        <w:tc>
          <w:tcPr>
            <w:tcW w:w="1984" w:type="dxa"/>
            <w:tcBorders>
              <w:top w:val="single" w:sz="12" w:space="0" w:color="538135" w:themeColor="accent6" w:themeShade="BF"/>
            </w:tcBorders>
          </w:tcPr>
          <w:p w:rsidR="000B46A7" w:rsidRPr="00F901B7" w:rsidRDefault="000B46A7">
            <w:pPr>
              <w:pStyle w:val="Default"/>
              <w:rPr>
                <w:sz w:val="16"/>
                <w:szCs w:val="16"/>
              </w:rPr>
            </w:pPr>
            <w:r w:rsidRPr="00F901B7">
              <w:rPr>
                <w:sz w:val="16"/>
                <w:szCs w:val="16"/>
              </w:rPr>
              <w:t xml:space="preserve">Hasta $220.00 </w:t>
            </w:r>
          </w:p>
        </w:tc>
      </w:tr>
      <w:tr w:rsidR="00F901B7" w:rsidRPr="00F901B7" w:rsidTr="00F901B7">
        <w:trPr>
          <w:trHeight w:val="194"/>
        </w:trPr>
        <w:tc>
          <w:tcPr>
            <w:tcW w:w="1951" w:type="dxa"/>
          </w:tcPr>
          <w:p w:rsidR="000B46A7" w:rsidRPr="00F901B7" w:rsidRDefault="000B46A7">
            <w:pPr>
              <w:pStyle w:val="Default"/>
              <w:rPr>
                <w:sz w:val="16"/>
                <w:szCs w:val="16"/>
              </w:rPr>
            </w:pPr>
            <w:r w:rsidRPr="00F901B7">
              <w:rPr>
                <w:sz w:val="16"/>
                <w:szCs w:val="16"/>
              </w:rPr>
              <w:t xml:space="preserve">Porcino </w:t>
            </w:r>
          </w:p>
        </w:tc>
        <w:tc>
          <w:tcPr>
            <w:tcW w:w="3686" w:type="dxa"/>
          </w:tcPr>
          <w:p w:rsidR="000B46A7" w:rsidRPr="00F901B7" w:rsidRDefault="000B46A7">
            <w:pPr>
              <w:pStyle w:val="Default"/>
              <w:rPr>
                <w:sz w:val="16"/>
                <w:szCs w:val="16"/>
              </w:rPr>
            </w:pPr>
            <w:r w:rsidRPr="00F901B7">
              <w:rPr>
                <w:sz w:val="16"/>
                <w:szCs w:val="16"/>
              </w:rPr>
              <w:t xml:space="preserve">Animal para abasto, entre los 4 y 6 meses de edad. </w:t>
            </w:r>
          </w:p>
        </w:tc>
        <w:tc>
          <w:tcPr>
            <w:tcW w:w="2126" w:type="dxa"/>
          </w:tcPr>
          <w:p w:rsidR="000B46A7" w:rsidRPr="00F901B7" w:rsidRDefault="000B46A7">
            <w:pPr>
              <w:pStyle w:val="Default"/>
              <w:rPr>
                <w:sz w:val="16"/>
                <w:szCs w:val="16"/>
              </w:rPr>
            </w:pPr>
            <w:r w:rsidRPr="00F901B7">
              <w:rPr>
                <w:sz w:val="16"/>
                <w:szCs w:val="16"/>
              </w:rPr>
              <w:t xml:space="preserve">Hasta 5,000 cabezas </w:t>
            </w:r>
          </w:p>
        </w:tc>
        <w:tc>
          <w:tcPr>
            <w:tcW w:w="1984" w:type="dxa"/>
          </w:tcPr>
          <w:p w:rsidR="000B46A7" w:rsidRPr="00F901B7" w:rsidRDefault="000B46A7">
            <w:pPr>
              <w:pStyle w:val="Default"/>
              <w:rPr>
                <w:sz w:val="16"/>
                <w:szCs w:val="16"/>
              </w:rPr>
            </w:pPr>
            <w:r w:rsidRPr="00F901B7">
              <w:rPr>
                <w:sz w:val="16"/>
                <w:szCs w:val="16"/>
              </w:rPr>
              <w:t xml:space="preserve">Hasta $100.00 </w:t>
            </w:r>
          </w:p>
        </w:tc>
      </w:tr>
      <w:tr w:rsidR="00F901B7" w:rsidRPr="00F901B7" w:rsidTr="00F901B7">
        <w:trPr>
          <w:trHeight w:val="306"/>
        </w:trPr>
        <w:tc>
          <w:tcPr>
            <w:tcW w:w="1951" w:type="dxa"/>
          </w:tcPr>
          <w:p w:rsidR="000B46A7" w:rsidRPr="00F901B7" w:rsidRDefault="000B46A7">
            <w:pPr>
              <w:pStyle w:val="Default"/>
              <w:rPr>
                <w:sz w:val="16"/>
                <w:szCs w:val="16"/>
              </w:rPr>
            </w:pPr>
            <w:r w:rsidRPr="00F901B7">
              <w:rPr>
                <w:sz w:val="16"/>
                <w:szCs w:val="16"/>
              </w:rPr>
              <w:t xml:space="preserve">Ovino </w:t>
            </w:r>
          </w:p>
        </w:tc>
        <w:tc>
          <w:tcPr>
            <w:tcW w:w="3686" w:type="dxa"/>
          </w:tcPr>
          <w:p w:rsidR="000B46A7" w:rsidRPr="00F901B7" w:rsidRDefault="000B46A7">
            <w:pPr>
              <w:pStyle w:val="Default"/>
              <w:rPr>
                <w:sz w:val="16"/>
                <w:szCs w:val="16"/>
              </w:rPr>
            </w:pPr>
            <w:r w:rsidRPr="00F901B7">
              <w:rPr>
                <w:sz w:val="16"/>
                <w:szCs w:val="16"/>
              </w:rPr>
              <w:t xml:space="preserve">Animal para abasto, de 5 a 12 meses de edad y un peso entre los 30 y 45 kilogramos. </w:t>
            </w:r>
          </w:p>
        </w:tc>
        <w:tc>
          <w:tcPr>
            <w:tcW w:w="2126" w:type="dxa"/>
          </w:tcPr>
          <w:p w:rsidR="000B46A7" w:rsidRPr="00F901B7" w:rsidRDefault="000B46A7">
            <w:pPr>
              <w:pStyle w:val="Default"/>
              <w:rPr>
                <w:sz w:val="16"/>
                <w:szCs w:val="16"/>
              </w:rPr>
            </w:pPr>
            <w:r w:rsidRPr="00F901B7">
              <w:rPr>
                <w:sz w:val="16"/>
                <w:szCs w:val="16"/>
              </w:rPr>
              <w:t xml:space="preserve">Hasta 11,000 cabezas </w:t>
            </w:r>
          </w:p>
        </w:tc>
        <w:tc>
          <w:tcPr>
            <w:tcW w:w="1984" w:type="dxa"/>
          </w:tcPr>
          <w:p w:rsidR="000B46A7" w:rsidRPr="00F901B7" w:rsidRDefault="000B46A7">
            <w:pPr>
              <w:pStyle w:val="Default"/>
              <w:rPr>
                <w:sz w:val="16"/>
                <w:szCs w:val="16"/>
              </w:rPr>
            </w:pPr>
            <w:r w:rsidRPr="00F901B7">
              <w:rPr>
                <w:sz w:val="16"/>
                <w:szCs w:val="16"/>
              </w:rPr>
              <w:t xml:space="preserve">Hasta $50.00 </w:t>
            </w:r>
          </w:p>
        </w:tc>
      </w:tr>
      <w:tr w:rsidR="00F901B7" w:rsidRPr="00F901B7" w:rsidTr="00F901B7">
        <w:trPr>
          <w:trHeight w:val="196"/>
        </w:trPr>
        <w:tc>
          <w:tcPr>
            <w:tcW w:w="1951" w:type="dxa"/>
          </w:tcPr>
          <w:p w:rsidR="000B46A7" w:rsidRPr="00F901B7" w:rsidRDefault="000B46A7">
            <w:pPr>
              <w:pStyle w:val="Default"/>
              <w:rPr>
                <w:sz w:val="16"/>
                <w:szCs w:val="16"/>
              </w:rPr>
            </w:pPr>
            <w:r w:rsidRPr="00F901B7">
              <w:rPr>
                <w:sz w:val="16"/>
                <w:szCs w:val="16"/>
              </w:rPr>
              <w:t xml:space="preserve">*Caprino </w:t>
            </w:r>
          </w:p>
        </w:tc>
        <w:tc>
          <w:tcPr>
            <w:tcW w:w="3686" w:type="dxa"/>
          </w:tcPr>
          <w:p w:rsidR="000B46A7" w:rsidRPr="00F901B7" w:rsidRDefault="000B46A7">
            <w:pPr>
              <w:pStyle w:val="Default"/>
              <w:rPr>
                <w:sz w:val="16"/>
                <w:szCs w:val="16"/>
              </w:rPr>
            </w:pPr>
            <w:r w:rsidRPr="00F901B7">
              <w:rPr>
                <w:sz w:val="16"/>
                <w:szCs w:val="16"/>
              </w:rPr>
              <w:t xml:space="preserve">Machos de entre 12 y 18 meses de edad y un peso entre los 35 y 45 kilogramos. </w:t>
            </w:r>
          </w:p>
        </w:tc>
        <w:tc>
          <w:tcPr>
            <w:tcW w:w="2126" w:type="dxa"/>
          </w:tcPr>
          <w:p w:rsidR="000B46A7" w:rsidRPr="00F901B7" w:rsidRDefault="000B46A7">
            <w:pPr>
              <w:pStyle w:val="Default"/>
              <w:rPr>
                <w:sz w:val="16"/>
                <w:szCs w:val="16"/>
              </w:rPr>
            </w:pPr>
            <w:r w:rsidRPr="00F901B7">
              <w:rPr>
                <w:sz w:val="16"/>
                <w:szCs w:val="16"/>
              </w:rPr>
              <w:t xml:space="preserve">Hasta 11,000 cabezas </w:t>
            </w:r>
          </w:p>
        </w:tc>
        <w:tc>
          <w:tcPr>
            <w:tcW w:w="1984" w:type="dxa"/>
          </w:tcPr>
          <w:p w:rsidR="000B46A7" w:rsidRPr="00F901B7" w:rsidRDefault="000B46A7">
            <w:pPr>
              <w:pStyle w:val="Default"/>
              <w:rPr>
                <w:sz w:val="16"/>
                <w:szCs w:val="16"/>
              </w:rPr>
            </w:pPr>
            <w:r w:rsidRPr="00F901B7">
              <w:rPr>
                <w:sz w:val="16"/>
                <w:szCs w:val="16"/>
              </w:rPr>
              <w:t xml:space="preserve">Hasta $50.00 </w:t>
            </w:r>
          </w:p>
        </w:tc>
      </w:tr>
      <w:tr w:rsidR="00F901B7" w:rsidRPr="00F901B7" w:rsidTr="00F901B7">
        <w:trPr>
          <w:trHeight w:val="196"/>
        </w:trPr>
        <w:tc>
          <w:tcPr>
            <w:tcW w:w="1951" w:type="dxa"/>
          </w:tcPr>
          <w:p w:rsidR="00F901B7" w:rsidRPr="00F901B7" w:rsidRDefault="00F901B7">
            <w:pPr>
              <w:pStyle w:val="Default"/>
              <w:rPr>
                <w:sz w:val="16"/>
                <w:szCs w:val="16"/>
              </w:rPr>
            </w:pPr>
          </w:p>
        </w:tc>
        <w:tc>
          <w:tcPr>
            <w:tcW w:w="3686" w:type="dxa"/>
          </w:tcPr>
          <w:p w:rsidR="00F901B7" w:rsidRPr="00F901B7" w:rsidRDefault="00F901B7">
            <w:pPr>
              <w:pStyle w:val="Default"/>
              <w:rPr>
                <w:sz w:val="16"/>
                <w:szCs w:val="16"/>
              </w:rPr>
            </w:pPr>
            <w:r w:rsidRPr="00F901B7">
              <w:rPr>
                <w:sz w:val="16"/>
                <w:szCs w:val="16"/>
              </w:rPr>
              <w:t>Hembras entre 5 y 12 meses de edad.</w:t>
            </w:r>
          </w:p>
        </w:tc>
        <w:tc>
          <w:tcPr>
            <w:tcW w:w="2126" w:type="dxa"/>
          </w:tcPr>
          <w:p w:rsidR="00F901B7" w:rsidRPr="00F901B7" w:rsidRDefault="00F901B7">
            <w:pPr>
              <w:pStyle w:val="Default"/>
              <w:rPr>
                <w:sz w:val="16"/>
                <w:szCs w:val="16"/>
              </w:rPr>
            </w:pPr>
          </w:p>
        </w:tc>
        <w:tc>
          <w:tcPr>
            <w:tcW w:w="1984" w:type="dxa"/>
          </w:tcPr>
          <w:p w:rsidR="00F901B7" w:rsidRPr="00F901B7" w:rsidRDefault="00F901B7">
            <w:pPr>
              <w:pStyle w:val="Default"/>
              <w:rPr>
                <w:sz w:val="16"/>
                <w:szCs w:val="16"/>
              </w:rPr>
            </w:pPr>
          </w:p>
        </w:tc>
      </w:tr>
    </w:tbl>
    <w:p w:rsidR="003B6A32" w:rsidRPr="00F901B7" w:rsidRDefault="00F901B7" w:rsidP="00F901B7">
      <w:pPr>
        <w:spacing w:after="0" w:line="240" w:lineRule="auto"/>
        <w:rPr>
          <w:rFonts w:ascii="Arial" w:hAnsi="Arial" w:cs="Arial"/>
          <w:b/>
          <w:color w:val="000000"/>
          <w:sz w:val="18"/>
          <w:szCs w:val="18"/>
        </w:rPr>
      </w:pPr>
      <w:r w:rsidRPr="00F901B7">
        <w:rPr>
          <w:sz w:val="18"/>
          <w:szCs w:val="18"/>
        </w:rPr>
        <w:t>*En el caso de cabritos, se apoyarán los animales con un peso de entre 5 y 15 Kilogramos</w:t>
      </w:r>
    </w:p>
    <w:p w:rsidR="00F901B7" w:rsidRPr="00F901B7" w:rsidRDefault="00F901B7" w:rsidP="00F901B7">
      <w:pPr>
        <w:pStyle w:val="Default"/>
        <w:rPr>
          <w:sz w:val="16"/>
          <w:szCs w:val="16"/>
        </w:rPr>
      </w:pPr>
    </w:p>
    <w:p w:rsidR="00F901B7" w:rsidRPr="00F901B7" w:rsidRDefault="00F901B7" w:rsidP="00F901B7">
      <w:pPr>
        <w:pStyle w:val="Default"/>
        <w:jc w:val="both"/>
        <w:rPr>
          <w:b/>
          <w:sz w:val="18"/>
          <w:szCs w:val="18"/>
        </w:rPr>
      </w:pPr>
      <w:r w:rsidRPr="00F901B7">
        <w:rPr>
          <w:b/>
          <w:sz w:val="18"/>
          <w:szCs w:val="18"/>
        </w:rPr>
        <w:t xml:space="preserve">Criterios técnicos y requisitos específicos del Componente: </w:t>
      </w:r>
    </w:p>
    <w:p w:rsidR="00F901B7" w:rsidRPr="00F901B7" w:rsidRDefault="00F901B7" w:rsidP="00F901B7">
      <w:pPr>
        <w:pStyle w:val="Default"/>
        <w:jc w:val="both"/>
        <w:rPr>
          <w:sz w:val="18"/>
          <w:szCs w:val="18"/>
        </w:rPr>
      </w:pPr>
      <w:r w:rsidRPr="00F901B7">
        <w:rPr>
          <w:sz w:val="18"/>
          <w:szCs w:val="18"/>
        </w:rPr>
        <w:t xml:space="preserve">Para obtener los incentivos de Sacrificio de Ganado en Establecimientos TIF, los productores deberán cumplir con los requisitos y documentación siguiente, mismos que deberá presentar en original para su cotejo y entregar una copia simple en la Ventanilla autorizada. El domicilio de la ventanilla se puede consultar en www. senasica.gob.mx. </w:t>
      </w:r>
    </w:p>
    <w:p w:rsidR="00F901B7" w:rsidRPr="00F901B7" w:rsidRDefault="00F901B7" w:rsidP="00F901B7">
      <w:pPr>
        <w:pStyle w:val="Default"/>
        <w:jc w:val="both"/>
        <w:rPr>
          <w:sz w:val="18"/>
          <w:szCs w:val="18"/>
        </w:rPr>
      </w:pPr>
      <w:r w:rsidRPr="00F901B7">
        <w:rPr>
          <w:sz w:val="18"/>
          <w:szCs w:val="18"/>
        </w:rPr>
        <w:t xml:space="preserve">I. Identificación oficial con fotografía y firma, se aceptará cualquiera de los siguientes documentos: (credencial para votar, pasaporte, cartilla del Servicio Militar Nacional o Cédula Profesional); </w:t>
      </w:r>
    </w:p>
    <w:p w:rsidR="00F901B7" w:rsidRPr="00F901B7" w:rsidRDefault="00F901B7" w:rsidP="00F901B7">
      <w:pPr>
        <w:pStyle w:val="Default"/>
        <w:jc w:val="both"/>
        <w:rPr>
          <w:sz w:val="18"/>
          <w:szCs w:val="18"/>
        </w:rPr>
      </w:pPr>
      <w:r w:rsidRPr="00F901B7">
        <w:rPr>
          <w:sz w:val="18"/>
          <w:szCs w:val="18"/>
        </w:rPr>
        <w:t xml:space="preserve">II. Comprobante de domicilio particular, con vigencia no mayor a dos meses; se aceptará cualquiera de los siguientes documentos: luz, teléfono, predial, agua; </w:t>
      </w:r>
    </w:p>
    <w:p w:rsidR="00F901B7" w:rsidRPr="00F901B7" w:rsidRDefault="00F901B7" w:rsidP="00F901B7">
      <w:pPr>
        <w:pStyle w:val="Default"/>
        <w:jc w:val="both"/>
        <w:rPr>
          <w:sz w:val="18"/>
          <w:szCs w:val="18"/>
        </w:rPr>
      </w:pPr>
      <w:r w:rsidRPr="00F901B7">
        <w:rPr>
          <w:sz w:val="18"/>
          <w:szCs w:val="18"/>
        </w:rPr>
        <w:t xml:space="preserve">III. Clave Única de Registro Poblacional (CURP); </w:t>
      </w:r>
    </w:p>
    <w:p w:rsidR="00F901B7" w:rsidRPr="00F901B7" w:rsidRDefault="00F901B7" w:rsidP="00F901B7">
      <w:pPr>
        <w:pStyle w:val="Default"/>
        <w:jc w:val="both"/>
        <w:rPr>
          <w:sz w:val="18"/>
          <w:szCs w:val="18"/>
        </w:rPr>
      </w:pPr>
      <w:r w:rsidRPr="00F901B7">
        <w:rPr>
          <w:sz w:val="18"/>
          <w:szCs w:val="18"/>
        </w:rPr>
        <w:t xml:space="preserve">IV. Registro Federal de Contribuyentes (RFC); </w:t>
      </w:r>
    </w:p>
    <w:p w:rsidR="00F901B7" w:rsidRPr="00F901B7" w:rsidRDefault="00F901B7" w:rsidP="00F901B7">
      <w:pPr>
        <w:pStyle w:val="Default"/>
        <w:jc w:val="both"/>
        <w:rPr>
          <w:sz w:val="18"/>
          <w:szCs w:val="18"/>
        </w:rPr>
      </w:pPr>
      <w:r w:rsidRPr="00F901B7">
        <w:rPr>
          <w:sz w:val="18"/>
          <w:szCs w:val="18"/>
        </w:rPr>
        <w:t xml:space="preserve">V. Clave Vigente de Registro en el Padrón Ganadero Nacional (UPP o PSG); </w:t>
      </w:r>
    </w:p>
    <w:p w:rsidR="00F901B7" w:rsidRPr="00F901B7" w:rsidRDefault="00F901B7" w:rsidP="00F901B7">
      <w:pPr>
        <w:spacing w:after="0" w:line="240" w:lineRule="auto"/>
        <w:jc w:val="both"/>
        <w:rPr>
          <w:rFonts w:ascii="Arial" w:hAnsi="Arial" w:cs="Arial"/>
          <w:b/>
          <w:color w:val="000000"/>
          <w:sz w:val="18"/>
          <w:szCs w:val="18"/>
        </w:rPr>
      </w:pPr>
      <w:r w:rsidRPr="00F901B7">
        <w:rPr>
          <w:rFonts w:ascii="Arial" w:hAnsi="Arial" w:cs="Arial"/>
          <w:sz w:val="18"/>
          <w:szCs w:val="18"/>
        </w:rPr>
        <w:t>VI. Comprobante expedido por institución financiera, que no sea mayor a dos meses y en el que conste la cuenta bancaria y la CLABE interbancaria, la cual deberá estar a nombre del beneficiario o a quien este designe en el documento de Alta de Productor.</w:t>
      </w:r>
    </w:p>
    <w:p w:rsidR="00F901B7" w:rsidRPr="00F901B7" w:rsidRDefault="00F901B7" w:rsidP="00F901B7">
      <w:pPr>
        <w:pStyle w:val="Default"/>
        <w:jc w:val="both"/>
        <w:rPr>
          <w:sz w:val="18"/>
          <w:szCs w:val="18"/>
        </w:rPr>
      </w:pPr>
      <w:r w:rsidRPr="00F901B7">
        <w:rPr>
          <w:sz w:val="18"/>
          <w:szCs w:val="18"/>
        </w:rPr>
        <w:t xml:space="preserve">VII Certificado Vigente de Buena Prácticas Pecuarias de sus Unidades de Producción, emitida por el SENASICA. Si este documento se encuentran en trámite, deben entregar el comprobante con el que demuestren que están inscritos en el Programas, en ninguno de los caso se aceptarán comprobantes de trámites de ejercicios anteriores. </w:t>
      </w:r>
    </w:p>
    <w:p w:rsidR="00F901B7" w:rsidRPr="00F901B7" w:rsidRDefault="00F901B7" w:rsidP="00F901B7">
      <w:pPr>
        <w:pStyle w:val="Default"/>
        <w:jc w:val="both"/>
        <w:rPr>
          <w:sz w:val="18"/>
          <w:szCs w:val="18"/>
        </w:rPr>
      </w:pPr>
      <w:r w:rsidRPr="00F901B7">
        <w:rPr>
          <w:sz w:val="18"/>
          <w:szCs w:val="18"/>
        </w:rPr>
        <w:t xml:space="preserve">VIII. Certificado Zoosanitario de Movilización, para la especie bovina, ovina y caprina debidamente </w:t>
      </w:r>
      <w:proofErr w:type="spellStart"/>
      <w:r w:rsidRPr="00F901B7">
        <w:rPr>
          <w:sz w:val="18"/>
          <w:szCs w:val="18"/>
        </w:rPr>
        <w:t>requisitado</w:t>
      </w:r>
      <w:proofErr w:type="spellEnd"/>
      <w:r w:rsidRPr="00F901B7">
        <w:rPr>
          <w:sz w:val="18"/>
          <w:szCs w:val="18"/>
        </w:rPr>
        <w:t xml:space="preserve"> y con los sellos que amparen la movilización correspondiente, y para la especia porcina el documento que el SENASICA determine que garantice el origen del ganado, y </w:t>
      </w:r>
    </w:p>
    <w:p w:rsidR="00F901B7" w:rsidRPr="00F901B7" w:rsidRDefault="00F901B7" w:rsidP="00F901B7">
      <w:pPr>
        <w:pStyle w:val="Default"/>
        <w:jc w:val="both"/>
        <w:rPr>
          <w:sz w:val="18"/>
          <w:szCs w:val="18"/>
        </w:rPr>
      </w:pPr>
      <w:r w:rsidRPr="00F901B7">
        <w:rPr>
          <w:sz w:val="18"/>
          <w:szCs w:val="18"/>
        </w:rPr>
        <w:t xml:space="preserve">IX. Factura electrónica por concepto del pago del servicio de sacrificio, que demuestre el servicio prestado por el Establecimiento TIF. </w:t>
      </w:r>
    </w:p>
    <w:p w:rsidR="00F901B7" w:rsidRPr="00F901B7" w:rsidRDefault="00F901B7" w:rsidP="00F901B7">
      <w:pPr>
        <w:spacing w:after="0" w:line="240" w:lineRule="auto"/>
        <w:jc w:val="both"/>
        <w:rPr>
          <w:rFonts w:ascii="Arial" w:hAnsi="Arial" w:cs="Arial"/>
          <w:b/>
          <w:color w:val="000000"/>
          <w:sz w:val="18"/>
          <w:szCs w:val="18"/>
        </w:rPr>
      </w:pPr>
      <w:r w:rsidRPr="00F901B7">
        <w:rPr>
          <w:rFonts w:ascii="Arial" w:hAnsi="Arial" w:cs="Arial"/>
          <w:sz w:val="18"/>
          <w:szCs w:val="18"/>
        </w:rPr>
        <w:t>Los documentos previstos en las fracciones I a la VII, serán entregados al inicio de la solicitud por única ocasión para que se genere el Alta del productor; y los correspondientes a las fracciones VIII y IX se entregan de manera continua por cada embarque que presente el Productor, a efecto de que se generen los comprobantes de apoyo en el Sistema Informático de Gestión de este programa (SIG).</w:t>
      </w:r>
    </w:p>
    <w:p w:rsidR="000B46A7" w:rsidRPr="000B46A7" w:rsidRDefault="000B46A7" w:rsidP="000B46A7">
      <w:pPr>
        <w:pStyle w:val="Prrafodelista"/>
        <w:spacing w:after="0" w:line="240" w:lineRule="auto"/>
        <w:ind w:left="1080"/>
        <w:rPr>
          <w:rFonts w:ascii="Arial" w:hAnsi="Arial" w:cs="Arial"/>
          <w:b/>
          <w:color w:val="000000"/>
          <w:sz w:val="18"/>
          <w:szCs w:val="18"/>
          <w:lang w:val="es-ES_tradnl"/>
        </w:rPr>
      </w:pPr>
    </w:p>
    <w:sectPr w:rsidR="000B46A7" w:rsidRPr="000B46A7" w:rsidSect="00F50DE4">
      <w:headerReference w:type="even" r:id="rId9"/>
      <w:headerReference w:type="default" r:id="rId10"/>
      <w:footerReference w:type="even" r:id="rId11"/>
      <w:footerReference w:type="default" r:id="rId12"/>
      <w:headerReference w:type="first" r:id="rId13"/>
      <w:footerReference w:type="first" r:id="rId14"/>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8ED" w:rsidRDefault="00F008ED" w:rsidP="00FF763C">
      <w:pPr>
        <w:spacing w:after="0" w:line="240" w:lineRule="auto"/>
      </w:pPr>
      <w:r>
        <w:separator/>
      </w:r>
    </w:p>
  </w:endnote>
  <w:endnote w:type="continuationSeparator" w:id="0">
    <w:p w:rsidR="00F008ED" w:rsidRDefault="00F008ED"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479" w:rsidRDefault="0079247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87"/>
      <w:gridCol w:w="8882"/>
    </w:tblGrid>
    <w:tr w:rsidR="00547F45" w:rsidTr="00C50F7F">
      <w:trPr>
        <w:trHeight w:val="60"/>
      </w:trPr>
      <w:tc>
        <w:tcPr>
          <w:tcW w:w="500" w:type="pct"/>
          <w:tcBorders>
            <w:top w:val="single" w:sz="4" w:space="0" w:color="C45911" w:themeColor="accent2" w:themeShade="BF"/>
          </w:tcBorders>
          <w:shd w:val="clear" w:color="auto" w:fill="C45911" w:themeFill="accent2" w:themeFillShade="BF"/>
        </w:tcPr>
        <w:p w:rsidR="00547F45" w:rsidRDefault="008301E5" w:rsidP="00FF763C">
          <w:pPr>
            <w:pStyle w:val="Piedepgina"/>
            <w:jc w:val="right"/>
            <w:rPr>
              <w:b/>
              <w:color w:val="FFFFFF" w:themeColor="background1"/>
            </w:rPr>
          </w:pPr>
          <w:r>
            <w:fldChar w:fldCharType="begin"/>
          </w:r>
          <w:r w:rsidR="00547F45">
            <w:instrText xml:space="preserve"> PAGE   \* MERGEFORMAT </w:instrText>
          </w:r>
          <w:r>
            <w:fldChar w:fldCharType="separate"/>
          </w:r>
          <w:r w:rsidR="00792479" w:rsidRPr="00792479">
            <w:rPr>
              <w:noProof/>
              <w:color w:val="FFFFFF" w:themeColor="background1"/>
            </w:rPr>
            <w:t>1</w:t>
          </w:r>
          <w:r>
            <w:rPr>
              <w:noProof/>
              <w:color w:val="FFFFFF" w:themeColor="background1"/>
            </w:rPr>
            <w:fldChar w:fldCharType="end"/>
          </w:r>
        </w:p>
      </w:tc>
      <w:tc>
        <w:tcPr>
          <w:tcW w:w="4500" w:type="pct"/>
          <w:tcBorders>
            <w:top w:val="single" w:sz="4" w:space="0" w:color="auto"/>
          </w:tcBorders>
        </w:tcPr>
        <w:p w:rsidR="00547F45" w:rsidRDefault="00547F45" w:rsidP="004F3B74">
          <w:pPr>
            <w:pStyle w:val="Piedepgina"/>
            <w:jc w:val="right"/>
          </w:pPr>
          <w:r>
            <w:t>Catá</w:t>
          </w:r>
          <w:r w:rsidR="007F6E5C">
            <w:t>logo de Programas Federales 201</w:t>
          </w:r>
          <w:r w:rsidR="004F3B74">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547F45" w:rsidRDefault="00547F4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479" w:rsidRDefault="007924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8ED" w:rsidRDefault="00F008ED" w:rsidP="00FF763C">
      <w:pPr>
        <w:spacing w:after="0" w:line="240" w:lineRule="auto"/>
      </w:pPr>
      <w:r>
        <w:separator/>
      </w:r>
    </w:p>
  </w:footnote>
  <w:footnote w:type="continuationSeparator" w:id="0">
    <w:p w:rsidR="00F008ED" w:rsidRDefault="00F008ED"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479" w:rsidRDefault="0079247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45" w:rsidRDefault="00792479">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-574956</wp:posOffset>
          </wp:positionH>
          <wp:positionV relativeFrom="paragraph">
            <wp:posOffset>-300990</wp:posOffset>
          </wp:positionV>
          <wp:extent cx="7054850" cy="7924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479" w:rsidRDefault="007924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0DD1"/>
    <w:multiLevelType w:val="hybridMultilevel"/>
    <w:tmpl w:val="5AFAB79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F569C8"/>
    <w:multiLevelType w:val="hybridMultilevel"/>
    <w:tmpl w:val="E236C642"/>
    <w:lvl w:ilvl="0" w:tplc="2C54002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51602D"/>
    <w:multiLevelType w:val="hybridMultilevel"/>
    <w:tmpl w:val="8CA06960"/>
    <w:lvl w:ilvl="0" w:tplc="0C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EA16B67"/>
    <w:multiLevelType w:val="hybridMultilevel"/>
    <w:tmpl w:val="19B456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DD08E2"/>
    <w:multiLevelType w:val="hybridMultilevel"/>
    <w:tmpl w:val="D682E89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29046E9"/>
    <w:multiLevelType w:val="hybridMultilevel"/>
    <w:tmpl w:val="3234689A"/>
    <w:lvl w:ilvl="0" w:tplc="0C0A0009">
      <w:start w:val="1"/>
      <w:numFmt w:val="bullet"/>
      <w:lvlText w:val=""/>
      <w:lvlJc w:val="left"/>
      <w:pPr>
        <w:ind w:left="648" w:hanging="360"/>
      </w:pPr>
      <w:rPr>
        <w:rFonts w:ascii="Wingdings" w:hAnsi="Wingdings" w:hint="default"/>
      </w:rPr>
    </w:lvl>
    <w:lvl w:ilvl="1" w:tplc="0C0A0003" w:tentative="1">
      <w:start w:val="1"/>
      <w:numFmt w:val="bullet"/>
      <w:lvlText w:val="o"/>
      <w:lvlJc w:val="left"/>
      <w:pPr>
        <w:ind w:left="1368" w:hanging="360"/>
      </w:pPr>
      <w:rPr>
        <w:rFonts w:ascii="Courier New" w:hAnsi="Courier New" w:cs="Courier New" w:hint="default"/>
      </w:rPr>
    </w:lvl>
    <w:lvl w:ilvl="2" w:tplc="0C0A0005" w:tentative="1">
      <w:start w:val="1"/>
      <w:numFmt w:val="bullet"/>
      <w:lvlText w:val=""/>
      <w:lvlJc w:val="left"/>
      <w:pPr>
        <w:ind w:left="2088" w:hanging="360"/>
      </w:pPr>
      <w:rPr>
        <w:rFonts w:ascii="Wingdings" w:hAnsi="Wingdings" w:hint="default"/>
      </w:rPr>
    </w:lvl>
    <w:lvl w:ilvl="3" w:tplc="0C0A0001" w:tentative="1">
      <w:start w:val="1"/>
      <w:numFmt w:val="bullet"/>
      <w:lvlText w:val=""/>
      <w:lvlJc w:val="left"/>
      <w:pPr>
        <w:ind w:left="2808" w:hanging="360"/>
      </w:pPr>
      <w:rPr>
        <w:rFonts w:ascii="Symbol" w:hAnsi="Symbol" w:hint="default"/>
      </w:rPr>
    </w:lvl>
    <w:lvl w:ilvl="4" w:tplc="0C0A0003" w:tentative="1">
      <w:start w:val="1"/>
      <w:numFmt w:val="bullet"/>
      <w:lvlText w:val="o"/>
      <w:lvlJc w:val="left"/>
      <w:pPr>
        <w:ind w:left="3528" w:hanging="360"/>
      </w:pPr>
      <w:rPr>
        <w:rFonts w:ascii="Courier New" w:hAnsi="Courier New" w:cs="Courier New" w:hint="default"/>
      </w:rPr>
    </w:lvl>
    <w:lvl w:ilvl="5" w:tplc="0C0A0005" w:tentative="1">
      <w:start w:val="1"/>
      <w:numFmt w:val="bullet"/>
      <w:lvlText w:val=""/>
      <w:lvlJc w:val="left"/>
      <w:pPr>
        <w:ind w:left="4248" w:hanging="360"/>
      </w:pPr>
      <w:rPr>
        <w:rFonts w:ascii="Wingdings" w:hAnsi="Wingdings" w:hint="default"/>
      </w:rPr>
    </w:lvl>
    <w:lvl w:ilvl="6" w:tplc="0C0A0001" w:tentative="1">
      <w:start w:val="1"/>
      <w:numFmt w:val="bullet"/>
      <w:lvlText w:val=""/>
      <w:lvlJc w:val="left"/>
      <w:pPr>
        <w:ind w:left="4968" w:hanging="360"/>
      </w:pPr>
      <w:rPr>
        <w:rFonts w:ascii="Symbol" w:hAnsi="Symbol" w:hint="default"/>
      </w:rPr>
    </w:lvl>
    <w:lvl w:ilvl="7" w:tplc="0C0A0003" w:tentative="1">
      <w:start w:val="1"/>
      <w:numFmt w:val="bullet"/>
      <w:lvlText w:val="o"/>
      <w:lvlJc w:val="left"/>
      <w:pPr>
        <w:ind w:left="5688" w:hanging="360"/>
      </w:pPr>
      <w:rPr>
        <w:rFonts w:ascii="Courier New" w:hAnsi="Courier New" w:cs="Courier New" w:hint="default"/>
      </w:rPr>
    </w:lvl>
    <w:lvl w:ilvl="8" w:tplc="0C0A0005" w:tentative="1">
      <w:start w:val="1"/>
      <w:numFmt w:val="bullet"/>
      <w:lvlText w:val=""/>
      <w:lvlJc w:val="left"/>
      <w:pPr>
        <w:ind w:left="6408" w:hanging="360"/>
      </w:pPr>
      <w:rPr>
        <w:rFonts w:ascii="Wingdings" w:hAnsi="Wingdings" w:hint="default"/>
      </w:rPr>
    </w:lvl>
  </w:abstractNum>
  <w:abstractNum w:abstractNumId="6">
    <w:nsid w:val="13D61D38"/>
    <w:multiLevelType w:val="hybridMultilevel"/>
    <w:tmpl w:val="6EB80F5A"/>
    <w:lvl w:ilvl="0" w:tplc="0C0A0009">
      <w:start w:val="1"/>
      <w:numFmt w:val="bullet"/>
      <w:lvlText w:val=""/>
      <w:lvlJc w:val="left"/>
      <w:pPr>
        <w:ind w:left="1008" w:hanging="360"/>
      </w:pPr>
      <w:rPr>
        <w:rFonts w:ascii="Wingdings" w:hAnsi="Wingdings"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7">
    <w:nsid w:val="189670D8"/>
    <w:multiLevelType w:val="hybridMultilevel"/>
    <w:tmpl w:val="D6261F0E"/>
    <w:lvl w:ilvl="0" w:tplc="0C0A000B">
      <w:start w:val="1"/>
      <w:numFmt w:val="bullet"/>
      <w:lvlText w:val=""/>
      <w:lvlJc w:val="left"/>
      <w:pPr>
        <w:ind w:left="648" w:hanging="360"/>
      </w:pPr>
      <w:rPr>
        <w:rFonts w:ascii="Wingdings" w:hAnsi="Wingdings" w:hint="default"/>
      </w:rPr>
    </w:lvl>
    <w:lvl w:ilvl="1" w:tplc="0C0A0003" w:tentative="1">
      <w:start w:val="1"/>
      <w:numFmt w:val="bullet"/>
      <w:lvlText w:val="o"/>
      <w:lvlJc w:val="left"/>
      <w:pPr>
        <w:ind w:left="1368" w:hanging="360"/>
      </w:pPr>
      <w:rPr>
        <w:rFonts w:ascii="Courier New" w:hAnsi="Courier New" w:cs="Courier New" w:hint="default"/>
      </w:rPr>
    </w:lvl>
    <w:lvl w:ilvl="2" w:tplc="0C0A0005" w:tentative="1">
      <w:start w:val="1"/>
      <w:numFmt w:val="bullet"/>
      <w:lvlText w:val=""/>
      <w:lvlJc w:val="left"/>
      <w:pPr>
        <w:ind w:left="2088" w:hanging="360"/>
      </w:pPr>
      <w:rPr>
        <w:rFonts w:ascii="Wingdings" w:hAnsi="Wingdings" w:hint="default"/>
      </w:rPr>
    </w:lvl>
    <w:lvl w:ilvl="3" w:tplc="0C0A0001" w:tentative="1">
      <w:start w:val="1"/>
      <w:numFmt w:val="bullet"/>
      <w:lvlText w:val=""/>
      <w:lvlJc w:val="left"/>
      <w:pPr>
        <w:ind w:left="2808" w:hanging="360"/>
      </w:pPr>
      <w:rPr>
        <w:rFonts w:ascii="Symbol" w:hAnsi="Symbol" w:hint="default"/>
      </w:rPr>
    </w:lvl>
    <w:lvl w:ilvl="4" w:tplc="0C0A0003" w:tentative="1">
      <w:start w:val="1"/>
      <w:numFmt w:val="bullet"/>
      <w:lvlText w:val="o"/>
      <w:lvlJc w:val="left"/>
      <w:pPr>
        <w:ind w:left="3528" w:hanging="360"/>
      </w:pPr>
      <w:rPr>
        <w:rFonts w:ascii="Courier New" w:hAnsi="Courier New" w:cs="Courier New" w:hint="default"/>
      </w:rPr>
    </w:lvl>
    <w:lvl w:ilvl="5" w:tplc="0C0A0005" w:tentative="1">
      <w:start w:val="1"/>
      <w:numFmt w:val="bullet"/>
      <w:lvlText w:val=""/>
      <w:lvlJc w:val="left"/>
      <w:pPr>
        <w:ind w:left="4248" w:hanging="360"/>
      </w:pPr>
      <w:rPr>
        <w:rFonts w:ascii="Wingdings" w:hAnsi="Wingdings" w:hint="default"/>
      </w:rPr>
    </w:lvl>
    <w:lvl w:ilvl="6" w:tplc="0C0A0001" w:tentative="1">
      <w:start w:val="1"/>
      <w:numFmt w:val="bullet"/>
      <w:lvlText w:val=""/>
      <w:lvlJc w:val="left"/>
      <w:pPr>
        <w:ind w:left="4968" w:hanging="360"/>
      </w:pPr>
      <w:rPr>
        <w:rFonts w:ascii="Symbol" w:hAnsi="Symbol" w:hint="default"/>
      </w:rPr>
    </w:lvl>
    <w:lvl w:ilvl="7" w:tplc="0C0A0003" w:tentative="1">
      <w:start w:val="1"/>
      <w:numFmt w:val="bullet"/>
      <w:lvlText w:val="o"/>
      <w:lvlJc w:val="left"/>
      <w:pPr>
        <w:ind w:left="5688" w:hanging="360"/>
      </w:pPr>
      <w:rPr>
        <w:rFonts w:ascii="Courier New" w:hAnsi="Courier New" w:cs="Courier New" w:hint="default"/>
      </w:rPr>
    </w:lvl>
    <w:lvl w:ilvl="8" w:tplc="0C0A0005" w:tentative="1">
      <w:start w:val="1"/>
      <w:numFmt w:val="bullet"/>
      <w:lvlText w:val=""/>
      <w:lvlJc w:val="left"/>
      <w:pPr>
        <w:ind w:left="6408" w:hanging="360"/>
      </w:pPr>
      <w:rPr>
        <w:rFonts w:ascii="Wingdings" w:hAnsi="Wingdings" w:hint="default"/>
      </w:rPr>
    </w:lvl>
  </w:abstractNum>
  <w:abstractNum w:abstractNumId="8">
    <w:nsid w:val="1986664B"/>
    <w:multiLevelType w:val="hybridMultilevel"/>
    <w:tmpl w:val="1488F7B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AB13774"/>
    <w:multiLevelType w:val="hybridMultilevel"/>
    <w:tmpl w:val="53F44BA8"/>
    <w:lvl w:ilvl="0" w:tplc="90661D72">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D04355"/>
    <w:multiLevelType w:val="hybridMultilevel"/>
    <w:tmpl w:val="C418834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05A532A"/>
    <w:multiLevelType w:val="hybridMultilevel"/>
    <w:tmpl w:val="0714CBF8"/>
    <w:lvl w:ilvl="0" w:tplc="90661D72">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3">
    <w:nsid w:val="2C946561"/>
    <w:multiLevelType w:val="hybridMultilevel"/>
    <w:tmpl w:val="309AD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F114FCB"/>
    <w:multiLevelType w:val="hybridMultilevel"/>
    <w:tmpl w:val="B8CC19E0"/>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1F70347"/>
    <w:multiLevelType w:val="hybridMultilevel"/>
    <w:tmpl w:val="E3409F1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6C337C"/>
    <w:multiLevelType w:val="hybridMultilevel"/>
    <w:tmpl w:val="03A2CA36"/>
    <w:lvl w:ilvl="0" w:tplc="0C0A0009">
      <w:start w:val="1"/>
      <w:numFmt w:val="bullet"/>
      <w:lvlText w:val=""/>
      <w:lvlJc w:val="left"/>
      <w:pPr>
        <w:ind w:left="1008" w:hanging="360"/>
      </w:pPr>
      <w:rPr>
        <w:rFonts w:ascii="Wingdings" w:hAnsi="Wingdings"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18">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9">
    <w:nsid w:val="493E171E"/>
    <w:multiLevelType w:val="hybridMultilevel"/>
    <w:tmpl w:val="14102DC2"/>
    <w:lvl w:ilvl="0" w:tplc="0C0A0009">
      <w:start w:val="1"/>
      <w:numFmt w:val="bullet"/>
      <w:lvlText w:val=""/>
      <w:lvlJc w:val="left"/>
      <w:pPr>
        <w:ind w:left="1008" w:hanging="360"/>
      </w:pPr>
      <w:rPr>
        <w:rFonts w:ascii="Wingdings" w:hAnsi="Wingdings"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20">
    <w:nsid w:val="49B26874"/>
    <w:multiLevelType w:val="hybridMultilevel"/>
    <w:tmpl w:val="B17C5810"/>
    <w:lvl w:ilvl="0" w:tplc="0C0A0013">
      <w:start w:val="1"/>
      <w:numFmt w:val="upp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5567C3"/>
    <w:multiLevelType w:val="hybridMultilevel"/>
    <w:tmpl w:val="7FB000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C52977"/>
    <w:multiLevelType w:val="hybridMultilevel"/>
    <w:tmpl w:val="DB664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D5F79CC"/>
    <w:multiLevelType w:val="hybridMultilevel"/>
    <w:tmpl w:val="D1DEB6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B30358"/>
    <w:multiLevelType w:val="hybridMultilevel"/>
    <w:tmpl w:val="DC180E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DB85E39"/>
    <w:multiLevelType w:val="hybridMultilevel"/>
    <w:tmpl w:val="4462BFA6"/>
    <w:lvl w:ilvl="0" w:tplc="ACC0D52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E1079F9"/>
    <w:multiLevelType w:val="hybridMultilevel"/>
    <w:tmpl w:val="3BE4F0A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6"/>
  </w:num>
  <w:num w:numId="4">
    <w:abstractNumId w:val="13"/>
  </w:num>
  <w:num w:numId="5">
    <w:abstractNumId w:val="22"/>
  </w:num>
  <w:num w:numId="6">
    <w:abstractNumId w:val="23"/>
  </w:num>
  <w:num w:numId="7">
    <w:abstractNumId w:val="24"/>
  </w:num>
  <w:num w:numId="8">
    <w:abstractNumId w:val="25"/>
  </w:num>
  <w:num w:numId="9">
    <w:abstractNumId w:val="7"/>
  </w:num>
  <w:num w:numId="10">
    <w:abstractNumId w:val="19"/>
  </w:num>
  <w:num w:numId="11">
    <w:abstractNumId w:val="10"/>
  </w:num>
  <w:num w:numId="12">
    <w:abstractNumId w:val="5"/>
  </w:num>
  <w:num w:numId="13">
    <w:abstractNumId w:val="20"/>
  </w:num>
  <w:num w:numId="14">
    <w:abstractNumId w:val="14"/>
  </w:num>
  <w:num w:numId="15">
    <w:abstractNumId w:val="17"/>
  </w:num>
  <w:num w:numId="16">
    <w:abstractNumId w:val="26"/>
  </w:num>
  <w:num w:numId="17">
    <w:abstractNumId w:val="6"/>
  </w:num>
  <w:num w:numId="18">
    <w:abstractNumId w:val="21"/>
  </w:num>
  <w:num w:numId="19">
    <w:abstractNumId w:val="8"/>
  </w:num>
  <w:num w:numId="20">
    <w:abstractNumId w:val="2"/>
  </w:num>
  <w:num w:numId="21">
    <w:abstractNumId w:val="4"/>
  </w:num>
  <w:num w:numId="22">
    <w:abstractNumId w:val="15"/>
  </w:num>
  <w:num w:numId="23">
    <w:abstractNumId w:val="0"/>
  </w:num>
  <w:num w:numId="24">
    <w:abstractNumId w:val="11"/>
  </w:num>
  <w:num w:numId="25">
    <w:abstractNumId w:val="3"/>
  </w:num>
  <w:num w:numId="26">
    <w:abstractNumId w:val="9"/>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3CB7"/>
    <w:rsid w:val="00003F71"/>
    <w:rsid w:val="00021423"/>
    <w:rsid w:val="00062464"/>
    <w:rsid w:val="00064A56"/>
    <w:rsid w:val="000B46A7"/>
    <w:rsid w:val="000F2B14"/>
    <w:rsid w:val="0010733D"/>
    <w:rsid w:val="00121741"/>
    <w:rsid w:val="001317D8"/>
    <w:rsid w:val="00132102"/>
    <w:rsid w:val="001528B5"/>
    <w:rsid w:val="00167DF6"/>
    <w:rsid w:val="001865F3"/>
    <w:rsid w:val="00191402"/>
    <w:rsid w:val="001D2BED"/>
    <w:rsid w:val="0020014C"/>
    <w:rsid w:val="00232957"/>
    <w:rsid w:val="0023295F"/>
    <w:rsid w:val="00245694"/>
    <w:rsid w:val="0027633C"/>
    <w:rsid w:val="002C36CB"/>
    <w:rsid w:val="002E7635"/>
    <w:rsid w:val="00332039"/>
    <w:rsid w:val="00340293"/>
    <w:rsid w:val="00342D46"/>
    <w:rsid w:val="00344B08"/>
    <w:rsid w:val="00381E76"/>
    <w:rsid w:val="00396650"/>
    <w:rsid w:val="003B6A32"/>
    <w:rsid w:val="003E6550"/>
    <w:rsid w:val="003E7414"/>
    <w:rsid w:val="00424873"/>
    <w:rsid w:val="0043433B"/>
    <w:rsid w:val="0045019D"/>
    <w:rsid w:val="004A7A4B"/>
    <w:rsid w:val="004F3B74"/>
    <w:rsid w:val="00503133"/>
    <w:rsid w:val="00532883"/>
    <w:rsid w:val="0053615A"/>
    <w:rsid w:val="005432E0"/>
    <w:rsid w:val="00547F45"/>
    <w:rsid w:val="005508CD"/>
    <w:rsid w:val="005777A5"/>
    <w:rsid w:val="00582AB3"/>
    <w:rsid w:val="00595614"/>
    <w:rsid w:val="005D4689"/>
    <w:rsid w:val="0060115E"/>
    <w:rsid w:val="0060315E"/>
    <w:rsid w:val="00605CDF"/>
    <w:rsid w:val="00686360"/>
    <w:rsid w:val="00697926"/>
    <w:rsid w:val="006A3C64"/>
    <w:rsid w:val="006E1C98"/>
    <w:rsid w:val="006E6DAD"/>
    <w:rsid w:val="00701384"/>
    <w:rsid w:val="00703ADE"/>
    <w:rsid w:val="007546F6"/>
    <w:rsid w:val="00780A7D"/>
    <w:rsid w:val="0078537B"/>
    <w:rsid w:val="00792479"/>
    <w:rsid w:val="007D7E60"/>
    <w:rsid w:val="007F6E5C"/>
    <w:rsid w:val="00802797"/>
    <w:rsid w:val="00806069"/>
    <w:rsid w:val="008212A5"/>
    <w:rsid w:val="008301E5"/>
    <w:rsid w:val="00845653"/>
    <w:rsid w:val="0086019C"/>
    <w:rsid w:val="00873D6D"/>
    <w:rsid w:val="00884B06"/>
    <w:rsid w:val="00891AFA"/>
    <w:rsid w:val="008A6FC9"/>
    <w:rsid w:val="008C6B09"/>
    <w:rsid w:val="008F53CE"/>
    <w:rsid w:val="00901937"/>
    <w:rsid w:val="0091343C"/>
    <w:rsid w:val="00947FE5"/>
    <w:rsid w:val="00954ECD"/>
    <w:rsid w:val="009714F6"/>
    <w:rsid w:val="009E4A4B"/>
    <w:rsid w:val="00A33B5A"/>
    <w:rsid w:val="00A35A98"/>
    <w:rsid w:val="00A458E8"/>
    <w:rsid w:val="00A67BA8"/>
    <w:rsid w:val="00A8247E"/>
    <w:rsid w:val="00A9151E"/>
    <w:rsid w:val="00A94D5E"/>
    <w:rsid w:val="00B126EE"/>
    <w:rsid w:val="00B13E7F"/>
    <w:rsid w:val="00B40114"/>
    <w:rsid w:val="00B703E7"/>
    <w:rsid w:val="00B83ADA"/>
    <w:rsid w:val="00B8448A"/>
    <w:rsid w:val="00B8492E"/>
    <w:rsid w:val="00BB3DF2"/>
    <w:rsid w:val="00BD7EE9"/>
    <w:rsid w:val="00BF2A1B"/>
    <w:rsid w:val="00BF53A1"/>
    <w:rsid w:val="00C01A79"/>
    <w:rsid w:val="00C02E20"/>
    <w:rsid w:val="00C144A8"/>
    <w:rsid w:val="00C31BA2"/>
    <w:rsid w:val="00C3756C"/>
    <w:rsid w:val="00C50F7F"/>
    <w:rsid w:val="00C54630"/>
    <w:rsid w:val="00CA4C12"/>
    <w:rsid w:val="00CA5A49"/>
    <w:rsid w:val="00CE7289"/>
    <w:rsid w:val="00D34997"/>
    <w:rsid w:val="00D35C09"/>
    <w:rsid w:val="00D51245"/>
    <w:rsid w:val="00D57C0E"/>
    <w:rsid w:val="00D74180"/>
    <w:rsid w:val="00D904A7"/>
    <w:rsid w:val="00D922ED"/>
    <w:rsid w:val="00DD1E49"/>
    <w:rsid w:val="00DF4633"/>
    <w:rsid w:val="00DF6AAD"/>
    <w:rsid w:val="00E13FCF"/>
    <w:rsid w:val="00E82EFB"/>
    <w:rsid w:val="00EA5583"/>
    <w:rsid w:val="00EB644B"/>
    <w:rsid w:val="00ED42C3"/>
    <w:rsid w:val="00ED5F79"/>
    <w:rsid w:val="00EE2976"/>
    <w:rsid w:val="00EF08AD"/>
    <w:rsid w:val="00F008ED"/>
    <w:rsid w:val="00F160BF"/>
    <w:rsid w:val="00F30D28"/>
    <w:rsid w:val="00F50DE4"/>
    <w:rsid w:val="00F901B7"/>
    <w:rsid w:val="00F92A19"/>
    <w:rsid w:val="00FA3FBD"/>
    <w:rsid w:val="00FB0F94"/>
    <w:rsid w:val="00FC63CD"/>
    <w:rsid w:val="00FF76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uiPriority w:val="99"/>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uiPriority w:val="99"/>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aliases w:val="List Paragraph-Thesis"/>
    <w:basedOn w:val="Normal"/>
    <w:link w:val="PrrafodelistaCar"/>
    <w:qFormat/>
    <w:rsid w:val="00064A56"/>
    <w:pPr>
      <w:spacing w:after="200" w:line="276" w:lineRule="auto"/>
      <w:ind w:left="720"/>
      <w:contextualSpacing/>
    </w:pPr>
  </w:style>
  <w:style w:type="paragraph" w:customStyle="1" w:styleId="INCISO">
    <w:name w:val="INCISO"/>
    <w:basedOn w:val="Normal"/>
    <w:rsid w:val="00C50F7F"/>
    <w:pPr>
      <w:spacing w:after="101" w:line="216" w:lineRule="exact"/>
      <w:ind w:left="1080" w:hanging="360"/>
      <w:jc w:val="both"/>
    </w:pPr>
    <w:rPr>
      <w:rFonts w:ascii="Arial" w:eastAsia="Calibri" w:hAnsi="Arial" w:cs="Arial"/>
      <w:sz w:val="18"/>
      <w:szCs w:val="18"/>
    </w:rPr>
  </w:style>
  <w:style w:type="character" w:customStyle="1" w:styleId="PrrafodelistaCar">
    <w:name w:val="Párrafo de lista Car"/>
    <w:aliases w:val="List Paragraph-Thesis Car"/>
    <w:link w:val="Prrafodelista"/>
    <w:locked/>
    <w:rsid w:val="00121741"/>
  </w:style>
  <w:style w:type="paragraph" w:styleId="NormalWeb">
    <w:name w:val="Normal (Web)"/>
    <w:basedOn w:val="Normal"/>
    <w:uiPriority w:val="99"/>
    <w:unhideWhenUsed/>
    <w:rsid w:val="004A7A4B"/>
    <w:pPr>
      <w:spacing w:after="0" w:line="240" w:lineRule="auto"/>
    </w:pPr>
    <w:rPr>
      <w:rFonts w:ascii="Times New Roman" w:eastAsia="Calibri" w:hAnsi="Times New Roman" w:cs="Times New Roman"/>
      <w:sz w:val="24"/>
      <w:szCs w:val="24"/>
      <w:lang w:eastAsia="es-MX"/>
    </w:rPr>
  </w:style>
  <w:style w:type="paragraph" w:customStyle="1" w:styleId="Default">
    <w:name w:val="Default"/>
    <w:rsid w:val="008A6FC9"/>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uiPriority w:val="99"/>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uiPriority w:val="99"/>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aliases w:val="List Paragraph-Thesis"/>
    <w:basedOn w:val="Normal"/>
    <w:link w:val="PrrafodelistaCar"/>
    <w:qFormat/>
    <w:rsid w:val="00064A56"/>
    <w:pPr>
      <w:spacing w:after="200" w:line="276" w:lineRule="auto"/>
      <w:ind w:left="720"/>
      <w:contextualSpacing/>
    </w:pPr>
  </w:style>
  <w:style w:type="paragraph" w:customStyle="1" w:styleId="INCISO">
    <w:name w:val="INCISO"/>
    <w:basedOn w:val="Normal"/>
    <w:rsid w:val="00C50F7F"/>
    <w:pPr>
      <w:spacing w:after="101" w:line="216" w:lineRule="exact"/>
      <w:ind w:left="1080" w:hanging="360"/>
      <w:jc w:val="both"/>
    </w:pPr>
    <w:rPr>
      <w:rFonts w:ascii="Arial" w:eastAsia="Calibri" w:hAnsi="Arial" w:cs="Arial"/>
      <w:sz w:val="18"/>
      <w:szCs w:val="18"/>
    </w:rPr>
  </w:style>
  <w:style w:type="character" w:customStyle="1" w:styleId="PrrafodelistaCar">
    <w:name w:val="Párrafo de lista Car"/>
    <w:aliases w:val="List Paragraph-Thesis Car"/>
    <w:link w:val="Prrafodelista"/>
    <w:locked/>
    <w:rsid w:val="00121741"/>
  </w:style>
  <w:style w:type="paragraph" w:styleId="NormalWeb">
    <w:name w:val="Normal (Web)"/>
    <w:basedOn w:val="Normal"/>
    <w:uiPriority w:val="99"/>
    <w:unhideWhenUsed/>
    <w:rsid w:val="004A7A4B"/>
    <w:pPr>
      <w:spacing w:after="0" w:line="240" w:lineRule="auto"/>
    </w:pPr>
    <w:rPr>
      <w:rFonts w:ascii="Times New Roman" w:eastAsia="Calibri" w:hAnsi="Times New Roman" w:cs="Times New Roman"/>
      <w:sz w:val="24"/>
      <w:szCs w:val="24"/>
      <w:lang w:eastAsia="es-MX"/>
    </w:rPr>
  </w:style>
  <w:style w:type="paragraph" w:customStyle="1" w:styleId="Default">
    <w:name w:val="Default"/>
    <w:rsid w:val="008A6FC9"/>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A5AF2"/>
    <w:rsid w:val="001853D7"/>
    <w:rsid w:val="00327053"/>
    <w:rsid w:val="00376722"/>
    <w:rsid w:val="00394F35"/>
    <w:rsid w:val="003D4125"/>
    <w:rsid w:val="003F11E6"/>
    <w:rsid w:val="004B67EA"/>
    <w:rsid w:val="005620A9"/>
    <w:rsid w:val="00580998"/>
    <w:rsid w:val="006777F1"/>
    <w:rsid w:val="00717CA8"/>
    <w:rsid w:val="007C0928"/>
    <w:rsid w:val="008606B1"/>
    <w:rsid w:val="008E16E7"/>
    <w:rsid w:val="0097153E"/>
    <w:rsid w:val="00B02B61"/>
    <w:rsid w:val="00C96295"/>
    <w:rsid w:val="00D53F63"/>
    <w:rsid w:val="00DE4ADA"/>
    <w:rsid w:val="00E277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85B260-E244-4B5B-9E75-5E5AE51B4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Pages>
  <Words>1818</Words>
  <Characters>10004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11799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13</cp:revision>
  <cp:lastPrinted>2013-12-06T17:20:00Z</cp:lastPrinted>
  <dcterms:created xsi:type="dcterms:W3CDTF">2015-06-03T15:45:00Z</dcterms:created>
  <dcterms:modified xsi:type="dcterms:W3CDTF">2016-07-05T17:12:00Z</dcterms:modified>
</cp:coreProperties>
</file>