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1" w:rightFromText="141" w:vertAnchor="page" w:horzAnchor="margin" w:tblpY="2134"/>
        <w:tblW w:w="9054" w:type="dxa"/>
        <w:tblLayout w:type="fixed"/>
        <w:tblLook w:val="04A0" w:firstRow="1" w:lastRow="0" w:firstColumn="1" w:lastColumn="0" w:noHBand="0" w:noVBand="1"/>
      </w:tblPr>
      <w:tblGrid>
        <w:gridCol w:w="1668"/>
        <w:gridCol w:w="1842"/>
        <w:gridCol w:w="1843"/>
        <w:gridCol w:w="3701"/>
      </w:tblGrid>
      <w:tr w:rsidR="00982BA9" w:rsidRPr="00F92A19" w:rsidTr="00982BA9">
        <w:tc>
          <w:tcPr>
            <w:tcW w:w="9054" w:type="dxa"/>
            <w:gridSpan w:val="4"/>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982BA9" w:rsidRPr="00F92A19" w:rsidRDefault="00982BA9" w:rsidP="00982BA9">
            <w:pPr>
              <w:jc w:val="both"/>
              <w:rPr>
                <w:rFonts w:ascii="Arial" w:hAnsi="Arial" w:cs="Arial"/>
                <w:sz w:val="20"/>
                <w:szCs w:val="20"/>
                <w:lang w:val="es-ES"/>
              </w:rPr>
            </w:pPr>
            <w:r w:rsidRPr="00F92A19">
              <w:rPr>
                <w:rFonts w:ascii="Arial" w:hAnsi="Arial" w:cs="Arial"/>
                <w:b/>
                <w:sz w:val="20"/>
                <w:szCs w:val="20"/>
                <w:lang w:val="es-ES"/>
              </w:rPr>
              <w:t>OBJETIVO:</w:t>
            </w:r>
            <w:r>
              <w:rPr>
                <w:rFonts w:ascii="Arial" w:hAnsi="Arial" w:cs="Arial"/>
                <w:sz w:val="20"/>
                <w:szCs w:val="20"/>
                <w:lang w:val="es-ES"/>
              </w:rPr>
              <w:t xml:space="preserve"> </w:t>
            </w:r>
            <w:r>
              <w:rPr>
                <w:sz w:val="18"/>
                <w:szCs w:val="18"/>
              </w:rPr>
              <w:t>es incrementar la productividad en las micro, pequeñas y medianas empresas, principalmente las ubicadas en sectores estratégicos, para incentivar el crecimiento económico nacional, regional y sectorial, mediante el impulso al fortalecimiento ordenado, planificado y sistemático del emprendimiento y del desarrollo empresarial en todo el territorio nacional, así como la consolidación de una economía innovadora, dinámica, incluyente y competitiva.</w:t>
            </w:r>
          </w:p>
        </w:tc>
      </w:tr>
      <w:tr w:rsidR="00982BA9" w:rsidRPr="00F92A19" w:rsidTr="00982BA9">
        <w:tc>
          <w:tcPr>
            <w:tcW w:w="1668" w:type="dxa"/>
            <w:tcBorders>
              <w:top w:val="single" w:sz="12" w:space="0" w:color="538135" w:themeColor="accent6" w:themeShade="BF"/>
              <w:left w:val="nil"/>
              <w:bottom w:val="single" w:sz="12" w:space="0" w:color="FFE599" w:themeColor="accent4" w:themeTint="66"/>
              <w:right w:val="nil"/>
            </w:tcBorders>
            <w:vAlign w:val="center"/>
          </w:tcPr>
          <w:p w:rsidR="00982BA9" w:rsidRPr="00CC7FAC" w:rsidRDefault="00982BA9" w:rsidP="00982BA9">
            <w:pPr>
              <w:jc w:val="center"/>
              <w:rPr>
                <w:rFonts w:ascii="Arial" w:hAnsi="Arial" w:cs="Arial"/>
                <w:b/>
                <w:sz w:val="20"/>
                <w:szCs w:val="20"/>
                <w:lang w:val="es-ES"/>
              </w:rPr>
            </w:pPr>
          </w:p>
          <w:p w:rsidR="00982BA9" w:rsidRPr="00CC7FAC" w:rsidRDefault="00982BA9" w:rsidP="00982BA9">
            <w:pPr>
              <w:jc w:val="center"/>
              <w:rPr>
                <w:rFonts w:ascii="Arial" w:hAnsi="Arial" w:cs="Arial"/>
                <w:b/>
                <w:sz w:val="20"/>
                <w:szCs w:val="20"/>
                <w:lang w:val="es-ES"/>
              </w:rPr>
            </w:pPr>
            <w:r w:rsidRPr="00CC7FAC">
              <w:rPr>
                <w:rFonts w:ascii="Arial" w:hAnsi="Arial" w:cs="Arial"/>
                <w:b/>
                <w:sz w:val="20"/>
                <w:szCs w:val="20"/>
                <w:lang w:val="es-ES"/>
              </w:rPr>
              <w:t>COBERTURA</w:t>
            </w:r>
          </w:p>
        </w:tc>
        <w:tc>
          <w:tcPr>
            <w:tcW w:w="1842" w:type="dxa"/>
            <w:tcBorders>
              <w:top w:val="single" w:sz="12" w:space="0" w:color="538135" w:themeColor="accent6" w:themeShade="BF"/>
              <w:left w:val="nil"/>
              <w:bottom w:val="single" w:sz="12" w:space="0" w:color="FFE599" w:themeColor="accent4" w:themeTint="66"/>
              <w:right w:val="nil"/>
            </w:tcBorders>
            <w:vAlign w:val="center"/>
          </w:tcPr>
          <w:p w:rsidR="00982BA9" w:rsidRPr="00CC7FAC" w:rsidRDefault="00982BA9" w:rsidP="00982BA9">
            <w:pPr>
              <w:jc w:val="center"/>
              <w:rPr>
                <w:rFonts w:ascii="Arial" w:hAnsi="Arial" w:cs="Arial"/>
                <w:b/>
                <w:sz w:val="20"/>
                <w:szCs w:val="20"/>
                <w:lang w:val="es-ES"/>
              </w:rPr>
            </w:pPr>
          </w:p>
          <w:p w:rsidR="00982BA9" w:rsidRPr="00CC7FAC" w:rsidRDefault="00982BA9" w:rsidP="00982BA9">
            <w:pPr>
              <w:jc w:val="center"/>
              <w:rPr>
                <w:rFonts w:ascii="Arial" w:hAnsi="Arial" w:cs="Arial"/>
                <w:b/>
                <w:sz w:val="20"/>
                <w:szCs w:val="20"/>
                <w:lang w:val="es-ES"/>
              </w:rPr>
            </w:pPr>
            <w:r w:rsidRPr="00CC7FAC">
              <w:rPr>
                <w:rFonts w:ascii="Arial" w:hAnsi="Arial" w:cs="Arial"/>
                <w:b/>
                <w:sz w:val="20"/>
                <w:szCs w:val="20"/>
                <w:lang w:val="es-ES"/>
              </w:rPr>
              <w:t>SECTOR</w:t>
            </w:r>
          </w:p>
        </w:tc>
        <w:tc>
          <w:tcPr>
            <w:tcW w:w="1843" w:type="dxa"/>
            <w:tcBorders>
              <w:top w:val="single" w:sz="12" w:space="0" w:color="538135" w:themeColor="accent6" w:themeShade="BF"/>
              <w:left w:val="nil"/>
              <w:bottom w:val="single" w:sz="12" w:space="0" w:color="FFE599" w:themeColor="accent4" w:themeTint="66"/>
              <w:right w:val="nil"/>
            </w:tcBorders>
            <w:vAlign w:val="center"/>
          </w:tcPr>
          <w:p w:rsidR="00982BA9" w:rsidRPr="00CC7FAC" w:rsidRDefault="00982BA9" w:rsidP="00982BA9">
            <w:pPr>
              <w:jc w:val="center"/>
              <w:rPr>
                <w:rFonts w:ascii="Arial" w:hAnsi="Arial" w:cs="Arial"/>
                <w:b/>
                <w:sz w:val="20"/>
                <w:szCs w:val="20"/>
                <w:lang w:val="es-ES"/>
              </w:rPr>
            </w:pPr>
          </w:p>
          <w:p w:rsidR="00982BA9" w:rsidRPr="00CC7FAC" w:rsidRDefault="00982BA9" w:rsidP="00982BA9">
            <w:pPr>
              <w:jc w:val="center"/>
              <w:rPr>
                <w:rFonts w:ascii="Arial" w:hAnsi="Arial" w:cs="Arial"/>
                <w:b/>
                <w:sz w:val="20"/>
                <w:szCs w:val="20"/>
                <w:lang w:val="es-ES"/>
              </w:rPr>
            </w:pPr>
            <w:r w:rsidRPr="00CC7FAC">
              <w:rPr>
                <w:rFonts w:ascii="Arial" w:hAnsi="Arial" w:cs="Arial"/>
                <w:b/>
                <w:sz w:val="20"/>
                <w:szCs w:val="20"/>
                <w:lang w:val="es-ES"/>
              </w:rPr>
              <w:t>REQUIERE APORTACIÓN</w:t>
            </w:r>
          </w:p>
        </w:tc>
        <w:tc>
          <w:tcPr>
            <w:tcW w:w="3701" w:type="dxa"/>
            <w:tcBorders>
              <w:top w:val="single" w:sz="12" w:space="0" w:color="538135" w:themeColor="accent6" w:themeShade="BF"/>
              <w:left w:val="nil"/>
              <w:bottom w:val="single" w:sz="12" w:space="0" w:color="FFE599" w:themeColor="accent4" w:themeTint="66"/>
              <w:right w:val="nil"/>
            </w:tcBorders>
            <w:vAlign w:val="center"/>
          </w:tcPr>
          <w:p w:rsidR="00982BA9" w:rsidRPr="00CC7FAC" w:rsidRDefault="00982BA9" w:rsidP="00982BA9">
            <w:pPr>
              <w:jc w:val="center"/>
              <w:rPr>
                <w:rFonts w:ascii="Arial" w:hAnsi="Arial" w:cs="Arial"/>
                <w:b/>
                <w:sz w:val="20"/>
                <w:szCs w:val="20"/>
                <w:lang w:val="es-ES"/>
              </w:rPr>
            </w:pPr>
          </w:p>
          <w:p w:rsidR="00982BA9" w:rsidRPr="00CC7FAC" w:rsidRDefault="00982BA9" w:rsidP="00982BA9">
            <w:pPr>
              <w:jc w:val="center"/>
              <w:rPr>
                <w:rFonts w:ascii="Arial" w:hAnsi="Arial" w:cs="Arial"/>
                <w:b/>
                <w:sz w:val="20"/>
                <w:szCs w:val="20"/>
                <w:lang w:val="es-ES"/>
              </w:rPr>
            </w:pPr>
            <w:r w:rsidRPr="00CC7FAC">
              <w:rPr>
                <w:rFonts w:ascii="Arial" w:hAnsi="Arial" w:cs="Arial"/>
                <w:b/>
                <w:sz w:val="20"/>
                <w:szCs w:val="20"/>
                <w:lang w:val="es-ES"/>
              </w:rPr>
              <w:t>MONTOS DE APOYO</w:t>
            </w:r>
          </w:p>
        </w:tc>
      </w:tr>
      <w:tr w:rsidR="00982BA9" w:rsidRPr="00F92A19" w:rsidTr="00982BA9">
        <w:tc>
          <w:tcPr>
            <w:tcW w:w="166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982BA9" w:rsidRDefault="00982BA9" w:rsidP="00982BA9">
            <w:pPr>
              <w:jc w:val="center"/>
              <w:rPr>
                <w:rFonts w:ascii="Arial" w:hAnsi="Arial" w:cs="Arial"/>
                <w:sz w:val="20"/>
                <w:szCs w:val="20"/>
              </w:rPr>
            </w:pPr>
          </w:p>
          <w:p w:rsidR="00982BA9" w:rsidRPr="00F92A19" w:rsidRDefault="00982BA9" w:rsidP="00982BA9">
            <w:pPr>
              <w:jc w:val="center"/>
              <w:rPr>
                <w:rFonts w:ascii="Arial" w:hAnsi="Arial" w:cs="Arial"/>
                <w:sz w:val="20"/>
                <w:szCs w:val="20"/>
              </w:rPr>
            </w:pPr>
            <w:r w:rsidRPr="00F92A19">
              <w:rPr>
                <w:rFonts w:ascii="Arial" w:hAnsi="Arial" w:cs="Arial"/>
                <w:sz w:val="20"/>
                <w:szCs w:val="20"/>
              </w:rPr>
              <w:t>Nacional</w:t>
            </w:r>
          </w:p>
          <w:p w:rsidR="00982BA9" w:rsidRPr="00F92A19" w:rsidRDefault="00982BA9" w:rsidP="00982BA9">
            <w:pPr>
              <w:jc w:val="center"/>
              <w:rPr>
                <w:rFonts w:ascii="Arial" w:hAnsi="Arial" w:cs="Arial"/>
                <w:sz w:val="20"/>
                <w:szCs w:val="20"/>
              </w:rPr>
            </w:pPr>
          </w:p>
        </w:tc>
        <w:tc>
          <w:tcPr>
            <w:tcW w:w="1842"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982BA9" w:rsidRPr="00F92A19" w:rsidRDefault="00982BA9" w:rsidP="00982BA9">
            <w:pPr>
              <w:pStyle w:val="Texto"/>
              <w:spacing w:after="60"/>
              <w:ind w:firstLine="0"/>
              <w:jc w:val="center"/>
              <w:rPr>
                <w:sz w:val="20"/>
              </w:rPr>
            </w:pPr>
            <w:r>
              <w:rPr>
                <w:sz w:val="20"/>
              </w:rPr>
              <w:t>Productivo</w:t>
            </w:r>
          </w:p>
        </w:tc>
        <w:tc>
          <w:tcPr>
            <w:tcW w:w="1843"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982BA9" w:rsidRPr="00F92A19" w:rsidRDefault="00982BA9" w:rsidP="00982BA9">
            <w:pPr>
              <w:jc w:val="center"/>
              <w:rPr>
                <w:rFonts w:ascii="Arial" w:hAnsi="Arial" w:cs="Arial"/>
                <w:sz w:val="20"/>
                <w:szCs w:val="20"/>
              </w:rPr>
            </w:pPr>
            <w:r>
              <w:rPr>
                <w:rFonts w:ascii="Arial" w:hAnsi="Arial" w:cs="Arial"/>
                <w:sz w:val="20"/>
                <w:szCs w:val="20"/>
              </w:rPr>
              <w:t>Sí</w:t>
            </w:r>
          </w:p>
        </w:tc>
        <w:tc>
          <w:tcPr>
            <w:tcW w:w="370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982BA9" w:rsidRPr="00EB3DA2" w:rsidRDefault="00982BA9" w:rsidP="00982BA9">
            <w:pPr>
              <w:jc w:val="both"/>
              <w:rPr>
                <w:rFonts w:ascii="Arial" w:hAnsi="Arial" w:cs="Arial"/>
                <w:sz w:val="12"/>
                <w:szCs w:val="12"/>
              </w:rPr>
            </w:pPr>
            <w:r>
              <w:rPr>
                <w:sz w:val="18"/>
                <w:szCs w:val="18"/>
              </w:rPr>
              <w:t xml:space="preserve">Se otorgarán APOYOS del FNE en cada una de las categorías de acuerdo a las modalidades previstas en el Anexo K de estas REGLAS DE OPERACIÓN. </w:t>
            </w:r>
          </w:p>
        </w:tc>
      </w:tr>
      <w:tr w:rsidR="00982BA9" w:rsidRPr="00F92A19" w:rsidTr="00982BA9">
        <w:tc>
          <w:tcPr>
            <w:tcW w:w="5353" w:type="dxa"/>
            <w:gridSpan w:val="3"/>
            <w:tcBorders>
              <w:top w:val="single" w:sz="12" w:space="0" w:color="FFE599" w:themeColor="accent4" w:themeTint="66"/>
              <w:left w:val="nil"/>
              <w:bottom w:val="single" w:sz="12" w:space="0" w:color="FFE599" w:themeColor="accent4" w:themeTint="66"/>
              <w:right w:val="nil"/>
            </w:tcBorders>
            <w:vAlign w:val="center"/>
          </w:tcPr>
          <w:p w:rsidR="00982BA9" w:rsidRPr="00CC7FAC" w:rsidRDefault="00982BA9" w:rsidP="00982BA9">
            <w:pPr>
              <w:jc w:val="center"/>
              <w:rPr>
                <w:rFonts w:ascii="Arial" w:hAnsi="Arial" w:cs="Arial"/>
                <w:b/>
                <w:sz w:val="20"/>
                <w:szCs w:val="20"/>
                <w:lang w:val="es-ES"/>
              </w:rPr>
            </w:pPr>
          </w:p>
          <w:p w:rsidR="00982BA9" w:rsidRPr="00CC7FAC" w:rsidRDefault="00982BA9" w:rsidP="00982BA9">
            <w:pPr>
              <w:jc w:val="center"/>
              <w:rPr>
                <w:rFonts w:ascii="Arial" w:hAnsi="Arial" w:cs="Arial"/>
                <w:b/>
                <w:sz w:val="20"/>
                <w:szCs w:val="20"/>
              </w:rPr>
            </w:pPr>
            <w:r w:rsidRPr="00CC7FAC">
              <w:rPr>
                <w:rFonts w:ascii="Arial" w:hAnsi="Arial" w:cs="Arial"/>
                <w:b/>
                <w:sz w:val="20"/>
                <w:szCs w:val="20"/>
                <w:lang w:val="es-ES"/>
              </w:rPr>
              <w:t xml:space="preserve">BENEFICIARIOS </w:t>
            </w:r>
          </w:p>
        </w:tc>
        <w:tc>
          <w:tcPr>
            <w:tcW w:w="3701" w:type="dxa"/>
            <w:tcBorders>
              <w:top w:val="single" w:sz="12" w:space="0" w:color="FFE599" w:themeColor="accent4" w:themeTint="66"/>
              <w:left w:val="nil"/>
              <w:bottom w:val="single" w:sz="12" w:space="0" w:color="FFE599" w:themeColor="accent4" w:themeTint="66"/>
              <w:right w:val="nil"/>
            </w:tcBorders>
            <w:vAlign w:val="center"/>
          </w:tcPr>
          <w:p w:rsidR="00982BA9" w:rsidRPr="00CC7FAC" w:rsidRDefault="00982BA9" w:rsidP="00982BA9">
            <w:pPr>
              <w:jc w:val="center"/>
              <w:rPr>
                <w:rFonts w:ascii="Arial" w:hAnsi="Arial" w:cs="Arial"/>
                <w:b/>
                <w:sz w:val="20"/>
                <w:szCs w:val="20"/>
              </w:rPr>
            </w:pPr>
          </w:p>
          <w:p w:rsidR="00982BA9" w:rsidRPr="00CC7FAC" w:rsidRDefault="00982BA9" w:rsidP="00982BA9">
            <w:pPr>
              <w:jc w:val="center"/>
              <w:rPr>
                <w:rFonts w:ascii="Arial" w:hAnsi="Arial" w:cs="Arial"/>
                <w:b/>
                <w:sz w:val="20"/>
                <w:szCs w:val="20"/>
              </w:rPr>
            </w:pPr>
            <w:r w:rsidRPr="00CC7FAC">
              <w:rPr>
                <w:rFonts w:ascii="Arial" w:hAnsi="Arial" w:cs="Arial"/>
                <w:b/>
                <w:sz w:val="20"/>
                <w:szCs w:val="20"/>
              </w:rPr>
              <w:t>TIPOS DE APOYO</w:t>
            </w:r>
          </w:p>
        </w:tc>
      </w:tr>
      <w:tr w:rsidR="00982BA9" w:rsidRPr="00954ECD" w:rsidTr="00982BA9">
        <w:tc>
          <w:tcPr>
            <w:tcW w:w="5353" w:type="dxa"/>
            <w:gridSpan w:val="3"/>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82BA9" w:rsidRPr="00CC7FAC" w:rsidRDefault="00982BA9" w:rsidP="00982BA9">
            <w:pPr>
              <w:jc w:val="both"/>
              <w:rPr>
                <w:sz w:val="20"/>
                <w:szCs w:val="20"/>
              </w:rPr>
            </w:pPr>
            <w:r>
              <w:rPr>
                <w:sz w:val="18"/>
                <w:szCs w:val="18"/>
              </w:rPr>
              <w:t>Los emprendedores y las micro, pequeñas y medianas empresas, las empresas grandes vinculadas con micro, pequeñas y medianas empresas y/o las instituciones y organizaciones de los sectores público o privado que operen programas o proyectos del FN</w:t>
            </w:r>
          </w:p>
        </w:tc>
        <w:tc>
          <w:tcPr>
            <w:tcW w:w="370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82BA9" w:rsidRDefault="00982BA9" w:rsidP="00982BA9">
            <w:pPr>
              <w:pStyle w:val="Default"/>
              <w:rPr>
                <w:sz w:val="18"/>
                <w:szCs w:val="18"/>
              </w:rPr>
            </w:pPr>
            <w:r>
              <w:rPr>
                <w:sz w:val="18"/>
                <w:szCs w:val="18"/>
              </w:rPr>
              <w:t xml:space="preserve">Los APOYOS del FNE serán otorgados a través de dos modalidades: </w:t>
            </w:r>
          </w:p>
          <w:p w:rsidR="00982BA9" w:rsidRDefault="00982BA9" w:rsidP="00982BA9">
            <w:pPr>
              <w:pStyle w:val="Default"/>
              <w:rPr>
                <w:sz w:val="18"/>
                <w:szCs w:val="18"/>
              </w:rPr>
            </w:pPr>
          </w:p>
          <w:p w:rsidR="00982BA9" w:rsidRDefault="00982BA9" w:rsidP="00982BA9">
            <w:pPr>
              <w:pStyle w:val="Default"/>
              <w:rPr>
                <w:sz w:val="18"/>
                <w:szCs w:val="18"/>
              </w:rPr>
            </w:pPr>
            <w:r>
              <w:rPr>
                <w:b/>
                <w:bCs/>
                <w:sz w:val="18"/>
                <w:szCs w:val="18"/>
              </w:rPr>
              <w:t xml:space="preserve">I. </w:t>
            </w:r>
            <w:r>
              <w:rPr>
                <w:sz w:val="18"/>
                <w:szCs w:val="18"/>
              </w:rPr>
              <w:t xml:space="preserve">Por medio de convocatorias públicas, y </w:t>
            </w:r>
          </w:p>
          <w:p w:rsidR="00982BA9" w:rsidRPr="00CC7FAC" w:rsidRDefault="00982BA9" w:rsidP="00982BA9">
            <w:pPr>
              <w:pStyle w:val="ROMANOS"/>
              <w:tabs>
                <w:tab w:val="clear" w:pos="720"/>
              </w:tabs>
              <w:spacing w:after="80" w:line="230" w:lineRule="exact"/>
              <w:ind w:left="0" w:firstLine="0"/>
              <w:jc w:val="left"/>
              <w:rPr>
                <w:sz w:val="20"/>
                <w:szCs w:val="20"/>
              </w:rPr>
            </w:pPr>
            <w:r>
              <w:rPr>
                <w:b/>
                <w:bCs/>
              </w:rPr>
              <w:t xml:space="preserve">II. </w:t>
            </w:r>
            <w:r>
              <w:t>Asignación directa de APOYOS.</w:t>
            </w:r>
          </w:p>
        </w:tc>
      </w:tr>
    </w:tbl>
    <w:p w:rsidR="00284E92" w:rsidRDefault="00982BA9" w:rsidP="00982BA9">
      <w:pPr>
        <w:spacing w:after="0" w:line="240" w:lineRule="auto"/>
        <w:jc w:val="center"/>
        <w:rPr>
          <w:rFonts w:ascii="Arial" w:hAnsi="Arial" w:cs="Arial"/>
          <w:b/>
          <w:sz w:val="24"/>
          <w:szCs w:val="24"/>
        </w:rPr>
      </w:pPr>
      <w:r>
        <w:rPr>
          <w:rFonts w:ascii="Arial" w:hAnsi="Arial" w:cs="Arial"/>
          <w:b/>
          <w:sz w:val="24"/>
          <w:szCs w:val="24"/>
        </w:rPr>
        <w:t>Fondo Nacional Emprendedor (FNE)</w:t>
      </w:r>
    </w:p>
    <w:tbl>
      <w:tblPr>
        <w:tblStyle w:val="Tablaconcuadrcula"/>
        <w:tblW w:w="8978" w:type="dxa"/>
        <w:tblInd w:w="108" w:type="dxa"/>
        <w:tblLook w:val="04A0" w:firstRow="1" w:lastRow="0" w:firstColumn="1" w:lastColumn="0" w:noHBand="0" w:noVBand="1"/>
      </w:tblPr>
      <w:tblGrid>
        <w:gridCol w:w="8978"/>
      </w:tblGrid>
      <w:tr w:rsidR="000D1236" w:rsidTr="00EB3DA2">
        <w:tc>
          <w:tcPr>
            <w:tcW w:w="8978" w:type="dxa"/>
            <w:tcBorders>
              <w:top w:val="nil"/>
              <w:left w:val="nil"/>
              <w:bottom w:val="single" w:sz="12" w:space="0" w:color="FFE599" w:themeColor="accent4" w:themeTint="66"/>
              <w:right w:val="nil"/>
            </w:tcBorders>
          </w:tcPr>
          <w:p w:rsidR="000D1236" w:rsidRPr="00947BE9" w:rsidRDefault="00EB3DA2" w:rsidP="00EB3DA2">
            <w:pPr>
              <w:spacing w:before="240" w:after="120"/>
              <w:jc w:val="center"/>
              <w:rPr>
                <w:rFonts w:ascii="Arial" w:hAnsi="Arial" w:cs="Arial"/>
                <w:b/>
                <w:sz w:val="20"/>
                <w:szCs w:val="20"/>
              </w:rPr>
            </w:pPr>
            <w:r>
              <w:rPr>
                <w:rFonts w:ascii="Arial" w:hAnsi="Arial" w:cs="Arial"/>
                <w:b/>
                <w:sz w:val="20"/>
                <w:szCs w:val="20"/>
              </w:rPr>
              <w:t>PROCEDIMIENTO</w:t>
            </w:r>
          </w:p>
        </w:tc>
      </w:tr>
      <w:tr w:rsidR="000D1236" w:rsidTr="00EB3DA2">
        <w:tc>
          <w:tcPr>
            <w:tcW w:w="897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EB3DA2" w:rsidRDefault="00EB3DA2" w:rsidP="00EB3DA2">
            <w:pPr>
              <w:pStyle w:val="Default"/>
              <w:jc w:val="both"/>
              <w:rPr>
                <w:sz w:val="18"/>
                <w:szCs w:val="18"/>
              </w:rPr>
            </w:pPr>
            <w:r w:rsidRPr="00EB3DA2">
              <w:rPr>
                <w:sz w:val="18"/>
                <w:szCs w:val="18"/>
              </w:rPr>
              <w:t>En caso de desastre natural o emergencia, la solicitud deberá ser presentada por escrito al titular del INADEM y deberá contener, cuando menos, la estimación de daños, el monto y tipo de APOYO requerido.</w:t>
            </w:r>
          </w:p>
          <w:p w:rsidR="00EB3DA2" w:rsidRPr="00982BA9" w:rsidRDefault="00EB3DA2" w:rsidP="00EB3DA2">
            <w:pPr>
              <w:pStyle w:val="Default"/>
              <w:jc w:val="both"/>
              <w:rPr>
                <w:sz w:val="16"/>
                <w:szCs w:val="16"/>
              </w:rPr>
            </w:pPr>
            <w:r w:rsidRPr="00EB3DA2">
              <w:rPr>
                <w:sz w:val="18"/>
                <w:szCs w:val="18"/>
              </w:rPr>
              <w:t xml:space="preserve"> </w:t>
            </w:r>
          </w:p>
          <w:p w:rsidR="00EB3DA2" w:rsidRDefault="00EB3DA2" w:rsidP="00EB3DA2">
            <w:pPr>
              <w:pStyle w:val="Default"/>
              <w:jc w:val="both"/>
              <w:rPr>
                <w:sz w:val="18"/>
                <w:szCs w:val="18"/>
              </w:rPr>
            </w:pPr>
            <w:r w:rsidRPr="00EB3DA2">
              <w:rPr>
                <w:sz w:val="18"/>
                <w:szCs w:val="18"/>
              </w:rPr>
              <w:t xml:space="preserve">En estos casos no se requerirá de la presentación de una SOLICITUD DE APOYO. No estarán sujetos a los montos máximos previstos en las presentes REGLAS DE OPERACIÓN por tratarse de un caso de excepción y emergencia, y podrán ser hasta del cien por ciento, sujetos a la disponibilidad presupuestal del FNE. </w:t>
            </w:r>
          </w:p>
          <w:p w:rsidR="00EB3DA2" w:rsidRPr="00982BA9" w:rsidRDefault="00EB3DA2" w:rsidP="00EB3DA2">
            <w:pPr>
              <w:pStyle w:val="Default"/>
              <w:jc w:val="both"/>
              <w:rPr>
                <w:sz w:val="16"/>
                <w:szCs w:val="16"/>
              </w:rPr>
            </w:pPr>
          </w:p>
          <w:p w:rsidR="00EB3DA2" w:rsidRDefault="00EB3DA2" w:rsidP="00EB3DA2">
            <w:pPr>
              <w:pStyle w:val="Default"/>
              <w:jc w:val="both"/>
              <w:rPr>
                <w:sz w:val="18"/>
                <w:szCs w:val="18"/>
              </w:rPr>
            </w:pPr>
            <w:r w:rsidRPr="00EB3DA2">
              <w:rPr>
                <w:sz w:val="18"/>
                <w:szCs w:val="18"/>
              </w:rPr>
              <w:t xml:space="preserve">Los APOYOS se entregarán a la SEDECO, al Ayuntamiento del Municipio respectivo o al ORGANISMO INTERMEDIO distinto de los anteriores, que haya sido definido por el Gobierno de la Entidad Federativa, que a su vez los canalizará a las MIPYMES SINIESTRADAS conforme la estimación realizada por la SEDECO y validada por la Delegación de la Secretaría de Economía en la Entidad Federativa. </w:t>
            </w:r>
          </w:p>
          <w:p w:rsidR="00EB3DA2" w:rsidRPr="00982BA9" w:rsidRDefault="00EB3DA2" w:rsidP="00EB3DA2">
            <w:pPr>
              <w:pStyle w:val="Default"/>
              <w:jc w:val="both"/>
              <w:rPr>
                <w:sz w:val="16"/>
                <w:szCs w:val="16"/>
              </w:rPr>
            </w:pPr>
          </w:p>
          <w:p w:rsidR="00EB3DA2" w:rsidRDefault="00EB3DA2" w:rsidP="00EB3DA2">
            <w:pPr>
              <w:pStyle w:val="Default"/>
              <w:jc w:val="both"/>
              <w:rPr>
                <w:sz w:val="18"/>
                <w:szCs w:val="18"/>
              </w:rPr>
            </w:pPr>
            <w:r w:rsidRPr="00EB3DA2">
              <w:rPr>
                <w:sz w:val="18"/>
                <w:szCs w:val="18"/>
              </w:rPr>
              <w:t xml:space="preserve">La Dirección General de Programas de Sectores Estratégicos y Desarrollo Regional será la responsable de tramitar las solicitudes de las Entidades Federativas, de emitir un dictamen respecto de estas solicitudes en un plazo no mayor a 72 horas, posteriores a la recepción de las mismas y finalmente del seguimiento y correcta comprobación de estos APOYOS. </w:t>
            </w:r>
          </w:p>
          <w:p w:rsidR="00EB3DA2" w:rsidRPr="00982BA9" w:rsidRDefault="00EB3DA2" w:rsidP="00EB3DA2">
            <w:pPr>
              <w:pStyle w:val="Default"/>
              <w:jc w:val="both"/>
              <w:rPr>
                <w:sz w:val="16"/>
                <w:szCs w:val="16"/>
              </w:rPr>
            </w:pPr>
          </w:p>
          <w:p w:rsidR="00EB3DA2" w:rsidRDefault="00EB3DA2" w:rsidP="00EB3DA2">
            <w:pPr>
              <w:pStyle w:val="Default"/>
              <w:jc w:val="both"/>
              <w:rPr>
                <w:sz w:val="18"/>
                <w:szCs w:val="18"/>
              </w:rPr>
            </w:pPr>
            <w:r w:rsidRPr="00EB3DA2">
              <w:rPr>
                <w:sz w:val="18"/>
                <w:szCs w:val="18"/>
              </w:rPr>
              <w:t xml:space="preserve">Elaborado el dictamen de la Dirección General de Programas Estratégicos y Desarrollo Regional, la solicitud se presentará directamente al CONSEJO DIRECTIVO sin pasar por el SISTEMA NACIONAL DE EVALUADORES. Si el CONSEJO DIRECTIVO aprueba el monto respectivo, el Convenio que corresponda para efectuar la ministración deberá ser elaborado en un plazo no mayor a dos días hábiles y firmado en un plazo máximo de un día hábil. </w:t>
            </w:r>
          </w:p>
          <w:p w:rsidR="00EB3DA2" w:rsidRPr="00982BA9" w:rsidRDefault="00EB3DA2" w:rsidP="00EB3DA2">
            <w:pPr>
              <w:pStyle w:val="Default"/>
              <w:jc w:val="both"/>
              <w:rPr>
                <w:sz w:val="16"/>
                <w:szCs w:val="16"/>
              </w:rPr>
            </w:pPr>
          </w:p>
          <w:p w:rsidR="00EB3DA2" w:rsidRDefault="00EB3DA2" w:rsidP="00EB3DA2">
            <w:pPr>
              <w:pStyle w:val="Default"/>
              <w:jc w:val="both"/>
              <w:rPr>
                <w:sz w:val="18"/>
                <w:szCs w:val="18"/>
              </w:rPr>
            </w:pPr>
            <w:r w:rsidRPr="00EB3DA2">
              <w:rPr>
                <w:sz w:val="18"/>
                <w:szCs w:val="18"/>
              </w:rPr>
              <w:t>Una vez aprobado el proyecto por el CONSEJO DIRECTIVO</w:t>
            </w:r>
            <w:r w:rsidRPr="00EB3DA2">
              <w:rPr>
                <w:b/>
                <w:bCs/>
                <w:sz w:val="18"/>
                <w:szCs w:val="18"/>
              </w:rPr>
              <w:t xml:space="preserve">, </w:t>
            </w:r>
            <w:r w:rsidRPr="00EB3DA2">
              <w:rPr>
                <w:sz w:val="18"/>
                <w:szCs w:val="18"/>
              </w:rPr>
              <w:t xml:space="preserve">la Dirección General de Programas de Sectores Estratégicos y Desarrollo Regional solicitará a la Entidad Federativa, Ayuntamiento u ORGANISMO INTERMEDIO, constancia bancaria emitida por el banco, contrato de la cuenta bancaria y recibo de ingresos, los cuales deberán ser entregados en un plazo no mayor a 72 horas, en caso de no haber recibido la información en el plazo establecido se podrá cancelar el proyecto, previa presentación de esos casos ante el CONSEJO DIRECTIVO. Una vez firmado el convenio y entregada la documentación correspondiente, el recurso deberá ser ministrado en un plazo no mayor de 5 días hábiles. </w:t>
            </w:r>
          </w:p>
          <w:p w:rsidR="00EB3DA2" w:rsidRPr="00EB3DA2" w:rsidRDefault="00EB3DA2" w:rsidP="00EB3DA2">
            <w:pPr>
              <w:pStyle w:val="Default"/>
              <w:jc w:val="both"/>
              <w:rPr>
                <w:sz w:val="18"/>
                <w:szCs w:val="18"/>
              </w:rPr>
            </w:pPr>
          </w:p>
          <w:p w:rsidR="00EB3DA2" w:rsidRDefault="00EB3DA2" w:rsidP="00EB3DA2">
            <w:pPr>
              <w:pStyle w:val="Default"/>
              <w:jc w:val="both"/>
              <w:rPr>
                <w:sz w:val="18"/>
                <w:szCs w:val="18"/>
              </w:rPr>
            </w:pPr>
            <w:r w:rsidRPr="00EB3DA2">
              <w:rPr>
                <w:sz w:val="18"/>
                <w:szCs w:val="18"/>
              </w:rPr>
              <w:t xml:space="preserve">Para la comprobación de los APOYOS se deberá presentar la documentación soporte que determine el INADEM. </w:t>
            </w:r>
          </w:p>
          <w:p w:rsidR="00EB3DA2" w:rsidRPr="00EB3DA2" w:rsidRDefault="00EB3DA2" w:rsidP="00EB3DA2">
            <w:pPr>
              <w:pStyle w:val="Default"/>
              <w:jc w:val="both"/>
              <w:rPr>
                <w:sz w:val="18"/>
                <w:szCs w:val="18"/>
              </w:rPr>
            </w:pPr>
          </w:p>
          <w:p w:rsidR="00EB3DA2" w:rsidRPr="00EB3DA2" w:rsidRDefault="00EB3DA2" w:rsidP="00EB3DA2">
            <w:pPr>
              <w:pStyle w:val="Default"/>
              <w:jc w:val="both"/>
              <w:rPr>
                <w:sz w:val="18"/>
                <w:szCs w:val="18"/>
              </w:rPr>
            </w:pPr>
            <w:r w:rsidRPr="00EB3DA2">
              <w:rPr>
                <w:sz w:val="18"/>
                <w:szCs w:val="18"/>
              </w:rPr>
              <w:t xml:space="preserve">Por excepción, la Dirección General de Programas Estratégicos y Desarrollo Regional realizará la supervisión y seguimiento de proyectos de MIPYMES SINIESTRADAS, los documentos comprobatorios serán </w:t>
            </w:r>
            <w:r w:rsidRPr="00EB3DA2">
              <w:rPr>
                <w:sz w:val="18"/>
                <w:szCs w:val="18"/>
              </w:rPr>
              <w:lastRenderedPageBreak/>
              <w:t xml:space="preserve">adicionalmente a los que determine el INADEM: el padrón, el recibo del FNE que compruebe la recepción de los recursos debidamente firmado, copia del Registro Federal de Contribuyentes, así como la copia de identificación oficial del BENEFICIARIO. 8 (Quinta Sección) DIARIO OFICIAL Miércoles 30 de diciembre de 2015 </w:t>
            </w:r>
          </w:p>
          <w:p w:rsidR="000D1236" w:rsidRPr="00EB3DA2" w:rsidRDefault="00EB3DA2" w:rsidP="00EB3DA2">
            <w:pPr>
              <w:pStyle w:val="ROMANOS"/>
              <w:tabs>
                <w:tab w:val="clear" w:pos="720"/>
              </w:tabs>
              <w:spacing w:after="100" w:line="238" w:lineRule="exact"/>
              <w:ind w:left="34" w:firstLine="0"/>
              <w:rPr>
                <w:sz w:val="20"/>
                <w:szCs w:val="20"/>
              </w:rPr>
            </w:pPr>
            <w:r w:rsidRPr="00EB3DA2">
              <w:t>La referida documentación deberá ser entregada al INADEM dentro de un plazo no mayor a 6 meses contados a partir de la recepción del APOYO. En caso de que dentro de dicho término no se haya aplicado el APOYO, el ORGANISMO INTERMEDIO deberá informar por escrito los motivos para ser sometidos a la consideración del CONSEJO DIRECTIVO que determinará la ampliación del plazo para su aplicación o, en su caso, solicitará el reintegro de los recursos</w:t>
            </w:r>
          </w:p>
        </w:tc>
      </w:tr>
    </w:tbl>
    <w:p w:rsidR="007E04E1" w:rsidRDefault="007E04E1" w:rsidP="00505DAC">
      <w:pPr>
        <w:spacing w:after="0" w:line="240" w:lineRule="auto"/>
        <w:rPr>
          <w:rFonts w:ascii="Arial" w:hAnsi="Arial" w:cs="Arial"/>
          <w:b/>
          <w:sz w:val="24"/>
          <w:szCs w:val="24"/>
        </w:rPr>
      </w:pPr>
    </w:p>
    <w:p w:rsidR="00F150BD" w:rsidRPr="00982BA9" w:rsidRDefault="00F150BD" w:rsidP="00505DAC">
      <w:pPr>
        <w:spacing w:after="0" w:line="240" w:lineRule="auto"/>
        <w:rPr>
          <w:rFonts w:ascii="Arial" w:hAnsi="Arial" w:cs="Arial"/>
          <w:b/>
          <w:sz w:val="24"/>
          <w:szCs w:val="24"/>
        </w:rPr>
      </w:pPr>
      <w:r w:rsidRPr="00982BA9">
        <w:rPr>
          <w:rFonts w:ascii="Arial" w:hAnsi="Arial" w:cs="Arial"/>
          <w:b/>
          <w:bCs/>
          <w:sz w:val="18"/>
          <w:szCs w:val="18"/>
        </w:rPr>
        <w:t>OTORGAMIENTO DE APOYOS</w:t>
      </w:r>
    </w:p>
    <w:tbl>
      <w:tblPr>
        <w:tblStyle w:val="Tablaconcuadrcula"/>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8978"/>
      </w:tblGrid>
      <w:tr w:rsidR="00F150BD" w:rsidTr="00F150BD">
        <w:tc>
          <w:tcPr>
            <w:tcW w:w="8978" w:type="dxa"/>
          </w:tcPr>
          <w:p w:rsidR="00F150BD" w:rsidRDefault="00F150BD" w:rsidP="00F150BD">
            <w:pPr>
              <w:pStyle w:val="Default"/>
              <w:jc w:val="both"/>
              <w:rPr>
                <w:sz w:val="18"/>
                <w:szCs w:val="18"/>
              </w:rPr>
            </w:pPr>
            <w:r>
              <w:rPr>
                <w:sz w:val="18"/>
                <w:szCs w:val="18"/>
              </w:rPr>
              <w:t xml:space="preserve">Los BENEFICIARIOS y ORGANISMOS INTERMEDIOS deberán cumplir con los requisitos para la entrega del recurso en un plazo no mayor a 10 días hábiles contados a partir de la notificación de que el proyecto fue autorizado. De no cumplir con esta disposición, la Dirección General Adjunta de Asuntos Jurídicos podrá solicitar al CONSEJO DIRECTIVO la cancelación del proyecto. </w:t>
            </w:r>
          </w:p>
          <w:p w:rsidR="00F150BD" w:rsidRDefault="00F150BD" w:rsidP="00F150BD">
            <w:pPr>
              <w:pStyle w:val="Default"/>
              <w:jc w:val="both"/>
              <w:rPr>
                <w:sz w:val="18"/>
                <w:szCs w:val="18"/>
              </w:rPr>
            </w:pPr>
            <w:r>
              <w:rPr>
                <w:sz w:val="18"/>
                <w:szCs w:val="18"/>
              </w:rPr>
              <w:t xml:space="preserve">El INADEM está obligado a otorgar los APOYOS en los términos de la CONVOCATORIA y en los Convenios que al efecto suscriba. </w:t>
            </w:r>
          </w:p>
          <w:p w:rsidR="00F150BD" w:rsidRDefault="00F150BD" w:rsidP="00F150BD">
            <w:pPr>
              <w:pStyle w:val="Default"/>
              <w:jc w:val="both"/>
              <w:rPr>
                <w:sz w:val="18"/>
                <w:szCs w:val="18"/>
              </w:rPr>
            </w:pPr>
            <w:r>
              <w:rPr>
                <w:sz w:val="18"/>
                <w:szCs w:val="18"/>
              </w:rPr>
              <w:t xml:space="preserve">El plazo de entrega de los APOYOS no deberá exceder de </w:t>
            </w:r>
            <w:r w:rsidRPr="00F150BD">
              <w:rPr>
                <w:b/>
                <w:sz w:val="18"/>
                <w:szCs w:val="18"/>
              </w:rPr>
              <w:t>cinco días hábiles</w:t>
            </w:r>
            <w:r>
              <w:rPr>
                <w:sz w:val="18"/>
                <w:szCs w:val="18"/>
              </w:rPr>
              <w:t xml:space="preserve"> contados a partir de la fecha en que el BENEFICIARIO haya cumplido con los requisitos solicitados para la entrega del recurso, contenidos en el Anexo G de las REGLAS DE OPERACIÓN. </w:t>
            </w:r>
          </w:p>
          <w:p w:rsidR="00F150BD" w:rsidRDefault="00F150BD" w:rsidP="00F150BD">
            <w:pPr>
              <w:pStyle w:val="Default"/>
              <w:jc w:val="both"/>
              <w:rPr>
                <w:sz w:val="18"/>
                <w:szCs w:val="18"/>
              </w:rPr>
            </w:pPr>
            <w:r>
              <w:rPr>
                <w:sz w:val="18"/>
                <w:szCs w:val="18"/>
              </w:rPr>
              <w:t xml:space="preserve">El BENEFICIARIO u ORGANISMO INTERMEDIO, adicionalmente a lo anterior, deberá cumplir con los siguientes requisitos: </w:t>
            </w:r>
          </w:p>
          <w:p w:rsidR="00F150BD" w:rsidRDefault="00F150BD" w:rsidP="00F150BD">
            <w:pPr>
              <w:pStyle w:val="Default"/>
              <w:numPr>
                <w:ilvl w:val="0"/>
                <w:numId w:val="9"/>
              </w:numPr>
              <w:jc w:val="both"/>
              <w:rPr>
                <w:sz w:val="18"/>
                <w:szCs w:val="18"/>
              </w:rPr>
            </w:pPr>
            <w:r>
              <w:rPr>
                <w:sz w:val="18"/>
                <w:szCs w:val="18"/>
              </w:rPr>
              <w:t xml:space="preserve">Contar con una cuenta bancaria exclusiva por proyecto, misma que se destinará a la administración únicamente de los recursos federales aprobados por el CONSEJO DIRECTIVO para la ejecución del PROYECTO sin necesidad de generar rendimientos. En esta cuenta no se deberán mezclar recursos de otras aportaciones ya sean propias del BENEFICIARIO o de otros aportantes. El INADEM se reserva el derecho de verificar que la cuenta bancaria no contenga mezcla de recursos de otras aportaciones. En caso de que se compruebe que la cuenta se utiliza para otros fines se cancelará el PROYECTO de manera automática y el BENEFICIARIO deberá devolver los recursos que haya utilizado. </w:t>
            </w:r>
          </w:p>
          <w:p w:rsidR="00F150BD" w:rsidRDefault="00F150BD" w:rsidP="00F150BD">
            <w:pPr>
              <w:pStyle w:val="Default"/>
              <w:ind w:left="1080"/>
              <w:jc w:val="both"/>
              <w:rPr>
                <w:sz w:val="18"/>
                <w:szCs w:val="18"/>
              </w:rPr>
            </w:pPr>
            <w:r>
              <w:rPr>
                <w:sz w:val="18"/>
                <w:szCs w:val="18"/>
              </w:rPr>
              <w:t xml:space="preserve">El monto depositado con el fin de </w:t>
            </w:r>
            <w:proofErr w:type="spellStart"/>
            <w:r>
              <w:rPr>
                <w:sz w:val="18"/>
                <w:szCs w:val="18"/>
              </w:rPr>
              <w:t>aperturar</w:t>
            </w:r>
            <w:proofErr w:type="spellEnd"/>
            <w:r>
              <w:rPr>
                <w:sz w:val="18"/>
                <w:szCs w:val="18"/>
              </w:rPr>
              <w:t xml:space="preserve"> la cuenta no será considerado como mezcla de recursos, siempre que ese monto no exceda el mínimo solicitado por la institución bancaria para tal efecto. La cuotas o comisiones que se generen de la cuenta que al efecto se </w:t>
            </w:r>
            <w:proofErr w:type="spellStart"/>
            <w:r>
              <w:rPr>
                <w:sz w:val="18"/>
                <w:szCs w:val="18"/>
              </w:rPr>
              <w:t>aperture</w:t>
            </w:r>
            <w:proofErr w:type="spellEnd"/>
            <w:r>
              <w:rPr>
                <w:sz w:val="18"/>
                <w:szCs w:val="18"/>
              </w:rPr>
              <w:t xml:space="preserve"> serán a cargo del BENEFICIARIO; </w:t>
            </w:r>
          </w:p>
          <w:p w:rsidR="00F150BD" w:rsidRDefault="00F150BD" w:rsidP="00F150BD">
            <w:pPr>
              <w:pStyle w:val="Default"/>
              <w:numPr>
                <w:ilvl w:val="0"/>
                <w:numId w:val="9"/>
              </w:numPr>
              <w:jc w:val="both"/>
              <w:rPr>
                <w:sz w:val="18"/>
                <w:szCs w:val="18"/>
              </w:rPr>
            </w:pPr>
            <w:r>
              <w:rPr>
                <w:sz w:val="18"/>
                <w:szCs w:val="18"/>
              </w:rPr>
              <w:t xml:space="preserve">No deberán transferirse los APOYOS a otras cuentas o instrumentos de inversión, y </w:t>
            </w:r>
          </w:p>
          <w:p w:rsidR="00F150BD" w:rsidRDefault="00F150BD" w:rsidP="00F150BD">
            <w:pPr>
              <w:pStyle w:val="Default"/>
              <w:numPr>
                <w:ilvl w:val="0"/>
                <w:numId w:val="9"/>
              </w:numPr>
              <w:jc w:val="both"/>
              <w:rPr>
                <w:sz w:val="18"/>
                <w:szCs w:val="18"/>
              </w:rPr>
            </w:pPr>
            <w:r>
              <w:rPr>
                <w:sz w:val="18"/>
                <w:szCs w:val="18"/>
              </w:rPr>
              <w:t xml:space="preserve">Haber entregado el recibo original por concepto de los recursos aprobados por el CONSEJO DIRECTIVO dentro de los cinco días hábiles posteriores a su solicitud, para que se pueda tramitar el APOYO correspondiente por parte de la SE con cargo al FNE. </w:t>
            </w:r>
          </w:p>
          <w:p w:rsidR="00F150BD" w:rsidRDefault="00F150BD" w:rsidP="00F150BD">
            <w:pPr>
              <w:pStyle w:val="Default"/>
              <w:jc w:val="both"/>
              <w:rPr>
                <w:sz w:val="18"/>
                <w:szCs w:val="18"/>
              </w:rPr>
            </w:pPr>
            <w:r>
              <w:rPr>
                <w:sz w:val="18"/>
                <w:szCs w:val="18"/>
              </w:rPr>
              <w:t xml:space="preserve">En su caso, los fideicomisos públicos, dependencias y entidades de la Administración Pública Federal, Gobiernos Estatales y Municipales, e Instituciones de educación superior e Investigación, que por su personalidad jurídica no puedan </w:t>
            </w:r>
            <w:proofErr w:type="spellStart"/>
            <w:r>
              <w:rPr>
                <w:sz w:val="18"/>
                <w:szCs w:val="18"/>
              </w:rPr>
              <w:t>aperturar</w:t>
            </w:r>
            <w:proofErr w:type="spellEnd"/>
            <w:r>
              <w:rPr>
                <w:sz w:val="18"/>
                <w:szCs w:val="18"/>
              </w:rPr>
              <w:t xml:space="preserve"> una cuenta bancaria propia por PROYECTO, deberán abrir una subcuenta específica que permita dar seguimiento puntual a los recursos federales y a los rendimientos que se generen. </w:t>
            </w:r>
          </w:p>
          <w:p w:rsidR="00F150BD" w:rsidRDefault="00F150BD" w:rsidP="00F150BD">
            <w:pPr>
              <w:pStyle w:val="Default"/>
              <w:jc w:val="both"/>
              <w:rPr>
                <w:sz w:val="18"/>
                <w:szCs w:val="18"/>
              </w:rPr>
            </w:pPr>
            <w:r>
              <w:rPr>
                <w:sz w:val="18"/>
                <w:szCs w:val="18"/>
              </w:rPr>
              <w:t xml:space="preserve">Los BENEFICIARIOS u ORGANISMOS INTERMEDIOS serán responsables de aportar aquellos recursos que los Gobiernos Estatales o Municipales hayan comprometido a los PROYECTOS aprobados por el CONSEJO DIRECTIVO y que por cualquier causa al final no aporten. En estos casos los BENEFICIARIOS u ORGANISMOS INTERMEDIOS deberán demostrar fehacientemente con los documentos probatorios correspondientes dicha aportación. </w:t>
            </w:r>
          </w:p>
          <w:p w:rsidR="00F150BD" w:rsidRDefault="00F150BD" w:rsidP="00F150BD">
            <w:pPr>
              <w:pStyle w:val="Default"/>
              <w:jc w:val="both"/>
              <w:rPr>
                <w:sz w:val="18"/>
                <w:szCs w:val="18"/>
              </w:rPr>
            </w:pPr>
            <w:r>
              <w:rPr>
                <w:sz w:val="18"/>
                <w:szCs w:val="18"/>
              </w:rPr>
              <w:t xml:space="preserve">Una vez de que el PROYECTO haya sido ministrado, los BENEFICIARIOS u ORGANISMOS INTERMEDIOS, deberán iniciar la ejecución del mismo en un plazo que no exceda de 30 días naturales. No haber iniciado el proyecto después de este plazo podrá ser motivo de cancelación del proyecto, si así lo determina el CONSEJO DIRECTIVO. </w:t>
            </w:r>
          </w:p>
          <w:p w:rsidR="00F150BD" w:rsidRDefault="00F150BD" w:rsidP="00982BA9">
            <w:pPr>
              <w:pStyle w:val="Default"/>
              <w:jc w:val="both"/>
              <w:rPr>
                <w:b/>
              </w:rPr>
            </w:pPr>
            <w:r>
              <w:rPr>
                <w:sz w:val="18"/>
                <w:szCs w:val="18"/>
              </w:rPr>
              <w:t>Los APOYOS que se autoricen a los BENEFICIARIOS de las CONVOCATORIAS 2.5, 4.1, 4.2, 5.1 y 5.2 se otorgarán a través de las empresas acreditadas como proveedoras en la VITRINA DE SOLUCIONES TECNOLÓGICAS y el sistema de reconocimiento de eventos, en su calidad de ORGANISMOS INTERMEDIOS, por lo que el INADEM transferirá los recursos correspondientes a los proveedores, en su calidad de ORGANISMO INTERMEDIO, que hayan sido elegidos por los BENEFICIARIOS para brindar los bienes y/o servicios que conforman el APOYO.</w:t>
            </w:r>
          </w:p>
        </w:tc>
      </w:tr>
    </w:tbl>
    <w:p w:rsidR="007E04E1" w:rsidRDefault="007E04E1" w:rsidP="00505DAC">
      <w:pPr>
        <w:spacing w:after="0" w:line="240" w:lineRule="auto"/>
        <w:rPr>
          <w:rFonts w:ascii="Arial" w:hAnsi="Arial" w:cs="Arial"/>
          <w:b/>
          <w:sz w:val="24"/>
          <w:szCs w:val="24"/>
        </w:rPr>
      </w:pPr>
    </w:p>
    <w:p w:rsidR="00F150BD" w:rsidRDefault="00F150BD" w:rsidP="00F150BD">
      <w:pPr>
        <w:pStyle w:val="Default"/>
        <w:jc w:val="both"/>
        <w:rPr>
          <w:sz w:val="18"/>
          <w:szCs w:val="18"/>
        </w:rPr>
      </w:pPr>
    </w:p>
    <w:p w:rsidR="00D37F4B" w:rsidRDefault="00D37F4B" w:rsidP="00D37F4B">
      <w:pPr>
        <w:tabs>
          <w:tab w:val="left" w:pos="3482"/>
        </w:tabs>
        <w:rPr>
          <w:lang w:val="es-ES" w:eastAsia="es-ES"/>
        </w:rPr>
      </w:pPr>
      <w:r>
        <w:rPr>
          <w:noProof/>
          <w:lang w:val="es-ES" w:eastAsia="es-ES"/>
        </w:rPr>
        <w:lastRenderedPageBreak/>
        <w:drawing>
          <wp:inline distT="0" distB="0" distL="0" distR="0" wp14:anchorId="15EEBD45" wp14:editId="4D3ADE33">
            <wp:extent cx="6215605" cy="695326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070" t="12094" r="12382" b="3245"/>
                    <a:stretch/>
                  </pic:blipFill>
                  <pic:spPr bwMode="auto">
                    <a:xfrm>
                      <a:off x="0" y="0"/>
                      <a:ext cx="6213692" cy="6951121"/>
                    </a:xfrm>
                    <a:prstGeom prst="rect">
                      <a:avLst/>
                    </a:prstGeom>
                    <a:ln>
                      <a:noFill/>
                    </a:ln>
                    <a:extLst>
                      <a:ext uri="{53640926-AAD7-44D8-BBD7-CCE9431645EC}">
                        <a14:shadowObscured xmlns:a14="http://schemas.microsoft.com/office/drawing/2010/main"/>
                      </a:ext>
                    </a:extLst>
                  </pic:spPr>
                </pic:pic>
              </a:graphicData>
            </a:graphic>
          </wp:inline>
        </w:drawing>
      </w:r>
    </w:p>
    <w:p w:rsidR="00E405FB" w:rsidRDefault="00D37F4B" w:rsidP="00D34997">
      <w:pPr>
        <w:pStyle w:val="ROMANOS"/>
        <w:tabs>
          <w:tab w:val="clear" w:pos="720"/>
          <w:tab w:val="left" w:pos="0"/>
        </w:tabs>
        <w:spacing w:after="100" w:line="238" w:lineRule="exact"/>
        <w:ind w:left="0" w:firstLine="0"/>
        <w:rPr>
          <w:noProof/>
          <w:lang w:eastAsia="es-MX"/>
        </w:rPr>
      </w:pPr>
      <w:r>
        <w:rPr>
          <w:noProof/>
        </w:rPr>
        <mc:AlternateContent>
          <mc:Choice Requires="wpc">
            <w:drawing>
              <wp:inline distT="0" distB="0" distL="0" distR="0">
                <wp:extent cx="6279949" cy="11697195"/>
                <wp:effectExtent l="0" t="0" r="0" b="0"/>
                <wp:docPr id="7" name="Lienzo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Lienzo 7" o:spid="_x0000_s1026" editas="canvas" style="width:494.5pt;height:921.05pt;mso-position-horizontal-relative:char;mso-position-vertical-relative:line" coordsize="62795,116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95;height:116967;visibility:visible;mso-wrap-style:square">
                  <v:fill o:detectmouseclick="t"/>
                  <v:path o:connecttype="none"/>
                </v:shape>
                <w10:anchorlock/>
              </v:group>
            </w:pict>
          </mc:Fallback>
        </mc:AlternateContent>
      </w:r>
    </w:p>
    <w:p w:rsidR="00E405FB" w:rsidRDefault="00E405FB" w:rsidP="00D34997">
      <w:pPr>
        <w:pStyle w:val="ROMANOS"/>
        <w:tabs>
          <w:tab w:val="clear" w:pos="720"/>
          <w:tab w:val="left" w:pos="0"/>
        </w:tabs>
        <w:spacing w:after="100" w:line="238" w:lineRule="exact"/>
        <w:ind w:left="0" w:firstLine="0"/>
        <w:rPr>
          <w:noProof/>
          <w:lang w:eastAsia="es-MX"/>
        </w:rPr>
      </w:pPr>
    </w:p>
    <w:p w:rsidR="00F54414" w:rsidRDefault="00E405FB" w:rsidP="00D34997">
      <w:pPr>
        <w:pStyle w:val="ROMANOS"/>
        <w:tabs>
          <w:tab w:val="clear" w:pos="720"/>
          <w:tab w:val="left" w:pos="0"/>
        </w:tabs>
        <w:spacing w:after="100" w:line="238" w:lineRule="exact"/>
        <w:ind w:left="0" w:firstLine="0"/>
        <w:rPr>
          <w:sz w:val="20"/>
          <w:szCs w:val="20"/>
        </w:rPr>
      </w:pPr>
      <w:r>
        <w:rPr>
          <w:b/>
          <w:noProof/>
        </w:rPr>
        <w:drawing>
          <wp:inline distT="0" distB="0" distL="0" distR="0">
            <wp:extent cx="5612130" cy="508896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5088965"/>
                    </a:xfrm>
                    <a:prstGeom prst="rect">
                      <a:avLst/>
                    </a:prstGeom>
                    <a:noFill/>
                    <a:ln>
                      <a:noFill/>
                    </a:ln>
                  </pic:spPr>
                </pic:pic>
              </a:graphicData>
            </a:graphic>
          </wp:inline>
        </w:drawing>
      </w:r>
    </w:p>
    <w:sectPr w:rsidR="00F54414" w:rsidSect="00381E76">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CE0" w:rsidRDefault="008A4CE0" w:rsidP="00FF763C">
      <w:pPr>
        <w:spacing w:after="0" w:line="240" w:lineRule="auto"/>
      </w:pPr>
      <w:r>
        <w:separator/>
      </w:r>
    </w:p>
  </w:endnote>
  <w:endnote w:type="continuationSeparator" w:id="0">
    <w:p w:rsidR="008A4CE0" w:rsidRDefault="008A4CE0"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AB7" w:rsidRDefault="001B4A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085B29" w:rsidP="00FF763C">
          <w:pPr>
            <w:pStyle w:val="Piedepgina"/>
            <w:jc w:val="right"/>
            <w:rPr>
              <w:b/>
              <w:color w:val="FFFFFF" w:themeColor="background1"/>
            </w:rPr>
          </w:pPr>
          <w:r>
            <w:fldChar w:fldCharType="begin"/>
          </w:r>
          <w:r w:rsidR="00FF763C">
            <w:instrText xml:space="preserve"> PAGE   \* MERGEFORMAT </w:instrText>
          </w:r>
          <w:r>
            <w:fldChar w:fldCharType="separate"/>
          </w:r>
          <w:r w:rsidR="005279A9" w:rsidRPr="005279A9">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B02117">
          <w:pPr>
            <w:pStyle w:val="Piedepgina"/>
            <w:jc w:val="right"/>
          </w:pPr>
          <w:r>
            <w:t>Catálogo de Programas Federales 201</w:t>
          </w:r>
          <w:r w:rsidR="00B02117">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AB7" w:rsidRDefault="001B4A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CE0" w:rsidRDefault="008A4CE0" w:rsidP="00FF763C">
      <w:pPr>
        <w:spacing w:after="0" w:line="240" w:lineRule="auto"/>
      </w:pPr>
      <w:r>
        <w:separator/>
      </w:r>
    </w:p>
  </w:footnote>
  <w:footnote w:type="continuationSeparator" w:id="0">
    <w:p w:rsidR="008A4CE0" w:rsidRDefault="008A4CE0"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AB7" w:rsidRDefault="001B4AB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5279A9">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-705911</wp:posOffset>
          </wp:positionH>
          <wp:positionV relativeFrom="paragraph">
            <wp:posOffset>-300990</wp:posOffset>
          </wp:positionV>
          <wp:extent cx="7054850" cy="7924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AB7" w:rsidRDefault="001B4A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405B"/>
    <w:multiLevelType w:val="hybridMultilevel"/>
    <w:tmpl w:val="DF4CEDD8"/>
    <w:lvl w:ilvl="0" w:tplc="07AA6C44">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FCA407E"/>
    <w:multiLevelType w:val="hybridMultilevel"/>
    <w:tmpl w:val="288613EC"/>
    <w:lvl w:ilvl="0" w:tplc="9EE42CCA">
      <w:start w:val="1"/>
      <w:numFmt w:val="upperRoman"/>
      <w:lvlText w:val="%1."/>
      <w:lvlJc w:val="left"/>
      <w:pPr>
        <w:ind w:left="765" w:hanging="720"/>
      </w:pPr>
      <w:rPr>
        <w:rFonts w:ascii="Arial" w:eastAsia="Times New Roman" w:hAnsi="Arial" w:cs="Arial"/>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26E25DDA"/>
    <w:multiLevelType w:val="hybridMultilevel"/>
    <w:tmpl w:val="6E961416"/>
    <w:lvl w:ilvl="0" w:tplc="FF4CB97E">
      <w:start w:val="1"/>
      <w:numFmt w:val="bullet"/>
      <w:lvlText w:val=""/>
      <w:lvlJc w:val="left"/>
      <w:pPr>
        <w:tabs>
          <w:tab w:val="num" w:pos="720"/>
        </w:tabs>
        <w:ind w:left="720" w:hanging="360"/>
      </w:pPr>
      <w:rPr>
        <w:rFonts w:ascii="Wingdings" w:hAnsi="Wingdings" w:hint="default"/>
      </w:rPr>
    </w:lvl>
    <w:lvl w:ilvl="1" w:tplc="B1FCC2A0" w:tentative="1">
      <w:start w:val="1"/>
      <w:numFmt w:val="bullet"/>
      <w:lvlText w:val=""/>
      <w:lvlJc w:val="left"/>
      <w:pPr>
        <w:tabs>
          <w:tab w:val="num" w:pos="1440"/>
        </w:tabs>
        <w:ind w:left="1440" w:hanging="360"/>
      </w:pPr>
      <w:rPr>
        <w:rFonts w:ascii="Wingdings" w:hAnsi="Wingdings" w:hint="default"/>
      </w:rPr>
    </w:lvl>
    <w:lvl w:ilvl="2" w:tplc="F65CE05A" w:tentative="1">
      <w:start w:val="1"/>
      <w:numFmt w:val="bullet"/>
      <w:lvlText w:val=""/>
      <w:lvlJc w:val="left"/>
      <w:pPr>
        <w:tabs>
          <w:tab w:val="num" w:pos="2160"/>
        </w:tabs>
        <w:ind w:left="2160" w:hanging="360"/>
      </w:pPr>
      <w:rPr>
        <w:rFonts w:ascii="Wingdings" w:hAnsi="Wingdings" w:hint="default"/>
      </w:rPr>
    </w:lvl>
    <w:lvl w:ilvl="3" w:tplc="8D30D78A" w:tentative="1">
      <w:start w:val="1"/>
      <w:numFmt w:val="bullet"/>
      <w:lvlText w:val=""/>
      <w:lvlJc w:val="left"/>
      <w:pPr>
        <w:tabs>
          <w:tab w:val="num" w:pos="2880"/>
        </w:tabs>
        <w:ind w:left="2880" w:hanging="360"/>
      </w:pPr>
      <w:rPr>
        <w:rFonts w:ascii="Wingdings" w:hAnsi="Wingdings" w:hint="default"/>
      </w:rPr>
    </w:lvl>
    <w:lvl w:ilvl="4" w:tplc="6D2E0AB2" w:tentative="1">
      <w:start w:val="1"/>
      <w:numFmt w:val="bullet"/>
      <w:lvlText w:val=""/>
      <w:lvlJc w:val="left"/>
      <w:pPr>
        <w:tabs>
          <w:tab w:val="num" w:pos="3600"/>
        </w:tabs>
        <w:ind w:left="3600" w:hanging="360"/>
      </w:pPr>
      <w:rPr>
        <w:rFonts w:ascii="Wingdings" w:hAnsi="Wingdings" w:hint="default"/>
      </w:rPr>
    </w:lvl>
    <w:lvl w:ilvl="5" w:tplc="9FC2422C" w:tentative="1">
      <w:start w:val="1"/>
      <w:numFmt w:val="bullet"/>
      <w:lvlText w:val=""/>
      <w:lvlJc w:val="left"/>
      <w:pPr>
        <w:tabs>
          <w:tab w:val="num" w:pos="4320"/>
        </w:tabs>
        <w:ind w:left="4320" w:hanging="360"/>
      </w:pPr>
      <w:rPr>
        <w:rFonts w:ascii="Wingdings" w:hAnsi="Wingdings" w:hint="default"/>
      </w:rPr>
    </w:lvl>
    <w:lvl w:ilvl="6" w:tplc="23D4DBD4" w:tentative="1">
      <w:start w:val="1"/>
      <w:numFmt w:val="bullet"/>
      <w:lvlText w:val=""/>
      <w:lvlJc w:val="left"/>
      <w:pPr>
        <w:tabs>
          <w:tab w:val="num" w:pos="5040"/>
        </w:tabs>
        <w:ind w:left="5040" w:hanging="360"/>
      </w:pPr>
      <w:rPr>
        <w:rFonts w:ascii="Wingdings" w:hAnsi="Wingdings" w:hint="default"/>
      </w:rPr>
    </w:lvl>
    <w:lvl w:ilvl="7" w:tplc="E522F0B4" w:tentative="1">
      <w:start w:val="1"/>
      <w:numFmt w:val="bullet"/>
      <w:lvlText w:val=""/>
      <w:lvlJc w:val="left"/>
      <w:pPr>
        <w:tabs>
          <w:tab w:val="num" w:pos="5760"/>
        </w:tabs>
        <w:ind w:left="5760" w:hanging="360"/>
      </w:pPr>
      <w:rPr>
        <w:rFonts w:ascii="Wingdings" w:hAnsi="Wingdings" w:hint="default"/>
      </w:rPr>
    </w:lvl>
    <w:lvl w:ilvl="8" w:tplc="ED0CAD44" w:tentative="1">
      <w:start w:val="1"/>
      <w:numFmt w:val="bullet"/>
      <w:lvlText w:val=""/>
      <w:lvlJc w:val="left"/>
      <w:pPr>
        <w:tabs>
          <w:tab w:val="num" w:pos="6480"/>
        </w:tabs>
        <w:ind w:left="6480" w:hanging="360"/>
      </w:pPr>
      <w:rPr>
        <w:rFonts w:ascii="Wingdings" w:hAnsi="Wingdings" w:hint="default"/>
      </w:rPr>
    </w:lvl>
  </w:abstractNum>
  <w:abstractNum w:abstractNumId="4">
    <w:nsid w:val="27B16C86"/>
    <w:multiLevelType w:val="hybridMultilevel"/>
    <w:tmpl w:val="42504CC0"/>
    <w:lvl w:ilvl="0" w:tplc="C51A17A0">
      <w:start w:val="1"/>
      <w:numFmt w:val="bullet"/>
      <w:lvlText w:val=""/>
      <w:lvlJc w:val="left"/>
      <w:pPr>
        <w:tabs>
          <w:tab w:val="num" w:pos="720"/>
        </w:tabs>
        <w:ind w:left="720" w:hanging="360"/>
      </w:pPr>
      <w:rPr>
        <w:rFonts w:ascii="Wingdings" w:hAnsi="Wingdings" w:hint="default"/>
      </w:rPr>
    </w:lvl>
    <w:lvl w:ilvl="1" w:tplc="CD84E0E6" w:tentative="1">
      <w:start w:val="1"/>
      <w:numFmt w:val="bullet"/>
      <w:lvlText w:val=""/>
      <w:lvlJc w:val="left"/>
      <w:pPr>
        <w:tabs>
          <w:tab w:val="num" w:pos="1440"/>
        </w:tabs>
        <w:ind w:left="1440" w:hanging="360"/>
      </w:pPr>
      <w:rPr>
        <w:rFonts w:ascii="Wingdings" w:hAnsi="Wingdings" w:hint="default"/>
      </w:rPr>
    </w:lvl>
    <w:lvl w:ilvl="2" w:tplc="8388626A" w:tentative="1">
      <w:start w:val="1"/>
      <w:numFmt w:val="bullet"/>
      <w:lvlText w:val=""/>
      <w:lvlJc w:val="left"/>
      <w:pPr>
        <w:tabs>
          <w:tab w:val="num" w:pos="2160"/>
        </w:tabs>
        <w:ind w:left="2160" w:hanging="360"/>
      </w:pPr>
      <w:rPr>
        <w:rFonts w:ascii="Wingdings" w:hAnsi="Wingdings" w:hint="default"/>
      </w:rPr>
    </w:lvl>
    <w:lvl w:ilvl="3" w:tplc="EC66C53C" w:tentative="1">
      <w:start w:val="1"/>
      <w:numFmt w:val="bullet"/>
      <w:lvlText w:val=""/>
      <w:lvlJc w:val="left"/>
      <w:pPr>
        <w:tabs>
          <w:tab w:val="num" w:pos="2880"/>
        </w:tabs>
        <w:ind w:left="2880" w:hanging="360"/>
      </w:pPr>
      <w:rPr>
        <w:rFonts w:ascii="Wingdings" w:hAnsi="Wingdings" w:hint="default"/>
      </w:rPr>
    </w:lvl>
    <w:lvl w:ilvl="4" w:tplc="0D5844D4" w:tentative="1">
      <w:start w:val="1"/>
      <w:numFmt w:val="bullet"/>
      <w:lvlText w:val=""/>
      <w:lvlJc w:val="left"/>
      <w:pPr>
        <w:tabs>
          <w:tab w:val="num" w:pos="3600"/>
        </w:tabs>
        <w:ind w:left="3600" w:hanging="360"/>
      </w:pPr>
      <w:rPr>
        <w:rFonts w:ascii="Wingdings" w:hAnsi="Wingdings" w:hint="default"/>
      </w:rPr>
    </w:lvl>
    <w:lvl w:ilvl="5" w:tplc="F100248E" w:tentative="1">
      <w:start w:val="1"/>
      <w:numFmt w:val="bullet"/>
      <w:lvlText w:val=""/>
      <w:lvlJc w:val="left"/>
      <w:pPr>
        <w:tabs>
          <w:tab w:val="num" w:pos="4320"/>
        </w:tabs>
        <w:ind w:left="4320" w:hanging="360"/>
      </w:pPr>
      <w:rPr>
        <w:rFonts w:ascii="Wingdings" w:hAnsi="Wingdings" w:hint="default"/>
      </w:rPr>
    </w:lvl>
    <w:lvl w:ilvl="6" w:tplc="E63AD6AE" w:tentative="1">
      <w:start w:val="1"/>
      <w:numFmt w:val="bullet"/>
      <w:lvlText w:val=""/>
      <w:lvlJc w:val="left"/>
      <w:pPr>
        <w:tabs>
          <w:tab w:val="num" w:pos="5040"/>
        </w:tabs>
        <w:ind w:left="5040" w:hanging="360"/>
      </w:pPr>
      <w:rPr>
        <w:rFonts w:ascii="Wingdings" w:hAnsi="Wingdings" w:hint="default"/>
      </w:rPr>
    </w:lvl>
    <w:lvl w:ilvl="7" w:tplc="4E3256B2" w:tentative="1">
      <w:start w:val="1"/>
      <w:numFmt w:val="bullet"/>
      <w:lvlText w:val=""/>
      <w:lvlJc w:val="left"/>
      <w:pPr>
        <w:tabs>
          <w:tab w:val="num" w:pos="5760"/>
        </w:tabs>
        <w:ind w:left="5760" w:hanging="360"/>
      </w:pPr>
      <w:rPr>
        <w:rFonts w:ascii="Wingdings" w:hAnsi="Wingdings" w:hint="default"/>
      </w:rPr>
    </w:lvl>
    <w:lvl w:ilvl="8" w:tplc="68BECA16" w:tentative="1">
      <w:start w:val="1"/>
      <w:numFmt w:val="bullet"/>
      <w:lvlText w:val=""/>
      <w:lvlJc w:val="left"/>
      <w:pPr>
        <w:tabs>
          <w:tab w:val="num" w:pos="6480"/>
        </w:tabs>
        <w:ind w:left="6480" w:hanging="360"/>
      </w:pPr>
      <w:rPr>
        <w:rFonts w:ascii="Wingdings" w:hAnsi="Wingdings" w:hint="default"/>
      </w:rPr>
    </w:lvl>
  </w:abstractNum>
  <w:abstractNum w:abstractNumId="5">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nsid w:val="507611F1"/>
    <w:multiLevelType w:val="hybridMultilevel"/>
    <w:tmpl w:val="9DB6B5B8"/>
    <w:lvl w:ilvl="0" w:tplc="01EC1BCC">
      <w:start w:val="1"/>
      <w:numFmt w:val="upperRoman"/>
      <w:lvlText w:val="%1."/>
      <w:lvlJc w:val="left"/>
      <w:pPr>
        <w:ind w:left="765" w:hanging="720"/>
      </w:pPr>
      <w:rPr>
        <w:rFonts w:ascii="Arial" w:eastAsia="Times New Roman" w:hAnsi="Arial" w:cs="Arial"/>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nsid w:val="77F6618F"/>
    <w:multiLevelType w:val="hybridMultilevel"/>
    <w:tmpl w:val="E7C86D8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7"/>
  </w:num>
  <w:num w:numId="5">
    <w:abstractNumId w:val="1"/>
  </w:num>
  <w:num w:numId="6">
    <w:abstractNumId w:val="3"/>
  </w:num>
  <w:num w:numId="7">
    <w:abstractNumId w:val="4"/>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112BE"/>
    <w:rsid w:val="00021423"/>
    <w:rsid w:val="00024CA2"/>
    <w:rsid w:val="00045C13"/>
    <w:rsid w:val="00046971"/>
    <w:rsid w:val="00055C1B"/>
    <w:rsid w:val="00056920"/>
    <w:rsid w:val="0005716A"/>
    <w:rsid w:val="0006118F"/>
    <w:rsid w:val="0006414B"/>
    <w:rsid w:val="00064A56"/>
    <w:rsid w:val="00064E17"/>
    <w:rsid w:val="00083EBA"/>
    <w:rsid w:val="00085B29"/>
    <w:rsid w:val="00090C4A"/>
    <w:rsid w:val="00090EA9"/>
    <w:rsid w:val="00097896"/>
    <w:rsid w:val="000A7391"/>
    <w:rsid w:val="000A7CED"/>
    <w:rsid w:val="000D1236"/>
    <w:rsid w:val="0011099F"/>
    <w:rsid w:val="00127502"/>
    <w:rsid w:val="00130CA3"/>
    <w:rsid w:val="00144CC7"/>
    <w:rsid w:val="0015182A"/>
    <w:rsid w:val="001528B5"/>
    <w:rsid w:val="00156563"/>
    <w:rsid w:val="00167184"/>
    <w:rsid w:val="001700B9"/>
    <w:rsid w:val="001742CF"/>
    <w:rsid w:val="0018089D"/>
    <w:rsid w:val="001856C7"/>
    <w:rsid w:val="001B4AB7"/>
    <w:rsid w:val="001B5B5E"/>
    <w:rsid w:val="001B6EC3"/>
    <w:rsid w:val="001C67F6"/>
    <w:rsid w:val="001C75EF"/>
    <w:rsid w:val="001D3545"/>
    <w:rsid w:val="001D731D"/>
    <w:rsid w:val="001E382C"/>
    <w:rsid w:val="0020014C"/>
    <w:rsid w:val="00202294"/>
    <w:rsid w:val="002256B3"/>
    <w:rsid w:val="00232957"/>
    <w:rsid w:val="0023295F"/>
    <w:rsid w:val="00234ADA"/>
    <w:rsid w:val="00237499"/>
    <w:rsid w:val="00284E92"/>
    <w:rsid w:val="00291A55"/>
    <w:rsid w:val="00292E95"/>
    <w:rsid w:val="002B4763"/>
    <w:rsid w:val="002C36CB"/>
    <w:rsid w:val="002E09B8"/>
    <w:rsid w:val="00340293"/>
    <w:rsid w:val="00340B70"/>
    <w:rsid w:val="00340D97"/>
    <w:rsid w:val="00344B08"/>
    <w:rsid w:val="00346CDA"/>
    <w:rsid w:val="00350A1A"/>
    <w:rsid w:val="00377347"/>
    <w:rsid w:val="00381E76"/>
    <w:rsid w:val="003E6550"/>
    <w:rsid w:val="003E7414"/>
    <w:rsid w:val="003E7D46"/>
    <w:rsid w:val="00401D39"/>
    <w:rsid w:val="00401F6A"/>
    <w:rsid w:val="00417C04"/>
    <w:rsid w:val="004206A4"/>
    <w:rsid w:val="004271F1"/>
    <w:rsid w:val="00435EFE"/>
    <w:rsid w:val="00441DE2"/>
    <w:rsid w:val="0045654E"/>
    <w:rsid w:val="004660E2"/>
    <w:rsid w:val="00473047"/>
    <w:rsid w:val="00473CED"/>
    <w:rsid w:val="00487BD4"/>
    <w:rsid w:val="004A4924"/>
    <w:rsid w:val="004B33F5"/>
    <w:rsid w:val="004C091F"/>
    <w:rsid w:val="004C76D8"/>
    <w:rsid w:val="004D14CF"/>
    <w:rsid w:val="004E3E96"/>
    <w:rsid w:val="004F021B"/>
    <w:rsid w:val="004F5711"/>
    <w:rsid w:val="004F5AA5"/>
    <w:rsid w:val="005001AC"/>
    <w:rsid w:val="00503133"/>
    <w:rsid w:val="00505DAC"/>
    <w:rsid w:val="005279A9"/>
    <w:rsid w:val="00531CD2"/>
    <w:rsid w:val="00534086"/>
    <w:rsid w:val="0053615A"/>
    <w:rsid w:val="0054548F"/>
    <w:rsid w:val="00547944"/>
    <w:rsid w:val="005508CD"/>
    <w:rsid w:val="005622A6"/>
    <w:rsid w:val="005630C1"/>
    <w:rsid w:val="00582AB3"/>
    <w:rsid w:val="00595614"/>
    <w:rsid w:val="005A1D9D"/>
    <w:rsid w:val="005C5503"/>
    <w:rsid w:val="005D4689"/>
    <w:rsid w:val="005D6511"/>
    <w:rsid w:val="005E0EFE"/>
    <w:rsid w:val="00605CDF"/>
    <w:rsid w:val="00681716"/>
    <w:rsid w:val="00683CDE"/>
    <w:rsid w:val="00692CB5"/>
    <w:rsid w:val="006B130F"/>
    <w:rsid w:val="006C394A"/>
    <w:rsid w:val="006F3CBE"/>
    <w:rsid w:val="00701384"/>
    <w:rsid w:val="00703ADE"/>
    <w:rsid w:val="007042B0"/>
    <w:rsid w:val="007137A4"/>
    <w:rsid w:val="00714571"/>
    <w:rsid w:val="0072175A"/>
    <w:rsid w:val="00753470"/>
    <w:rsid w:val="00791C2E"/>
    <w:rsid w:val="00793F12"/>
    <w:rsid w:val="007B3221"/>
    <w:rsid w:val="007B3912"/>
    <w:rsid w:val="007C324D"/>
    <w:rsid w:val="007C7020"/>
    <w:rsid w:val="007E04E1"/>
    <w:rsid w:val="00804529"/>
    <w:rsid w:val="00806069"/>
    <w:rsid w:val="00821DFB"/>
    <w:rsid w:val="0083274C"/>
    <w:rsid w:val="008415ED"/>
    <w:rsid w:val="008421FE"/>
    <w:rsid w:val="008465B1"/>
    <w:rsid w:val="00861A0C"/>
    <w:rsid w:val="0086635D"/>
    <w:rsid w:val="00884B06"/>
    <w:rsid w:val="008957C9"/>
    <w:rsid w:val="008A4CE0"/>
    <w:rsid w:val="008A4EF5"/>
    <w:rsid w:val="008E1A37"/>
    <w:rsid w:val="008E1BC1"/>
    <w:rsid w:val="008E43BA"/>
    <w:rsid w:val="008F0CD6"/>
    <w:rsid w:val="008F270F"/>
    <w:rsid w:val="008F53CE"/>
    <w:rsid w:val="00901937"/>
    <w:rsid w:val="00907C8D"/>
    <w:rsid w:val="0091343C"/>
    <w:rsid w:val="00920E0D"/>
    <w:rsid w:val="0093096C"/>
    <w:rsid w:val="00947BE9"/>
    <w:rsid w:val="00947FE5"/>
    <w:rsid w:val="00954ECD"/>
    <w:rsid w:val="00957A92"/>
    <w:rsid w:val="00982BA9"/>
    <w:rsid w:val="00982FB1"/>
    <w:rsid w:val="00986956"/>
    <w:rsid w:val="00990401"/>
    <w:rsid w:val="0099720E"/>
    <w:rsid w:val="009A4DCB"/>
    <w:rsid w:val="009D0BF2"/>
    <w:rsid w:val="009D1BD8"/>
    <w:rsid w:val="009D6129"/>
    <w:rsid w:val="009E2E42"/>
    <w:rsid w:val="009F77E0"/>
    <w:rsid w:val="009F7DC5"/>
    <w:rsid w:val="00A07695"/>
    <w:rsid w:val="00A1746A"/>
    <w:rsid w:val="00A22A50"/>
    <w:rsid w:val="00A33B5A"/>
    <w:rsid w:val="00A35A98"/>
    <w:rsid w:val="00A36B4B"/>
    <w:rsid w:val="00A4009F"/>
    <w:rsid w:val="00A723BF"/>
    <w:rsid w:val="00A740A7"/>
    <w:rsid w:val="00A83BC6"/>
    <w:rsid w:val="00A90D38"/>
    <w:rsid w:val="00A9151E"/>
    <w:rsid w:val="00A97CBE"/>
    <w:rsid w:val="00AD0163"/>
    <w:rsid w:val="00AE246B"/>
    <w:rsid w:val="00AF3EEE"/>
    <w:rsid w:val="00B0172F"/>
    <w:rsid w:val="00B02117"/>
    <w:rsid w:val="00B02C08"/>
    <w:rsid w:val="00B07A2F"/>
    <w:rsid w:val="00B13E7F"/>
    <w:rsid w:val="00B238AE"/>
    <w:rsid w:val="00B30104"/>
    <w:rsid w:val="00B454FB"/>
    <w:rsid w:val="00B50FF1"/>
    <w:rsid w:val="00B51397"/>
    <w:rsid w:val="00B63AE9"/>
    <w:rsid w:val="00B703E7"/>
    <w:rsid w:val="00B949A5"/>
    <w:rsid w:val="00BB3DF2"/>
    <w:rsid w:val="00BC2B2D"/>
    <w:rsid w:val="00BD06C7"/>
    <w:rsid w:val="00BD7EE9"/>
    <w:rsid w:val="00BE5DC3"/>
    <w:rsid w:val="00BF0A27"/>
    <w:rsid w:val="00BF53A1"/>
    <w:rsid w:val="00C31BA2"/>
    <w:rsid w:val="00C3756C"/>
    <w:rsid w:val="00C44D70"/>
    <w:rsid w:val="00C54304"/>
    <w:rsid w:val="00CA4C12"/>
    <w:rsid w:val="00CA5A49"/>
    <w:rsid w:val="00CB0DEE"/>
    <w:rsid w:val="00CC2D45"/>
    <w:rsid w:val="00CC61C2"/>
    <w:rsid w:val="00CC7FAC"/>
    <w:rsid w:val="00CF2DBC"/>
    <w:rsid w:val="00CF425E"/>
    <w:rsid w:val="00D0364D"/>
    <w:rsid w:val="00D0661D"/>
    <w:rsid w:val="00D12E7C"/>
    <w:rsid w:val="00D303C0"/>
    <w:rsid w:val="00D34997"/>
    <w:rsid w:val="00D35C09"/>
    <w:rsid w:val="00D37F4B"/>
    <w:rsid w:val="00D51245"/>
    <w:rsid w:val="00D575C9"/>
    <w:rsid w:val="00D904A7"/>
    <w:rsid w:val="00DB78A7"/>
    <w:rsid w:val="00DC47CA"/>
    <w:rsid w:val="00DD2628"/>
    <w:rsid w:val="00DD7F37"/>
    <w:rsid w:val="00DF4633"/>
    <w:rsid w:val="00DF6AAD"/>
    <w:rsid w:val="00E103F2"/>
    <w:rsid w:val="00E13FCF"/>
    <w:rsid w:val="00E315B4"/>
    <w:rsid w:val="00E405FB"/>
    <w:rsid w:val="00E80483"/>
    <w:rsid w:val="00E82EFB"/>
    <w:rsid w:val="00E86AF1"/>
    <w:rsid w:val="00E95E47"/>
    <w:rsid w:val="00E96CB1"/>
    <w:rsid w:val="00EA42FB"/>
    <w:rsid w:val="00EB3DA2"/>
    <w:rsid w:val="00ED2E8C"/>
    <w:rsid w:val="00ED5F79"/>
    <w:rsid w:val="00F10B66"/>
    <w:rsid w:val="00F150BD"/>
    <w:rsid w:val="00F521FD"/>
    <w:rsid w:val="00F54414"/>
    <w:rsid w:val="00F56C1B"/>
    <w:rsid w:val="00F639D4"/>
    <w:rsid w:val="00F66701"/>
    <w:rsid w:val="00F73CE8"/>
    <w:rsid w:val="00F74064"/>
    <w:rsid w:val="00F77B07"/>
    <w:rsid w:val="00F82073"/>
    <w:rsid w:val="00F92A19"/>
    <w:rsid w:val="00FA57CA"/>
    <w:rsid w:val="00FF3E2A"/>
    <w:rsid w:val="00FF4006"/>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styleId="NormalWeb">
    <w:name w:val="Normal (Web)"/>
    <w:basedOn w:val="Normal"/>
    <w:uiPriority w:val="99"/>
    <w:unhideWhenUsed/>
    <w:rsid w:val="00B454F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1A0C"/>
    <w:pPr>
      <w:autoSpaceDE w:val="0"/>
      <w:autoSpaceDN w:val="0"/>
      <w:adjustRightInd w:val="0"/>
      <w:spacing w:after="0" w:line="240" w:lineRule="auto"/>
    </w:pPr>
    <w:rPr>
      <w:rFonts w:ascii="Arial"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styleId="NormalWeb">
    <w:name w:val="Normal (Web)"/>
    <w:basedOn w:val="Normal"/>
    <w:uiPriority w:val="99"/>
    <w:unhideWhenUsed/>
    <w:rsid w:val="00B454F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1A0C"/>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292699">
      <w:bodyDiv w:val="1"/>
      <w:marLeft w:val="0"/>
      <w:marRight w:val="0"/>
      <w:marTop w:val="0"/>
      <w:marBottom w:val="0"/>
      <w:divBdr>
        <w:top w:val="none" w:sz="0" w:space="0" w:color="auto"/>
        <w:left w:val="none" w:sz="0" w:space="0" w:color="auto"/>
        <w:bottom w:val="none" w:sz="0" w:space="0" w:color="auto"/>
        <w:right w:val="none" w:sz="0" w:space="0" w:color="auto"/>
      </w:divBdr>
      <w:divsChild>
        <w:div w:id="144783629">
          <w:marLeft w:val="274"/>
          <w:marRight w:val="0"/>
          <w:marTop w:val="0"/>
          <w:marBottom w:val="0"/>
          <w:divBdr>
            <w:top w:val="none" w:sz="0" w:space="0" w:color="auto"/>
            <w:left w:val="none" w:sz="0" w:space="0" w:color="auto"/>
            <w:bottom w:val="none" w:sz="0" w:space="0" w:color="auto"/>
            <w:right w:val="none" w:sz="0" w:space="0" w:color="auto"/>
          </w:divBdr>
        </w:div>
        <w:div w:id="2022196451">
          <w:marLeft w:val="274"/>
          <w:marRight w:val="0"/>
          <w:marTop w:val="0"/>
          <w:marBottom w:val="0"/>
          <w:divBdr>
            <w:top w:val="none" w:sz="0" w:space="0" w:color="auto"/>
            <w:left w:val="none" w:sz="0" w:space="0" w:color="auto"/>
            <w:bottom w:val="none" w:sz="0" w:space="0" w:color="auto"/>
            <w:right w:val="none" w:sz="0" w:space="0" w:color="auto"/>
          </w:divBdr>
        </w:div>
        <w:div w:id="191455170">
          <w:marLeft w:val="274"/>
          <w:marRight w:val="0"/>
          <w:marTop w:val="0"/>
          <w:marBottom w:val="0"/>
          <w:divBdr>
            <w:top w:val="none" w:sz="0" w:space="0" w:color="auto"/>
            <w:left w:val="none" w:sz="0" w:space="0" w:color="auto"/>
            <w:bottom w:val="none" w:sz="0" w:space="0" w:color="auto"/>
            <w:right w:val="none" w:sz="0" w:space="0" w:color="auto"/>
          </w:divBdr>
        </w:div>
        <w:div w:id="1779908683">
          <w:marLeft w:val="274"/>
          <w:marRight w:val="0"/>
          <w:marTop w:val="0"/>
          <w:marBottom w:val="0"/>
          <w:divBdr>
            <w:top w:val="none" w:sz="0" w:space="0" w:color="auto"/>
            <w:left w:val="none" w:sz="0" w:space="0" w:color="auto"/>
            <w:bottom w:val="none" w:sz="0" w:space="0" w:color="auto"/>
            <w:right w:val="none" w:sz="0" w:space="0" w:color="auto"/>
          </w:divBdr>
        </w:div>
        <w:div w:id="1931041061">
          <w:marLeft w:val="274"/>
          <w:marRight w:val="0"/>
          <w:marTop w:val="0"/>
          <w:marBottom w:val="0"/>
          <w:divBdr>
            <w:top w:val="none" w:sz="0" w:space="0" w:color="auto"/>
            <w:left w:val="none" w:sz="0" w:space="0" w:color="auto"/>
            <w:bottom w:val="none" w:sz="0" w:space="0" w:color="auto"/>
            <w:right w:val="none" w:sz="0" w:space="0" w:color="auto"/>
          </w:divBdr>
        </w:div>
      </w:divsChild>
    </w:div>
    <w:div w:id="602761275">
      <w:bodyDiv w:val="1"/>
      <w:marLeft w:val="0"/>
      <w:marRight w:val="0"/>
      <w:marTop w:val="0"/>
      <w:marBottom w:val="0"/>
      <w:divBdr>
        <w:top w:val="none" w:sz="0" w:space="0" w:color="auto"/>
        <w:left w:val="none" w:sz="0" w:space="0" w:color="auto"/>
        <w:bottom w:val="none" w:sz="0" w:space="0" w:color="auto"/>
        <w:right w:val="none" w:sz="0" w:space="0" w:color="auto"/>
      </w:divBdr>
    </w:div>
    <w:div w:id="780031739">
      <w:bodyDiv w:val="1"/>
      <w:marLeft w:val="0"/>
      <w:marRight w:val="0"/>
      <w:marTop w:val="0"/>
      <w:marBottom w:val="0"/>
      <w:divBdr>
        <w:top w:val="none" w:sz="0" w:space="0" w:color="auto"/>
        <w:left w:val="none" w:sz="0" w:space="0" w:color="auto"/>
        <w:bottom w:val="none" w:sz="0" w:space="0" w:color="auto"/>
        <w:right w:val="none" w:sz="0" w:space="0" w:color="auto"/>
      </w:divBdr>
      <w:divsChild>
        <w:div w:id="631248081">
          <w:marLeft w:val="274"/>
          <w:marRight w:val="0"/>
          <w:marTop w:val="0"/>
          <w:marBottom w:val="0"/>
          <w:divBdr>
            <w:top w:val="none" w:sz="0" w:space="0" w:color="auto"/>
            <w:left w:val="none" w:sz="0" w:space="0" w:color="auto"/>
            <w:bottom w:val="none" w:sz="0" w:space="0" w:color="auto"/>
            <w:right w:val="none" w:sz="0" w:space="0" w:color="auto"/>
          </w:divBdr>
        </w:div>
        <w:div w:id="372273019">
          <w:marLeft w:val="274"/>
          <w:marRight w:val="0"/>
          <w:marTop w:val="0"/>
          <w:marBottom w:val="0"/>
          <w:divBdr>
            <w:top w:val="none" w:sz="0" w:space="0" w:color="auto"/>
            <w:left w:val="none" w:sz="0" w:space="0" w:color="auto"/>
            <w:bottom w:val="none" w:sz="0" w:space="0" w:color="auto"/>
            <w:right w:val="none" w:sz="0" w:space="0" w:color="auto"/>
          </w:divBdr>
        </w:div>
        <w:div w:id="772016377">
          <w:marLeft w:val="274"/>
          <w:marRight w:val="0"/>
          <w:marTop w:val="0"/>
          <w:marBottom w:val="0"/>
          <w:divBdr>
            <w:top w:val="none" w:sz="0" w:space="0" w:color="auto"/>
            <w:left w:val="none" w:sz="0" w:space="0" w:color="auto"/>
            <w:bottom w:val="none" w:sz="0" w:space="0" w:color="auto"/>
            <w:right w:val="none" w:sz="0" w:space="0" w:color="auto"/>
          </w:divBdr>
        </w:div>
        <w:div w:id="1032732723">
          <w:marLeft w:val="274"/>
          <w:marRight w:val="0"/>
          <w:marTop w:val="0"/>
          <w:marBottom w:val="0"/>
          <w:divBdr>
            <w:top w:val="none" w:sz="0" w:space="0" w:color="auto"/>
            <w:left w:val="none" w:sz="0" w:space="0" w:color="auto"/>
            <w:bottom w:val="none" w:sz="0" w:space="0" w:color="auto"/>
            <w:right w:val="none" w:sz="0" w:space="0" w:color="auto"/>
          </w:divBdr>
        </w:div>
        <w:div w:id="1136411456">
          <w:marLeft w:val="274"/>
          <w:marRight w:val="0"/>
          <w:marTop w:val="0"/>
          <w:marBottom w:val="0"/>
          <w:divBdr>
            <w:top w:val="none" w:sz="0" w:space="0" w:color="auto"/>
            <w:left w:val="none" w:sz="0" w:space="0" w:color="auto"/>
            <w:bottom w:val="none" w:sz="0" w:space="0" w:color="auto"/>
            <w:right w:val="none" w:sz="0" w:space="0" w:color="auto"/>
          </w:divBdr>
        </w:div>
      </w:divsChild>
    </w:div>
    <w:div w:id="186844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376722"/>
    <w:rsid w:val="003F11E6"/>
    <w:rsid w:val="0047294E"/>
    <w:rsid w:val="005620A9"/>
    <w:rsid w:val="00580998"/>
    <w:rsid w:val="007B2F25"/>
    <w:rsid w:val="00830267"/>
    <w:rsid w:val="008C56A4"/>
    <w:rsid w:val="008E16E7"/>
    <w:rsid w:val="00AE7093"/>
    <w:rsid w:val="00B02B61"/>
    <w:rsid w:val="00C96295"/>
    <w:rsid w:val="00D21812"/>
    <w:rsid w:val="00FA2B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A0545D-1C62-468C-B7F8-833BB2A6B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Pages>
  <Words>1302</Words>
  <Characters>7163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8449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5</cp:revision>
  <cp:lastPrinted>2013-12-06T17:20:00Z</cp:lastPrinted>
  <dcterms:created xsi:type="dcterms:W3CDTF">2016-03-01T18:59:00Z</dcterms:created>
  <dcterms:modified xsi:type="dcterms:W3CDTF">2016-07-05T17:18:00Z</dcterms:modified>
</cp:coreProperties>
</file>