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A9B" w:rsidRDefault="00D47A9B" w:rsidP="00D47A9B">
      <w:pPr>
        <w:spacing w:line="240" w:lineRule="auto"/>
        <w:jc w:val="center"/>
        <w:rPr>
          <w:rFonts w:ascii="Arial" w:hAnsi="Arial" w:cs="Arial"/>
          <w:b/>
          <w:sz w:val="24"/>
          <w:szCs w:val="24"/>
        </w:rPr>
      </w:pPr>
    </w:p>
    <w:p w:rsidR="00D47A9B" w:rsidRDefault="00D47A9B" w:rsidP="00D47A9B">
      <w:pPr>
        <w:spacing w:line="240" w:lineRule="auto"/>
        <w:jc w:val="center"/>
        <w:rPr>
          <w:rFonts w:ascii="Arial" w:hAnsi="Arial" w:cs="Arial"/>
          <w:b/>
          <w:sz w:val="24"/>
          <w:szCs w:val="24"/>
        </w:rPr>
      </w:pPr>
      <w:r>
        <w:rPr>
          <w:rFonts w:ascii="Arial" w:hAnsi="Arial" w:cs="Arial"/>
          <w:b/>
          <w:sz w:val="24"/>
          <w:szCs w:val="24"/>
        </w:rPr>
        <w:t xml:space="preserve">Programa para el Desarrollo Profesional Docente </w:t>
      </w:r>
    </w:p>
    <w:tbl>
      <w:tblPr>
        <w:tblStyle w:val="Tablaconcuadrcula"/>
        <w:tblpPr w:leftFromText="141" w:rightFromText="141" w:vertAnchor="page" w:horzAnchor="margin" w:tblpY="2716"/>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9"/>
        <w:gridCol w:w="1817"/>
        <w:gridCol w:w="5462"/>
      </w:tblGrid>
      <w:tr w:rsidR="00AC08CC" w:rsidRPr="00E97CEC" w:rsidTr="00AC08CC">
        <w:trPr>
          <w:trHeight w:val="896"/>
        </w:trPr>
        <w:tc>
          <w:tcPr>
            <w:tcW w:w="9777" w:type="dxa"/>
            <w:gridSpan w:val="3"/>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shd w:val="clear" w:color="auto" w:fill="FFE599" w:themeFill="accent4" w:themeFillTint="66"/>
          </w:tcPr>
          <w:p w:rsidR="00AC08CC" w:rsidRPr="00E97CEC" w:rsidRDefault="00AC08CC" w:rsidP="00AC08CC">
            <w:pPr>
              <w:pStyle w:val="Texto"/>
              <w:spacing w:line="240" w:lineRule="auto"/>
              <w:ind w:firstLine="0"/>
              <w:rPr>
                <w:sz w:val="22"/>
                <w:szCs w:val="22"/>
                <w:lang w:val="es-ES_tradnl"/>
              </w:rPr>
            </w:pPr>
            <w:r w:rsidRPr="00E97CEC">
              <w:rPr>
                <w:b/>
                <w:sz w:val="22"/>
                <w:szCs w:val="22"/>
              </w:rPr>
              <w:t>OBJETIVO:</w:t>
            </w:r>
            <w:r w:rsidRPr="00E97CEC">
              <w:rPr>
                <w:sz w:val="22"/>
                <w:szCs w:val="22"/>
              </w:rPr>
              <w:t xml:space="preserve"> </w:t>
            </w:r>
            <w:r w:rsidR="00B26942">
              <w:rPr>
                <w:szCs w:val="18"/>
              </w:rPr>
              <w:t>Contribuir a asegurar la calidad de los aprendizajes en la educación, a través de la formación integral de todos los grupos de la población mediante esquemas de formación, actualización académica, capacitación e/o investigación a personal docente, personal técnico docente, personal con funciones de dirección, personal con funciones de supervisión, personal docente con funciones de asesoría técnica pedagógica, PTC y CA.</w:t>
            </w:r>
          </w:p>
        </w:tc>
      </w:tr>
      <w:tr w:rsidR="00AC08CC" w:rsidRPr="00E97CEC" w:rsidTr="00AC08CC">
        <w:trPr>
          <w:trHeight w:val="526"/>
        </w:trPr>
        <w:tc>
          <w:tcPr>
            <w:tcW w:w="2499" w:type="dxa"/>
            <w:tcBorders>
              <w:top w:val="single" w:sz="12" w:space="0" w:color="BF8F00" w:themeColor="accent4" w:themeShade="BF"/>
              <w:bottom w:val="single" w:sz="12" w:space="0" w:color="FFE599" w:themeColor="accent4" w:themeTint="66"/>
            </w:tcBorders>
            <w:vAlign w:val="center"/>
          </w:tcPr>
          <w:p w:rsidR="00AC08CC" w:rsidRPr="00E97CEC" w:rsidRDefault="00AC08CC" w:rsidP="00AC08CC">
            <w:pPr>
              <w:jc w:val="center"/>
              <w:rPr>
                <w:rFonts w:ascii="Arial" w:hAnsi="Arial" w:cs="Arial"/>
                <w:lang w:val="es-ES"/>
              </w:rPr>
            </w:pPr>
          </w:p>
          <w:p w:rsidR="00AC08CC" w:rsidRPr="00E97CEC" w:rsidRDefault="00AC08CC" w:rsidP="00AC08CC">
            <w:pPr>
              <w:jc w:val="center"/>
              <w:rPr>
                <w:rFonts w:ascii="Arial" w:hAnsi="Arial" w:cs="Arial"/>
                <w:lang w:val="es-ES"/>
              </w:rPr>
            </w:pPr>
            <w:r w:rsidRPr="00E97CEC">
              <w:rPr>
                <w:rFonts w:ascii="Arial" w:hAnsi="Arial" w:cs="Arial"/>
                <w:lang w:val="es-ES"/>
              </w:rPr>
              <w:t>COBERTURA</w:t>
            </w:r>
          </w:p>
        </w:tc>
        <w:tc>
          <w:tcPr>
            <w:tcW w:w="1817" w:type="dxa"/>
            <w:tcBorders>
              <w:top w:val="single" w:sz="12" w:space="0" w:color="BF8F00" w:themeColor="accent4" w:themeShade="BF"/>
              <w:bottom w:val="single" w:sz="12" w:space="0" w:color="FFE599" w:themeColor="accent4" w:themeTint="66"/>
            </w:tcBorders>
            <w:vAlign w:val="center"/>
          </w:tcPr>
          <w:p w:rsidR="00AC08CC" w:rsidRPr="00E97CEC" w:rsidRDefault="00AC08CC" w:rsidP="00AC08CC">
            <w:pPr>
              <w:jc w:val="center"/>
              <w:rPr>
                <w:rFonts w:ascii="Arial" w:hAnsi="Arial" w:cs="Arial"/>
                <w:lang w:val="es-ES"/>
              </w:rPr>
            </w:pPr>
          </w:p>
          <w:p w:rsidR="00AC08CC" w:rsidRPr="00E97CEC" w:rsidRDefault="00AC08CC" w:rsidP="00AC08CC">
            <w:pPr>
              <w:jc w:val="center"/>
              <w:rPr>
                <w:rFonts w:ascii="Arial" w:hAnsi="Arial" w:cs="Arial"/>
                <w:lang w:val="es-ES"/>
              </w:rPr>
            </w:pPr>
            <w:r w:rsidRPr="00E97CEC">
              <w:rPr>
                <w:rFonts w:ascii="Arial" w:hAnsi="Arial" w:cs="Arial"/>
                <w:lang w:val="es-ES"/>
              </w:rPr>
              <w:t>SECTOR</w:t>
            </w:r>
          </w:p>
        </w:tc>
        <w:tc>
          <w:tcPr>
            <w:tcW w:w="5462" w:type="dxa"/>
            <w:tcBorders>
              <w:top w:val="single" w:sz="12" w:space="0" w:color="BF8F00" w:themeColor="accent4" w:themeShade="BF"/>
              <w:bottom w:val="single" w:sz="12" w:space="0" w:color="FFE599" w:themeColor="accent4" w:themeTint="66"/>
            </w:tcBorders>
            <w:vAlign w:val="center"/>
          </w:tcPr>
          <w:p w:rsidR="00AC08CC" w:rsidRDefault="00AC08CC" w:rsidP="00AC08CC">
            <w:pPr>
              <w:jc w:val="center"/>
              <w:rPr>
                <w:rFonts w:ascii="Arial" w:hAnsi="Arial" w:cs="Arial"/>
                <w:lang w:val="es-ES"/>
              </w:rPr>
            </w:pPr>
          </w:p>
          <w:p w:rsidR="00E97CEC" w:rsidRDefault="00E97CEC" w:rsidP="00AC08CC">
            <w:pPr>
              <w:jc w:val="center"/>
              <w:rPr>
                <w:rFonts w:ascii="Arial" w:hAnsi="Arial" w:cs="Arial"/>
                <w:lang w:val="es-ES"/>
              </w:rPr>
            </w:pPr>
          </w:p>
          <w:p w:rsidR="00E97CEC" w:rsidRPr="00E97CEC" w:rsidRDefault="00E97CEC" w:rsidP="00AC08CC">
            <w:pPr>
              <w:jc w:val="center"/>
              <w:rPr>
                <w:rFonts w:ascii="Arial" w:hAnsi="Arial" w:cs="Arial"/>
                <w:lang w:val="es-ES"/>
              </w:rPr>
            </w:pPr>
          </w:p>
          <w:p w:rsidR="00AC08CC" w:rsidRPr="00E97CEC" w:rsidRDefault="00AC08CC" w:rsidP="00AC08CC">
            <w:pPr>
              <w:jc w:val="center"/>
              <w:rPr>
                <w:rFonts w:ascii="Arial" w:hAnsi="Arial" w:cs="Arial"/>
                <w:lang w:val="es-ES"/>
              </w:rPr>
            </w:pPr>
            <w:r w:rsidRPr="00E97CEC">
              <w:rPr>
                <w:rFonts w:ascii="Arial" w:hAnsi="Arial" w:cs="Arial"/>
                <w:lang w:val="es-ES"/>
              </w:rPr>
              <w:t>REQUIERE APORTACIÓN</w:t>
            </w:r>
          </w:p>
          <w:p w:rsidR="00AC08CC" w:rsidRPr="00E97CEC" w:rsidRDefault="00AC08CC" w:rsidP="00AC08CC">
            <w:pPr>
              <w:jc w:val="center"/>
              <w:rPr>
                <w:rFonts w:ascii="Arial" w:hAnsi="Arial" w:cs="Arial"/>
                <w:lang w:val="es-ES"/>
              </w:rPr>
            </w:pPr>
          </w:p>
        </w:tc>
      </w:tr>
      <w:tr w:rsidR="00AC08CC" w:rsidRPr="00E97CEC" w:rsidTr="00AC08CC">
        <w:trPr>
          <w:trHeight w:val="526"/>
        </w:trPr>
        <w:tc>
          <w:tcPr>
            <w:tcW w:w="249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AC08CC" w:rsidRPr="00E97CEC" w:rsidRDefault="00AC08CC" w:rsidP="00AC08CC">
            <w:pPr>
              <w:jc w:val="center"/>
              <w:rPr>
                <w:rFonts w:ascii="Arial" w:hAnsi="Arial" w:cs="Arial"/>
              </w:rPr>
            </w:pPr>
          </w:p>
          <w:p w:rsidR="00AC08CC" w:rsidRPr="00E97CEC" w:rsidRDefault="00AC08CC" w:rsidP="00AC08CC">
            <w:pPr>
              <w:jc w:val="center"/>
              <w:rPr>
                <w:rFonts w:ascii="Arial" w:hAnsi="Arial" w:cs="Arial"/>
              </w:rPr>
            </w:pPr>
            <w:r w:rsidRPr="00E97CEC">
              <w:rPr>
                <w:rFonts w:ascii="Arial" w:hAnsi="Arial" w:cs="Arial"/>
              </w:rPr>
              <w:t>Nacional</w:t>
            </w:r>
          </w:p>
          <w:p w:rsidR="00AC08CC" w:rsidRPr="00E97CEC" w:rsidRDefault="00AC08CC" w:rsidP="00AC08CC">
            <w:pPr>
              <w:jc w:val="center"/>
              <w:rPr>
                <w:rFonts w:ascii="Arial" w:hAnsi="Arial" w:cs="Arial"/>
              </w:rPr>
            </w:pPr>
          </w:p>
        </w:tc>
        <w:tc>
          <w:tcPr>
            <w:tcW w:w="1817"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AC08CC" w:rsidRPr="00E97CEC" w:rsidRDefault="00AC08CC" w:rsidP="00AC08CC">
            <w:pPr>
              <w:pStyle w:val="Texto"/>
              <w:spacing w:after="60"/>
              <w:ind w:firstLine="0"/>
              <w:jc w:val="center"/>
              <w:rPr>
                <w:sz w:val="22"/>
                <w:szCs w:val="22"/>
              </w:rPr>
            </w:pPr>
            <w:r w:rsidRPr="00E97CEC">
              <w:rPr>
                <w:sz w:val="22"/>
                <w:szCs w:val="22"/>
              </w:rPr>
              <w:t>Educación</w:t>
            </w:r>
          </w:p>
        </w:tc>
        <w:tc>
          <w:tcPr>
            <w:tcW w:w="5462"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AC08CC" w:rsidRPr="00E97CEC" w:rsidRDefault="00AC08CC" w:rsidP="00AC08CC">
            <w:pPr>
              <w:jc w:val="center"/>
              <w:rPr>
                <w:rFonts w:ascii="Arial" w:hAnsi="Arial" w:cs="Arial"/>
              </w:rPr>
            </w:pPr>
            <w:r w:rsidRPr="00E97CEC">
              <w:rPr>
                <w:rFonts w:ascii="Arial" w:hAnsi="Arial" w:cs="Arial"/>
              </w:rPr>
              <w:t>No</w:t>
            </w:r>
          </w:p>
          <w:p w:rsidR="00AC08CC" w:rsidRPr="00E97CEC" w:rsidRDefault="00AC08CC" w:rsidP="00AC08CC">
            <w:pPr>
              <w:jc w:val="both"/>
              <w:rPr>
                <w:rFonts w:ascii="Arial" w:hAnsi="Arial" w:cs="Arial"/>
              </w:rPr>
            </w:pPr>
          </w:p>
        </w:tc>
      </w:tr>
      <w:tr w:rsidR="00AC08CC" w:rsidRPr="00E97CEC" w:rsidTr="00AC08CC">
        <w:trPr>
          <w:trHeight w:val="441"/>
        </w:trPr>
        <w:tc>
          <w:tcPr>
            <w:tcW w:w="9777" w:type="dxa"/>
            <w:gridSpan w:val="3"/>
            <w:tcBorders>
              <w:top w:val="single" w:sz="12" w:space="0" w:color="FFE599" w:themeColor="accent4" w:themeTint="66"/>
              <w:bottom w:val="single" w:sz="4" w:space="0" w:color="FFE599" w:themeColor="accent4" w:themeTint="66"/>
            </w:tcBorders>
            <w:vAlign w:val="center"/>
          </w:tcPr>
          <w:p w:rsidR="00AC08CC" w:rsidRDefault="00AC08CC" w:rsidP="00AC08CC">
            <w:pPr>
              <w:jc w:val="center"/>
              <w:rPr>
                <w:rFonts w:ascii="Arial" w:hAnsi="Arial" w:cs="Arial"/>
                <w:lang w:val="es-ES"/>
              </w:rPr>
            </w:pPr>
          </w:p>
          <w:p w:rsidR="00E97CEC" w:rsidRDefault="00E97CEC" w:rsidP="00AC08CC">
            <w:pPr>
              <w:jc w:val="center"/>
              <w:rPr>
                <w:rFonts w:ascii="Arial" w:hAnsi="Arial" w:cs="Arial"/>
                <w:lang w:val="es-ES"/>
              </w:rPr>
            </w:pPr>
          </w:p>
          <w:p w:rsidR="00E97CEC" w:rsidRPr="00E97CEC" w:rsidRDefault="00E97CEC" w:rsidP="00AC08CC">
            <w:pPr>
              <w:jc w:val="center"/>
              <w:rPr>
                <w:rFonts w:ascii="Arial" w:hAnsi="Arial" w:cs="Arial"/>
                <w:lang w:val="es-ES"/>
              </w:rPr>
            </w:pPr>
          </w:p>
          <w:p w:rsidR="00AC08CC" w:rsidRPr="00E97CEC" w:rsidRDefault="00AC08CC" w:rsidP="00AC08CC">
            <w:pPr>
              <w:pStyle w:val="Texto"/>
              <w:spacing w:after="60"/>
              <w:ind w:firstLine="0"/>
              <w:jc w:val="center"/>
              <w:rPr>
                <w:sz w:val="22"/>
                <w:szCs w:val="22"/>
              </w:rPr>
            </w:pPr>
            <w:r w:rsidRPr="00E97CEC">
              <w:rPr>
                <w:sz w:val="22"/>
                <w:szCs w:val="22"/>
              </w:rPr>
              <w:t>BENEFICIARIOS</w:t>
            </w:r>
          </w:p>
        </w:tc>
      </w:tr>
      <w:tr w:rsidR="00AC08CC" w:rsidRPr="00E97CEC" w:rsidTr="00AC08CC">
        <w:trPr>
          <w:trHeight w:val="3157"/>
        </w:trPr>
        <w:tc>
          <w:tcPr>
            <w:tcW w:w="9777" w:type="dxa"/>
            <w:gridSpan w:val="3"/>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tcPr>
          <w:p w:rsidR="00AC08CC" w:rsidRPr="00E97CEC" w:rsidRDefault="00AC08CC" w:rsidP="00E67F93">
            <w:pPr>
              <w:pStyle w:val="Texto"/>
              <w:spacing w:after="94" w:line="240" w:lineRule="auto"/>
              <w:ind w:firstLine="0"/>
              <w:jc w:val="center"/>
              <w:rPr>
                <w:b/>
                <w:sz w:val="22"/>
                <w:szCs w:val="22"/>
              </w:rPr>
            </w:pPr>
            <w:r w:rsidRPr="00E97CEC">
              <w:rPr>
                <w:b/>
                <w:sz w:val="22"/>
                <w:szCs w:val="22"/>
              </w:rPr>
              <w:t>TIPO BÁSICO</w:t>
            </w:r>
          </w:p>
          <w:p w:rsidR="00B26942" w:rsidRDefault="00B26942" w:rsidP="00E67F93">
            <w:pPr>
              <w:pStyle w:val="Default"/>
              <w:jc w:val="both"/>
              <w:rPr>
                <w:sz w:val="18"/>
                <w:szCs w:val="18"/>
              </w:rPr>
            </w:pPr>
            <w:r>
              <w:rPr>
                <w:sz w:val="18"/>
                <w:szCs w:val="18"/>
              </w:rPr>
              <w:t xml:space="preserve">a. Fortalecer los servicios de apoyo a la formación, actualización, capacitación, regularización y el desarrollo profesional del personal docente, a través de los procesos y mecanismos que establece el SPD; </w:t>
            </w:r>
          </w:p>
          <w:p w:rsidR="00B26942" w:rsidRDefault="00B26942" w:rsidP="00E67F93">
            <w:pPr>
              <w:pStyle w:val="Default"/>
              <w:jc w:val="both"/>
              <w:rPr>
                <w:sz w:val="18"/>
                <w:szCs w:val="18"/>
              </w:rPr>
            </w:pPr>
            <w:r>
              <w:rPr>
                <w:sz w:val="18"/>
                <w:szCs w:val="18"/>
              </w:rPr>
              <w:t xml:space="preserve">b. Instrumentar el servicio de tutoría dirigido al personal docente y técnico docente de nuevo ingreso; </w:t>
            </w:r>
          </w:p>
          <w:p w:rsidR="00B26942" w:rsidRDefault="00B26942" w:rsidP="00E67F93">
            <w:pPr>
              <w:pStyle w:val="Default"/>
              <w:jc w:val="both"/>
              <w:rPr>
                <w:sz w:val="18"/>
                <w:szCs w:val="18"/>
              </w:rPr>
            </w:pPr>
            <w:r>
              <w:rPr>
                <w:sz w:val="18"/>
                <w:szCs w:val="18"/>
              </w:rPr>
              <w:t xml:space="preserve">c. Impulsar el servicio de asistencia técnica a la escuela; </w:t>
            </w:r>
          </w:p>
          <w:p w:rsidR="00B26942" w:rsidRDefault="00B26942" w:rsidP="00E67F93">
            <w:pPr>
              <w:pStyle w:val="Default"/>
              <w:jc w:val="both"/>
              <w:rPr>
                <w:sz w:val="18"/>
                <w:szCs w:val="18"/>
              </w:rPr>
            </w:pPr>
            <w:r>
              <w:rPr>
                <w:sz w:val="18"/>
                <w:szCs w:val="18"/>
              </w:rPr>
              <w:t xml:space="preserve">d. Fortalecer las capacidades de gestión y liderazgo del personal docente con funciones de dirección y de supervisión; </w:t>
            </w:r>
          </w:p>
          <w:p w:rsidR="00B26942" w:rsidRDefault="00B26942" w:rsidP="00E67F93">
            <w:pPr>
              <w:pStyle w:val="Texto"/>
              <w:spacing w:after="94" w:line="240" w:lineRule="auto"/>
              <w:ind w:firstLine="0"/>
              <w:rPr>
                <w:szCs w:val="18"/>
              </w:rPr>
            </w:pPr>
            <w:r>
              <w:rPr>
                <w:szCs w:val="18"/>
              </w:rPr>
              <w:t>e. Contribuir al desarrollo de capacidades del personal docente en temas educativos prioritarios: uso educativo de las TIC, impulso de la ciencia y la tecnología, convivencia escolar pacífica con perspectiva de género, igualdad de género, derechos humanos, educación para la paz, incorporación del intercultural, entre otros.</w:t>
            </w:r>
          </w:p>
          <w:p w:rsidR="00AC08CC" w:rsidRPr="00E97CEC" w:rsidRDefault="00AC08CC" w:rsidP="00E67F93">
            <w:pPr>
              <w:pStyle w:val="Texto"/>
              <w:spacing w:after="94" w:line="240" w:lineRule="auto"/>
              <w:ind w:firstLine="0"/>
              <w:jc w:val="center"/>
              <w:rPr>
                <w:b/>
                <w:sz w:val="22"/>
                <w:szCs w:val="22"/>
              </w:rPr>
            </w:pPr>
            <w:r w:rsidRPr="00E97CEC">
              <w:rPr>
                <w:b/>
                <w:sz w:val="22"/>
                <w:szCs w:val="22"/>
              </w:rPr>
              <w:t>TIPO MEDIO SUPERIOR</w:t>
            </w:r>
          </w:p>
          <w:p w:rsidR="00B26942" w:rsidRDefault="00B26942" w:rsidP="00E67F93">
            <w:pPr>
              <w:pStyle w:val="Default"/>
              <w:jc w:val="both"/>
              <w:rPr>
                <w:sz w:val="18"/>
                <w:szCs w:val="18"/>
              </w:rPr>
            </w:pPr>
            <w:r>
              <w:rPr>
                <w:sz w:val="18"/>
                <w:szCs w:val="18"/>
              </w:rPr>
              <w:t xml:space="preserve">a. Fortalecer las capacidades, conocimientos y competencias del personal docente y personal técnico docente que ingrese al SPD. </w:t>
            </w:r>
          </w:p>
          <w:p w:rsidR="00B26942" w:rsidRDefault="00B26942" w:rsidP="00E67F93">
            <w:pPr>
              <w:pStyle w:val="Default"/>
              <w:jc w:val="both"/>
              <w:rPr>
                <w:sz w:val="18"/>
                <w:szCs w:val="18"/>
              </w:rPr>
            </w:pPr>
            <w:r>
              <w:rPr>
                <w:sz w:val="18"/>
                <w:szCs w:val="18"/>
              </w:rPr>
              <w:t xml:space="preserve">b. Contribuir a los procesos de formación del personal con funciones de dirección que por primera vez desempeñarán dichas funciones en las IPEMS. </w:t>
            </w:r>
          </w:p>
          <w:p w:rsidR="00B26942" w:rsidRDefault="00B26942" w:rsidP="00E67F93">
            <w:pPr>
              <w:pStyle w:val="Default"/>
              <w:jc w:val="both"/>
              <w:rPr>
                <w:sz w:val="18"/>
                <w:szCs w:val="18"/>
              </w:rPr>
            </w:pPr>
            <w:r>
              <w:rPr>
                <w:sz w:val="18"/>
                <w:szCs w:val="18"/>
              </w:rPr>
              <w:t xml:space="preserve">c. Promover que el personal docente con funciones de asesoría técnica pedagógica de las IPEMS curse programas de actualización profesional. </w:t>
            </w:r>
          </w:p>
          <w:p w:rsidR="00B26942" w:rsidRDefault="00B26942" w:rsidP="00E67F93">
            <w:pPr>
              <w:pStyle w:val="Default"/>
              <w:jc w:val="both"/>
              <w:rPr>
                <w:sz w:val="18"/>
                <w:szCs w:val="18"/>
              </w:rPr>
            </w:pPr>
            <w:r>
              <w:rPr>
                <w:sz w:val="18"/>
                <w:szCs w:val="18"/>
              </w:rPr>
              <w:t xml:space="preserve">d. Ofrecer programas de regularización al personal docente, personal técnico docente, personal con funciones de dirección, personal con funciones de supervisión y personal docente con funciones de asesoría técnica pedagógica de las IPEMS cuyos resultados en la evaluación de desempeño prevista en la LGSPD haya sido insuficiente. </w:t>
            </w:r>
          </w:p>
          <w:p w:rsidR="00B26942" w:rsidRDefault="00B26942" w:rsidP="00E67F93">
            <w:pPr>
              <w:pStyle w:val="Default"/>
              <w:jc w:val="both"/>
              <w:rPr>
                <w:sz w:val="18"/>
                <w:szCs w:val="18"/>
              </w:rPr>
            </w:pPr>
            <w:r>
              <w:rPr>
                <w:sz w:val="18"/>
                <w:szCs w:val="18"/>
              </w:rPr>
              <w:t xml:space="preserve">e. Impulsar el desarrollo de las capacidades para la evaluación entre el personal docente, el personal con funciones de dirección y el personal con funciones de supervisión de las IPEMS. </w:t>
            </w:r>
          </w:p>
          <w:p w:rsidR="00B26942" w:rsidRDefault="00B26942" w:rsidP="00E67F93">
            <w:pPr>
              <w:pStyle w:val="Texto"/>
              <w:spacing w:after="94" w:line="240" w:lineRule="auto"/>
              <w:ind w:firstLine="0"/>
              <w:rPr>
                <w:szCs w:val="18"/>
              </w:rPr>
            </w:pPr>
            <w:r>
              <w:rPr>
                <w:szCs w:val="18"/>
              </w:rPr>
              <w:t xml:space="preserve">f. Promover en la formación del personal docente, personal técnico docente, personal con funciones de dirección, personal con funciones de supervisión y personal con funciones de asesoría técnica pedagógica de las IPEMS, las perspectivas de género, derechos humanos y enfoque intercultural. </w:t>
            </w:r>
          </w:p>
          <w:p w:rsidR="00AC08CC" w:rsidRPr="00E97CEC" w:rsidRDefault="00AC08CC" w:rsidP="00E67F93">
            <w:pPr>
              <w:pStyle w:val="Texto"/>
              <w:spacing w:after="94" w:line="240" w:lineRule="auto"/>
              <w:ind w:firstLine="0"/>
              <w:jc w:val="center"/>
              <w:rPr>
                <w:b/>
                <w:sz w:val="22"/>
                <w:szCs w:val="22"/>
              </w:rPr>
            </w:pPr>
            <w:r w:rsidRPr="00E97CEC">
              <w:rPr>
                <w:b/>
                <w:sz w:val="22"/>
                <w:szCs w:val="22"/>
              </w:rPr>
              <w:t>TIPO SUPERIOR</w:t>
            </w:r>
          </w:p>
          <w:p w:rsidR="00AC08CC" w:rsidRPr="00E97CEC" w:rsidRDefault="00B26942" w:rsidP="00E67F93">
            <w:pPr>
              <w:pStyle w:val="Texto"/>
              <w:spacing w:after="90" w:line="240" w:lineRule="auto"/>
              <w:ind w:firstLine="0"/>
              <w:rPr>
                <w:sz w:val="22"/>
                <w:szCs w:val="22"/>
              </w:rPr>
            </w:pPr>
            <w:r>
              <w:rPr>
                <w:szCs w:val="18"/>
              </w:rPr>
              <w:t>Profesionalizar a las/los PTC, ofreciendo las mismas oportunidades a mujeres y hombres para acceder a los apoyos que otorga el Programa, a fin de que alcancen las capacidades de investigación-docencia, desarrollo tecnológico e innovación y con responsabilidad social; se articulen y consoliden en CA y con ello generen una nueva comunidad académica capaz de transformar su entorno.</w:t>
            </w:r>
          </w:p>
        </w:tc>
      </w:tr>
    </w:tbl>
    <w:p w:rsidR="00FF763C" w:rsidRPr="000B0D77" w:rsidRDefault="00FF763C" w:rsidP="000B0D77">
      <w:pPr>
        <w:pStyle w:val="Ttulo1"/>
        <w:jc w:val="center"/>
        <w:rPr>
          <w:color w:val="auto"/>
        </w:rPr>
      </w:pPr>
    </w:p>
    <w:tbl>
      <w:tblPr>
        <w:tblStyle w:val="Tablaconcuadrcula"/>
        <w:tblpPr w:leftFromText="141" w:rightFromText="141" w:horzAnchor="margin" w:tblpY="1080"/>
        <w:tblW w:w="9747" w:type="dxa"/>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ook w:val="04A0" w:firstRow="1" w:lastRow="0" w:firstColumn="1" w:lastColumn="0" w:noHBand="0" w:noVBand="1"/>
      </w:tblPr>
      <w:tblGrid>
        <w:gridCol w:w="9747"/>
      </w:tblGrid>
      <w:tr w:rsidR="00AC08CC" w:rsidRPr="00E71C49" w:rsidTr="00367959">
        <w:tc>
          <w:tcPr>
            <w:tcW w:w="9747" w:type="dxa"/>
            <w:tcBorders>
              <w:top w:val="nil"/>
              <w:left w:val="nil"/>
              <w:bottom w:val="single" w:sz="12" w:space="0" w:color="FFE599" w:themeColor="accent4" w:themeTint="66"/>
              <w:right w:val="nil"/>
            </w:tcBorders>
          </w:tcPr>
          <w:p w:rsidR="00AC08CC" w:rsidRPr="00E71C49" w:rsidRDefault="00AC08CC" w:rsidP="00367959">
            <w:pPr>
              <w:spacing w:after="240"/>
              <w:jc w:val="both"/>
              <w:rPr>
                <w:rFonts w:ascii="Arial" w:hAnsi="Arial" w:cs="Arial"/>
                <w:b/>
                <w:sz w:val="20"/>
                <w:szCs w:val="20"/>
              </w:rPr>
            </w:pPr>
            <w:r w:rsidRPr="00E71C49">
              <w:rPr>
                <w:rFonts w:ascii="Arial" w:hAnsi="Arial" w:cs="Arial"/>
                <w:b/>
                <w:sz w:val="20"/>
                <w:szCs w:val="20"/>
              </w:rPr>
              <w:t>REQUISITOS GENERALES</w:t>
            </w:r>
          </w:p>
        </w:tc>
      </w:tr>
      <w:tr w:rsidR="00AC08CC" w:rsidRPr="00E71C49" w:rsidTr="00ED2388">
        <w:trPr>
          <w:trHeight w:val="10701"/>
        </w:trPr>
        <w:tc>
          <w:tcPr>
            <w:tcW w:w="9747" w:type="dxa"/>
            <w:tcBorders>
              <w:top w:val="single" w:sz="12" w:space="0" w:color="FFE599" w:themeColor="accent4" w:themeTint="66"/>
            </w:tcBorders>
          </w:tcPr>
          <w:p w:rsidR="00AC08CC" w:rsidRPr="00E67F93" w:rsidRDefault="00AC08CC" w:rsidP="00E67F93">
            <w:pPr>
              <w:pStyle w:val="Texto"/>
              <w:spacing w:after="94" w:line="240" w:lineRule="auto"/>
              <w:ind w:firstLine="0"/>
              <w:jc w:val="center"/>
              <w:rPr>
                <w:b/>
                <w:sz w:val="20"/>
                <w:szCs w:val="16"/>
              </w:rPr>
            </w:pPr>
            <w:r w:rsidRPr="00E67F93">
              <w:rPr>
                <w:b/>
                <w:sz w:val="20"/>
                <w:szCs w:val="16"/>
              </w:rPr>
              <w:t>TIPO BÁSICO</w:t>
            </w:r>
          </w:p>
          <w:p w:rsidR="00E67F93" w:rsidRDefault="00E67F93" w:rsidP="00E67F93">
            <w:pPr>
              <w:pStyle w:val="Texto"/>
              <w:spacing w:after="98" w:line="240" w:lineRule="auto"/>
              <w:rPr>
                <w:szCs w:val="18"/>
              </w:rPr>
            </w:pPr>
            <w:r>
              <w:rPr>
                <w:szCs w:val="18"/>
              </w:rPr>
              <w:t xml:space="preserve">Las Entidades Federativas participantes podrán acceder a los recursos y apoyos del Programa, para atender las necesidades de formación continua, actualización, y desarrollo profesional del personal docente, personal técnico docente, personal con funciones de dirección, personal con funciones de supervisión, personal docente con funciones de asesoría técnica pedagógica, de educación básica en el marco de los procesos del Servicio Profesional Docente. Lo anterior, conforme a lo siguiente: </w:t>
            </w:r>
          </w:p>
          <w:p w:rsidR="00E67F93" w:rsidRDefault="00E67F93" w:rsidP="00E67F93">
            <w:pPr>
              <w:pStyle w:val="Default"/>
              <w:jc w:val="both"/>
              <w:rPr>
                <w:sz w:val="18"/>
                <w:szCs w:val="18"/>
              </w:rPr>
            </w:pPr>
            <w:r w:rsidRPr="00E67F93">
              <w:rPr>
                <w:b/>
                <w:sz w:val="18"/>
                <w:szCs w:val="18"/>
              </w:rPr>
              <w:t>a)</w:t>
            </w:r>
            <w:r>
              <w:rPr>
                <w:sz w:val="18"/>
                <w:szCs w:val="18"/>
              </w:rPr>
              <w:t xml:space="preserve"> Enviar durante el primer cuatrimestre de 2016, la Carta Compromiso (Anexo 1a) en donde las AEL expresen su compromiso de participar de manera corresponsable en el Programa, en estricto apego al cumplimiento de las disposiciones emitidas en la materia; signada por la/el titular de la Secretaría de Educación local o equivalente, dirigida a/la titular de la SEP, con atención a la/el titular de la CNSPD, y copia a los titulares de la </w:t>
            </w:r>
            <w:proofErr w:type="spellStart"/>
            <w:r>
              <w:rPr>
                <w:sz w:val="18"/>
                <w:szCs w:val="18"/>
              </w:rPr>
              <w:t>DGFyDP</w:t>
            </w:r>
            <w:proofErr w:type="spellEnd"/>
            <w:r>
              <w:rPr>
                <w:sz w:val="18"/>
                <w:szCs w:val="18"/>
              </w:rPr>
              <w:t xml:space="preserve"> y de la DGPSA, así como a las áreas estatales vinculadas con la operación del Programa. </w:t>
            </w:r>
          </w:p>
          <w:p w:rsidR="00E67F93" w:rsidRDefault="00E67F93" w:rsidP="00E67F93">
            <w:pPr>
              <w:pStyle w:val="Default"/>
              <w:jc w:val="both"/>
              <w:rPr>
                <w:sz w:val="18"/>
                <w:szCs w:val="18"/>
              </w:rPr>
            </w:pPr>
            <w:r w:rsidRPr="00E67F93">
              <w:rPr>
                <w:b/>
                <w:sz w:val="18"/>
                <w:szCs w:val="18"/>
              </w:rPr>
              <w:t>b)</w:t>
            </w:r>
            <w:r>
              <w:rPr>
                <w:sz w:val="18"/>
                <w:szCs w:val="18"/>
              </w:rPr>
              <w:t xml:space="preserve"> Elaborar y remitir durante el primer semestre de 2016 a la CNSPD el Programa de Trabajo 2016, en el cual se describirán las acciones previstas para impulsar los esquemas de formación continua, actualización y desarrollo profesional del personal docente, personal técnico docente, personal con funciones de dirección, personal con funciones de supervisión y personal docente con funciones de asesoría técnica pedagógica, en articulación con la estrategia nacional de formación continua y desarrollo profesional, el cual deberá atender los objetivos establecidos en los numerales 2.1 y 2.2 de las presentes RO, conforme a lo que refiere cada uno de los apoyos del Programa descritos en el apartado 3.4 Características de los apoyos (tipo y monto). </w:t>
            </w:r>
          </w:p>
          <w:p w:rsidR="00E67F93" w:rsidRDefault="00E67F93" w:rsidP="00E67F93">
            <w:pPr>
              <w:pStyle w:val="Default"/>
              <w:jc w:val="both"/>
              <w:rPr>
                <w:sz w:val="18"/>
                <w:szCs w:val="18"/>
              </w:rPr>
            </w:pPr>
            <w:r w:rsidRPr="00E67F93">
              <w:rPr>
                <w:b/>
                <w:sz w:val="18"/>
                <w:szCs w:val="18"/>
              </w:rPr>
              <w:t>c)</w:t>
            </w:r>
            <w:r>
              <w:rPr>
                <w:sz w:val="18"/>
                <w:szCs w:val="18"/>
              </w:rPr>
              <w:t xml:space="preserve"> Suscribir con la SEP, a través de la CNSPD, el Convenio de Coordinación (Anexo 1b) y para el caso de la AFSEDF los Lineamientos Internos de Coordinación (Anexo 1c) y Acuerdo de Traspaso (Anexo 1d), a más tardar durante el primer semestre de 2016. </w:t>
            </w:r>
          </w:p>
          <w:p w:rsidR="00E67F93" w:rsidRDefault="00E67F93" w:rsidP="00E67F93">
            <w:pPr>
              <w:pStyle w:val="Texto"/>
              <w:spacing w:after="98" w:line="240" w:lineRule="auto"/>
              <w:rPr>
                <w:szCs w:val="18"/>
              </w:rPr>
            </w:pPr>
            <w:r>
              <w:rPr>
                <w:szCs w:val="18"/>
              </w:rPr>
              <w:t xml:space="preserve">Asimismo, las Entidades Federativas deberán contar con una cuenta bancaria productiva específica para la transferencia de recursos del Programa, con fundamento en el artículo 69 de la Ley General de Contabilidad Gubernamental y 224 del Reglamento de la Ley Federal de Presupuesto y Responsabilidad Hacendaria. En ésta se manejarán exclusivamente los recursos federales del ejercicio fiscal 2016 y sus rendimientos, y no podrá incorporar recursos locales. </w:t>
            </w:r>
          </w:p>
          <w:p w:rsidR="00AC08CC" w:rsidRPr="00E67F93" w:rsidRDefault="00AC08CC" w:rsidP="00E67F93">
            <w:pPr>
              <w:pStyle w:val="Texto"/>
              <w:spacing w:after="98" w:line="240" w:lineRule="auto"/>
              <w:ind w:firstLine="0"/>
              <w:jc w:val="center"/>
              <w:rPr>
                <w:sz w:val="20"/>
                <w:szCs w:val="18"/>
              </w:rPr>
            </w:pPr>
            <w:r w:rsidRPr="00E67F93">
              <w:rPr>
                <w:b/>
                <w:sz w:val="20"/>
                <w:szCs w:val="18"/>
              </w:rPr>
              <w:t>TIPO MEDIO SUPERIOR</w:t>
            </w:r>
          </w:p>
          <w:p w:rsidR="00E67F93" w:rsidRDefault="00E67F93" w:rsidP="00E67F93">
            <w:pPr>
              <w:pStyle w:val="Default"/>
              <w:jc w:val="both"/>
              <w:rPr>
                <w:sz w:val="18"/>
                <w:szCs w:val="18"/>
              </w:rPr>
            </w:pPr>
            <w:r w:rsidRPr="00E67F93">
              <w:rPr>
                <w:b/>
                <w:sz w:val="18"/>
                <w:szCs w:val="18"/>
              </w:rPr>
              <w:t>a)</w:t>
            </w:r>
            <w:r>
              <w:rPr>
                <w:sz w:val="18"/>
                <w:szCs w:val="18"/>
              </w:rPr>
              <w:t xml:space="preserve"> Ser personal docente, personal técnico docente, personal con funciones de dirección, personal con funciones de supervisión y personal docente con funciones de asesoría técnica pedagógica de las IPEMS y encontrarse en funciones. </w:t>
            </w:r>
          </w:p>
          <w:p w:rsidR="00E67F93" w:rsidRDefault="00E67F93" w:rsidP="00E67F93">
            <w:pPr>
              <w:pStyle w:val="Default"/>
              <w:jc w:val="both"/>
              <w:rPr>
                <w:sz w:val="18"/>
                <w:szCs w:val="18"/>
              </w:rPr>
            </w:pPr>
            <w:r w:rsidRPr="00E67F93">
              <w:rPr>
                <w:b/>
                <w:sz w:val="18"/>
                <w:szCs w:val="18"/>
              </w:rPr>
              <w:t>b)</w:t>
            </w:r>
            <w:r>
              <w:rPr>
                <w:sz w:val="18"/>
                <w:szCs w:val="18"/>
              </w:rPr>
              <w:t xml:space="preserve"> No haber iniciado el trámite de pre-jubilación o jubilación. </w:t>
            </w:r>
          </w:p>
          <w:p w:rsidR="00E67F93" w:rsidRDefault="00E67F93" w:rsidP="00E67F93">
            <w:pPr>
              <w:pStyle w:val="Default"/>
              <w:jc w:val="both"/>
              <w:rPr>
                <w:sz w:val="18"/>
                <w:szCs w:val="18"/>
              </w:rPr>
            </w:pPr>
            <w:r>
              <w:rPr>
                <w:sz w:val="18"/>
                <w:szCs w:val="18"/>
              </w:rPr>
              <w:t xml:space="preserve">El personal docente y técnico docente, además de los requisitos antes señalados, también deberán: </w:t>
            </w:r>
          </w:p>
          <w:p w:rsidR="00E67F93" w:rsidRDefault="00E67F93" w:rsidP="00E67F93">
            <w:pPr>
              <w:pStyle w:val="Default"/>
              <w:numPr>
                <w:ilvl w:val="0"/>
                <w:numId w:val="13"/>
              </w:numPr>
              <w:jc w:val="both"/>
              <w:rPr>
                <w:sz w:val="18"/>
                <w:szCs w:val="18"/>
              </w:rPr>
            </w:pPr>
            <w:r>
              <w:rPr>
                <w:sz w:val="18"/>
                <w:szCs w:val="18"/>
              </w:rPr>
              <w:t xml:space="preserve">Tener un contrato o plaza de base o de interinato ilimitado de por lo menos 6 horas o más horas/semana/mes. Para el caso de CONALEP se considerará a todos/as los/las participantes que durante el transcurso de la oferta académica de formación tengan un contrato para impartir módulos de primero a sexto semestre. </w:t>
            </w:r>
          </w:p>
          <w:p w:rsidR="00E67F93" w:rsidRDefault="00E67F93" w:rsidP="00E67F93">
            <w:pPr>
              <w:pStyle w:val="Default"/>
              <w:jc w:val="both"/>
              <w:rPr>
                <w:sz w:val="18"/>
                <w:szCs w:val="18"/>
              </w:rPr>
            </w:pPr>
          </w:p>
          <w:p w:rsidR="00E67F93" w:rsidRDefault="00E67F93" w:rsidP="00E67F93">
            <w:pPr>
              <w:pStyle w:val="Default"/>
              <w:jc w:val="both"/>
              <w:rPr>
                <w:sz w:val="18"/>
                <w:szCs w:val="18"/>
              </w:rPr>
            </w:pPr>
            <w:r>
              <w:rPr>
                <w:sz w:val="18"/>
                <w:szCs w:val="18"/>
              </w:rPr>
              <w:t xml:space="preserve">El personal con funciones de dirección, el personal con funciones de supervisión y personal docente con funciones de asesoría técnica pedagógica: </w:t>
            </w:r>
          </w:p>
          <w:p w:rsidR="00E67F93" w:rsidRDefault="00E67F93" w:rsidP="00E67F93">
            <w:pPr>
              <w:pStyle w:val="Default"/>
              <w:numPr>
                <w:ilvl w:val="0"/>
                <w:numId w:val="13"/>
              </w:numPr>
              <w:jc w:val="both"/>
              <w:rPr>
                <w:sz w:val="18"/>
                <w:szCs w:val="18"/>
              </w:rPr>
            </w:pPr>
            <w:r>
              <w:rPr>
                <w:sz w:val="18"/>
                <w:szCs w:val="18"/>
              </w:rPr>
              <w:t xml:space="preserve">Serán los que se establezcan en las Convocatorias que emita la SEMS a través de la COSDAC (3.3.2 Procedimiento de selección para el tipo medio superior). </w:t>
            </w:r>
          </w:p>
          <w:p w:rsidR="00E67F93" w:rsidRPr="00E67F93" w:rsidRDefault="00E67F93" w:rsidP="00E67F93">
            <w:pPr>
              <w:pStyle w:val="Default"/>
              <w:jc w:val="center"/>
              <w:rPr>
                <w:sz w:val="20"/>
                <w:szCs w:val="18"/>
              </w:rPr>
            </w:pPr>
            <w:r w:rsidRPr="00E67F93">
              <w:rPr>
                <w:b/>
                <w:bCs/>
                <w:sz w:val="20"/>
                <w:szCs w:val="18"/>
              </w:rPr>
              <w:t>TIPO SUPERIOR</w:t>
            </w:r>
          </w:p>
          <w:p w:rsidR="00E67F93" w:rsidRDefault="00E67F93" w:rsidP="00E67F93">
            <w:pPr>
              <w:pStyle w:val="Default"/>
              <w:jc w:val="both"/>
              <w:rPr>
                <w:sz w:val="18"/>
                <w:szCs w:val="18"/>
              </w:rPr>
            </w:pPr>
            <w:r w:rsidRPr="00E67F93">
              <w:rPr>
                <w:b/>
                <w:sz w:val="18"/>
                <w:szCs w:val="18"/>
              </w:rPr>
              <w:t>a)</w:t>
            </w:r>
            <w:r>
              <w:rPr>
                <w:sz w:val="18"/>
                <w:szCs w:val="18"/>
              </w:rPr>
              <w:t xml:space="preserve"> Una vez publicadas las RO, las IES deberán registrar en el SISUP su estructura organizacional, así como los datos de la persona titular de la institución y del RIP. </w:t>
            </w:r>
          </w:p>
          <w:p w:rsidR="00E67F93" w:rsidRDefault="00E67F93" w:rsidP="00E67F93">
            <w:pPr>
              <w:pStyle w:val="Default"/>
              <w:jc w:val="both"/>
              <w:rPr>
                <w:sz w:val="18"/>
                <w:szCs w:val="18"/>
              </w:rPr>
            </w:pPr>
            <w:r w:rsidRPr="00E67F93">
              <w:rPr>
                <w:b/>
                <w:sz w:val="18"/>
                <w:szCs w:val="18"/>
              </w:rPr>
              <w:t>b)</w:t>
            </w:r>
            <w:r>
              <w:rPr>
                <w:sz w:val="18"/>
                <w:szCs w:val="18"/>
              </w:rPr>
              <w:t xml:space="preserve"> Los/as profesores/as deben pertenecer a alguna de las IES. </w:t>
            </w:r>
          </w:p>
          <w:p w:rsidR="00E67F93" w:rsidRDefault="00E67F93" w:rsidP="00E67F93">
            <w:pPr>
              <w:pStyle w:val="Default"/>
              <w:jc w:val="both"/>
              <w:rPr>
                <w:sz w:val="18"/>
                <w:szCs w:val="18"/>
              </w:rPr>
            </w:pPr>
            <w:r w:rsidRPr="00E67F93">
              <w:rPr>
                <w:b/>
                <w:sz w:val="18"/>
                <w:szCs w:val="18"/>
              </w:rPr>
              <w:t>c)</w:t>
            </w:r>
            <w:r>
              <w:rPr>
                <w:sz w:val="18"/>
                <w:szCs w:val="18"/>
              </w:rPr>
              <w:t xml:space="preserve"> El RIP debe registrar a los/as profesores/as en el SISUP. </w:t>
            </w:r>
          </w:p>
          <w:p w:rsidR="00E67F93" w:rsidRDefault="00E67F93" w:rsidP="00E67F93">
            <w:pPr>
              <w:pStyle w:val="Default"/>
              <w:jc w:val="both"/>
              <w:rPr>
                <w:sz w:val="18"/>
                <w:szCs w:val="18"/>
              </w:rPr>
            </w:pPr>
            <w:r w:rsidRPr="00E67F93">
              <w:rPr>
                <w:b/>
                <w:sz w:val="18"/>
                <w:szCs w:val="18"/>
              </w:rPr>
              <w:t>d)</w:t>
            </w:r>
            <w:r>
              <w:rPr>
                <w:sz w:val="18"/>
                <w:szCs w:val="18"/>
              </w:rPr>
              <w:t xml:space="preserve"> Los/as PTC deberán capturar la CURP misma que será enviada al Registro Nacional de Población (RENAPO) para su verificación. </w:t>
            </w:r>
          </w:p>
          <w:p w:rsidR="00AC08CC" w:rsidRPr="00AC08CC" w:rsidRDefault="00E67F93" w:rsidP="00ED2388">
            <w:pPr>
              <w:pStyle w:val="Texto"/>
              <w:tabs>
                <w:tab w:val="left" w:pos="3734"/>
                <w:tab w:val="center" w:pos="4909"/>
              </w:tabs>
              <w:spacing w:after="98" w:line="240" w:lineRule="auto"/>
              <w:ind w:firstLine="0"/>
              <w:rPr>
                <w:sz w:val="16"/>
                <w:szCs w:val="16"/>
              </w:rPr>
            </w:pPr>
            <w:r>
              <w:rPr>
                <w:szCs w:val="18"/>
              </w:rPr>
              <w:t>El Anexo 3c muestra los requisitos específicos para cada convocatoria del Programa para el tipo superior.</w:t>
            </w:r>
          </w:p>
        </w:tc>
      </w:tr>
    </w:tbl>
    <w:p w:rsidR="00FF763C" w:rsidRPr="00E71C49" w:rsidRDefault="00FF763C" w:rsidP="00635E75">
      <w:pPr>
        <w:rPr>
          <w:rFonts w:ascii="Arial" w:hAnsi="Arial" w:cs="Arial"/>
          <w:b/>
          <w:sz w:val="24"/>
          <w:szCs w:val="24"/>
          <w:lang w:val="es-ES_tradnl"/>
        </w:rPr>
      </w:pPr>
    </w:p>
    <w:p w:rsidR="00D51245" w:rsidRPr="00E71C49" w:rsidRDefault="00D51245" w:rsidP="00FF763C">
      <w:pPr>
        <w:rPr>
          <w:rFonts w:ascii="Arial" w:hAnsi="Arial" w:cs="Arial"/>
          <w:b/>
          <w:sz w:val="20"/>
          <w:szCs w:val="20"/>
        </w:rPr>
      </w:pPr>
    </w:p>
    <w:p w:rsidR="00E70F6B" w:rsidRPr="00E71C49" w:rsidRDefault="00A16110" w:rsidP="00AC08CC">
      <w:pPr>
        <w:pStyle w:val="Texto"/>
        <w:ind w:firstLine="0"/>
        <w:rPr>
          <w:b/>
          <w:sz w:val="20"/>
        </w:rPr>
      </w:pPr>
      <w:r>
        <w:rPr>
          <w:noProof/>
        </w:rPr>
        <w:lastRenderedPageBreak/>
        <w:drawing>
          <wp:anchor distT="0" distB="0" distL="114300" distR="114300" simplePos="0" relativeHeight="251658240" behindDoc="1" locked="0" layoutInCell="1" allowOverlap="1" wp14:anchorId="4E9C5725" wp14:editId="5EC80347">
            <wp:simplePos x="0" y="0"/>
            <wp:positionH relativeFrom="column">
              <wp:posOffset>-442182</wp:posOffset>
            </wp:positionH>
            <wp:positionV relativeFrom="paragraph">
              <wp:posOffset>91174</wp:posOffset>
            </wp:positionV>
            <wp:extent cx="6719777" cy="6911163"/>
            <wp:effectExtent l="0" t="0" r="508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5165" t="12796" r="13185" b="3080"/>
                    <a:stretch/>
                  </pic:blipFill>
                  <pic:spPr bwMode="auto">
                    <a:xfrm>
                      <a:off x="0" y="0"/>
                      <a:ext cx="6719165" cy="69105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5BCF" w:rsidRPr="00E71C49" w:rsidRDefault="00415BCF" w:rsidP="008848A1">
      <w:pPr>
        <w:pStyle w:val="Texto"/>
        <w:ind w:firstLine="0"/>
        <w:jc w:val="center"/>
        <w:rPr>
          <w:b/>
          <w:sz w:val="20"/>
        </w:rPr>
      </w:pPr>
    </w:p>
    <w:p w:rsidR="00064A56" w:rsidRDefault="00064A56"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127410" w:rsidRDefault="001274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r>
        <w:rPr>
          <w:noProof/>
        </w:rPr>
        <w:lastRenderedPageBreak/>
        <w:drawing>
          <wp:anchor distT="0" distB="0" distL="114300" distR="114300" simplePos="0" relativeHeight="251659264" behindDoc="1" locked="0" layoutInCell="1" allowOverlap="1" wp14:anchorId="367BB594" wp14:editId="42F1CF93">
            <wp:simplePos x="0" y="0"/>
            <wp:positionH relativeFrom="column">
              <wp:posOffset>-272061</wp:posOffset>
            </wp:positionH>
            <wp:positionV relativeFrom="paragraph">
              <wp:posOffset>176235</wp:posOffset>
            </wp:positionV>
            <wp:extent cx="6134986" cy="6911162"/>
            <wp:effectExtent l="0" t="0" r="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5547" t="12979" r="15000" b="4261"/>
                    <a:stretch/>
                  </pic:blipFill>
                  <pic:spPr bwMode="auto">
                    <a:xfrm>
                      <a:off x="0" y="0"/>
                      <a:ext cx="6134162" cy="69102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A16110">
      <w:pPr>
        <w:pStyle w:val="ROMANOS"/>
        <w:tabs>
          <w:tab w:val="clear" w:pos="720"/>
          <w:tab w:val="left" w:pos="0"/>
        </w:tabs>
        <w:spacing w:after="100" w:line="238" w:lineRule="exact"/>
        <w:ind w:left="0" w:firstLine="0"/>
        <w:jc w:val="center"/>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4F2371" w:rsidRDefault="004F2371"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127410" w:rsidRDefault="00127410" w:rsidP="00D34997">
      <w:pPr>
        <w:pStyle w:val="ROMANOS"/>
        <w:tabs>
          <w:tab w:val="clear" w:pos="720"/>
          <w:tab w:val="left" w:pos="0"/>
        </w:tabs>
        <w:spacing w:after="100" w:line="238" w:lineRule="exact"/>
        <w:ind w:left="0" w:firstLine="0"/>
        <w:rPr>
          <w:sz w:val="20"/>
          <w:szCs w:val="20"/>
          <w:lang w:val="es-MX"/>
        </w:rPr>
      </w:pPr>
    </w:p>
    <w:p w:rsidR="00127410" w:rsidRDefault="001274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C961C6" w:rsidP="00D34997">
      <w:pPr>
        <w:pStyle w:val="ROMANOS"/>
        <w:tabs>
          <w:tab w:val="clear" w:pos="720"/>
          <w:tab w:val="left" w:pos="0"/>
        </w:tabs>
        <w:spacing w:after="100" w:line="238" w:lineRule="exact"/>
        <w:ind w:left="0" w:firstLine="0"/>
        <w:rPr>
          <w:sz w:val="20"/>
          <w:szCs w:val="20"/>
          <w:lang w:val="es-MX"/>
        </w:rPr>
      </w:pPr>
      <w:r>
        <w:rPr>
          <w:noProof/>
        </w:rPr>
        <w:drawing>
          <wp:anchor distT="0" distB="0" distL="114300" distR="114300" simplePos="0" relativeHeight="251660288" behindDoc="0" locked="0" layoutInCell="1" allowOverlap="1" wp14:anchorId="6B3E8198" wp14:editId="57FE9DD4">
            <wp:simplePos x="0" y="0"/>
            <wp:positionH relativeFrom="column">
              <wp:posOffset>-399650</wp:posOffset>
            </wp:positionH>
            <wp:positionV relativeFrom="paragraph">
              <wp:posOffset>133704</wp:posOffset>
            </wp:positionV>
            <wp:extent cx="6251944" cy="7123814"/>
            <wp:effectExtent l="0" t="0" r="0" b="127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5591" t="13201" r="15589" b="4340"/>
                    <a:stretch/>
                  </pic:blipFill>
                  <pic:spPr bwMode="auto">
                    <a:xfrm>
                      <a:off x="0" y="0"/>
                      <a:ext cx="6251944" cy="71238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Default="00A16110" w:rsidP="00D34997">
      <w:pPr>
        <w:pStyle w:val="ROMANOS"/>
        <w:tabs>
          <w:tab w:val="clear" w:pos="720"/>
          <w:tab w:val="left" w:pos="0"/>
        </w:tabs>
        <w:spacing w:after="100" w:line="238" w:lineRule="exact"/>
        <w:ind w:left="0" w:firstLine="0"/>
        <w:rPr>
          <w:sz w:val="20"/>
          <w:szCs w:val="20"/>
          <w:lang w:val="es-MX"/>
        </w:rPr>
      </w:pPr>
    </w:p>
    <w:p w:rsidR="00A16110" w:rsidRPr="00ED2388" w:rsidRDefault="00A16110" w:rsidP="00D34997">
      <w:pPr>
        <w:pStyle w:val="ROMANOS"/>
        <w:tabs>
          <w:tab w:val="clear" w:pos="720"/>
          <w:tab w:val="left" w:pos="0"/>
        </w:tabs>
        <w:spacing w:after="100" w:line="238" w:lineRule="exact"/>
        <w:ind w:left="0" w:firstLine="0"/>
        <w:rPr>
          <w:sz w:val="20"/>
          <w:szCs w:val="20"/>
          <w:lang w:val="es-MX"/>
        </w:rPr>
      </w:pPr>
    </w:p>
    <w:sectPr w:rsidR="00A16110" w:rsidRPr="00ED2388" w:rsidSect="00381E76">
      <w:headerReference w:type="even" r:id="rId12"/>
      <w:headerReference w:type="default" r:id="rId13"/>
      <w:footerReference w:type="even" r:id="rId14"/>
      <w:footerReference w:type="default" r:id="rId15"/>
      <w:headerReference w:type="first" r:id="rId16"/>
      <w:footerReference w:type="firs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0BE" w:rsidRDefault="002260BE" w:rsidP="00FF763C">
      <w:pPr>
        <w:spacing w:after="0" w:line="240" w:lineRule="auto"/>
      </w:pPr>
      <w:r>
        <w:separator/>
      </w:r>
    </w:p>
  </w:endnote>
  <w:endnote w:type="continuationSeparator" w:id="0">
    <w:p w:rsidR="002260BE" w:rsidRDefault="002260BE"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2C1" w:rsidRDefault="00BC62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7"/>
      <w:gridCol w:w="8161"/>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C85000" w:rsidP="00FF763C">
          <w:pPr>
            <w:pStyle w:val="Piedepgina"/>
            <w:jc w:val="right"/>
            <w:rPr>
              <w:b/>
              <w:color w:val="FFFFFF" w:themeColor="background1"/>
            </w:rPr>
          </w:pPr>
          <w:r>
            <w:fldChar w:fldCharType="begin"/>
          </w:r>
          <w:r w:rsidR="00FF763C">
            <w:instrText xml:space="preserve"> PAGE   \* MERGEFORMAT </w:instrText>
          </w:r>
          <w:r>
            <w:fldChar w:fldCharType="separate"/>
          </w:r>
          <w:r w:rsidR="00BC62C1" w:rsidRPr="00BC62C1">
            <w:rPr>
              <w:noProof/>
              <w:color w:val="FFFFFF" w:themeColor="background1"/>
            </w:rPr>
            <w:t>3</w:t>
          </w:r>
          <w:r>
            <w:rPr>
              <w:noProof/>
              <w:color w:val="FFFFFF" w:themeColor="background1"/>
            </w:rPr>
            <w:fldChar w:fldCharType="end"/>
          </w:r>
        </w:p>
      </w:tc>
      <w:tc>
        <w:tcPr>
          <w:tcW w:w="4500" w:type="pct"/>
          <w:tcBorders>
            <w:top w:val="single" w:sz="4" w:space="0" w:color="auto"/>
          </w:tcBorders>
        </w:tcPr>
        <w:p w:rsidR="00FF763C" w:rsidRDefault="00FF763C" w:rsidP="00B26942">
          <w:pPr>
            <w:pStyle w:val="Piedepgina"/>
            <w:jc w:val="right"/>
          </w:pPr>
          <w:r>
            <w:t>Catá</w:t>
          </w:r>
          <w:r w:rsidR="00D02125">
            <w:t>logo de Programas Federales 201</w:t>
          </w:r>
          <w:r w:rsidR="00B26942">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p w:rsidR="00BC62C1" w:rsidRDefault="00BC62C1">
    <w:pPr>
      <w:pStyle w:val="Piedepgina"/>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2C1" w:rsidRDefault="00BC62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0BE" w:rsidRDefault="002260BE" w:rsidP="00FF763C">
      <w:pPr>
        <w:spacing w:after="0" w:line="240" w:lineRule="auto"/>
      </w:pPr>
      <w:r>
        <w:separator/>
      </w:r>
    </w:p>
  </w:footnote>
  <w:footnote w:type="continuationSeparator" w:id="0">
    <w:p w:rsidR="002260BE" w:rsidRDefault="002260BE"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2C1" w:rsidRDefault="00BC62C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Default="00BC62C1">
    <w:pPr>
      <w:pStyle w:val="Encabezado"/>
    </w:pPr>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-638751</wp:posOffset>
          </wp:positionH>
          <wp:positionV relativeFrom="paragraph">
            <wp:posOffset>-300990</wp:posOffset>
          </wp:positionV>
          <wp:extent cx="7054850" cy="792480"/>
          <wp:effectExtent l="0" t="0" r="0" b="762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2C1" w:rsidRDefault="00BC62C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E7AFD"/>
    <w:multiLevelType w:val="hybridMultilevel"/>
    <w:tmpl w:val="2A36DF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0705399"/>
    <w:multiLevelType w:val="hybridMultilevel"/>
    <w:tmpl w:val="B714F1D8"/>
    <w:lvl w:ilvl="0" w:tplc="F8AA530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1006DDE"/>
    <w:multiLevelType w:val="hybridMultilevel"/>
    <w:tmpl w:val="6E8432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7821CB5"/>
    <w:multiLevelType w:val="hybridMultilevel"/>
    <w:tmpl w:val="110A25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EAE36B6"/>
    <w:multiLevelType w:val="hybridMultilevel"/>
    <w:tmpl w:val="33CED41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FDC7933"/>
    <w:multiLevelType w:val="hybridMultilevel"/>
    <w:tmpl w:val="D768323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
    <w:nsid w:val="2DF661A2"/>
    <w:multiLevelType w:val="hybridMultilevel"/>
    <w:tmpl w:val="B39875FA"/>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15D0C60"/>
    <w:multiLevelType w:val="hybridMultilevel"/>
    <w:tmpl w:val="AA9E09C4"/>
    <w:lvl w:ilvl="0" w:tplc="0C0A0001">
      <w:start w:val="1"/>
      <w:numFmt w:val="bullet"/>
      <w:lvlText w:val=""/>
      <w:lvlJc w:val="left"/>
      <w:pPr>
        <w:ind w:left="6031" w:hanging="360"/>
      </w:pPr>
      <w:rPr>
        <w:rFonts w:ascii="Symbol" w:hAnsi="Symbol" w:hint="default"/>
      </w:rPr>
    </w:lvl>
    <w:lvl w:ilvl="1" w:tplc="080A0003" w:tentative="1">
      <w:start w:val="1"/>
      <w:numFmt w:val="bullet"/>
      <w:lvlText w:val="o"/>
      <w:lvlJc w:val="left"/>
      <w:pPr>
        <w:ind w:left="6751" w:hanging="360"/>
      </w:pPr>
      <w:rPr>
        <w:rFonts w:ascii="Courier New" w:hAnsi="Courier New" w:cs="Courier New" w:hint="default"/>
      </w:rPr>
    </w:lvl>
    <w:lvl w:ilvl="2" w:tplc="080A0005" w:tentative="1">
      <w:start w:val="1"/>
      <w:numFmt w:val="bullet"/>
      <w:lvlText w:val=""/>
      <w:lvlJc w:val="left"/>
      <w:pPr>
        <w:ind w:left="7471" w:hanging="360"/>
      </w:pPr>
      <w:rPr>
        <w:rFonts w:ascii="Wingdings" w:hAnsi="Wingdings" w:hint="default"/>
      </w:rPr>
    </w:lvl>
    <w:lvl w:ilvl="3" w:tplc="080A0001" w:tentative="1">
      <w:start w:val="1"/>
      <w:numFmt w:val="bullet"/>
      <w:lvlText w:val=""/>
      <w:lvlJc w:val="left"/>
      <w:pPr>
        <w:ind w:left="8191" w:hanging="360"/>
      </w:pPr>
      <w:rPr>
        <w:rFonts w:ascii="Symbol" w:hAnsi="Symbol" w:hint="default"/>
      </w:rPr>
    </w:lvl>
    <w:lvl w:ilvl="4" w:tplc="080A0003" w:tentative="1">
      <w:start w:val="1"/>
      <w:numFmt w:val="bullet"/>
      <w:lvlText w:val="o"/>
      <w:lvlJc w:val="left"/>
      <w:pPr>
        <w:ind w:left="8911" w:hanging="360"/>
      </w:pPr>
      <w:rPr>
        <w:rFonts w:ascii="Courier New" w:hAnsi="Courier New" w:cs="Courier New" w:hint="default"/>
      </w:rPr>
    </w:lvl>
    <w:lvl w:ilvl="5" w:tplc="080A0005" w:tentative="1">
      <w:start w:val="1"/>
      <w:numFmt w:val="bullet"/>
      <w:lvlText w:val=""/>
      <w:lvlJc w:val="left"/>
      <w:pPr>
        <w:ind w:left="9631" w:hanging="360"/>
      </w:pPr>
      <w:rPr>
        <w:rFonts w:ascii="Wingdings" w:hAnsi="Wingdings" w:hint="default"/>
      </w:rPr>
    </w:lvl>
    <w:lvl w:ilvl="6" w:tplc="080A0001" w:tentative="1">
      <w:start w:val="1"/>
      <w:numFmt w:val="bullet"/>
      <w:lvlText w:val=""/>
      <w:lvlJc w:val="left"/>
      <w:pPr>
        <w:ind w:left="10351" w:hanging="360"/>
      </w:pPr>
      <w:rPr>
        <w:rFonts w:ascii="Symbol" w:hAnsi="Symbol" w:hint="default"/>
      </w:rPr>
    </w:lvl>
    <w:lvl w:ilvl="7" w:tplc="080A0003" w:tentative="1">
      <w:start w:val="1"/>
      <w:numFmt w:val="bullet"/>
      <w:lvlText w:val="o"/>
      <w:lvlJc w:val="left"/>
      <w:pPr>
        <w:ind w:left="11071" w:hanging="360"/>
      </w:pPr>
      <w:rPr>
        <w:rFonts w:ascii="Courier New" w:hAnsi="Courier New" w:cs="Courier New" w:hint="default"/>
      </w:rPr>
    </w:lvl>
    <w:lvl w:ilvl="8" w:tplc="080A0005" w:tentative="1">
      <w:start w:val="1"/>
      <w:numFmt w:val="bullet"/>
      <w:lvlText w:val=""/>
      <w:lvlJc w:val="left"/>
      <w:pPr>
        <w:ind w:left="11791" w:hanging="360"/>
      </w:pPr>
      <w:rPr>
        <w:rFonts w:ascii="Wingdings" w:hAnsi="Wingdings" w:hint="default"/>
      </w:rPr>
    </w:lvl>
  </w:abstractNum>
  <w:abstractNum w:abstractNumId="9">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1">
    <w:nsid w:val="690A6000"/>
    <w:multiLevelType w:val="hybridMultilevel"/>
    <w:tmpl w:val="3904A67A"/>
    <w:lvl w:ilvl="0" w:tplc="C874A78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92617DE"/>
    <w:multiLevelType w:val="hybridMultilevel"/>
    <w:tmpl w:val="5C1E61C8"/>
    <w:lvl w:ilvl="0" w:tplc="080A000F">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num w:numId="1">
    <w:abstractNumId w:val="6"/>
  </w:num>
  <w:num w:numId="2">
    <w:abstractNumId w:val="10"/>
  </w:num>
  <w:num w:numId="3">
    <w:abstractNumId w:val="9"/>
  </w:num>
  <w:num w:numId="4">
    <w:abstractNumId w:val="12"/>
  </w:num>
  <w:num w:numId="5">
    <w:abstractNumId w:val="1"/>
  </w:num>
  <w:num w:numId="6">
    <w:abstractNumId w:val="5"/>
  </w:num>
  <w:num w:numId="7">
    <w:abstractNumId w:val="2"/>
  </w:num>
  <w:num w:numId="8">
    <w:abstractNumId w:val="4"/>
  </w:num>
  <w:num w:numId="9">
    <w:abstractNumId w:val="8"/>
  </w:num>
  <w:num w:numId="10">
    <w:abstractNumId w:val="7"/>
  </w:num>
  <w:num w:numId="11">
    <w:abstractNumId w:val="0"/>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150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01893"/>
    <w:rsid w:val="00002645"/>
    <w:rsid w:val="00021423"/>
    <w:rsid w:val="00026058"/>
    <w:rsid w:val="00051994"/>
    <w:rsid w:val="000525E8"/>
    <w:rsid w:val="00064A56"/>
    <w:rsid w:val="00066FBF"/>
    <w:rsid w:val="00085583"/>
    <w:rsid w:val="00087825"/>
    <w:rsid w:val="000B0D77"/>
    <w:rsid w:val="00127410"/>
    <w:rsid w:val="001528B5"/>
    <w:rsid w:val="0020014C"/>
    <w:rsid w:val="0022170F"/>
    <w:rsid w:val="002260BE"/>
    <w:rsid w:val="00232957"/>
    <w:rsid w:val="0023295F"/>
    <w:rsid w:val="00252743"/>
    <w:rsid w:val="002C36CB"/>
    <w:rsid w:val="00321C6F"/>
    <w:rsid w:val="00340293"/>
    <w:rsid w:val="00343D5D"/>
    <w:rsid w:val="00344B08"/>
    <w:rsid w:val="00363465"/>
    <w:rsid w:val="00381E76"/>
    <w:rsid w:val="003E6550"/>
    <w:rsid w:val="003E7414"/>
    <w:rsid w:val="00415BCF"/>
    <w:rsid w:val="00452EA6"/>
    <w:rsid w:val="00496D9E"/>
    <w:rsid w:val="004A6F7F"/>
    <w:rsid w:val="004D3FA5"/>
    <w:rsid w:val="004D5B96"/>
    <w:rsid w:val="004F2371"/>
    <w:rsid w:val="004F5491"/>
    <w:rsid w:val="00503133"/>
    <w:rsid w:val="0053615A"/>
    <w:rsid w:val="005508CD"/>
    <w:rsid w:val="00582AB3"/>
    <w:rsid w:val="00595614"/>
    <w:rsid w:val="005D4689"/>
    <w:rsid w:val="00605CDF"/>
    <w:rsid w:val="00635E75"/>
    <w:rsid w:val="00701384"/>
    <w:rsid w:val="00703ADE"/>
    <w:rsid w:val="00721B6F"/>
    <w:rsid w:val="007C4956"/>
    <w:rsid w:val="00806069"/>
    <w:rsid w:val="008070D2"/>
    <w:rsid w:val="00820B0B"/>
    <w:rsid w:val="008848A1"/>
    <w:rsid w:val="00884B06"/>
    <w:rsid w:val="008A1541"/>
    <w:rsid w:val="008C795F"/>
    <w:rsid w:val="008F53CE"/>
    <w:rsid w:val="00901937"/>
    <w:rsid w:val="0091343C"/>
    <w:rsid w:val="009413A4"/>
    <w:rsid w:val="00947FE5"/>
    <w:rsid w:val="00954ECD"/>
    <w:rsid w:val="00956CA2"/>
    <w:rsid w:val="00957323"/>
    <w:rsid w:val="00984A9B"/>
    <w:rsid w:val="00A16110"/>
    <w:rsid w:val="00A33B5A"/>
    <w:rsid w:val="00A35A98"/>
    <w:rsid w:val="00A9151E"/>
    <w:rsid w:val="00AA080C"/>
    <w:rsid w:val="00AC08CC"/>
    <w:rsid w:val="00B13E7F"/>
    <w:rsid w:val="00B26942"/>
    <w:rsid w:val="00B54E4A"/>
    <w:rsid w:val="00B6159A"/>
    <w:rsid w:val="00B703E7"/>
    <w:rsid w:val="00BB3DF2"/>
    <w:rsid w:val="00BB7833"/>
    <w:rsid w:val="00BC62C1"/>
    <w:rsid w:val="00BD7EE9"/>
    <w:rsid w:val="00BF53A1"/>
    <w:rsid w:val="00C24835"/>
    <w:rsid w:val="00C27528"/>
    <w:rsid w:val="00C31BA2"/>
    <w:rsid w:val="00C3756C"/>
    <w:rsid w:val="00C85000"/>
    <w:rsid w:val="00C961C6"/>
    <w:rsid w:val="00CA4C12"/>
    <w:rsid w:val="00CA5A49"/>
    <w:rsid w:val="00CE33EB"/>
    <w:rsid w:val="00D02125"/>
    <w:rsid w:val="00D34997"/>
    <w:rsid w:val="00D35C09"/>
    <w:rsid w:val="00D47A9B"/>
    <w:rsid w:val="00D51245"/>
    <w:rsid w:val="00D546F2"/>
    <w:rsid w:val="00D904A7"/>
    <w:rsid w:val="00DC59A7"/>
    <w:rsid w:val="00DF4633"/>
    <w:rsid w:val="00DF6AAD"/>
    <w:rsid w:val="00E13FCF"/>
    <w:rsid w:val="00E1549F"/>
    <w:rsid w:val="00E35369"/>
    <w:rsid w:val="00E67F93"/>
    <w:rsid w:val="00E70F6B"/>
    <w:rsid w:val="00E71C49"/>
    <w:rsid w:val="00E82EFB"/>
    <w:rsid w:val="00E97CEC"/>
    <w:rsid w:val="00EA68A9"/>
    <w:rsid w:val="00EB323A"/>
    <w:rsid w:val="00ED2388"/>
    <w:rsid w:val="00ED5F79"/>
    <w:rsid w:val="00F26848"/>
    <w:rsid w:val="00F81996"/>
    <w:rsid w:val="00F92A19"/>
    <w:rsid w:val="00FF7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B26942"/>
    <w:pPr>
      <w:autoSpaceDE w:val="0"/>
      <w:autoSpaceDN w:val="0"/>
      <w:adjustRightInd w:val="0"/>
      <w:spacing w:after="0" w:line="240" w:lineRule="auto"/>
    </w:pPr>
    <w:rPr>
      <w:rFonts w:ascii="Arial" w:hAnsi="Arial" w:cs="Arial"/>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B26942"/>
    <w:pPr>
      <w:autoSpaceDE w:val="0"/>
      <w:autoSpaceDN w:val="0"/>
      <w:adjustRightInd w:val="0"/>
      <w:spacing w:after="0" w:line="240" w:lineRule="auto"/>
    </w:pPr>
    <w:rPr>
      <w:rFonts w:ascii="Arial"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866AB"/>
    <w:rsid w:val="00246C54"/>
    <w:rsid w:val="00376722"/>
    <w:rsid w:val="003F11E6"/>
    <w:rsid w:val="00475E67"/>
    <w:rsid w:val="005620A9"/>
    <w:rsid w:val="00580998"/>
    <w:rsid w:val="005F69BF"/>
    <w:rsid w:val="008E16E7"/>
    <w:rsid w:val="00A4430B"/>
    <w:rsid w:val="00AE3A55"/>
    <w:rsid w:val="00B02B61"/>
    <w:rsid w:val="00C96295"/>
    <w:rsid w:val="00D655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11399E-0FA0-46B3-8DC9-876F3DFCF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Pages>
  <Words>1116</Words>
  <Characters>6140</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7242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9</cp:revision>
  <cp:lastPrinted>2013-12-06T17:20:00Z</cp:lastPrinted>
  <dcterms:created xsi:type="dcterms:W3CDTF">2016-01-29T22:08:00Z</dcterms:created>
  <dcterms:modified xsi:type="dcterms:W3CDTF">2016-07-05T17:24:00Z</dcterms:modified>
</cp:coreProperties>
</file>