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25D" w:rsidRPr="00726AD2" w:rsidRDefault="00726AD2" w:rsidP="00726AD2">
      <w:pPr>
        <w:jc w:val="center"/>
        <w:rPr>
          <w:rFonts w:ascii="Arial" w:hAnsi="Arial" w:cs="Arial"/>
          <w:b/>
          <w:sz w:val="24"/>
          <w:szCs w:val="24"/>
        </w:rPr>
      </w:pPr>
      <w:r w:rsidRPr="00726AD2">
        <w:rPr>
          <w:rFonts w:ascii="Arial" w:hAnsi="Arial" w:cs="Arial"/>
          <w:b/>
          <w:bCs/>
          <w:sz w:val="24"/>
          <w:szCs w:val="24"/>
        </w:rPr>
        <w:t xml:space="preserve">Programa de Apoyo a la Infraestructura </w:t>
      </w:r>
      <w:proofErr w:type="spellStart"/>
      <w:r w:rsidRPr="00726AD2">
        <w:rPr>
          <w:rFonts w:ascii="Arial" w:hAnsi="Arial" w:cs="Arial"/>
          <w:b/>
          <w:bCs/>
          <w:sz w:val="24"/>
          <w:szCs w:val="24"/>
        </w:rPr>
        <w:t>Hidroagrícola</w:t>
      </w:r>
      <w:proofErr w:type="spellEnd"/>
      <w:r w:rsidRPr="00726AD2">
        <w:rPr>
          <w:rFonts w:ascii="Arial" w:hAnsi="Arial" w:cs="Arial"/>
          <w:b/>
          <w:bCs/>
          <w:sz w:val="24"/>
          <w:szCs w:val="24"/>
        </w:rPr>
        <w:t>, a cargo de la Comisión Nacional del Agua</w:t>
      </w:r>
    </w:p>
    <w:tbl>
      <w:tblPr>
        <w:tblStyle w:val="Tablaconcuadrcula"/>
        <w:tblpPr w:leftFromText="141" w:rightFromText="141" w:vertAnchor="page" w:horzAnchor="margin" w:tblpY="2461"/>
        <w:tblW w:w="9464" w:type="dxa"/>
        <w:tblLook w:val="04A0" w:firstRow="1" w:lastRow="0" w:firstColumn="1" w:lastColumn="0" w:noHBand="0" w:noVBand="1"/>
      </w:tblPr>
      <w:tblGrid>
        <w:gridCol w:w="3369"/>
        <w:gridCol w:w="1900"/>
        <w:gridCol w:w="4195"/>
      </w:tblGrid>
      <w:tr w:rsidR="00726AD2" w:rsidRPr="001D7684" w:rsidTr="00726AD2">
        <w:tc>
          <w:tcPr>
            <w:tcW w:w="9464" w:type="dxa"/>
            <w:gridSpan w:val="3"/>
            <w:tcBorders>
              <w:top w:val="single" w:sz="12" w:space="0" w:color="385623" w:themeColor="accent6" w:themeShade="80"/>
              <w:left w:val="single" w:sz="12" w:space="0" w:color="385623" w:themeColor="accent6" w:themeShade="80"/>
              <w:bottom w:val="single" w:sz="12" w:space="0" w:color="385623" w:themeColor="accent6" w:themeShade="80"/>
              <w:right w:val="single" w:sz="12" w:space="0" w:color="385623" w:themeColor="accent6" w:themeShade="80"/>
            </w:tcBorders>
            <w:shd w:val="clear" w:color="auto" w:fill="FFE599" w:themeFill="accent4" w:themeFillTint="66"/>
          </w:tcPr>
          <w:p w:rsidR="00726AD2" w:rsidRPr="00726AD2" w:rsidRDefault="00726AD2" w:rsidP="00200DC3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D7684">
              <w:rPr>
                <w:b/>
                <w:sz w:val="20"/>
              </w:rPr>
              <w:t xml:space="preserve">OBJETIVO: </w:t>
            </w:r>
            <w:r w:rsidRPr="00726AD2">
              <w:rPr>
                <w:rFonts w:ascii="Arial" w:hAnsi="Arial" w:cs="Arial"/>
                <w:sz w:val="18"/>
                <w:szCs w:val="18"/>
              </w:rPr>
              <w:t xml:space="preserve">Promover un uso eficiente del agua, así como aumentar la producción y productividad en la agricultura de riego y de temporal tecnificado, además de ampliar la frontera agrícola en áreas de riego y de temporal. </w:t>
            </w:r>
          </w:p>
          <w:p w:rsidR="00726AD2" w:rsidRPr="001D7684" w:rsidRDefault="00726AD2" w:rsidP="00200DC3">
            <w:pPr>
              <w:pStyle w:val="Texto"/>
              <w:spacing w:line="237" w:lineRule="exact"/>
              <w:ind w:firstLine="0"/>
              <w:rPr>
                <w:sz w:val="20"/>
              </w:rPr>
            </w:pPr>
            <w:r w:rsidRPr="00726AD2">
              <w:rPr>
                <w:rFonts w:eastAsiaTheme="minorHAnsi"/>
                <w:color w:val="000000"/>
                <w:szCs w:val="18"/>
                <w:lang w:eastAsia="en-US"/>
              </w:rPr>
              <w:t xml:space="preserve">La infraestructura </w:t>
            </w:r>
            <w:proofErr w:type="spellStart"/>
            <w:r w:rsidRPr="00726AD2">
              <w:rPr>
                <w:rFonts w:eastAsiaTheme="minorHAnsi"/>
                <w:color w:val="000000"/>
                <w:szCs w:val="18"/>
                <w:lang w:eastAsia="en-US"/>
              </w:rPr>
              <w:t>hidroagrícola</w:t>
            </w:r>
            <w:proofErr w:type="spellEnd"/>
            <w:r w:rsidRPr="00726AD2">
              <w:rPr>
                <w:rFonts w:eastAsiaTheme="minorHAnsi"/>
                <w:color w:val="000000"/>
                <w:szCs w:val="18"/>
                <w:lang w:eastAsia="en-US"/>
              </w:rPr>
              <w:t xml:space="preserve"> constituye un elemento esencial para alcanzar los objetivos nacionales en materia alimentaria, de generación de empleos, de incremento del ingreso y de mejoramiento del nivel de vida de los productores y habitantes en el medio rural.</w:t>
            </w:r>
          </w:p>
        </w:tc>
      </w:tr>
      <w:tr w:rsidR="00726AD2" w:rsidRPr="001D7684" w:rsidTr="00726AD2">
        <w:tc>
          <w:tcPr>
            <w:tcW w:w="3369" w:type="dxa"/>
            <w:tcBorders>
              <w:top w:val="single" w:sz="12" w:space="0" w:color="385623" w:themeColor="accent6" w:themeShade="80"/>
              <w:left w:val="nil"/>
              <w:bottom w:val="single" w:sz="12" w:space="0" w:color="FFE599" w:themeColor="accent4" w:themeTint="66"/>
              <w:right w:val="nil"/>
            </w:tcBorders>
            <w:vAlign w:val="center"/>
          </w:tcPr>
          <w:p w:rsidR="00726AD2" w:rsidRPr="001D7684" w:rsidRDefault="00726AD2" w:rsidP="00726AD2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726AD2" w:rsidRPr="001D7684" w:rsidRDefault="00726AD2" w:rsidP="00726AD2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D7684">
              <w:rPr>
                <w:rFonts w:ascii="Arial" w:hAnsi="Arial" w:cs="Arial"/>
                <w:sz w:val="20"/>
                <w:szCs w:val="20"/>
                <w:lang w:val="es-ES"/>
              </w:rPr>
              <w:t>COBERTURA</w:t>
            </w:r>
          </w:p>
        </w:tc>
        <w:tc>
          <w:tcPr>
            <w:tcW w:w="1900" w:type="dxa"/>
            <w:tcBorders>
              <w:top w:val="single" w:sz="12" w:space="0" w:color="385623" w:themeColor="accent6" w:themeShade="80"/>
              <w:left w:val="nil"/>
              <w:bottom w:val="single" w:sz="12" w:space="0" w:color="FFE599" w:themeColor="accent4" w:themeTint="66"/>
              <w:right w:val="nil"/>
            </w:tcBorders>
            <w:vAlign w:val="center"/>
          </w:tcPr>
          <w:p w:rsidR="00726AD2" w:rsidRPr="001D7684" w:rsidRDefault="00726AD2" w:rsidP="00726AD2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726AD2" w:rsidRPr="001D7684" w:rsidRDefault="00726AD2" w:rsidP="00726AD2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D7684">
              <w:rPr>
                <w:rFonts w:ascii="Arial" w:hAnsi="Arial" w:cs="Arial"/>
                <w:sz w:val="20"/>
                <w:szCs w:val="20"/>
                <w:lang w:val="es-ES"/>
              </w:rPr>
              <w:t>SECTOR</w:t>
            </w:r>
          </w:p>
        </w:tc>
        <w:tc>
          <w:tcPr>
            <w:tcW w:w="4195" w:type="dxa"/>
            <w:tcBorders>
              <w:top w:val="single" w:sz="12" w:space="0" w:color="385623" w:themeColor="accent6" w:themeShade="80"/>
              <w:left w:val="nil"/>
              <w:bottom w:val="single" w:sz="12" w:space="0" w:color="FFE599" w:themeColor="accent4" w:themeTint="66"/>
              <w:right w:val="nil"/>
            </w:tcBorders>
            <w:vAlign w:val="center"/>
          </w:tcPr>
          <w:p w:rsidR="00726AD2" w:rsidRPr="001D7684" w:rsidRDefault="00726AD2" w:rsidP="00726AD2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726AD2" w:rsidRPr="001D7684" w:rsidRDefault="00726AD2" w:rsidP="00726AD2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D7684">
              <w:rPr>
                <w:rFonts w:ascii="Arial" w:hAnsi="Arial" w:cs="Arial"/>
                <w:sz w:val="20"/>
                <w:szCs w:val="20"/>
                <w:lang w:val="es-ES"/>
              </w:rPr>
              <w:t>MONTOS DE APOYO</w:t>
            </w:r>
          </w:p>
        </w:tc>
      </w:tr>
      <w:tr w:rsidR="00726AD2" w:rsidRPr="001D7684" w:rsidTr="00726AD2">
        <w:tc>
          <w:tcPr>
            <w:tcW w:w="3369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726AD2" w:rsidRPr="001D7684" w:rsidRDefault="00726AD2" w:rsidP="00726A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6AD2" w:rsidRPr="001D7684" w:rsidRDefault="00726AD2" w:rsidP="00726A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684">
              <w:rPr>
                <w:rFonts w:ascii="Arial" w:hAnsi="Arial" w:cs="Arial"/>
                <w:sz w:val="20"/>
                <w:szCs w:val="20"/>
              </w:rPr>
              <w:t>Nacional</w:t>
            </w:r>
          </w:p>
          <w:p w:rsidR="00726AD2" w:rsidRPr="001D7684" w:rsidRDefault="00726AD2" w:rsidP="00726A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726AD2" w:rsidRPr="001D7684" w:rsidRDefault="00726AD2" w:rsidP="00726AD2">
            <w:pPr>
              <w:pStyle w:val="Texto"/>
              <w:spacing w:after="60"/>
              <w:ind w:firstLine="0"/>
              <w:jc w:val="center"/>
              <w:rPr>
                <w:sz w:val="20"/>
              </w:rPr>
            </w:pPr>
            <w:r w:rsidRPr="001D7684">
              <w:rPr>
                <w:sz w:val="20"/>
              </w:rPr>
              <w:t>Hídrico</w:t>
            </w:r>
          </w:p>
        </w:tc>
        <w:tc>
          <w:tcPr>
            <w:tcW w:w="4195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726AD2" w:rsidRPr="001D7684" w:rsidRDefault="00726AD2" w:rsidP="00726A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684">
              <w:rPr>
                <w:rFonts w:ascii="Arial" w:hAnsi="Arial" w:cs="Arial"/>
                <w:sz w:val="20"/>
                <w:szCs w:val="20"/>
              </w:rPr>
              <w:t>Variable de acuerdo al concepto de apoyo</w:t>
            </w:r>
          </w:p>
          <w:p w:rsidR="00726AD2" w:rsidRPr="001D7684" w:rsidRDefault="00726AD2" w:rsidP="00726A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684">
              <w:rPr>
                <w:rFonts w:ascii="Arial" w:hAnsi="Arial" w:cs="Arial"/>
                <w:sz w:val="20"/>
                <w:szCs w:val="20"/>
              </w:rPr>
              <w:t>(Revisar el apartado montos mínimos y máximos)</w:t>
            </w:r>
          </w:p>
        </w:tc>
      </w:tr>
      <w:tr w:rsidR="00726AD2" w:rsidRPr="001D7684" w:rsidTr="004F5383">
        <w:tc>
          <w:tcPr>
            <w:tcW w:w="3369" w:type="dxa"/>
            <w:tcBorders>
              <w:top w:val="single" w:sz="12" w:space="0" w:color="FFE599" w:themeColor="accent4" w:themeTint="66"/>
              <w:left w:val="nil"/>
              <w:bottom w:val="single" w:sz="12" w:space="0" w:color="FFE599" w:themeColor="accent4" w:themeTint="66"/>
              <w:right w:val="nil"/>
            </w:tcBorders>
            <w:vAlign w:val="center"/>
          </w:tcPr>
          <w:p w:rsidR="00726AD2" w:rsidRPr="001D7684" w:rsidRDefault="00726AD2" w:rsidP="00726AD2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726AD2" w:rsidRPr="001D7684" w:rsidRDefault="00726AD2" w:rsidP="00726A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684">
              <w:rPr>
                <w:rFonts w:ascii="Arial" w:hAnsi="Arial" w:cs="Arial"/>
                <w:sz w:val="20"/>
                <w:szCs w:val="20"/>
                <w:lang w:val="es-ES"/>
              </w:rPr>
              <w:t>BENEFICIARIOS</w:t>
            </w:r>
          </w:p>
        </w:tc>
        <w:tc>
          <w:tcPr>
            <w:tcW w:w="6095" w:type="dxa"/>
            <w:gridSpan w:val="2"/>
            <w:tcBorders>
              <w:top w:val="single" w:sz="12" w:space="0" w:color="FFE599" w:themeColor="accent4" w:themeTint="66"/>
              <w:left w:val="nil"/>
              <w:bottom w:val="single" w:sz="12" w:space="0" w:color="FFE599" w:themeColor="accent4" w:themeTint="66"/>
              <w:right w:val="nil"/>
            </w:tcBorders>
            <w:vAlign w:val="center"/>
          </w:tcPr>
          <w:p w:rsidR="00726AD2" w:rsidRPr="001D7684" w:rsidRDefault="00726AD2" w:rsidP="00726AD2">
            <w:pPr>
              <w:pStyle w:val="Texto"/>
              <w:spacing w:after="60"/>
              <w:ind w:firstLine="0"/>
              <w:jc w:val="center"/>
              <w:rPr>
                <w:sz w:val="20"/>
              </w:rPr>
            </w:pPr>
          </w:p>
          <w:p w:rsidR="00726AD2" w:rsidRPr="001D7684" w:rsidRDefault="00726AD2" w:rsidP="00726AD2">
            <w:pPr>
              <w:pStyle w:val="Texto"/>
              <w:spacing w:after="60"/>
              <w:ind w:firstLine="0"/>
              <w:jc w:val="center"/>
              <w:rPr>
                <w:sz w:val="20"/>
              </w:rPr>
            </w:pPr>
            <w:r w:rsidRPr="001D7684">
              <w:rPr>
                <w:sz w:val="20"/>
              </w:rPr>
              <w:t>CONCEPTO DE APOYO</w:t>
            </w:r>
          </w:p>
        </w:tc>
      </w:tr>
      <w:tr w:rsidR="004F5383" w:rsidRPr="001D7684" w:rsidTr="004F5383">
        <w:trPr>
          <w:trHeight w:val="2205"/>
        </w:trPr>
        <w:tc>
          <w:tcPr>
            <w:tcW w:w="3369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4F5383" w:rsidRPr="0014090D" w:rsidRDefault="001C496B" w:rsidP="00726AD2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4090D">
              <w:rPr>
                <w:rFonts w:ascii="Arial" w:hAnsi="Arial" w:cs="Arial"/>
                <w:sz w:val="20"/>
                <w:szCs w:val="20"/>
              </w:rPr>
              <w:t xml:space="preserve">Las acciones comprendidas en estas Reglas de Operación se establecen para su aplicación sin distinción de género, etnia y religión y están dirigidas, a las ACU, SRL y Usuarios </w:t>
            </w:r>
            <w:proofErr w:type="spellStart"/>
            <w:r w:rsidRPr="0014090D">
              <w:rPr>
                <w:rFonts w:ascii="Arial" w:hAnsi="Arial" w:cs="Arial"/>
                <w:sz w:val="20"/>
                <w:szCs w:val="20"/>
              </w:rPr>
              <w:t>Hidroagrícolas</w:t>
            </w:r>
            <w:proofErr w:type="spellEnd"/>
            <w:r w:rsidRPr="0014090D">
              <w:rPr>
                <w:rFonts w:ascii="Arial" w:hAnsi="Arial" w:cs="Arial"/>
                <w:sz w:val="20"/>
                <w:szCs w:val="20"/>
              </w:rPr>
              <w:t xml:space="preserve"> de los distritos y unidades de riego, Distritos de Temporal Tecnificado y de Zonas de Temporal, o en su caso entes públicos que soliciten los apoyos de los programas y que cumplan los requisitos generales, específicos y procedimientos de selección.</w:t>
            </w:r>
          </w:p>
        </w:tc>
        <w:tc>
          <w:tcPr>
            <w:tcW w:w="6095" w:type="dxa"/>
            <w:gridSpan w:val="2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4F5383" w:rsidRPr="001D7684" w:rsidRDefault="004F5383" w:rsidP="001C496B">
            <w:pPr>
              <w:pStyle w:val="Texto"/>
              <w:spacing w:after="80"/>
              <w:ind w:left="720" w:firstLine="0"/>
              <w:rPr>
                <w:sz w:val="20"/>
              </w:rPr>
            </w:pPr>
          </w:p>
          <w:p w:rsidR="001C496B" w:rsidRPr="008A3F07" w:rsidRDefault="001C496B" w:rsidP="001C496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  <w:lang w:val="es-ES"/>
              </w:rPr>
            </w:pPr>
            <w:r w:rsidRPr="008A3F07">
              <w:rPr>
                <w:rFonts w:ascii="Arial" w:hAnsi="Arial" w:cs="Arial"/>
                <w:b/>
                <w:color w:val="000000"/>
                <w:sz w:val="18"/>
                <w:szCs w:val="18"/>
                <w:lang w:val="es-ES"/>
              </w:rPr>
              <w:t xml:space="preserve">A) Subprograma de Rehabilitación, Modernización, Tecnificación y Equipamiento de Distritos de Riego. </w:t>
            </w:r>
          </w:p>
          <w:p w:rsidR="001C496B" w:rsidRPr="001C496B" w:rsidRDefault="001C496B" w:rsidP="001C496B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1C496B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Componente Rehabilitación, Modernización y Tecnificación de Distritos de Riego. </w:t>
            </w:r>
          </w:p>
          <w:p w:rsidR="001C496B" w:rsidRPr="001C496B" w:rsidRDefault="001C496B" w:rsidP="001C496B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1C496B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Componente Equipamiento de Distritos de Riego. </w:t>
            </w:r>
          </w:p>
          <w:p w:rsidR="001C496B" w:rsidRPr="001C496B" w:rsidRDefault="001C496B" w:rsidP="001C496B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1C496B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Componente Devolución de pagos por Suministro de Agua en Bloque. </w:t>
            </w:r>
          </w:p>
          <w:p w:rsidR="001C496B" w:rsidRPr="001C496B" w:rsidRDefault="001C496B" w:rsidP="001C496B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1C496B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Componente Riego por Gravedad Tecnificado. </w:t>
            </w:r>
          </w:p>
          <w:p w:rsidR="001C496B" w:rsidRPr="008A3F07" w:rsidRDefault="001C496B" w:rsidP="001C496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  <w:lang w:val="es-ES"/>
              </w:rPr>
            </w:pPr>
            <w:r w:rsidRPr="008A3F07">
              <w:rPr>
                <w:rFonts w:ascii="Arial" w:hAnsi="Arial" w:cs="Arial"/>
                <w:b/>
                <w:color w:val="000000"/>
                <w:sz w:val="18"/>
                <w:szCs w:val="18"/>
                <w:lang w:val="es-ES"/>
              </w:rPr>
              <w:t xml:space="preserve">B) Subprograma de Rehabilitación, Modernización, Tecnificación y Equipamiento de Temporal Tecnificado. </w:t>
            </w:r>
          </w:p>
          <w:p w:rsidR="001C496B" w:rsidRPr="001C496B" w:rsidRDefault="001C496B" w:rsidP="001C496B">
            <w:pPr>
              <w:pStyle w:val="Prrafodelista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1C496B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Componente Infraestructura de Riego Suplementario en Zonas de Temporal. </w:t>
            </w:r>
          </w:p>
          <w:p w:rsidR="001C496B" w:rsidRPr="001C496B" w:rsidRDefault="001C496B" w:rsidP="001C496B">
            <w:pPr>
              <w:pStyle w:val="Prrafodelista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1C496B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Componente Modernización de los Distritos de Temporal Tecnificado. </w:t>
            </w:r>
          </w:p>
          <w:p w:rsidR="001C496B" w:rsidRPr="008A3F07" w:rsidRDefault="001C496B" w:rsidP="001C496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  <w:lang w:val="es-ES"/>
              </w:rPr>
            </w:pPr>
            <w:r w:rsidRPr="008A3F07">
              <w:rPr>
                <w:rFonts w:ascii="Arial" w:hAnsi="Arial" w:cs="Arial"/>
                <w:b/>
                <w:color w:val="000000"/>
                <w:sz w:val="18"/>
                <w:szCs w:val="18"/>
                <w:lang w:val="es-ES"/>
              </w:rPr>
              <w:t xml:space="preserve">C) Subprograma de Rehabilitación, Modernización, Tecnificación y Equipamiento de Unidades de Riego. </w:t>
            </w:r>
          </w:p>
          <w:p w:rsidR="001C496B" w:rsidRPr="001C496B" w:rsidRDefault="001C496B" w:rsidP="001C496B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1C496B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Componente Rehabilitación, Modernización, Tecnificación y Equipamiento de Unidades de Riego. </w:t>
            </w:r>
          </w:p>
          <w:p w:rsidR="0014090D" w:rsidRPr="0014090D" w:rsidRDefault="001C496B" w:rsidP="0014090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  <w:lang w:val="es-ES"/>
              </w:rPr>
            </w:pPr>
            <w:r w:rsidRPr="008A3F07">
              <w:rPr>
                <w:rFonts w:ascii="Arial" w:hAnsi="Arial" w:cs="Arial"/>
                <w:b/>
                <w:color w:val="000000"/>
                <w:sz w:val="18"/>
                <w:szCs w:val="18"/>
                <w:lang w:val="es-ES"/>
              </w:rPr>
              <w:t xml:space="preserve">D) Subprograma de Apoyos Especiales y Estratégicos. </w:t>
            </w:r>
          </w:p>
          <w:p w:rsidR="004F5383" w:rsidRPr="0014090D" w:rsidRDefault="001C496B" w:rsidP="0014090D">
            <w:pPr>
              <w:pStyle w:val="Prrafodelista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14090D">
              <w:rPr>
                <w:color w:val="000000"/>
                <w:szCs w:val="18"/>
              </w:rPr>
              <w:t>Componente Apoyos Especiales y Estratégicos.</w:t>
            </w:r>
          </w:p>
        </w:tc>
      </w:tr>
    </w:tbl>
    <w:p w:rsidR="00A13C17" w:rsidRDefault="00A13C17" w:rsidP="00A13C17">
      <w:pPr>
        <w:pStyle w:val="Texto"/>
        <w:spacing w:line="240" w:lineRule="auto"/>
        <w:ind w:firstLine="0"/>
        <w:rPr>
          <w:rFonts w:eastAsiaTheme="minorHAnsi"/>
          <w:b/>
          <w:sz w:val="24"/>
          <w:szCs w:val="24"/>
          <w:lang w:val="es-MX" w:eastAsia="en-US"/>
        </w:rPr>
      </w:pPr>
    </w:p>
    <w:p w:rsidR="00A13C17" w:rsidRDefault="00A13C17" w:rsidP="00A13C17">
      <w:pPr>
        <w:pStyle w:val="Texto"/>
        <w:spacing w:line="240" w:lineRule="auto"/>
        <w:ind w:firstLine="0"/>
      </w:pPr>
    </w:p>
    <w:p w:rsidR="00A13C17" w:rsidRDefault="00A13C17" w:rsidP="000E2DF2">
      <w:pPr>
        <w:shd w:val="clear" w:color="auto" w:fill="FFE599" w:themeFill="accent4" w:themeFillTint="66"/>
        <w:spacing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A13C17">
        <w:rPr>
          <w:rFonts w:ascii="Arial" w:hAnsi="Arial" w:cs="Arial"/>
          <w:b/>
          <w:sz w:val="18"/>
          <w:szCs w:val="18"/>
        </w:rPr>
        <w:t xml:space="preserve">REQUISITOS </w:t>
      </w:r>
      <w:r w:rsidR="0014090D">
        <w:rPr>
          <w:rFonts w:ascii="Arial" w:hAnsi="Arial" w:cs="Arial"/>
          <w:b/>
          <w:sz w:val="18"/>
          <w:szCs w:val="18"/>
        </w:rPr>
        <w:t>GENERALES</w:t>
      </w:r>
    </w:p>
    <w:tbl>
      <w:tblPr>
        <w:tblStyle w:val="Tablaconcuadrcula"/>
        <w:tblW w:w="9464" w:type="dxa"/>
        <w:tblBorders>
          <w:top w:val="single" w:sz="12" w:space="0" w:color="FFE599" w:themeColor="accent4" w:themeTint="66"/>
          <w:left w:val="single" w:sz="12" w:space="0" w:color="FFE599" w:themeColor="accent4" w:themeTint="66"/>
          <w:bottom w:val="single" w:sz="12" w:space="0" w:color="FFE599" w:themeColor="accent4" w:themeTint="66"/>
          <w:right w:val="single" w:sz="12" w:space="0" w:color="FFE599" w:themeColor="accent4" w:themeTint="66"/>
          <w:insideH w:val="single" w:sz="12" w:space="0" w:color="FFE599" w:themeColor="accent4" w:themeTint="66"/>
          <w:insideV w:val="single" w:sz="12" w:space="0" w:color="FFE599" w:themeColor="accent4" w:themeTint="66"/>
        </w:tblBorders>
        <w:tblLook w:val="04A0" w:firstRow="1" w:lastRow="0" w:firstColumn="1" w:lastColumn="0" w:noHBand="0" w:noVBand="1"/>
      </w:tblPr>
      <w:tblGrid>
        <w:gridCol w:w="9464"/>
      </w:tblGrid>
      <w:tr w:rsidR="000E2DF2" w:rsidTr="00726AD2">
        <w:tc>
          <w:tcPr>
            <w:tcW w:w="9464" w:type="dxa"/>
          </w:tcPr>
          <w:p w:rsidR="008A3F07" w:rsidRPr="0014090D" w:rsidRDefault="008A3F07" w:rsidP="0014090D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  <w:lang w:val="es-ES"/>
              </w:rPr>
            </w:pPr>
            <w:r w:rsidRPr="0014090D">
              <w:rPr>
                <w:rFonts w:ascii="Arial" w:hAnsi="Arial" w:cs="Arial"/>
                <w:b/>
                <w:color w:val="000000"/>
                <w:sz w:val="18"/>
                <w:szCs w:val="18"/>
                <w:lang w:val="es-ES"/>
              </w:rPr>
              <w:t xml:space="preserve">Para Distritos de Riego: </w:t>
            </w:r>
          </w:p>
          <w:p w:rsidR="0014090D" w:rsidRPr="0014090D" w:rsidRDefault="0014090D" w:rsidP="0014090D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1080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  <w:lang w:val="es-ES"/>
              </w:rPr>
            </w:pPr>
          </w:p>
          <w:p w:rsidR="008A3F07" w:rsidRPr="008A3F07" w:rsidRDefault="008A3F07" w:rsidP="0014090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8A3F07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● Que los recursos que aporten las ACU o SRL beneficiadas no estén considerados como contraparte en más de un subprograma federal o en alguna de las componentes de estas reglas. </w:t>
            </w:r>
          </w:p>
          <w:p w:rsidR="008A3F07" w:rsidRPr="008A3F07" w:rsidRDefault="008A3F07" w:rsidP="0014090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8A3F07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● Que las ACU o SRL no tengan adeudos de la contraparte del último año que recibieron el apoyo con base en el calendario de ejecución autorizado. </w:t>
            </w:r>
          </w:p>
          <w:p w:rsidR="008A3F07" w:rsidRPr="008A3F07" w:rsidRDefault="008A3F07" w:rsidP="0014090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8A3F07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● Que las ACU o SRL no tengan retrasos en la ejecución de las acciones autorizadas del último año que recibieron el apoyo. </w:t>
            </w:r>
          </w:p>
          <w:p w:rsidR="008A3F07" w:rsidRPr="008A3F07" w:rsidRDefault="008A3F07" w:rsidP="0014090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8A3F07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● Que en su caso, la contraparte de inversión estatal no esté integrada con recursos provenientes de otros programas federales. </w:t>
            </w:r>
          </w:p>
          <w:p w:rsidR="008A3F07" w:rsidRPr="008A3F07" w:rsidRDefault="008A3F07" w:rsidP="0014090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8A3F07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● Las ACU o SRL deben estar al corriente del pago a TESOFE por el Suministro de Agua en Bloque al momento de emitir el dictamen técnico a la solicitud de apoyo y conforme los avances en el Plan de Riego autorizado para el año agrícola vigente. </w:t>
            </w:r>
          </w:p>
          <w:p w:rsidR="008A3F07" w:rsidRPr="008A3F07" w:rsidRDefault="008A3F07" w:rsidP="0014090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8A3F07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lastRenderedPageBreak/>
              <w:t xml:space="preserve">● Las ACU o SRL deben presentar sus estados financieros avalados por contador público. </w:t>
            </w:r>
          </w:p>
          <w:p w:rsidR="008A3F07" w:rsidRDefault="008A3F07" w:rsidP="0014090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8A3F07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● Demostrar estar al corriente de sus obligaciones fiscales. </w:t>
            </w:r>
          </w:p>
          <w:p w:rsidR="0014090D" w:rsidRPr="008A3F07" w:rsidRDefault="0014090D" w:rsidP="0014090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</w:p>
          <w:p w:rsidR="008A3F07" w:rsidRPr="008A3F07" w:rsidRDefault="008A3F07" w:rsidP="0014090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8A3F07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 xml:space="preserve">a) </w:t>
            </w:r>
            <w:r w:rsidRPr="008A3F07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Para el caso de que las ACU o SRL decidan que los recursos se radiquen a los </w:t>
            </w:r>
            <w:proofErr w:type="spellStart"/>
            <w:r w:rsidRPr="008A3F07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FOFAE’s</w:t>
            </w:r>
            <w:proofErr w:type="spellEnd"/>
            <w:r w:rsidRPr="008A3F07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: </w:t>
            </w:r>
          </w:p>
          <w:p w:rsidR="008A3F07" w:rsidRDefault="008A3F07" w:rsidP="0014090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8A3F07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● Que se haya suscrito un Convenio o Acuerdo de Coordinación entre el Gobierno Federal y el Gobierno Estatal, para la conjunción de acciones y recursos, así como formalizar los respectivos Anexos de Ejecución y Técnico en donde se comprometan los recursos y acciones a realizar. </w:t>
            </w:r>
          </w:p>
          <w:p w:rsidR="0014090D" w:rsidRPr="008A3F07" w:rsidRDefault="0014090D" w:rsidP="0014090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</w:p>
          <w:p w:rsidR="008A3F07" w:rsidRPr="008A3F07" w:rsidRDefault="008A3F07" w:rsidP="0014090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8A3F07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 xml:space="preserve">b) </w:t>
            </w:r>
            <w:r w:rsidRPr="008A3F07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Para el caso de que las ACU o SRL decidan operar y administrar los recursos directamente: </w:t>
            </w:r>
          </w:p>
          <w:p w:rsidR="008A3F07" w:rsidRPr="008A3F07" w:rsidRDefault="008A3F07" w:rsidP="0014090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8A3F07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● Que se haya suscrito un Convenio de Concertación y/o Coordinación entre el Gobierno Federal y el representante de los usuarios en el Estado y en su caso el Gobierno Estatal o municipal cuando aporta recursos, para formalizar los recursos y acciones a realizar. </w:t>
            </w:r>
          </w:p>
          <w:p w:rsidR="008A3F07" w:rsidRPr="008A3F07" w:rsidRDefault="008A3F07" w:rsidP="0014090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8A3F07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● Presentar el registro de saldos no ejercidos y los respectivos intereses, del último apoyo que hayan recibido, así como los enteros correspondientes a la TESOFE. </w:t>
            </w:r>
          </w:p>
          <w:p w:rsidR="008A3F07" w:rsidRDefault="008A3F07" w:rsidP="0014090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8A3F07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● Abrir una cuenta bancaria mancomunada por Componente o subprograma. Se recomienda que las cuentas bancarias, en donde se transfieran los recursos para las componentes Rehabilitación y Modernización, y Equipamiento, generen intereses. </w:t>
            </w:r>
          </w:p>
          <w:p w:rsidR="0014090D" w:rsidRPr="008A3F07" w:rsidRDefault="0014090D" w:rsidP="0014090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</w:p>
          <w:p w:rsidR="008A3F07" w:rsidRPr="0014090D" w:rsidRDefault="008A3F07" w:rsidP="0014090D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  <w:lang w:val="es-ES"/>
              </w:rPr>
            </w:pPr>
            <w:r w:rsidRPr="0014090D">
              <w:rPr>
                <w:rFonts w:ascii="Arial" w:hAnsi="Arial" w:cs="Arial"/>
                <w:b/>
                <w:color w:val="000000"/>
                <w:sz w:val="18"/>
                <w:szCs w:val="18"/>
                <w:lang w:val="es-ES"/>
              </w:rPr>
              <w:t xml:space="preserve">Para Unidades de Riego e Infraestructura de Riego Suplementario o en Zonas de Temporal. </w:t>
            </w:r>
          </w:p>
          <w:p w:rsidR="008A3F07" w:rsidRPr="008A3F07" w:rsidRDefault="008A3F07" w:rsidP="0014090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8A3F07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 xml:space="preserve">a) </w:t>
            </w:r>
            <w:r w:rsidRPr="008A3F07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Para el caso de que las ACU, SRL o usuarios </w:t>
            </w:r>
            <w:proofErr w:type="spellStart"/>
            <w:r w:rsidRPr="008A3F07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hidroagrícolas</w:t>
            </w:r>
            <w:proofErr w:type="spellEnd"/>
            <w:r w:rsidRPr="008A3F07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 decidan que los recursos se radiquen a los </w:t>
            </w:r>
            <w:proofErr w:type="spellStart"/>
            <w:r w:rsidRPr="008A3F07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FOFAE’s</w:t>
            </w:r>
            <w:proofErr w:type="spellEnd"/>
            <w:r w:rsidRPr="008A3F07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: </w:t>
            </w:r>
          </w:p>
          <w:p w:rsidR="008A3F07" w:rsidRDefault="008A3F07" w:rsidP="0014090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8A3F07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● Que se haya suscrito un Convenio o Acuerdo de Coordinación entre el Gobierno Federal y el Gobierno Estatal, para la conjunción de acciones y recursos, así como formalizar los respectivos Anexos de Ejecución y Técnico en donde se comprometan los recursos y acciones a realizar. </w:t>
            </w:r>
          </w:p>
          <w:p w:rsidR="0014090D" w:rsidRPr="008A3F07" w:rsidRDefault="0014090D" w:rsidP="0014090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</w:p>
          <w:p w:rsidR="008A3F07" w:rsidRPr="008A3F07" w:rsidRDefault="008A3F07" w:rsidP="0014090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8A3F07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 xml:space="preserve">b) </w:t>
            </w:r>
            <w:r w:rsidRPr="008A3F07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Para el caso de que las ACU, SRL o usuarios </w:t>
            </w:r>
            <w:proofErr w:type="spellStart"/>
            <w:r w:rsidRPr="008A3F07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hidroagrícolas</w:t>
            </w:r>
            <w:proofErr w:type="spellEnd"/>
            <w:r w:rsidRPr="008A3F07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, decidan operar y administrar los recursos a través del Comité </w:t>
            </w:r>
            <w:proofErr w:type="spellStart"/>
            <w:r w:rsidRPr="008A3F07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Hidroagrícola</w:t>
            </w:r>
            <w:proofErr w:type="spellEnd"/>
            <w:r w:rsidRPr="008A3F07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: </w:t>
            </w:r>
          </w:p>
          <w:p w:rsidR="008A3F07" w:rsidRPr="008A3F07" w:rsidRDefault="008A3F07" w:rsidP="0014090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8A3F07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● Que se haya suscrito un Convenio de Concertación entre el Gobierno Federal y el representante de los usuarios de las Unidades de Riego a beneficiar y en su caso el Gobierno Estatal cuando aporta recursos, para formalizar los recursos y acciones a realizar. </w:t>
            </w:r>
          </w:p>
          <w:p w:rsidR="008A3F07" w:rsidRPr="008A3F07" w:rsidRDefault="008A3F07" w:rsidP="0014090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8A3F07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Para ambos casos que los recursos que aporten las ACU, SRL o usuarios </w:t>
            </w:r>
            <w:proofErr w:type="spellStart"/>
            <w:r w:rsidRPr="008A3F07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hidroagrícolas</w:t>
            </w:r>
            <w:proofErr w:type="spellEnd"/>
            <w:r w:rsidRPr="008A3F07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 no estén considerados como contraparte en más de un programa federal y que la contraparte de inversión estatal no esté integrada con recursos provenientes de otros programas federales. </w:t>
            </w:r>
            <w:r w:rsidRPr="008A3F07">
              <w:rPr>
                <w:rFonts w:ascii="Times New Roman" w:hAnsi="Times New Roman" w:cs="Times New Roman"/>
                <w:color w:val="000000"/>
                <w:sz w:val="18"/>
                <w:szCs w:val="18"/>
                <w:lang w:val="es-ES"/>
              </w:rPr>
              <w:t xml:space="preserve">12 (Decimoprimera Sección) DIARIO OFICIAL Martes 29 de diciembre de 2015 </w:t>
            </w:r>
          </w:p>
          <w:p w:rsidR="008A3F07" w:rsidRPr="008A3F07" w:rsidRDefault="008A3F07" w:rsidP="0014090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8A3F07" w:rsidRPr="0014090D" w:rsidRDefault="008A3F07" w:rsidP="0014090D">
            <w:pPr>
              <w:pStyle w:val="Prrafodelista"/>
              <w:pageBreakBefore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14090D">
              <w:rPr>
                <w:rFonts w:ascii="Arial" w:hAnsi="Arial" w:cs="Arial"/>
                <w:b/>
                <w:sz w:val="18"/>
                <w:szCs w:val="18"/>
                <w:lang w:val="es-ES"/>
              </w:rPr>
              <w:t xml:space="preserve">Para Distritos de Temporal Tecnificado </w:t>
            </w:r>
          </w:p>
          <w:p w:rsidR="008A3F07" w:rsidRPr="008A3F07" w:rsidRDefault="008A3F07" w:rsidP="0014090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8A3F07"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 xml:space="preserve">a) </w:t>
            </w:r>
            <w:r w:rsidRPr="008A3F07">
              <w:rPr>
                <w:rFonts w:ascii="Arial" w:hAnsi="Arial" w:cs="Arial"/>
                <w:sz w:val="18"/>
                <w:szCs w:val="18"/>
                <w:lang w:val="es-ES"/>
              </w:rPr>
              <w:t xml:space="preserve">Para el caso de que las ACU o usuarios </w:t>
            </w:r>
            <w:proofErr w:type="spellStart"/>
            <w:r w:rsidRPr="008A3F07">
              <w:rPr>
                <w:rFonts w:ascii="Arial" w:hAnsi="Arial" w:cs="Arial"/>
                <w:sz w:val="18"/>
                <w:szCs w:val="18"/>
                <w:lang w:val="es-ES"/>
              </w:rPr>
              <w:t>hidroagrícola</w:t>
            </w:r>
            <w:proofErr w:type="spellEnd"/>
            <w:r w:rsidRPr="008A3F07">
              <w:rPr>
                <w:rFonts w:ascii="Arial" w:hAnsi="Arial" w:cs="Arial"/>
                <w:sz w:val="18"/>
                <w:szCs w:val="18"/>
                <w:lang w:val="es-ES"/>
              </w:rPr>
              <w:t xml:space="preserve"> decidan que los recursos se radiquen a los </w:t>
            </w:r>
            <w:proofErr w:type="spellStart"/>
            <w:r w:rsidRPr="008A3F07">
              <w:rPr>
                <w:rFonts w:ascii="Arial" w:hAnsi="Arial" w:cs="Arial"/>
                <w:sz w:val="18"/>
                <w:szCs w:val="18"/>
                <w:lang w:val="es-ES"/>
              </w:rPr>
              <w:t>FOFAE’s</w:t>
            </w:r>
            <w:proofErr w:type="spellEnd"/>
            <w:r w:rsidRPr="008A3F07">
              <w:rPr>
                <w:rFonts w:ascii="Arial" w:hAnsi="Arial" w:cs="Arial"/>
                <w:sz w:val="18"/>
                <w:szCs w:val="18"/>
                <w:lang w:val="es-ES"/>
              </w:rPr>
              <w:t xml:space="preserve">: </w:t>
            </w:r>
          </w:p>
          <w:p w:rsidR="008A3F07" w:rsidRPr="008A3F07" w:rsidRDefault="008A3F07" w:rsidP="0014090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8A3F07">
              <w:rPr>
                <w:rFonts w:ascii="Arial" w:hAnsi="Arial" w:cs="Arial"/>
                <w:sz w:val="18"/>
                <w:szCs w:val="18"/>
                <w:lang w:val="es-ES"/>
              </w:rPr>
              <w:t xml:space="preserve">● Que se haya suscrito un Convenio o Acuerdo de Coordinación entre el Gobierno Federal y el Gobierno Estatal, para la conjunción de acciones y recursos, así como formalizar los respectivos Anexos de Ejecución y Técnico en donde se comprometan los recursos y acciones a realizar. </w:t>
            </w:r>
          </w:p>
          <w:p w:rsidR="008A3F07" w:rsidRPr="008A3F07" w:rsidRDefault="008A3F07" w:rsidP="0014090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8A3F07">
              <w:rPr>
                <w:rFonts w:ascii="Arial" w:hAnsi="Arial" w:cs="Arial"/>
                <w:sz w:val="18"/>
                <w:szCs w:val="18"/>
                <w:lang w:val="es-ES"/>
              </w:rPr>
              <w:t xml:space="preserve">● Que los recursos que aporten las ACU, o usuarios </w:t>
            </w:r>
            <w:proofErr w:type="spellStart"/>
            <w:r w:rsidRPr="008A3F07">
              <w:rPr>
                <w:rFonts w:ascii="Arial" w:hAnsi="Arial" w:cs="Arial"/>
                <w:sz w:val="18"/>
                <w:szCs w:val="18"/>
                <w:lang w:val="es-ES"/>
              </w:rPr>
              <w:t>hidroagrícolas</w:t>
            </w:r>
            <w:proofErr w:type="spellEnd"/>
            <w:r w:rsidRPr="008A3F07">
              <w:rPr>
                <w:rFonts w:ascii="Arial" w:hAnsi="Arial" w:cs="Arial"/>
                <w:sz w:val="18"/>
                <w:szCs w:val="18"/>
                <w:lang w:val="es-ES"/>
              </w:rPr>
              <w:t xml:space="preserve"> no estén considerados como contraparte en más de un programa federal. </w:t>
            </w:r>
          </w:p>
          <w:p w:rsidR="008A3F07" w:rsidRDefault="008A3F07" w:rsidP="0014090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8A3F07">
              <w:rPr>
                <w:rFonts w:ascii="Arial" w:hAnsi="Arial" w:cs="Arial"/>
                <w:sz w:val="18"/>
                <w:szCs w:val="18"/>
                <w:lang w:val="es-ES"/>
              </w:rPr>
              <w:t xml:space="preserve">● Que la contraparte de inversión estatal no esté integrada con recursos provenientes de otros programas federales. </w:t>
            </w:r>
          </w:p>
          <w:p w:rsidR="0014090D" w:rsidRPr="008A3F07" w:rsidRDefault="0014090D" w:rsidP="0014090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:rsidR="008A3F07" w:rsidRPr="008A3F07" w:rsidRDefault="008A3F07" w:rsidP="0014090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8A3F07"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 xml:space="preserve">b) </w:t>
            </w:r>
            <w:r w:rsidRPr="008A3F07">
              <w:rPr>
                <w:rFonts w:ascii="Arial" w:hAnsi="Arial" w:cs="Arial"/>
                <w:sz w:val="18"/>
                <w:szCs w:val="18"/>
                <w:lang w:val="es-ES"/>
              </w:rPr>
              <w:t xml:space="preserve">Para el caso de que las ACU, o usuarios </w:t>
            </w:r>
            <w:proofErr w:type="spellStart"/>
            <w:r w:rsidRPr="008A3F07">
              <w:rPr>
                <w:rFonts w:ascii="Arial" w:hAnsi="Arial" w:cs="Arial"/>
                <w:sz w:val="18"/>
                <w:szCs w:val="18"/>
                <w:lang w:val="es-ES"/>
              </w:rPr>
              <w:t>hidroagrícolas</w:t>
            </w:r>
            <w:proofErr w:type="spellEnd"/>
            <w:r w:rsidRPr="008A3F07">
              <w:rPr>
                <w:rFonts w:ascii="Arial" w:hAnsi="Arial" w:cs="Arial"/>
                <w:sz w:val="18"/>
                <w:szCs w:val="18"/>
                <w:lang w:val="es-ES"/>
              </w:rPr>
              <w:t xml:space="preserve">, decidan operar y administrar los recursos a través del Comité </w:t>
            </w:r>
            <w:proofErr w:type="spellStart"/>
            <w:r w:rsidRPr="008A3F07">
              <w:rPr>
                <w:rFonts w:ascii="Arial" w:hAnsi="Arial" w:cs="Arial"/>
                <w:sz w:val="18"/>
                <w:szCs w:val="18"/>
                <w:lang w:val="es-ES"/>
              </w:rPr>
              <w:t>Hidroagrícola</w:t>
            </w:r>
            <w:proofErr w:type="spellEnd"/>
            <w:r w:rsidRPr="008A3F07">
              <w:rPr>
                <w:rFonts w:ascii="Arial" w:hAnsi="Arial" w:cs="Arial"/>
                <w:sz w:val="18"/>
                <w:szCs w:val="18"/>
                <w:lang w:val="es-ES"/>
              </w:rPr>
              <w:t xml:space="preserve">: </w:t>
            </w:r>
          </w:p>
          <w:p w:rsidR="008A3F07" w:rsidRPr="008A3F07" w:rsidRDefault="008A3F07" w:rsidP="0014090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8A3F07">
              <w:rPr>
                <w:rFonts w:ascii="Arial" w:hAnsi="Arial" w:cs="Arial"/>
                <w:sz w:val="18"/>
                <w:szCs w:val="18"/>
                <w:lang w:val="es-ES"/>
              </w:rPr>
              <w:t xml:space="preserve">● Que se haya suscrito un Convenio de Concertación entre el Gobierno Federal y el representante de los usuarios de Distritos de Temporal Tecnificado a beneficiar y en su caso el Gobierno Estatal cuando aporta recursos, para formalizar los recursos y acciones a realizar. </w:t>
            </w:r>
          </w:p>
          <w:p w:rsidR="000E2DF2" w:rsidRDefault="008A3F07" w:rsidP="0014090D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8A3F07">
              <w:rPr>
                <w:rFonts w:ascii="Arial" w:hAnsi="Arial" w:cs="Arial"/>
                <w:sz w:val="18"/>
                <w:szCs w:val="18"/>
                <w:lang w:val="es-ES"/>
              </w:rPr>
              <w:t xml:space="preserve">Los ejecutores que hayan sido beneficiados con recursos de alguno de los programas de subsidio </w:t>
            </w:r>
            <w:proofErr w:type="spellStart"/>
            <w:r w:rsidRPr="008A3F07">
              <w:rPr>
                <w:rFonts w:ascii="Arial" w:hAnsi="Arial" w:cs="Arial"/>
                <w:sz w:val="18"/>
                <w:szCs w:val="18"/>
                <w:lang w:val="es-ES"/>
              </w:rPr>
              <w:t>Hidroagrícola</w:t>
            </w:r>
            <w:proofErr w:type="spellEnd"/>
            <w:r w:rsidRPr="008A3F07">
              <w:rPr>
                <w:rFonts w:ascii="Arial" w:hAnsi="Arial" w:cs="Arial"/>
                <w:sz w:val="18"/>
                <w:szCs w:val="18"/>
                <w:lang w:val="es-ES"/>
              </w:rPr>
              <w:t xml:space="preserve"> en el año inmediato anterior, deberán presentar el cierre de ejercicio, reintegro de saldos no ejercidos con sus respectivos intereses y comprobante de haber elaborado las actas de entrega-recepción para poder participar en el programa correspondiente. En caso de reintegro extemporáneo deberá presentar el pago efectuado por los productos financieros generados. </w:t>
            </w:r>
          </w:p>
        </w:tc>
      </w:tr>
    </w:tbl>
    <w:p w:rsidR="004F5383" w:rsidRDefault="004F5383" w:rsidP="000E2DF2">
      <w:pPr>
        <w:spacing w:line="240" w:lineRule="auto"/>
        <w:jc w:val="center"/>
        <w:rPr>
          <w:b/>
          <w:bCs/>
          <w:sz w:val="18"/>
          <w:szCs w:val="18"/>
        </w:rPr>
      </w:pPr>
    </w:p>
    <w:p w:rsidR="004F5383" w:rsidRDefault="004F5383" w:rsidP="000E2DF2">
      <w:pPr>
        <w:spacing w:line="240" w:lineRule="auto"/>
        <w:jc w:val="center"/>
        <w:rPr>
          <w:b/>
          <w:bCs/>
          <w:sz w:val="18"/>
          <w:szCs w:val="18"/>
        </w:rPr>
      </w:pPr>
    </w:p>
    <w:p w:rsidR="000E2DF2" w:rsidRPr="0014090D" w:rsidRDefault="004F5383" w:rsidP="000E2DF2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4090D">
        <w:rPr>
          <w:rFonts w:ascii="Arial" w:hAnsi="Arial" w:cs="Arial"/>
          <w:b/>
          <w:bCs/>
          <w:sz w:val="24"/>
          <w:szCs w:val="24"/>
        </w:rPr>
        <w:lastRenderedPageBreak/>
        <w:t>Operación.</w:t>
      </w:r>
    </w:p>
    <w:p w:rsidR="004F5383" w:rsidRPr="0014090D" w:rsidRDefault="004F5383" w:rsidP="001409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8"/>
          <w:szCs w:val="18"/>
          <w:lang w:val="es-ES"/>
        </w:rPr>
      </w:pPr>
      <w:r w:rsidRPr="004F5383">
        <w:rPr>
          <w:rFonts w:ascii="Arial" w:hAnsi="Arial" w:cs="Arial"/>
          <w:b/>
          <w:color w:val="000000"/>
          <w:sz w:val="18"/>
          <w:szCs w:val="18"/>
          <w:lang w:val="es-ES"/>
        </w:rPr>
        <w:t>Actividades y plazos</w:t>
      </w:r>
    </w:p>
    <w:p w:rsidR="0014090D" w:rsidRPr="004F5383" w:rsidRDefault="0014090D" w:rsidP="004F53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s-ES"/>
        </w:rPr>
      </w:pPr>
    </w:p>
    <w:p w:rsidR="004F5383" w:rsidRDefault="004F5383" w:rsidP="004F5383">
      <w:pPr>
        <w:spacing w:line="240" w:lineRule="auto"/>
        <w:jc w:val="center"/>
        <w:rPr>
          <w:rFonts w:ascii="Arial" w:hAnsi="Arial" w:cs="Arial"/>
          <w:color w:val="000000"/>
          <w:sz w:val="18"/>
          <w:szCs w:val="18"/>
          <w:lang w:val="es-ES"/>
        </w:rPr>
      </w:pPr>
      <w:r w:rsidRPr="004F5383">
        <w:rPr>
          <w:rFonts w:ascii="Arial" w:hAnsi="Arial" w:cs="Arial"/>
          <w:color w:val="000000"/>
          <w:sz w:val="18"/>
          <w:szCs w:val="18"/>
          <w:lang w:val="es-ES"/>
        </w:rPr>
        <w:t xml:space="preserve">Para el Programa de Apoyo a la Infraestructura </w:t>
      </w:r>
      <w:proofErr w:type="spellStart"/>
      <w:r w:rsidRPr="004F5383">
        <w:rPr>
          <w:rFonts w:ascii="Arial" w:hAnsi="Arial" w:cs="Arial"/>
          <w:color w:val="000000"/>
          <w:sz w:val="18"/>
          <w:szCs w:val="18"/>
          <w:lang w:val="es-ES"/>
        </w:rPr>
        <w:t>Hidroagrícola</w:t>
      </w:r>
      <w:proofErr w:type="spellEnd"/>
      <w:r w:rsidRPr="004F5383">
        <w:rPr>
          <w:rFonts w:ascii="Arial" w:hAnsi="Arial" w:cs="Arial"/>
          <w:color w:val="000000"/>
          <w:sz w:val="18"/>
          <w:szCs w:val="18"/>
          <w:lang w:val="es-ES"/>
        </w:rPr>
        <w:t xml:space="preserve"> los plazos límite son los siguientes:</w:t>
      </w:r>
    </w:p>
    <w:p w:rsidR="004F5383" w:rsidRDefault="004F5383" w:rsidP="004F5383">
      <w:pPr>
        <w:spacing w:line="240" w:lineRule="auto"/>
        <w:jc w:val="center"/>
        <w:rPr>
          <w:rFonts w:ascii="Arial" w:hAnsi="Arial" w:cs="Arial"/>
          <w:color w:val="000000"/>
          <w:sz w:val="18"/>
          <w:szCs w:val="18"/>
          <w:lang w:val="es-ES"/>
        </w:rPr>
      </w:pPr>
    </w:p>
    <w:tbl>
      <w:tblPr>
        <w:tblW w:w="9464" w:type="dxa"/>
        <w:tblBorders>
          <w:top w:val="single" w:sz="12" w:space="0" w:color="FFE599" w:themeColor="accent4" w:themeTint="66"/>
          <w:left w:val="single" w:sz="12" w:space="0" w:color="FFE599" w:themeColor="accent4" w:themeTint="66"/>
          <w:bottom w:val="single" w:sz="12" w:space="0" w:color="FFE599" w:themeColor="accent4" w:themeTint="66"/>
          <w:right w:val="single" w:sz="12" w:space="0" w:color="FFE599" w:themeColor="accent4" w:themeTint="66"/>
          <w:insideH w:val="single" w:sz="12" w:space="0" w:color="FFE599" w:themeColor="accent4" w:themeTint="66"/>
          <w:insideV w:val="single" w:sz="12" w:space="0" w:color="FFE599" w:themeColor="accent4" w:themeTint="66"/>
        </w:tblBorders>
        <w:tblLayout w:type="fixed"/>
        <w:tblLook w:val="0000" w:firstRow="0" w:lastRow="0" w:firstColumn="0" w:lastColumn="0" w:noHBand="0" w:noVBand="0"/>
      </w:tblPr>
      <w:tblGrid>
        <w:gridCol w:w="4644"/>
        <w:gridCol w:w="4820"/>
      </w:tblGrid>
      <w:tr w:rsidR="004F5383" w:rsidRPr="004F5383" w:rsidTr="0014090D">
        <w:trPr>
          <w:trHeight w:val="430"/>
        </w:trPr>
        <w:tc>
          <w:tcPr>
            <w:tcW w:w="4644" w:type="dxa"/>
            <w:tcBorders>
              <w:top w:val="single" w:sz="12" w:space="0" w:color="538135" w:themeColor="accent6" w:themeShade="BF"/>
              <w:left w:val="single" w:sz="12" w:space="0" w:color="538135" w:themeColor="accent6" w:themeShade="BF"/>
              <w:bottom w:val="single" w:sz="12" w:space="0" w:color="538135" w:themeColor="accent6" w:themeShade="BF"/>
              <w:right w:val="single" w:sz="12" w:space="0" w:color="538135" w:themeColor="accent6" w:themeShade="BF"/>
            </w:tcBorders>
            <w:shd w:val="clear" w:color="auto" w:fill="FFE599" w:themeFill="accent4" w:themeFillTint="66"/>
          </w:tcPr>
          <w:p w:rsidR="004F5383" w:rsidRPr="004F5383" w:rsidRDefault="004F5383" w:rsidP="004F53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4F538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ES"/>
              </w:rPr>
              <w:t>Actividad</w:t>
            </w:r>
          </w:p>
        </w:tc>
        <w:tc>
          <w:tcPr>
            <w:tcW w:w="4820" w:type="dxa"/>
            <w:tcBorders>
              <w:top w:val="single" w:sz="12" w:space="0" w:color="538135" w:themeColor="accent6" w:themeShade="BF"/>
              <w:left w:val="single" w:sz="12" w:space="0" w:color="538135" w:themeColor="accent6" w:themeShade="BF"/>
              <w:bottom w:val="single" w:sz="12" w:space="0" w:color="538135" w:themeColor="accent6" w:themeShade="BF"/>
              <w:right w:val="single" w:sz="12" w:space="0" w:color="538135" w:themeColor="accent6" w:themeShade="BF"/>
            </w:tcBorders>
            <w:shd w:val="clear" w:color="auto" w:fill="FFE599" w:themeFill="accent4" w:themeFillTint="66"/>
          </w:tcPr>
          <w:p w:rsidR="004F5383" w:rsidRPr="004F5383" w:rsidRDefault="004F5383" w:rsidP="004F53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4F538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ES"/>
              </w:rPr>
              <w:t>Plazo Límite</w:t>
            </w:r>
          </w:p>
        </w:tc>
      </w:tr>
      <w:tr w:rsidR="004F5383" w:rsidRPr="004F5383" w:rsidTr="004F5383">
        <w:trPr>
          <w:trHeight w:val="84"/>
        </w:trPr>
        <w:tc>
          <w:tcPr>
            <w:tcW w:w="4644" w:type="dxa"/>
            <w:tcBorders>
              <w:top w:val="single" w:sz="12" w:space="0" w:color="538135" w:themeColor="accent6" w:themeShade="BF"/>
            </w:tcBorders>
          </w:tcPr>
          <w:p w:rsidR="004F5383" w:rsidRPr="004F5383" w:rsidRDefault="004F5383" w:rsidP="004F53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4F5383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Inicio de recepción de solicitudes. </w:t>
            </w:r>
          </w:p>
        </w:tc>
        <w:tc>
          <w:tcPr>
            <w:tcW w:w="4820" w:type="dxa"/>
            <w:tcBorders>
              <w:top w:val="single" w:sz="12" w:space="0" w:color="538135" w:themeColor="accent6" w:themeShade="BF"/>
            </w:tcBorders>
          </w:tcPr>
          <w:p w:rsidR="004F5383" w:rsidRPr="004F5383" w:rsidRDefault="004F5383" w:rsidP="004F53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4F5383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Primer día hábil del año inmediato anterior. </w:t>
            </w:r>
          </w:p>
        </w:tc>
      </w:tr>
      <w:tr w:rsidR="004F5383" w:rsidRPr="004F5383" w:rsidTr="004F5383">
        <w:trPr>
          <w:trHeight w:val="194"/>
        </w:trPr>
        <w:tc>
          <w:tcPr>
            <w:tcW w:w="4644" w:type="dxa"/>
          </w:tcPr>
          <w:p w:rsidR="004F5383" w:rsidRPr="004F5383" w:rsidRDefault="004F5383" w:rsidP="004F53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4F5383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Cierre de recepción de solicitudes. </w:t>
            </w:r>
          </w:p>
        </w:tc>
        <w:tc>
          <w:tcPr>
            <w:tcW w:w="4820" w:type="dxa"/>
          </w:tcPr>
          <w:p w:rsidR="004F5383" w:rsidRPr="004F5383" w:rsidRDefault="004F5383" w:rsidP="004F53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4F5383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Último día hábil del año inmediato anterior o hasta agotar disponibilidad presupuestal en los DGOC y DL. </w:t>
            </w:r>
          </w:p>
        </w:tc>
      </w:tr>
      <w:tr w:rsidR="004F5383" w:rsidRPr="004F5383" w:rsidTr="004F5383">
        <w:trPr>
          <w:trHeight w:val="193"/>
        </w:trPr>
        <w:tc>
          <w:tcPr>
            <w:tcW w:w="4644" w:type="dxa"/>
          </w:tcPr>
          <w:p w:rsidR="004F5383" w:rsidRPr="004F5383" w:rsidRDefault="004F5383" w:rsidP="004F53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4F5383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Notificación en caso de observaciones o documentos faltantes. </w:t>
            </w:r>
          </w:p>
        </w:tc>
        <w:tc>
          <w:tcPr>
            <w:tcW w:w="4820" w:type="dxa"/>
          </w:tcPr>
          <w:p w:rsidR="004F5383" w:rsidRPr="004F5383" w:rsidRDefault="004F5383" w:rsidP="004F53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4F5383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10 días hábiles a partir de la recepción de la solicitud </w:t>
            </w:r>
          </w:p>
        </w:tc>
      </w:tr>
      <w:tr w:rsidR="004F5383" w:rsidRPr="004F5383" w:rsidTr="004F5383">
        <w:trPr>
          <w:trHeight w:val="194"/>
        </w:trPr>
        <w:tc>
          <w:tcPr>
            <w:tcW w:w="4644" w:type="dxa"/>
          </w:tcPr>
          <w:p w:rsidR="004F5383" w:rsidRPr="004F5383" w:rsidRDefault="004F5383" w:rsidP="004F53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4F5383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Plazo de respuesta a las observaciones o complemento de documentos faltantes. </w:t>
            </w:r>
          </w:p>
        </w:tc>
        <w:tc>
          <w:tcPr>
            <w:tcW w:w="4820" w:type="dxa"/>
          </w:tcPr>
          <w:p w:rsidR="004F5383" w:rsidRPr="004F5383" w:rsidRDefault="004F5383" w:rsidP="004F53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4F5383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10 días hábiles posteriores a la notificación de observaciones o documentos faltantes </w:t>
            </w:r>
          </w:p>
        </w:tc>
      </w:tr>
      <w:tr w:rsidR="004F5383" w:rsidRPr="004F5383" w:rsidTr="004F5383">
        <w:trPr>
          <w:trHeight w:val="194"/>
        </w:trPr>
        <w:tc>
          <w:tcPr>
            <w:tcW w:w="4644" w:type="dxa"/>
          </w:tcPr>
          <w:p w:rsidR="004F5383" w:rsidRPr="004F5383" w:rsidRDefault="004F5383" w:rsidP="004F53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4F5383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Dictamen Técnico de las solicitudes </w:t>
            </w:r>
          </w:p>
        </w:tc>
        <w:tc>
          <w:tcPr>
            <w:tcW w:w="4820" w:type="dxa"/>
          </w:tcPr>
          <w:p w:rsidR="004F5383" w:rsidRPr="004F5383" w:rsidRDefault="004F5383" w:rsidP="004F53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4F5383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20 días hábiles una vez que el expediente esté debidamente integrado. </w:t>
            </w:r>
          </w:p>
        </w:tc>
      </w:tr>
      <w:tr w:rsidR="004F5383" w:rsidRPr="004F5383" w:rsidTr="004F5383">
        <w:trPr>
          <w:trHeight w:val="193"/>
        </w:trPr>
        <w:tc>
          <w:tcPr>
            <w:tcW w:w="4644" w:type="dxa"/>
          </w:tcPr>
          <w:p w:rsidR="004F5383" w:rsidRPr="004F5383" w:rsidRDefault="004F5383" w:rsidP="004F53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4F5383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Notificación de Inscripción </w:t>
            </w:r>
          </w:p>
        </w:tc>
        <w:tc>
          <w:tcPr>
            <w:tcW w:w="4820" w:type="dxa"/>
          </w:tcPr>
          <w:p w:rsidR="004F5383" w:rsidRPr="004F5383" w:rsidRDefault="004F5383" w:rsidP="004F53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4F5383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10 días hábiles posteriores a la emisión del Dictamen Técnico </w:t>
            </w:r>
          </w:p>
        </w:tc>
      </w:tr>
      <w:tr w:rsidR="004F5383" w:rsidRPr="004F5383" w:rsidTr="004F5383">
        <w:trPr>
          <w:trHeight w:val="305"/>
        </w:trPr>
        <w:tc>
          <w:tcPr>
            <w:tcW w:w="4644" w:type="dxa"/>
          </w:tcPr>
          <w:p w:rsidR="004F5383" w:rsidRPr="004F5383" w:rsidRDefault="004F5383" w:rsidP="004F53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4F5383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Formalización de Anexos de Ejecución y Técnico y Convenios de Concertación, cuando aplique. </w:t>
            </w:r>
          </w:p>
        </w:tc>
        <w:tc>
          <w:tcPr>
            <w:tcW w:w="4820" w:type="dxa"/>
          </w:tcPr>
          <w:p w:rsidR="004F5383" w:rsidRPr="004F5383" w:rsidRDefault="004F5383" w:rsidP="004F53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4F5383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Último día hábil de marzo del año correspondiente </w:t>
            </w:r>
          </w:p>
        </w:tc>
      </w:tr>
      <w:tr w:rsidR="004F5383" w:rsidRPr="004F5383" w:rsidTr="004F5383">
        <w:trPr>
          <w:trHeight w:val="193"/>
        </w:trPr>
        <w:tc>
          <w:tcPr>
            <w:tcW w:w="4644" w:type="dxa"/>
          </w:tcPr>
          <w:p w:rsidR="004F5383" w:rsidRPr="004F5383" w:rsidRDefault="004F5383" w:rsidP="004F53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4F5383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Publicación del listado de beneficiarios a los que se les otorgó el apoyo. </w:t>
            </w:r>
          </w:p>
        </w:tc>
        <w:tc>
          <w:tcPr>
            <w:tcW w:w="4820" w:type="dxa"/>
          </w:tcPr>
          <w:p w:rsidR="004F5383" w:rsidRPr="004F5383" w:rsidRDefault="004F5383" w:rsidP="004F53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4F5383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15 días hábiles posteriores al cierre de Cuenta Pública del ejercicio fiscal. </w:t>
            </w:r>
          </w:p>
        </w:tc>
      </w:tr>
      <w:tr w:rsidR="004F5383" w:rsidRPr="004F5383" w:rsidTr="004F5383">
        <w:trPr>
          <w:trHeight w:val="1187"/>
        </w:trPr>
        <w:tc>
          <w:tcPr>
            <w:tcW w:w="4644" w:type="dxa"/>
          </w:tcPr>
          <w:p w:rsidR="004F5383" w:rsidRPr="004F5383" w:rsidRDefault="004F5383" w:rsidP="004F53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4F5383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Radicación de los apoyos federales en Unidades de Riego y Temporal Tecnificado </w:t>
            </w:r>
          </w:p>
        </w:tc>
        <w:tc>
          <w:tcPr>
            <w:tcW w:w="4820" w:type="dxa"/>
          </w:tcPr>
          <w:p w:rsidR="004F5383" w:rsidRPr="004F5383" w:rsidRDefault="004F5383" w:rsidP="004F53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4F5383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Conforme a la disponibilidad presupuestal existente en los sistemas financieros de la Comisión </w:t>
            </w:r>
          </w:p>
          <w:p w:rsidR="004F5383" w:rsidRPr="004F5383" w:rsidRDefault="004F5383" w:rsidP="004F53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4F5383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- Radicación a </w:t>
            </w:r>
            <w:proofErr w:type="spellStart"/>
            <w:r w:rsidRPr="004F5383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FOFAE´s</w:t>
            </w:r>
            <w:proofErr w:type="spellEnd"/>
            <w:r w:rsidRPr="004F5383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: </w:t>
            </w:r>
          </w:p>
          <w:p w:rsidR="004F5383" w:rsidRPr="004F5383" w:rsidRDefault="004F5383" w:rsidP="004F53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4F5383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- Formalización de Anexos de Ejecución y Técnico. </w:t>
            </w:r>
          </w:p>
          <w:p w:rsidR="004F5383" w:rsidRPr="004F5383" w:rsidRDefault="004F5383" w:rsidP="004F53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4F5383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- Ratificación de </w:t>
            </w:r>
            <w:proofErr w:type="spellStart"/>
            <w:r w:rsidRPr="004F5383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clabes</w:t>
            </w:r>
            <w:proofErr w:type="spellEnd"/>
            <w:r w:rsidRPr="004F5383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 interbancarias. </w:t>
            </w:r>
          </w:p>
          <w:p w:rsidR="004F5383" w:rsidRPr="004F5383" w:rsidRDefault="004F5383" w:rsidP="004F53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4F5383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- Radicación a usuarios </w:t>
            </w:r>
            <w:proofErr w:type="spellStart"/>
            <w:r w:rsidRPr="004F5383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hidroagricolas</w:t>
            </w:r>
            <w:proofErr w:type="spellEnd"/>
            <w:r w:rsidRPr="004F5383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. </w:t>
            </w:r>
          </w:p>
          <w:p w:rsidR="004F5383" w:rsidRPr="004F5383" w:rsidRDefault="004F5383" w:rsidP="004F53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4F5383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- Formalización de Convenios de Concertación. </w:t>
            </w:r>
          </w:p>
          <w:p w:rsidR="004F5383" w:rsidRPr="004F5383" w:rsidRDefault="004F5383" w:rsidP="004F53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4F5383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- Ratificación de </w:t>
            </w:r>
            <w:proofErr w:type="spellStart"/>
            <w:r w:rsidRPr="004F5383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clabes</w:t>
            </w:r>
            <w:proofErr w:type="spellEnd"/>
            <w:r w:rsidRPr="004F5383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 interbancarias. </w:t>
            </w:r>
          </w:p>
        </w:tc>
      </w:tr>
      <w:tr w:rsidR="004F5383" w:rsidRPr="004F5383" w:rsidTr="004F5383">
        <w:trPr>
          <w:trHeight w:val="1301"/>
        </w:trPr>
        <w:tc>
          <w:tcPr>
            <w:tcW w:w="4644" w:type="dxa"/>
          </w:tcPr>
          <w:p w:rsidR="004F5383" w:rsidRPr="004F5383" w:rsidRDefault="004F5383" w:rsidP="004F53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4F5383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Radicación de los apoyos federales en Distritos de Riego, a las Cuentas Bancarias de las ACU, SRL o FOFAE. </w:t>
            </w:r>
          </w:p>
        </w:tc>
        <w:tc>
          <w:tcPr>
            <w:tcW w:w="4820" w:type="dxa"/>
          </w:tcPr>
          <w:p w:rsidR="004F5383" w:rsidRPr="004F5383" w:rsidRDefault="004F5383" w:rsidP="004F53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4F5383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Acorde a la disponibilidad presupuestal existente en los sistemas financieros de la Comisión y el inicio de la radicación está sujeto a: </w:t>
            </w:r>
          </w:p>
          <w:p w:rsidR="004F5383" w:rsidRPr="004F5383" w:rsidRDefault="004F5383" w:rsidP="004F53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4F5383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- Radicación a cuentas bancarias de ACU y SRL: </w:t>
            </w:r>
          </w:p>
          <w:p w:rsidR="004F5383" w:rsidRPr="004F5383" w:rsidRDefault="004F5383" w:rsidP="004F53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4F5383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- Formalización de Convenios de Concertación. </w:t>
            </w:r>
          </w:p>
          <w:p w:rsidR="004F5383" w:rsidRPr="004F5383" w:rsidRDefault="004F5383" w:rsidP="004F53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4F5383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- Ratificación o rectificación de </w:t>
            </w:r>
            <w:proofErr w:type="spellStart"/>
            <w:r w:rsidRPr="004F5383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clabes</w:t>
            </w:r>
            <w:proofErr w:type="spellEnd"/>
            <w:r w:rsidRPr="004F5383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 interbancarias. </w:t>
            </w:r>
          </w:p>
          <w:p w:rsidR="004F5383" w:rsidRPr="004F5383" w:rsidRDefault="004F5383" w:rsidP="004F53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4F5383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- Radicación a </w:t>
            </w:r>
            <w:proofErr w:type="spellStart"/>
            <w:r w:rsidRPr="004F5383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FOFAE´s</w:t>
            </w:r>
            <w:proofErr w:type="spellEnd"/>
            <w:r w:rsidRPr="004F5383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: </w:t>
            </w:r>
          </w:p>
          <w:p w:rsidR="004F5383" w:rsidRPr="004F5383" w:rsidRDefault="004F5383" w:rsidP="004F53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4F5383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- Formalización de Anexos de Ejecución y Técnico. </w:t>
            </w:r>
          </w:p>
          <w:p w:rsidR="004F5383" w:rsidRPr="004F5383" w:rsidRDefault="004F5383" w:rsidP="004F53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4F5383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- Ratificación o rectificación de </w:t>
            </w:r>
            <w:proofErr w:type="spellStart"/>
            <w:r w:rsidRPr="004F5383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clabes</w:t>
            </w:r>
            <w:proofErr w:type="spellEnd"/>
            <w:r w:rsidRPr="004F5383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 interbancarias. </w:t>
            </w:r>
          </w:p>
        </w:tc>
      </w:tr>
      <w:tr w:rsidR="004F5383" w:rsidRPr="0014090D" w:rsidTr="0014090D">
        <w:trPr>
          <w:trHeight w:val="1676"/>
        </w:trPr>
        <w:tc>
          <w:tcPr>
            <w:tcW w:w="4644" w:type="dxa"/>
          </w:tcPr>
          <w:p w:rsidR="004F5383" w:rsidRPr="0014090D" w:rsidRDefault="004F5383" w:rsidP="0014090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4090D">
              <w:rPr>
                <w:rFonts w:ascii="Arial" w:hAnsi="Arial" w:cs="Arial"/>
                <w:sz w:val="20"/>
                <w:szCs w:val="20"/>
              </w:rPr>
              <w:t xml:space="preserve">Informe de cierre de ejercicio, por parte de los Organismos de Cuenca o Direcciones Locales de la Comisión </w:t>
            </w:r>
            <w:proofErr w:type="spellStart"/>
            <w:r w:rsidRPr="0014090D">
              <w:rPr>
                <w:rFonts w:ascii="Arial" w:hAnsi="Arial" w:cs="Arial"/>
                <w:sz w:val="20"/>
                <w:szCs w:val="20"/>
              </w:rPr>
              <w:t>Conagua</w:t>
            </w:r>
            <w:proofErr w:type="spellEnd"/>
            <w:r w:rsidRPr="0014090D">
              <w:rPr>
                <w:rFonts w:ascii="Arial" w:hAnsi="Arial" w:cs="Arial"/>
                <w:sz w:val="20"/>
                <w:szCs w:val="20"/>
              </w:rPr>
              <w:t xml:space="preserve"> en la entidad, cuando los recursos se autoricen por el Comité </w:t>
            </w:r>
            <w:proofErr w:type="spellStart"/>
            <w:r w:rsidRPr="0014090D">
              <w:rPr>
                <w:rFonts w:ascii="Arial" w:hAnsi="Arial" w:cs="Arial"/>
                <w:sz w:val="20"/>
                <w:szCs w:val="20"/>
              </w:rPr>
              <w:t>Hidroagrícola</w:t>
            </w:r>
            <w:proofErr w:type="spellEnd"/>
            <w:r w:rsidRPr="0014090D">
              <w:rPr>
                <w:rFonts w:ascii="Arial" w:hAnsi="Arial" w:cs="Arial"/>
                <w:sz w:val="20"/>
                <w:szCs w:val="20"/>
              </w:rPr>
              <w:t xml:space="preserve">, y del Comité Técnico del FOFAE cuando los recursos se autoricen por el Fideicomiso. </w:t>
            </w:r>
          </w:p>
        </w:tc>
        <w:tc>
          <w:tcPr>
            <w:tcW w:w="4820" w:type="dxa"/>
          </w:tcPr>
          <w:p w:rsidR="004F5383" w:rsidRPr="0014090D" w:rsidRDefault="004F5383" w:rsidP="004F5383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4090D">
              <w:rPr>
                <w:rFonts w:ascii="Arial" w:hAnsi="Arial" w:cs="Arial"/>
                <w:sz w:val="20"/>
                <w:szCs w:val="20"/>
              </w:rPr>
              <w:t xml:space="preserve">Último día hábil de enero del año inmediato posterior. </w:t>
            </w:r>
          </w:p>
          <w:p w:rsidR="004F5383" w:rsidRPr="0014090D" w:rsidRDefault="004F5383" w:rsidP="004F53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</w:p>
        </w:tc>
      </w:tr>
    </w:tbl>
    <w:p w:rsidR="006E1FB3" w:rsidRDefault="006E1FB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14090D" w:rsidRDefault="0014090D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14090D" w:rsidRDefault="0014090D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14090D" w:rsidRDefault="0014090D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14090D" w:rsidRDefault="0014090D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4D47A8E5" wp14:editId="0DD4725D">
            <wp:extent cx="5603358" cy="7006856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9762" t="12796" r="28535" b="9952"/>
                    <a:stretch/>
                  </pic:blipFill>
                  <pic:spPr bwMode="auto">
                    <a:xfrm>
                      <a:off x="0" y="0"/>
                      <a:ext cx="5606493" cy="7010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90D" w:rsidRDefault="0014090D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14090D" w:rsidRDefault="0014090D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14090D" w:rsidRDefault="0014090D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244BC3" w:rsidRDefault="00244BC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244BC3" w:rsidRDefault="00244BC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244BC3" w:rsidRDefault="00244BC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316E72DD" wp14:editId="5A1A906F">
            <wp:extent cx="4742121" cy="5762847"/>
            <wp:effectExtent l="0" t="0" r="190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5970" t="12085" r="24175" b="3792"/>
                    <a:stretch/>
                  </pic:blipFill>
                  <pic:spPr bwMode="auto">
                    <a:xfrm>
                      <a:off x="0" y="0"/>
                      <a:ext cx="4744778" cy="5766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4BC3" w:rsidRDefault="00244BC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14090D" w:rsidRDefault="0014090D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244BC3" w:rsidRDefault="00244BC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244BC3" w:rsidRDefault="00244BC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244BC3" w:rsidRDefault="00244BC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244BC3" w:rsidRDefault="00244BC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244BC3" w:rsidRDefault="00244BC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244BC3" w:rsidRDefault="00244BC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244BC3" w:rsidRDefault="00244BC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244BC3" w:rsidRDefault="00244BC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244BC3" w:rsidRDefault="00244BC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244BC3" w:rsidRDefault="00244BC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244BC3" w:rsidRDefault="00244BC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244BC3" w:rsidRDefault="00244BC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244BC3" w:rsidRDefault="00244BC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244BC3" w:rsidRDefault="00244BC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244BC3" w:rsidRDefault="00244BC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30AE6657" wp14:editId="6F8385EF">
            <wp:extent cx="4667002" cy="6662057"/>
            <wp:effectExtent l="0" t="0" r="635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4364" t="12448" r="23941" b="3332"/>
                    <a:stretch/>
                  </pic:blipFill>
                  <pic:spPr bwMode="auto">
                    <a:xfrm>
                      <a:off x="0" y="0"/>
                      <a:ext cx="4672812" cy="6670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4BC3" w:rsidRDefault="00244BC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244BC3" w:rsidRDefault="00244BC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244BC3" w:rsidRDefault="00244BC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244BC3" w:rsidRDefault="00244BC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244BC3" w:rsidRDefault="00244BC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244BC3" w:rsidRDefault="00244BC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244BC3" w:rsidRDefault="00244BC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244BC3" w:rsidRDefault="00244BC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244BC3" w:rsidRDefault="00244BC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244BC3" w:rsidRDefault="00244BC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244BC3" w:rsidRDefault="00244BC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48EC1F57" wp14:editId="4323BFF6">
            <wp:extent cx="5082639" cy="6222670"/>
            <wp:effectExtent l="0" t="0" r="381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4153" t="11917" r="21822" b="3067"/>
                    <a:stretch/>
                  </pic:blipFill>
                  <pic:spPr bwMode="auto">
                    <a:xfrm>
                      <a:off x="0" y="0"/>
                      <a:ext cx="5088966" cy="6230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4BC3" w:rsidRDefault="00244BC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244BC3" w:rsidRDefault="00244BC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244BC3" w:rsidRDefault="00244BC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244BC3" w:rsidRDefault="00244BC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244BC3" w:rsidRDefault="00244BC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244BC3" w:rsidRDefault="00244BC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244BC3" w:rsidRDefault="00244BC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244BC3" w:rsidRDefault="00244BC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244BC3" w:rsidRDefault="00244BC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244BC3" w:rsidRDefault="00244BC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244BC3" w:rsidRDefault="00244BC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244BC3" w:rsidRDefault="00244BC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22A37E8C" wp14:editId="06B447B6">
            <wp:extent cx="3990108" cy="648392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9873" t="12183" r="25345" b="3979"/>
                    <a:stretch/>
                  </pic:blipFill>
                  <pic:spPr bwMode="auto">
                    <a:xfrm>
                      <a:off x="0" y="0"/>
                      <a:ext cx="4002059" cy="6503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4BC3" w:rsidRDefault="00244BC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244BC3" w:rsidRDefault="00244BC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244BC3" w:rsidRDefault="00244BC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244BC3" w:rsidRDefault="00244BC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244BC3" w:rsidRDefault="00244BC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244BC3" w:rsidRDefault="00244BC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244BC3" w:rsidRDefault="00244BC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244BC3" w:rsidRDefault="00244BC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244BC3" w:rsidRDefault="00244BC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244BC3" w:rsidRDefault="00244BC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244BC3" w:rsidRDefault="00244BC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244BC3" w:rsidRDefault="00244BC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79EE5D17" wp14:editId="4D0076EB">
            <wp:extent cx="5272644" cy="6436426"/>
            <wp:effectExtent l="0" t="0" r="4445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5848" t="13772" r="24576" b="2802"/>
                    <a:stretch/>
                  </pic:blipFill>
                  <pic:spPr bwMode="auto">
                    <a:xfrm>
                      <a:off x="0" y="0"/>
                      <a:ext cx="5279208" cy="6444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4BC3" w:rsidRDefault="00244BC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244BC3" w:rsidRDefault="00244BC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244BC3" w:rsidRDefault="00244BC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244BC3" w:rsidRDefault="00244BC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244BC3" w:rsidRDefault="00244BC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244BC3" w:rsidRDefault="00244BC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042353" w:rsidRDefault="0004235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042353" w:rsidRDefault="0004235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042353" w:rsidRDefault="0004235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042353" w:rsidRDefault="0004235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042353" w:rsidRDefault="0004235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575689B5" wp14:editId="12CFA218">
            <wp:extent cx="4429496" cy="6115792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5848" t="13243" r="25847" b="3066"/>
                    <a:stretch/>
                  </pic:blipFill>
                  <pic:spPr bwMode="auto">
                    <a:xfrm>
                      <a:off x="0" y="0"/>
                      <a:ext cx="4435010" cy="6123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2353" w:rsidRDefault="0004235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042353" w:rsidRDefault="0004235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244BC3" w:rsidRDefault="00244BC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042353" w:rsidRDefault="0004235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042353" w:rsidRDefault="0004235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042353" w:rsidRDefault="0004235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042353" w:rsidRDefault="0004235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042353" w:rsidRDefault="0004235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042353" w:rsidRDefault="0004235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042353" w:rsidRDefault="0004235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042353" w:rsidRDefault="0004235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042353" w:rsidRDefault="0004235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042353" w:rsidRDefault="0004235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042353" w:rsidRDefault="0004235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042353" w:rsidRDefault="0004235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03D9156A" wp14:editId="2ADFB6BD">
            <wp:extent cx="4773880" cy="6555179"/>
            <wp:effectExtent l="0" t="0" r="825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0551" t="12448" r="23305" b="4391"/>
                    <a:stretch/>
                  </pic:blipFill>
                  <pic:spPr bwMode="auto">
                    <a:xfrm>
                      <a:off x="0" y="0"/>
                      <a:ext cx="4779824" cy="6563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2353" w:rsidRDefault="0004235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042353" w:rsidRDefault="0004235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042353" w:rsidRDefault="0004235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042353" w:rsidRDefault="0004235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042353" w:rsidRDefault="0004235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042353" w:rsidRDefault="0004235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042353" w:rsidRDefault="0004235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042353" w:rsidRDefault="0004235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042353" w:rsidRDefault="0004235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042353" w:rsidRDefault="0004235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042353" w:rsidRDefault="0004235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20103AA1" wp14:editId="77D40A92">
            <wp:extent cx="4821382" cy="642455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5213" t="12448" r="23940" b="3596"/>
                    <a:stretch/>
                  </pic:blipFill>
                  <pic:spPr bwMode="auto">
                    <a:xfrm>
                      <a:off x="0" y="0"/>
                      <a:ext cx="4827384" cy="6432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2353" w:rsidRDefault="0004235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042353" w:rsidRDefault="0004235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042353" w:rsidRDefault="0004235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042353" w:rsidRDefault="0004235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042353" w:rsidRDefault="0004235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042353" w:rsidRDefault="0004235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042353" w:rsidRDefault="0004235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042353" w:rsidRDefault="0004235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042353" w:rsidRDefault="0004235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042353" w:rsidRDefault="0004235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042353" w:rsidRDefault="0004235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7641F889" wp14:editId="1893CE42">
            <wp:extent cx="5010150" cy="610552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3608" t="13162" r="23741" b="4671"/>
                    <a:stretch/>
                  </pic:blipFill>
                  <pic:spPr bwMode="auto">
                    <a:xfrm>
                      <a:off x="0" y="0"/>
                      <a:ext cx="5013696" cy="6109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042353" w:rsidRDefault="0004235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042353" w:rsidRDefault="0004235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042353" w:rsidRDefault="0004235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042353" w:rsidRDefault="0004235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0DCE5A26" wp14:editId="1AB90887">
            <wp:extent cx="4581525" cy="607695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3948" t="15074" r="21872" b="5096"/>
                    <a:stretch/>
                  </pic:blipFill>
                  <pic:spPr bwMode="auto">
                    <a:xfrm>
                      <a:off x="0" y="0"/>
                      <a:ext cx="4584767" cy="60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042353" w:rsidRDefault="0004235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042353" w:rsidRDefault="00042353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55F27AA2" wp14:editId="5BE7663D">
            <wp:extent cx="4933950" cy="618172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6156" t="12951" r="22212" b="3821"/>
                    <a:stretch/>
                  </pic:blipFill>
                  <pic:spPr bwMode="auto">
                    <a:xfrm>
                      <a:off x="0" y="0"/>
                      <a:ext cx="4937443" cy="6186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707423C8" wp14:editId="05ABE3E8">
            <wp:extent cx="4743450" cy="52768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2759" t="15924" r="22552" b="5096"/>
                    <a:stretch/>
                  </pic:blipFill>
                  <pic:spPr bwMode="auto">
                    <a:xfrm>
                      <a:off x="0" y="0"/>
                      <a:ext cx="4746806" cy="5280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09F4279B" wp14:editId="0530EEB1">
            <wp:extent cx="5314950" cy="54102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5307" t="12739" r="27647" b="2761"/>
                    <a:stretch/>
                  </pic:blipFill>
                  <pic:spPr bwMode="auto">
                    <a:xfrm>
                      <a:off x="0" y="0"/>
                      <a:ext cx="5318713" cy="541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CC6896" w:rsidRPr="006E1FB3" w:rsidRDefault="00CC6896" w:rsidP="006E1F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sectPr w:rsidR="00CC6896" w:rsidRPr="006E1FB3" w:rsidSect="00726AD2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2240" w:h="15840"/>
      <w:pgMar w:top="1417" w:right="1701" w:bottom="1417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2B2C" w:rsidRDefault="00B12B2C" w:rsidP="00FF763C">
      <w:pPr>
        <w:spacing w:after="0" w:line="240" w:lineRule="auto"/>
      </w:pPr>
      <w:r>
        <w:separator/>
      </w:r>
    </w:p>
  </w:endnote>
  <w:endnote w:type="continuationSeparator" w:id="0">
    <w:p w:rsidR="00B12B2C" w:rsidRDefault="00B12B2C" w:rsidP="00FF7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7D5B" w:rsidRDefault="00F77D5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07"/>
      <w:gridCol w:w="8161"/>
    </w:tblGrid>
    <w:tr w:rsidR="00D364BC" w:rsidTr="00D364BC">
      <w:trPr>
        <w:trHeight w:val="60"/>
      </w:trPr>
      <w:tc>
        <w:tcPr>
          <w:tcW w:w="500" w:type="pct"/>
          <w:tcBorders>
            <w:top w:val="single" w:sz="4" w:space="0" w:color="C45911" w:themeColor="accent2" w:themeShade="BF"/>
          </w:tcBorders>
          <w:shd w:val="clear" w:color="auto" w:fill="C45911" w:themeFill="accent2" w:themeFillShade="BF"/>
        </w:tcPr>
        <w:p w:rsidR="00D364BC" w:rsidRDefault="00F34B3B" w:rsidP="00FF763C">
          <w:pPr>
            <w:pStyle w:val="Piedepgina"/>
            <w:jc w:val="right"/>
            <w:rPr>
              <w:b/>
              <w:color w:val="FFFFFF" w:themeColor="background1"/>
            </w:rPr>
          </w:pPr>
          <w:r>
            <w:fldChar w:fldCharType="begin"/>
          </w:r>
          <w:r w:rsidR="00D364BC">
            <w:instrText xml:space="preserve"> PAGE   \* MERGEFORMAT </w:instrText>
          </w:r>
          <w:r>
            <w:fldChar w:fldCharType="separate"/>
          </w:r>
          <w:r w:rsidR="00F77D5B" w:rsidRPr="00F77D5B">
            <w:rPr>
              <w:noProof/>
              <w:color w:val="FFFFFF" w:themeColor="background1"/>
            </w:rPr>
            <w:t>1</w:t>
          </w:r>
          <w:r>
            <w:rPr>
              <w:noProof/>
              <w:color w:val="FFFFFF" w:themeColor="background1"/>
            </w:rPr>
            <w:fldChar w:fldCharType="end"/>
          </w:r>
        </w:p>
      </w:tc>
      <w:tc>
        <w:tcPr>
          <w:tcW w:w="4500" w:type="pct"/>
          <w:tcBorders>
            <w:top w:val="single" w:sz="4" w:space="0" w:color="auto"/>
          </w:tcBorders>
        </w:tcPr>
        <w:p w:rsidR="00D364BC" w:rsidRDefault="00D364BC" w:rsidP="00726AD2">
          <w:pPr>
            <w:pStyle w:val="Piedepgina"/>
            <w:jc w:val="right"/>
          </w:pPr>
          <w:r>
            <w:t>Catálogo de Programas Federales 201</w:t>
          </w:r>
          <w:r w:rsidR="00726AD2">
            <w:t>6</w:t>
          </w:r>
          <w:r>
            <w:t xml:space="preserve">                           </w:t>
          </w:r>
          <w:sdt>
            <w:sdtPr>
              <w:alias w:val="Organización"/>
              <w:id w:val="75914618"/>
              <w:placeholder>
                <w:docPart w:val="1AB3CBE1B4414A9981B3E3A74554BD6B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>
                <w:t>Gobierno del Estado de Oaxaca</w:t>
              </w:r>
            </w:sdtContent>
          </w:sdt>
        </w:p>
      </w:tc>
    </w:tr>
  </w:tbl>
  <w:p w:rsidR="00D364BC" w:rsidRDefault="00D364BC">
    <w:pPr>
      <w:pStyle w:val="Piedepgina"/>
    </w:pPr>
  </w:p>
  <w:p w:rsidR="00084C0E" w:rsidRDefault="00084C0E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7D5B" w:rsidRDefault="00F77D5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2B2C" w:rsidRDefault="00B12B2C" w:rsidP="00FF763C">
      <w:pPr>
        <w:spacing w:after="0" w:line="240" w:lineRule="auto"/>
      </w:pPr>
      <w:r>
        <w:separator/>
      </w:r>
    </w:p>
  </w:footnote>
  <w:footnote w:type="continuationSeparator" w:id="0">
    <w:p w:rsidR="00B12B2C" w:rsidRDefault="00B12B2C" w:rsidP="00FF76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7D5B" w:rsidRDefault="00F77D5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4BC" w:rsidRDefault="00F77D5B">
    <w:pPr>
      <w:pStyle w:val="Encabezado"/>
    </w:pPr>
    <w:bookmarkStart w:id="0" w:name="_GoBack"/>
    <w:r>
      <w:rPr>
        <w:rFonts w:ascii="Times New Roman" w:hAnsi="Times New Roman" w:cs="Times New Roman"/>
        <w:noProof/>
        <w:sz w:val="24"/>
        <w:szCs w:val="24"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-706755</wp:posOffset>
          </wp:positionH>
          <wp:positionV relativeFrom="paragraph">
            <wp:posOffset>-211455</wp:posOffset>
          </wp:positionV>
          <wp:extent cx="7054850" cy="792480"/>
          <wp:effectExtent l="0" t="0" r="0" b="762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0" cy="792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  <w:p w:rsidR="00D364BC" w:rsidRDefault="00D364BC">
    <w:pPr>
      <w:pStyle w:val="Encabezado"/>
    </w:pPr>
  </w:p>
  <w:p w:rsidR="00D364BC" w:rsidRDefault="00D364BC">
    <w:pPr>
      <w:pStyle w:val="Encabezado"/>
    </w:pPr>
  </w:p>
  <w:p w:rsidR="00D364BC" w:rsidRDefault="00D364BC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7D5B" w:rsidRDefault="00F77D5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C7087"/>
    <w:multiLevelType w:val="hybridMultilevel"/>
    <w:tmpl w:val="941EAB2E"/>
    <w:lvl w:ilvl="0" w:tplc="D7A6B216">
      <w:start w:val="1"/>
      <w:numFmt w:val="upperRoman"/>
      <w:lvlText w:val="%1."/>
      <w:lvlJc w:val="left"/>
      <w:pPr>
        <w:ind w:left="1080" w:hanging="720"/>
      </w:pPr>
      <w:rPr>
        <w:rFonts w:asciiTheme="minorHAnsi" w:hAnsiTheme="minorHAnsi" w:cstheme="minorBidi" w:hint="default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64783E"/>
    <w:multiLevelType w:val="hybridMultilevel"/>
    <w:tmpl w:val="54DA831A"/>
    <w:lvl w:ilvl="0" w:tplc="080A000D">
      <w:start w:val="1"/>
      <w:numFmt w:val="bullet"/>
      <w:lvlText w:val=""/>
      <w:lvlJc w:val="left"/>
      <w:pPr>
        <w:ind w:left="100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">
    <w:nsid w:val="28E64BDB"/>
    <w:multiLevelType w:val="hybridMultilevel"/>
    <w:tmpl w:val="BE12677A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94458D"/>
    <w:multiLevelType w:val="hybridMultilevel"/>
    <w:tmpl w:val="FA48663E"/>
    <w:lvl w:ilvl="0" w:tplc="708C158E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063FCE"/>
    <w:multiLevelType w:val="hybridMultilevel"/>
    <w:tmpl w:val="DF320698"/>
    <w:lvl w:ilvl="0" w:tplc="F1EC78C6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8F1B92"/>
    <w:multiLevelType w:val="hybridMultilevel"/>
    <w:tmpl w:val="84901E90"/>
    <w:lvl w:ilvl="0" w:tplc="669CD8E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A16ED9"/>
    <w:multiLevelType w:val="hybridMultilevel"/>
    <w:tmpl w:val="87D0B15C"/>
    <w:lvl w:ilvl="0" w:tplc="080A000D">
      <w:start w:val="1"/>
      <w:numFmt w:val="bullet"/>
      <w:lvlText w:val=""/>
      <w:lvlJc w:val="left"/>
      <w:pPr>
        <w:ind w:left="100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7">
    <w:nsid w:val="566E7DEA"/>
    <w:multiLevelType w:val="hybridMultilevel"/>
    <w:tmpl w:val="7E1EA758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5F0C1F"/>
    <w:multiLevelType w:val="hybridMultilevel"/>
    <w:tmpl w:val="C56C5BB4"/>
    <w:lvl w:ilvl="0" w:tplc="8450550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325745"/>
    <w:multiLevelType w:val="hybridMultilevel"/>
    <w:tmpl w:val="B922C026"/>
    <w:lvl w:ilvl="0" w:tplc="609A522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FA10A9"/>
    <w:multiLevelType w:val="hybridMultilevel"/>
    <w:tmpl w:val="5E708DA6"/>
    <w:lvl w:ilvl="0" w:tplc="4F72192E">
      <w:start w:val="1"/>
      <w:numFmt w:val="upperRoman"/>
      <w:lvlText w:val="%1."/>
      <w:lvlJc w:val="left"/>
      <w:pPr>
        <w:ind w:left="1080" w:hanging="720"/>
      </w:pPr>
      <w:rPr>
        <w:rFonts w:eastAsiaTheme="minorHAnsi" w:hint="default"/>
        <w:color w:val="000000"/>
        <w:sz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7E3AC4"/>
    <w:multiLevelType w:val="hybridMultilevel"/>
    <w:tmpl w:val="456A5A6E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5E7967"/>
    <w:multiLevelType w:val="hybridMultilevel"/>
    <w:tmpl w:val="553E8BC6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796E75"/>
    <w:multiLevelType w:val="hybridMultilevel"/>
    <w:tmpl w:val="2B34C1A2"/>
    <w:lvl w:ilvl="0" w:tplc="AB5C6DAE">
      <w:start w:val="1"/>
      <w:numFmt w:val="upperRoman"/>
      <w:lvlText w:val="%1."/>
      <w:lvlJc w:val="left"/>
      <w:pPr>
        <w:ind w:left="1440" w:hanging="720"/>
      </w:pPr>
      <w:rPr>
        <w:rFonts w:asciiTheme="minorHAnsi" w:hAnsiTheme="minorHAnsi" w:cstheme="minorBidi" w:hint="default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01D620D"/>
    <w:multiLevelType w:val="hybridMultilevel"/>
    <w:tmpl w:val="9BC07B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400D32"/>
    <w:multiLevelType w:val="hybridMultilevel"/>
    <w:tmpl w:val="CBC2484E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A23AC3"/>
    <w:multiLevelType w:val="hybridMultilevel"/>
    <w:tmpl w:val="8ADEC740"/>
    <w:lvl w:ilvl="0" w:tplc="708C158E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14"/>
  </w:num>
  <w:num w:numId="5">
    <w:abstractNumId w:val="12"/>
  </w:num>
  <w:num w:numId="6">
    <w:abstractNumId w:val="5"/>
  </w:num>
  <w:num w:numId="7">
    <w:abstractNumId w:val="7"/>
  </w:num>
  <w:num w:numId="8">
    <w:abstractNumId w:val="9"/>
  </w:num>
  <w:num w:numId="9">
    <w:abstractNumId w:val="2"/>
  </w:num>
  <w:num w:numId="10">
    <w:abstractNumId w:val="8"/>
  </w:num>
  <w:num w:numId="11">
    <w:abstractNumId w:val="11"/>
  </w:num>
  <w:num w:numId="12">
    <w:abstractNumId w:val="10"/>
  </w:num>
  <w:num w:numId="13">
    <w:abstractNumId w:val="13"/>
  </w:num>
  <w:num w:numId="14">
    <w:abstractNumId w:val="0"/>
  </w:num>
  <w:num w:numId="15">
    <w:abstractNumId w:val="16"/>
  </w:num>
  <w:num w:numId="16">
    <w:abstractNumId w:val="15"/>
  </w:num>
  <w:num w:numId="17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AB3"/>
    <w:rsid w:val="00000358"/>
    <w:rsid w:val="000167DB"/>
    <w:rsid w:val="00021423"/>
    <w:rsid w:val="00024CFE"/>
    <w:rsid w:val="00042353"/>
    <w:rsid w:val="00060805"/>
    <w:rsid w:val="00061A26"/>
    <w:rsid w:val="00064A56"/>
    <w:rsid w:val="0007457F"/>
    <w:rsid w:val="00084C0E"/>
    <w:rsid w:val="00092280"/>
    <w:rsid w:val="0009590C"/>
    <w:rsid w:val="00096E0D"/>
    <w:rsid w:val="000D2C90"/>
    <w:rsid w:val="000E2DF2"/>
    <w:rsid w:val="000F5F9D"/>
    <w:rsid w:val="00127C8F"/>
    <w:rsid w:val="0014090D"/>
    <w:rsid w:val="001528B5"/>
    <w:rsid w:val="001C3CAB"/>
    <w:rsid w:val="001C496B"/>
    <w:rsid w:val="001D77FD"/>
    <w:rsid w:val="0020014C"/>
    <w:rsid w:val="00200DC3"/>
    <w:rsid w:val="002030E8"/>
    <w:rsid w:val="00224D99"/>
    <w:rsid w:val="00224EB2"/>
    <w:rsid w:val="00232957"/>
    <w:rsid w:val="0023295F"/>
    <w:rsid w:val="00244BC3"/>
    <w:rsid w:val="002C36CB"/>
    <w:rsid w:val="002D225D"/>
    <w:rsid w:val="00317A13"/>
    <w:rsid w:val="00340293"/>
    <w:rsid w:val="00342177"/>
    <w:rsid w:val="00343087"/>
    <w:rsid w:val="00344B08"/>
    <w:rsid w:val="00345379"/>
    <w:rsid w:val="00352F0A"/>
    <w:rsid w:val="00365EF8"/>
    <w:rsid w:val="00372612"/>
    <w:rsid w:val="00381E76"/>
    <w:rsid w:val="003E6550"/>
    <w:rsid w:val="003E7414"/>
    <w:rsid w:val="00407DC6"/>
    <w:rsid w:val="00422B8D"/>
    <w:rsid w:val="004447F4"/>
    <w:rsid w:val="00490949"/>
    <w:rsid w:val="004C0C97"/>
    <w:rsid w:val="004F002B"/>
    <w:rsid w:val="004F5383"/>
    <w:rsid w:val="00503133"/>
    <w:rsid w:val="00514A2F"/>
    <w:rsid w:val="0053615A"/>
    <w:rsid w:val="005465C8"/>
    <w:rsid w:val="005508CD"/>
    <w:rsid w:val="0055099C"/>
    <w:rsid w:val="00573483"/>
    <w:rsid w:val="00582AB3"/>
    <w:rsid w:val="00595614"/>
    <w:rsid w:val="005D4689"/>
    <w:rsid w:val="005F7D52"/>
    <w:rsid w:val="00605CDF"/>
    <w:rsid w:val="006E049B"/>
    <w:rsid w:val="006E17B6"/>
    <w:rsid w:val="006E1FB3"/>
    <w:rsid w:val="00701384"/>
    <w:rsid w:val="00703ADE"/>
    <w:rsid w:val="00726AD2"/>
    <w:rsid w:val="007370EA"/>
    <w:rsid w:val="007511CC"/>
    <w:rsid w:val="00761B0F"/>
    <w:rsid w:val="0077138A"/>
    <w:rsid w:val="00772CA1"/>
    <w:rsid w:val="007744A9"/>
    <w:rsid w:val="00797854"/>
    <w:rsid w:val="007B65DF"/>
    <w:rsid w:val="007C736F"/>
    <w:rsid w:val="007D3EAC"/>
    <w:rsid w:val="00806069"/>
    <w:rsid w:val="008110E8"/>
    <w:rsid w:val="00832367"/>
    <w:rsid w:val="0084135A"/>
    <w:rsid w:val="0085604C"/>
    <w:rsid w:val="00870AFC"/>
    <w:rsid w:val="00871BAD"/>
    <w:rsid w:val="00884B06"/>
    <w:rsid w:val="00897B11"/>
    <w:rsid w:val="008A3F07"/>
    <w:rsid w:val="008C0E10"/>
    <w:rsid w:val="008D6C48"/>
    <w:rsid w:val="008F53CE"/>
    <w:rsid w:val="00901937"/>
    <w:rsid w:val="0091343C"/>
    <w:rsid w:val="00924B56"/>
    <w:rsid w:val="00947FE5"/>
    <w:rsid w:val="00951B3C"/>
    <w:rsid w:val="00954ECD"/>
    <w:rsid w:val="009D3095"/>
    <w:rsid w:val="009D7D10"/>
    <w:rsid w:val="00A13C17"/>
    <w:rsid w:val="00A33B5A"/>
    <w:rsid w:val="00A35A98"/>
    <w:rsid w:val="00A673F7"/>
    <w:rsid w:val="00A9151E"/>
    <w:rsid w:val="00AA596A"/>
    <w:rsid w:val="00AC44A2"/>
    <w:rsid w:val="00AF6CE3"/>
    <w:rsid w:val="00B00617"/>
    <w:rsid w:val="00B04FF6"/>
    <w:rsid w:val="00B12B2C"/>
    <w:rsid w:val="00B13E7F"/>
    <w:rsid w:val="00B15939"/>
    <w:rsid w:val="00B22376"/>
    <w:rsid w:val="00B627D5"/>
    <w:rsid w:val="00B65FE3"/>
    <w:rsid w:val="00B703E7"/>
    <w:rsid w:val="00BB3DF2"/>
    <w:rsid w:val="00BC12B4"/>
    <w:rsid w:val="00BD7EE9"/>
    <w:rsid w:val="00BE1B56"/>
    <w:rsid w:val="00BF0227"/>
    <w:rsid w:val="00BF53A1"/>
    <w:rsid w:val="00C257F0"/>
    <w:rsid w:val="00C31BA2"/>
    <w:rsid w:val="00C3756C"/>
    <w:rsid w:val="00C45FF1"/>
    <w:rsid w:val="00CA4C12"/>
    <w:rsid w:val="00CA5A49"/>
    <w:rsid w:val="00CA665F"/>
    <w:rsid w:val="00CB17A8"/>
    <w:rsid w:val="00CC6896"/>
    <w:rsid w:val="00D02F31"/>
    <w:rsid w:val="00D05F30"/>
    <w:rsid w:val="00D25E3B"/>
    <w:rsid w:val="00D34997"/>
    <w:rsid w:val="00D35C09"/>
    <w:rsid w:val="00D364BC"/>
    <w:rsid w:val="00D51245"/>
    <w:rsid w:val="00D57701"/>
    <w:rsid w:val="00D904A7"/>
    <w:rsid w:val="00DE05A4"/>
    <w:rsid w:val="00DF4633"/>
    <w:rsid w:val="00DF6AAD"/>
    <w:rsid w:val="00E031C6"/>
    <w:rsid w:val="00E05156"/>
    <w:rsid w:val="00E13FCF"/>
    <w:rsid w:val="00E56802"/>
    <w:rsid w:val="00E74396"/>
    <w:rsid w:val="00E82EFB"/>
    <w:rsid w:val="00ED5F79"/>
    <w:rsid w:val="00F34B3B"/>
    <w:rsid w:val="00F46739"/>
    <w:rsid w:val="00F5282C"/>
    <w:rsid w:val="00F7615C"/>
    <w:rsid w:val="00F77D5B"/>
    <w:rsid w:val="00F92A19"/>
    <w:rsid w:val="00FB6AF0"/>
    <w:rsid w:val="00FC21E0"/>
    <w:rsid w:val="00FF76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E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82A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">
    <w:name w:val="Texto"/>
    <w:basedOn w:val="Normal"/>
    <w:link w:val="TextoCar"/>
    <w:uiPriority w:val="99"/>
    <w:qFormat/>
    <w:rsid w:val="00582AB3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uiPriority w:val="99"/>
    <w:locked/>
    <w:rsid w:val="00582AB3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link w:val="ROMANOSCar"/>
    <w:rsid w:val="00F92A19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ROMANOSCar">
    <w:name w:val="ROMANOS Car"/>
    <w:link w:val="ROMANOS"/>
    <w:locked/>
    <w:rsid w:val="00F92A19"/>
    <w:rPr>
      <w:rFonts w:ascii="Arial" w:eastAsia="Times New Roman" w:hAnsi="Arial" w:cs="Arial"/>
      <w:sz w:val="18"/>
      <w:szCs w:val="18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763C"/>
  </w:style>
  <w:style w:type="paragraph" w:styleId="Piedepgina">
    <w:name w:val="footer"/>
    <w:basedOn w:val="Normal"/>
    <w:link w:val="Piedepgina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63C"/>
  </w:style>
  <w:style w:type="paragraph" w:styleId="Textodeglobo">
    <w:name w:val="Balloon Text"/>
    <w:basedOn w:val="Normal"/>
    <w:link w:val="TextodegloboCar"/>
    <w:uiPriority w:val="99"/>
    <w:semiHidden/>
    <w:unhideWhenUsed/>
    <w:rsid w:val="00954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4EC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64A56"/>
    <w:pPr>
      <w:spacing w:after="200" w:line="276" w:lineRule="auto"/>
      <w:ind w:left="720"/>
      <w:contextualSpacing/>
    </w:pPr>
  </w:style>
  <w:style w:type="paragraph" w:customStyle="1" w:styleId="Titulo2">
    <w:name w:val="Titulo 2"/>
    <w:basedOn w:val="Texto"/>
    <w:rsid w:val="009D3095"/>
    <w:pPr>
      <w:pBdr>
        <w:top w:val="double" w:sz="6" w:space="1" w:color="auto"/>
      </w:pBdr>
      <w:spacing w:line="240" w:lineRule="auto"/>
      <w:ind w:firstLine="0"/>
      <w:outlineLvl w:val="1"/>
    </w:pPr>
    <w:rPr>
      <w:lang w:val="es-MX"/>
    </w:rPr>
  </w:style>
  <w:style w:type="paragraph" w:customStyle="1" w:styleId="INCISO">
    <w:name w:val="INCISO"/>
    <w:basedOn w:val="Normal"/>
    <w:rsid w:val="00345379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styleId="Hipervnculo">
    <w:name w:val="Hyperlink"/>
    <w:uiPriority w:val="99"/>
    <w:unhideWhenUsed/>
    <w:rsid w:val="006E17B6"/>
    <w:rPr>
      <w:color w:val="0000FF"/>
      <w:u w:val="single"/>
    </w:rPr>
  </w:style>
  <w:style w:type="paragraph" w:customStyle="1" w:styleId="Default">
    <w:name w:val="Default"/>
    <w:rsid w:val="00726AD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E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82A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">
    <w:name w:val="Texto"/>
    <w:basedOn w:val="Normal"/>
    <w:link w:val="TextoCar"/>
    <w:uiPriority w:val="99"/>
    <w:qFormat/>
    <w:rsid w:val="00582AB3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uiPriority w:val="99"/>
    <w:locked/>
    <w:rsid w:val="00582AB3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link w:val="ROMANOSCar"/>
    <w:rsid w:val="00F92A19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ROMANOSCar">
    <w:name w:val="ROMANOS Car"/>
    <w:link w:val="ROMANOS"/>
    <w:locked/>
    <w:rsid w:val="00F92A19"/>
    <w:rPr>
      <w:rFonts w:ascii="Arial" w:eastAsia="Times New Roman" w:hAnsi="Arial" w:cs="Arial"/>
      <w:sz w:val="18"/>
      <w:szCs w:val="18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763C"/>
  </w:style>
  <w:style w:type="paragraph" w:styleId="Piedepgina">
    <w:name w:val="footer"/>
    <w:basedOn w:val="Normal"/>
    <w:link w:val="Piedepgina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63C"/>
  </w:style>
  <w:style w:type="paragraph" w:styleId="Textodeglobo">
    <w:name w:val="Balloon Text"/>
    <w:basedOn w:val="Normal"/>
    <w:link w:val="TextodegloboCar"/>
    <w:uiPriority w:val="99"/>
    <w:semiHidden/>
    <w:unhideWhenUsed/>
    <w:rsid w:val="00954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4EC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64A56"/>
    <w:pPr>
      <w:spacing w:after="200" w:line="276" w:lineRule="auto"/>
      <w:ind w:left="720"/>
      <w:contextualSpacing/>
    </w:pPr>
  </w:style>
  <w:style w:type="paragraph" w:customStyle="1" w:styleId="Titulo2">
    <w:name w:val="Titulo 2"/>
    <w:basedOn w:val="Texto"/>
    <w:rsid w:val="009D3095"/>
    <w:pPr>
      <w:pBdr>
        <w:top w:val="double" w:sz="6" w:space="1" w:color="auto"/>
      </w:pBdr>
      <w:spacing w:line="240" w:lineRule="auto"/>
      <w:ind w:firstLine="0"/>
      <w:outlineLvl w:val="1"/>
    </w:pPr>
    <w:rPr>
      <w:lang w:val="es-MX"/>
    </w:rPr>
  </w:style>
  <w:style w:type="paragraph" w:customStyle="1" w:styleId="INCISO">
    <w:name w:val="INCISO"/>
    <w:basedOn w:val="Normal"/>
    <w:rsid w:val="00345379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styleId="Hipervnculo">
    <w:name w:val="Hyperlink"/>
    <w:uiPriority w:val="99"/>
    <w:unhideWhenUsed/>
    <w:rsid w:val="006E17B6"/>
    <w:rPr>
      <w:color w:val="0000FF"/>
      <w:u w:val="single"/>
    </w:rPr>
  </w:style>
  <w:style w:type="paragraph" w:customStyle="1" w:styleId="Default">
    <w:name w:val="Default"/>
    <w:rsid w:val="00726AD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7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3.xml"/><Relationship Id="rId30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AB3CBE1B4414A9981B3E3A74554B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013831-4C9C-4020-B731-B56E16D46DEB}"/>
      </w:docPartPr>
      <w:docPartBody>
        <w:p w:rsidR="005620A9" w:rsidRDefault="00B02B61" w:rsidP="00B02B61">
          <w:pPr>
            <w:pStyle w:val="1AB3CBE1B4414A9981B3E3A74554BD6B"/>
          </w:pPr>
          <w:r>
            <w:rPr>
              <w:lang w:val="es-ES"/>
            </w:rPr>
            <w:t>[Escribir el nombre de la compañía]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Cambria">
    <w:panose1 w:val="020408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02B61"/>
    <w:rsid w:val="0005005D"/>
    <w:rsid w:val="000A6F7B"/>
    <w:rsid w:val="000C621D"/>
    <w:rsid w:val="00136166"/>
    <w:rsid w:val="002D0F5D"/>
    <w:rsid w:val="002E6DF5"/>
    <w:rsid w:val="00376722"/>
    <w:rsid w:val="003A703A"/>
    <w:rsid w:val="003F11E6"/>
    <w:rsid w:val="005620A9"/>
    <w:rsid w:val="00580998"/>
    <w:rsid w:val="005A2F4E"/>
    <w:rsid w:val="0062046A"/>
    <w:rsid w:val="00715CBD"/>
    <w:rsid w:val="00732D8B"/>
    <w:rsid w:val="00803B3B"/>
    <w:rsid w:val="008E16E7"/>
    <w:rsid w:val="00976AA6"/>
    <w:rsid w:val="00A27CDF"/>
    <w:rsid w:val="00AC19EA"/>
    <w:rsid w:val="00B02B61"/>
    <w:rsid w:val="00BD415C"/>
    <w:rsid w:val="00C06D5E"/>
    <w:rsid w:val="00C77A7D"/>
    <w:rsid w:val="00C96295"/>
    <w:rsid w:val="00FE47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20A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9905B208EA24B1C9C9CDB51571ECA9F">
    <w:name w:val="B9905B208EA24B1C9C9CDB51571ECA9F"/>
    <w:rsid w:val="00B02B61"/>
  </w:style>
  <w:style w:type="paragraph" w:customStyle="1" w:styleId="1AB3CBE1B4414A9981B3E3A74554BD6B">
    <w:name w:val="1AB3CBE1B4414A9981B3E3A74554BD6B"/>
    <w:rsid w:val="00B02B6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rillant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2EDEEA-0A4F-4319-94D7-9D0EC60A6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17</Pages>
  <Words>1495</Words>
  <Characters>8225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del Estado de Oaxaca</Company>
  <LinksUpToDate>false</LinksUpToDate>
  <CharactersWithSpaces>9701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Mireya González Quintero</dc:creator>
  <cp:lastModifiedBy> </cp:lastModifiedBy>
  <cp:revision>6</cp:revision>
  <cp:lastPrinted>2013-12-06T17:20:00Z</cp:lastPrinted>
  <dcterms:created xsi:type="dcterms:W3CDTF">2016-02-02T22:49:00Z</dcterms:created>
  <dcterms:modified xsi:type="dcterms:W3CDTF">2016-07-05T18:18:00Z</dcterms:modified>
</cp:coreProperties>
</file>