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90" w:rsidRPr="00F25637" w:rsidRDefault="00B96D90" w:rsidP="00B072ED">
      <w:pPr>
        <w:spacing w:after="0" w:line="240" w:lineRule="auto"/>
        <w:jc w:val="both"/>
        <w:rPr>
          <w:rFonts w:eastAsia="Times New Roman" w:cstheme="minorHAnsi"/>
          <w:lang w:eastAsia="es-ES"/>
        </w:rPr>
      </w:pPr>
      <w:r w:rsidRPr="00F25637">
        <w:rPr>
          <w:rFonts w:eastAsia="Times New Roman" w:cstheme="minorHAnsi"/>
          <w:lang w:eastAsia="es-ES"/>
        </w:rPr>
        <w:t>Palacio de Gobierno, Oaxaca de Juárez, Oaxaca,</w:t>
      </w:r>
      <w:r w:rsidR="00F25637" w:rsidRPr="00F25637">
        <w:rPr>
          <w:rFonts w:eastAsia="Times New Roman" w:cstheme="minorHAnsi"/>
          <w:lang w:eastAsia="es-ES"/>
        </w:rPr>
        <w:t xml:space="preserve"> 15</w:t>
      </w:r>
      <w:r w:rsidR="008A7DD8" w:rsidRPr="00F25637">
        <w:rPr>
          <w:rFonts w:eastAsia="Times New Roman" w:cstheme="minorHAnsi"/>
          <w:lang w:eastAsia="es-ES"/>
        </w:rPr>
        <w:t xml:space="preserve"> de noviembre </w:t>
      </w:r>
      <w:r w:rsidRPr="00F25637">
        <w:rPr>
          <w:rFonts w:eastAsia="Times New Roman" w:cstheme="minorHAnsi"/>
          <w:lang w:eastAsia="es-ES"/>
        </w:rPr>
        <w:t>de 201</w:t>
      </w:r>
      <w:r w:rsidR="00C70769" w:rsidRPr="00F25637">
        <w:rPr>
          <w:rFonts w:eastAsia="Times New Roman" w:cstheme="minorHAnsi"/>
          <w:lang w:eastAsia="es-ES"/>
        </w:rPr>
        <w:t>8</w:t>
      </w:r>
      <w:r w:rsidRPr="00F25637">
        <w:rPr>
          <w:rFonts w:eastAsia="Times New Roman" w:cstheme="minorHAnsi"/>
          <w:lang w:eastAsia="es-ES"/>
        </w:rPr>
        <w:t>.</w:t>
      </w:r>
    </w:p>
    <w:p w:rsidR="00B96D90" w:rsidRPr="00F25637" w:rsidRDefault="00B96D90" w:rsidP="00B072ED">
      <w:pPr>
        <w:spacing w:after="0" w:line="240" w:lineRule="auto"/>
        <w:jc w:val="both"/>
        <w:rPr>
          <w:rFonts w:eastAsia="Times New Roman" w:cstheme="minorHAnsi"/>
          <w:lang w:eastAsia="es-ES"/>
        </w:rPr>
      </w:pPr>
    </w:p>
    <w:p w:rsidR="003311EB" w:rsidRPr="00F25637" w:rsidRDefault="003311EB" w:rsidP="00B072ED">
      <w:pPr>
        <w:spacing w:after="0" w:line="240" w:lineRule="auto"/>
        <w:jc w:val="both"/>
        <w:rPr>
          <w:rFonts w:eastAsia="Times New Roman" w:cstheme="minorHAnsi"/>
          <w:lang w:eastAsia="es-ES"/>
        </w:rPr>
      </w:pPr>
    </w:p>
    <w:p w:rsidR="00B96D90" w:rsidRPr="00F25637" w:rsidRDefault="00A441DA" w:rsidP="00B072ED">
      <w:pPr>
        <w:spacing w:after="0" w:line="240" w:lineRule="auto"/>
        <w:jc w:val="both"/>
        <w:rPr>
          <w:rFonts w:eastAsia="Times New Roman" w:cstheme="minorHAnsi"/>
          <w:b/>
          <w:lang w:val="es-ES" w:eastAsia="es-ES"/>
        </w:rPr>
      </w:pPr>
      <w:r w:rsidRPr="00F25637">
        <w:rPr>
          <w:rFonts w:eastAsia="Times New Roman" w:cstheme="minorHAnsi"/>
          <w:b/>
          <w:lang w:val="es-ES" w:eastAsia="es-ES"/>
        </w:rPr>
        <w:t>Ciudadano Diputado</w:t>
      </w:r>
      <w:r w:rsidR="00F25637" w:rsidRPr="00F25637">
        <w:rPr>
          <w:rFonts w:eastAsia="Times New Roman" w:cstheme="minorHAnsi"/>
          <w:b/>
          <w:lang w:val="es-ES" w:eastAsia="es-ES"/>
        </w:rPr>
        <w:t xml:space="preserve"> César Enrique Morales Niño</w:t>
      </w:r>
      <w:r w:rsidRPr="00F25637">
        <w:rPr>
          <w:rFonts w:eastAsia="Times New Roman" w:cstheme="minorHAnsi"/>
          <w:b/>
          <w:lang w:val="es-ES" w:eastAsia="es-ES"/>
        </w:rPr>
        <w:t>,</w:t>
      </w:r>
    </w:p>
    <w:p w:rsidR="00B96D90" w:rsidRPr="00F25637" w:rsidRDefault="00A441DA" w:rsidP="00B072ED">
      <w:pPr>
        <w:spacing w:after="0" w:line="240" w:lineRule="auto"/>
        <w:jc w:val="both"/>
        <w:rPr>
          <w:rFonts w:eastAsia="Times New Roman" w:cstheme="minorHAnsi"/>
          <w:b/>
          <w:lang w:val="es-ES" w:eastAsia="es-ES"/>
        </w:rPr>
      </w:pPr>
      <w:r w:rsidRPr="00F25637">
        <w:rPr>
          <w:rFonts w:eastAsia="Times New Roman" w:cstheme="minorHAnsi"/>
          <w:b/>
          <w:lang w:val="es-ES" w:eastAsia="es-ES"/>
        </w:rPr>
        <w:t>Presidente de la Mesa Directiva,</w:t>
      </w:r>
    </w:p>
    <w:p w:rsidR="00B96D90" w:rsidRPr="00F25637" w:rsidRDefault="00A441DA" w:rsidP="00B072ED">
      <w:pPr>
        <w:spacing w:after="0" w:line="240" w:lineRule="auto"/>
        <w:jc w:val="both"/>
        <w:rPr>
          <w:rFonts w:eastAsia="Times New Roman" w:cstheme="minorHAnsi"/>
          <w:b/>
          <w:lang w:val="es-ES" w:eastAsia="es-ES"/>
        </w:rPr>
      </w:pPr>
      <w:r w:rsidRPr="00F25637">
        <w:rPr>
          <w:rFonts w:eastAsia="Times New Roman" w:cstheme="minorHAnsi"/>
          <w:b/>
          <w:lang w:val="es-ES" w:eastAsia="es-ES"/>
        </w:rPr>
        <w:t>Honorable Congreso del Estado.</w:t>
      </w:r>
    </w:p>
    <w:p w:rsidR="00B96D90" w:rsidRPr="00F25637" w:rsidRDefault="00B96D90" w:rsidP="00B072ED">
      <w:pPr>
        <w:autoSpaceDE w:val="0"/>
        <w:adjustRightInd w:val="0"/>
        <w:spacing w:after="0" w:line="240" w:lineRule="auto"/>
        <w:ind w:right="49"/>
        <w:jc w:val="both"/>
        <w:rPr>
          <w:rFonts w:eastAsia="Times New Roman" w:cstheme="minorHAnsi"/>
          <w:bCs/>
          <w:lang w:val="es-ES" w:eastAsia="es-ES"/>
        </w:rPr>
      </w:pPr>
    </w:p>
    <w:p w:rsidR="00DB43E9" w:rsidRPr="00F25637" w:rsidRDefault="00B96D90" w:rsidP="00DB43E9">
      <w:pPr>
        <w:spacing w:after="0" w:line="240" w:lineRule="auto"/>
        <w:jc w:val="both"/>
        <w:rPr>
          <w:rFonts w:cstheme="minorHAnsi"/>
        </w:rPr>
      </w:pPr>
      <w:r w:rsidRPr="00F25637">
        <w:rPr>
          <w:rFonts w:eastAsia="Times New Roman" w:cstheme="minorHAnsi"/>
          <w:lang w:eastAsia="es-ES"/>
        </w:rPr>
        <w:t>En ejercicio de la facultad que me confieren los artículos 50</w:t>
      </w:r>
      <w:r w:rsidR="00C711C9" w:rsidRPr="00F25637">
        <w:rPr>
          <w:rFonts w:eastAsia="Times New Roman" w:cstheme="minorHAnsi"/>
          <w:lang w:eastAsia="es-ES"/>
        </w:rPr>
        <w:t>,</w:t>
      </w:r>
      <w:r w:rsidRPr="00F25637">
        <w:rPr>
          <w:rFonts w:eastAsia="Times New Roman" w:cstheme="minorHAnsi"/>
          <w:lang w:eastAsia="es-ES"/>
        </w:rPr>
        <w:t xml:space="preserve"> fracción II</w:t>
      </w:r>
      <w:r w:rsidR="00C711C9" w:rsidRPr="00F25637">
        <w:rPr>
          <w:rFonts w:eastAsia="Times New Roman" w:cstheme="minorHAnsi"/>
          <w:lang w:eastAsia="es-ES"/>
        </w:rPr>
        <w:t>,</w:t>
      </w:r>
      <w:r w:rsidRPr="00F25637">
        <w:rPr>
          <w:rFonts w:eastAsia="Times New Roman" w:cstheme="minorHAnsi"/>
          <w:lang w:eastAsia="es-ES"/>
        </w:rPr>
        <w:t xml:space="preserve"> y 79</w:t>
      </w:r>
      <w:r w:rsidR="00C711C9" w:rsidRPr="00F25637">
        <w:rPr>
          <w:rFonts w:eastAsia="Times New Roman" w:cstheme="minorHAnsi"/>
          <w:lang w:eastAsia="es-ES"/>
        </w:rPr>
        <w:t>,</w:t>
      </w:r>
      <w:r w:rsidRPr="00F25637">
        <w:rPr>
          <w:rFonts w:eastAsia="Times New Roman" w:cstheme="minorHAnsi"/>
          <w:lang w:eastAsia="es-ES"/>
        </w:rPr>
        <w:t xml:space="preserve"> fracción I</w:t>
      </w:r>
      <w:r w:rsidR="00C711C9" w:rsidRPr="00F25637">
        <w:rPr>
          <w:rFonts w:eastAsia="Times New Roman" w:cstheme="minorHAnsi"/>
          <w:lang w:eastAsia="es-ES"/>
        </w:rPr>
        <w:t>,</w:t>
      </w:r>
      <w:r w:rsidRPr="00F25637">
        <w:rPr>
          <w:rFonts w:eastAsia="Times New Roman" w:cstheme="minorHAnsi"/>
          <w:lang w:eastAsia="es-ES"/>
        </w:rPr>
        <w:t xml:space="preserve"> </w:t>
      </w:r>
      <w:r w:rsidR="003D0304">
        <w:rPr>
          <w:rFonts w:eastAsia="Times New Roman" w:cstheme="minorHAnsi"/>
          <w:lang w:eastAsia="es-ES"/>
        </w:rPr>
        <w:t>80</w:t>
      </w:r>
      <w:r w:rsidR="00E56865">
        <w:rPr>
          <w:rFonts w:eastAsia="Times New Roman" w:cstheme="minorHAnsi"/>
          <w:lang w:eastAsia="es-ES"/>
        </w:rPr>
        <w:t>,</w:t>
      </w:r>
      <w:r w:rsidR="003D0304">
        <w:rPr>
          <w:rFonts w:eastAsia="Times New Roman" w:cstheme="minorHAnsi"/>
          <w:lang w:eastAsia="es-ES"/>
        </w:rPr>
        <w:t xml:space="preserve"> fracción VI </w:t>
      </w:r>
      <w:r w:rsidRPr="00F25637">
        <w:rPr>
          <w:rFonts w:eastAsia="Times New Roman" w:cstheme="minorHAnsi"/>
          <w:lang w:eastAsia="es-ES"/>
        </w:rPr>
        <w:t xml:space="preserve">de la Constitución Política del Estado Libre y Soberano de Oaxaca, </w:t>
      </w:r>
      <w:r w:rsidR="00E2362A" w:rsidRPr="00F25637">
        <w:rPr>
          <w:rFonts w:eastAsia="Times New Roman" w:cstheme="minorHAnsi"/>
          <w:lang w:eastAsia="es-ES"/>
        </w:rPr>
        <w:t>me permito someter por su conducto a</w:t>
      </w:r>
      <w:r w:rsidR="00DB43E9" w:rsidRPr="00F25637">
        <w:rPr>
          <w:rFonts w:eastAsia="Times New Roman" w:cstheme="minorHAnsi"/>
          <w:lang w:eastAsia="es-ES"/>
        </w:rPr>
        <w:t xml:space="preserve"> esa Honorable Legislatura, la i</w:t>
      </w:r>
      <w:r w:rsidR="00E2362A" w:rsidRPr="00F25637">
        <w:rPr>
          <w:rFonts w:eastAsia="Times New Roman" w:cstheme="minorHAnsi"/>
          <w:lang w:eastAsia="es-ES"/>
        </w:rPr>
        <w:t xml:space="preserve">niciativa </w:t>
      </w:r>
      <w:r w:rsidR="00EB676D">
        <w:rPr>
          <w:rFonts w:eastAsia="Calibri" w:cstheme="minorHAnsi"/>
          <w:lang w:val="es-ES" w:eastAsia="es-ES"/>
        </w:rPr>
        <w:t xml:space="preserve">de </w:t>
      </w:r>
      <w:r w:rsidR="00DD2BF0" w:rsidRPr="00F25637">
        <w:rPr>
          <w:rFonts w:cstheme="minorHAnsi"/>
        </w:rPr>
        <w:t xml:space="preserve">la Ley </w:t>
      </w:r>
      <w:r w:rsidR="00DB43E9" w:rsidRPr="00F25637">
        <w:rPr>
          <w:rFonts w:cstheme="minorHAnsi"/>
        </w:rPr>
        <w:t>G</w:t>
      </w:r>
      <w:r w:rsidR="00A441DA" w:rsidRPr="00F25637">
        <w:rPr>
          <w:rFonts w:cstheme="minorHAnsi"/>
        </w:rPr>
        <w:t xml:space="preserve">eneral de Ingresos Municipales </w:t>
      </w:r>
      <w:r w:rsidR="00DB43E9" w:rsidRPr="00F25637">
        <w:rPr>
          <w:rFonts w:cstheme="minorHAnsi"/>
        </w:rPr>
        <w:t>del Estado de Oaxaca para el Ejercicio Fiscal 2019.</w:t>
      </w:r>
    </w:p>
    <w:p w:rsidR="00DB43E9" w:rsidRPr="00F25637" w:rsidRDefault="00DB43E9" w:rsidP="00DB43E9">
      <w:pPr>
        <w:spacing w:after="0" w:line="240" w:lineRule="auto"/>
        <w:jc w:val="both"/>
        <w:rPr>
          <w:rFonts w:cstheme="minorHAnsi"/>
        </w:rPr>
      </w:pPr>
    </w:p>
    <w:p w:rsidR="00214BA3" w:rsidRPr="00F25637" w:rsidRDefault="00B06157" w:rsidP="00506E59">
      <w:pPr>
        <w:spacing w:after="0" w:line="240" w:lineRule="auto"/>
        <w:jc w:val="both"/>
        <w:rPr>
          <w:rFonts w:cstheme="minorHAnsi"/>
        </w:rPr>
      </w:pPr>
      <w:r w:rsidRPr="00F25637">
        <w:rPr>
          <w:rFonts w:eastAsia="Calibri" w:cstheme="minorHAnsi"/>
          <w:lang w:val="es-ES" w:eastAsia="es-ES"/>
        </w:rPr>
        <w:t xml:space="preserve">Toda vez que nuestro </w:t>
      </w:r>
      <w:r w:rsidR="00A441DA" w:rsidRPr="00F25637">
        <w:rPr>
          <w:rFonts w:eastAsia="Calibri" w:cstheme="minorHAnsi"/>
          <w:lang w:val="es-ES" w:eastAsia="es-ES"/>
        </w:rPr>
        <w:t>p</w:t>
      </w:r>
      <w:r w:rsidR="00A4049B" w:rsidRPr="00F25637">
        <w:rPr>
          <w:rFonts w:eastAsia="Calibri" w:cstheme="minorHAnsi"/>
          <w:lang w:val="es-ES" w:eastAsia="es-ES"/>
        </w:rPr>
        <w:t>aís atraviesa por momentos decisivos para el fortalecimiento y perfeccionamiento de sus instituciones, cuya consolidación es una tarea fundamental de todos los actores del Gobierno, en sus distintos órdenes, llámense federal, estatal o municipal y, para coadyuvar con dicha encomienda, es necesario que el Poder Ejecutivo del Estado de Oaxaca establezca normas jurídicas</w:t>
      </w:r>
      <w:r w:rsidRPr="00F25637">
        <w:rPr>
          <w:rFonts w:eastAsia="Calibri" w:cstheme="minorHAnsi"/>
          <w:lang w:val="es-ES" w:eastAsia="es-ES"/>
        </w:rPr>
        <w:t xml:space="preserve"> para que el actuar de las autoridades estatales y/o municipales se desarrollen </w:t>
      </w:r>
      <w:r w:rsidR="00A4049B" w:rsidRPr="00F25637">
        <w:rPr>
          <w:rFonts w:eastAsia="Calibri" w:cstheme="minorHAnsi"/>
          <w:lang w:val="es-ES" w:eastAsia="es-ES"/>
        </w:rPr>
        <w:t>en un marco de legalidad, seguridad jurídica, audiencia y de respeto a las formalidades esenciales del procedimiento, con el fin de proteger los Derechos Humanos establecidos a favor de las personas, en nuestra Carta Magna</w:t>
      </w:r>
      <w:r w:rsidR="00A10D96" w:rsidRPr="00F25637">
        <w:rPr>
          <w:rFonts w:eastAsia="Calibri" w:cstheme="minorHAnsi"/>
          <w:lang w:val="es-ES" w:eastAsia="es-ES"/>
        </w:rPr>
        <w:t xml:space="preserve"> </w:t>
      </w:r>
      <w:r w:rsidRPr="00F25637">
        <w:rPr>
          <w:rFonts w:eastAsia="Calibri" w:cstheme="minorHAnsi"/>
          <w:lang w:val="es-ES" w:eastAsia="es-ES"/>
        </w:rPr>
        <w:t xml:space="preserve">y velar </w:t>
      </w:r>
      <w:r w:rsidRPr="00F25637">
        <w:rPr>
          <w:rFonts w:cstheme="minorHAnsi"/>
          <w:color w:val="000000"/>
        </w:rPr>
        <w:t>para que no se vulneren los derechos de</w:t>
      </w:r>
      <w:r w:rsidR="00A25BE2" w:rsidRPr="00F25637">
        <w:rPr>
          <w:rFonts w:cstheme="minorHAnsi"/>
          <w:color w:val="000000"/>
        </w:rPr>
        <w:t xml:space="preserve"> la ciudadanía que representa.</w:t>
      </w:r>
    </w:p>
    <w:p w:rsidR="00E63525" w:rsidRPr="00F25637" w:rsidRDefault="00E63525" w:rsidP="00E63525">
      <w:pPr>
        <w:spacing w:after="0" w:line="240" w:lineRule="auto"/>
        <w:ind w:right="-1"/>
        <w:jc w:val="both"/>
        <w:rPr>
          <w:rFonts w:eastAsia="Calibri" w:cstheme="minorHAnsi"/>
          <w:spacing w:val="1"/>
        </w:rPr>
      </w:pPr>
    </w:p>
    <w:p w:rsidR="00506E59" w:rsidRPr="00F25637" w:rsidRDefault="008B2E7B" w:rsidP="00E63525">
      <w:pPr>
        <w:spacing w:after="0" w:line="240" w:lineRule="auto"/>
        <w:ind w:right="-1"/>
        <w:jc w:val="both"/>
        <w:rPr>
          <w:rFonts w:cstheme="minorHAnsi"/>
        </w:rPr>
      </w:pPr>
      <w:r w:rsidRPr="00F25637">
        <w:rPr>
          <w:rFonts w:cstheme="minorHAnsi"/>
        </w:rPr>
        <w:t xml:space="preserve">En la presente </w:t>
      </w:r>
      <w:r w:rsidR="00FF25C3" w:rsidRPr="00F25637">
        <w:rPr>
          <w:rFonts w:cstheme="minorHAnsi"/>
        </w:rPr>
        <w:t xml:space="preserve">Ley </w:t>
      </w:r>
      <w:r w:rsidRPr="00F25637">
        <w:rPr>
          <w:rFonts w:cstheme="minorHAnsi"/>
        </w:rPr>
        <w:t>se concentran los ingresos municipales de acuerdo con la estructura emitida por el Consejo Nacional de Armonización Contable, que define la forma en que deben registrarse los diversos conceptos que integran los impuestos, contribuciones de mejoras, derechos, productos y aprovechamientos; además, contempla las aportaciones como los Fondos de Aportaciones para la Infraestructura Social Municipal, y para el Fortalecimiento de los Municipios que por disposición de la Ley de Coordinación Fiscal le corresponden a los 570 Municipios de la Entidad, se señalan igualmente los rubros de Convenios, Transferencias, Asignaturas, Subsidios y otras ayudas provenientes de lo aprobado en el Decreto de Presupuesto de Egresos de la Federación.</w:t>
      </w:r>
      <w:r w:rsidR="00D506A3" w:rsidRPr="00F25637">
        <w:rPr>
          <w:rFonts w:cstheme="minorHAnsi"/>
        </w:rPr>
        <w:t xml:space="preserve"> </w:t>
      </w:r>
    </w:p>
    <w:p w:rsidR="008B2E7B" w:rsidRPr="00F25637" w:rsidRDefault="008B2E7B" w:rsidP="00E63525">
      <w:pPr>
        <w:spacing w:after="0" w:line="240" w:lineRule="auto"/>
        <w:ind w:right="-1"/>
        <w:jc w:val="both"/>
        <w:rPr>
          <w:rFonts w:cstheme="minorHAnsi"/>
        </w:rPr>
      </w:pPr>
    </w:p>
    <w:p w:rsidR="008B2E7B" w:rsidRPr="00F25637" w:rsidRDefault="00A10D96" w:rsidP="00E63525">
      <w:pPr>
        <w:spacing w:after="0" w:line="240" w:lineRule="auto"/>
        <w:ind w:right="-1"/>
        <w:jc w:val="both"/>
        <w:rPr>
          <w:rFonts w:cstheme="minorHAnsi"/>
        </w:rPr>
      </w:pPr>
      <w:r w:rsidRPr="00F25637">
        <w:rPr>
          <w:rFonts w:cstheme="minorHAnsi"/>
        </w:rPr>
        <w:t>Asimismo</w:t>
      </w:r>
      <w:r w:rsidR="00A25BE2" w:rsidRPr="00F25637">
        <w:rPr>
          <w:rFonts w:cstheme="minorHAnsi"/>
        </w:rPr>
        <w:t xml:space="preserve">, </w:t>
      </w:r>
      <w:r w:rsidR="008B2E7B" w:rsidRPr="00F25637">
        <w:rPr>
          <w:rFonts w:cstheme="minorHAnsi"/>
        </w:rPr>
        <w:t xml:space="preserve">se contempla la obligación que tienen los órganos auxiliares </w:t>
      </w:r>
      <w:r w:rsidRPr="00F25637">
        <w:rPr>
          <w:rFonts w:cstheme="minorHAnsi"/>
        </w:rPr>
        <w:t xml:space="preserve">de </w:t>
      </w:r>
      <w:r w:rsidR="008B2E7B" w:rsidRPr="00F25637">
        <w:rPr>
          <w:rFonts w:cstheme="minorHAnsi"/>
        </w:rPr>
        <w:t xml:space="preserve">recaudar las contribuciones, quienes deberán de informar y entregar los montos recaudados en un plazo de 10 </w:t>
      </w:r>
      <w:r w:rsidRPr="00F25637">
        <w:rPr>
          <w:rFonts w:cstheme="minorHAnsi"/>
        </w:rPr>
        <w:t>días</w:t>
      </w:r>
      <w:r w:rsidR="008B2E7B" w:rsidRPr="00F25637">
        <w:rPr>
          <w:rFonts w:cstheme="minorHAnsi"/>
        </w:rPr>
        <w:t xml:space="preserve"> naturales siguientes al cierre del mes, para que se pueda llevar el registro correspondiente y en caso de no </w:t>
      </w:r>
      <w:r w:rsidRPr="00F25637">
        <w:rPr>
          <w:rFonts w:cstheme="minorHAnsi"/>
        </w:rPr>
        <w:t xml:space="preserve">ser </w:t>
      </w:r>
      <w:r w:rsidR="008B2E7B" w:rsidRPr="00F25637">
        <w:rPr>
          <w:rFonts w:cstheme="minorHAnsi"/>
        </w:rPr>
        <w:t>así</w:t>
      </w:r>
      <w:r w:rsidR="00FF25C3" w:rsidRPr="00F25637">
        <w:rPr>
          <w:rFonts w:cstheme="minorHAnsi"/>
        </w:rPr>
        <w:t>,</w:t>
      </w:r>
      <w:r w:rsidR="008B2E7B" w:rsidRPr="00F25637">
        <w:rPr>
          <w:rFonts w:cstheme="minorHAnsi"/>
        </w:rPr>
        <w:t xml:space="preserve"> se podrá</w:t>
      </w:r>
      <w:r w:rsidR="00FF25C3" w:rsidRPr="00F25637">
        <w:rPr>
          <w:rFonts w:cstheme="minorHAnsi"/>
        </w:rPr>
        <w:t>n</w:t>
      </w:r>
      <w:r w:rsidR="008B2E7B" w:rsidRPr="00F25637">
        <w:rPr>
          <w:rFonts w:cstheme="minorHAnsi"/>
        </w:rPr>
        <w:t xml:space="preserve"> iniciar los procedimiento</w:t>
      </w:r>
      <w:r w:rsidR="00D506A3" w:rsidRPr="00F25637">
        <w:rPr>
          <w:rFonts w:cstheme="minorHAnsi"/>
        </w:rPr>
        <w:t>s</w:t>
      </w:r>
      <w:r w:rsidR="008B2E7B" w:rsidRPr="00F25637">
        <w:rPr>
          <w:rFonts w:cstheme="minorHAnsi"/>
        </w:rPr>
        <w:t xml:space="preserve"> de responsabilidad a que haya lugar por las Contralorías Municipales correspondientes, </w:t>
      </w:r>
      <w:r w:rsidR="004E1B1F" w:rsidRPr="00F25637">
        <w:rPr>
          <w:rFonts w:cstheme="minorHAnsi"/>
        </w:rPr>
        <w:t>es</w:t>
      </w:r>
      <w:r w:rsidR="008B2E7B" w:rsidRPr="00F25637">
        <w:rPr>
          <w:rFonts w:cstheme="minorHAnsi"/>
        </w:rPr>
        <w:t xml:space="preserve">to con la finalidad de tener un control estricto de lo que se ingresa a las arcas del municipio y que pueda satisfacer las necesidades primordiales de la población, pues en dado caso que </w:t>
      </w:r>
      <w:r w:rsidR="00A25BE2" w:rsidRPr="00F25637">
        <w:rPr>
          <w:rFonts w:cstheme="minorHAnsi"/>
        </w:rPr>
        <w:t>suceda</w:t>
      </w:r>
      <w:r w:rsidR="008B2E7B" w:rsidRPr="00F25637">
        <w:rPr>
          <w:rFonts w:cstheme="minorHAnsi"/>
        </w:rPr>
        <w:t xml:space="preserve"> lo contrario se estaría ocasionando una afectación patrimonial al Erario Público </w:t>
      </w:r>
      <w:r w:rsidR="00A25BE2" w:rsidRPr="00F25637">
        <w:rPr>
          <w:rFonts w:cstheme="minorHAnsi"/>
        </w:rPr>
        <w:t xml:space="preserve">Municipal </w:t>
      </w:r>
      <w:r w:rsidR="008B2E7B" w:rsidRPr="00F25637">
        <w:rPr>
          <w:rFonts w:cstheme="minorHAnsi"/>
        </w:rPr>
        <w:t>afectando a la sociedad en general.</w:t>
      </w:r>
    </w:p>
    <w:p w:rsidR="008B2E7B" w:rsidRPr="00F25637" w:rsidRDefault="008B2E7B" w:rsidP="00E63525">
      <w:pPr>
        <w:spacing w:after="0" w:line="240" w:lineRule="auto"/>
        <w:ind w:right="-1"/>
        <w:jc w:val="both"/>
        <w:rPr>
          <w:rFonts w:cstheme="minorHAnsi"/>
        </w:rPr>
      </w:pPr>
    </w:p>
    <w:p w:rsidR="004E1B1F" w:rsidRPr="00F25637" w:rsidRDefault="00A25BE2" w:rsidP="00A25BE2">
      <w:pPr>
        <w:spacing w:after="0" w:line="240" w:lineRule="auto"/>
        <w:ind w:right="-1"/>
        <w:jc w:val="both"/>
        <w:rPr>
          <w:rFonts w:cstheme="minorHAnsi"/>
        </w:rPr>
      </w:pPr>
      <w:r w:rsidRPr="00F25637">
        <w:rPr>
          <w:rFonts w:cstheme="minorHAnsi"/>
        </w:rPr>
        <w:lastRenderedPageBreak/>
        <w:t>Por otra parte</w:t>
      </w:r>
      <w:r w:rsidR="004E1B1F" w:rsidRPr="00F25637">
        <w:rPr>
          <w:rFonts w:cstheme="minorHAnsi"/>
        </w:rPr>
        <w:t>, en el Capítulo II denominado “De las Facilidades Administrativas y Estímulos Fiscales” se contempla</w:t>
      </w:r>
      <w:r w:rsidR="00FF25C3" w:rsidRPr="00F25637">
        <w:rPr>
          <w:rFonts w:cstheme="minorHAnsi"/>
        </w:rPr>
        <w:t>n</w:t>
      </w:r>
      <w:r w:rsidR="004E1B1F" w:rsidRPr="00F25637">
        <w:rPr>
          <w:rFonts w:cstheme="minorHAnsi"/>
        </w:rPr>
        <w:t xml:space="preserve"> los </w:t>
      </w:r>
      <w:r w:rsidRPr="00F25637">
        <w:rPr>
          <w:rFonts w:cstheme="minorHAnsi"/>
        </w:rPr>
        <w:t>Estímulo</w:t>
      </w:r>
      <w:r w:rsidR="00FF25C3" w:rsidRPr="00F25637">
        <w:rPr>
          <w:rFonts w:cstheme="minorHAnsi"/>
        </w:rPr>
        <w:t>s</w:t>
      </w:r>
      <w:r w:rsidR="004E1B1F" w:rsidRPr="00F25637">
        <w:rPr>
          <w:rFonts w:cstheme="minorHAnsi"/>
        </w:rPr>
        <w:t xml:space="preserve"> Fiscal</w:t>
      </w:r>
      <w:r w:rsidR="00FF25C3" w:rsidRPr="00F25637">
        <w:rPr>
          <w:rFonts w:cstheme="minorHAnsi"/>
        </w:rPr>
        <w:t>es</w:t>
      </w:r>
      <w:r w:rsidR="004E1B1F" w:rsidRPr="00F25637">
        <w:rPr>
          <w:rFonts w:cstheme="minorHAnsi"/>
        </w:rPr>
        <w:t xml:space="preserve"> respecto a las micro, pequeñas </w:t>
      </w:r>
      <w:r w:rsidR="004E1B1F" w:rsidRPr="00F25637">
        <w:rPr>
          <w:rFonts w:eastAsia="MS Mincho" w:cstheme="minorHAnsi"/>
          <w:lang w:val="es-ES" w:eastAsia="es-ES"/>
        </w:rPr>
        <w:t>y medianas empresas de nueva creación, que inicien operaciones en los Municipios del Estado de Oaxaca, en las que se les otorgará como mínimo un estímulo fiscal de</w:t>
      </w:r>
      <w:r w:rsidR="00FF25C3" w:rsidRPr="00F25637">
        <w:rPr>
          <w:rFonts w:eastAsia="MS Mincho" w:cstheme="minorHAnsi"/>
          <w:lang w:val="es-ES" w:eastAsia="es-ES"/>
        </w:rPr>
        <w:t>l</w:t>
      </w:r>
      <w:r w:rsidR="004E1B1F" w:rsidRPr="00F25637">
        <w:rPr>
          <w:rFonts w:eastAsia="MS Mincho" w:cstheme="minorHAnsi"/>
          <w:lang w:val="es-ES" w:eastAsia="es-ES"/>
        </w:rPr>
        <w:t xml:space="preserve"> 50 por ciento en los derechos por la integración y actualización al Padrón Fiscal Municipal de giros blancos y por la expedición de cédula de registro y autorización o su equivalente en las Leyes de Ingresos Municipales para el Ejercicio Fiscal</w:t>
      </w:r>
      <w:r w:rsidR="00D506A3" w:rsidRPr="00F25637">
        <w:rPr>
          <w:rFonts w:eastAsia="MS Mincho" w:cstheme="minorHAnsi"/>
          <w:lang w:val="es-ES" w:eastAsia="es-ES"/>
        </w:rPr>
        <w:t xml:space="preserve"> 2019</w:t>
      </w:r>
      <w:r w:rsidRPr="00F25637">
        <w:rPr>
          <w:rFonts w:eastAsia="MS Mincho" w:cstheme="minorHAnsi"/>
          <w:lang w:val="es-ES" w:eastAsia="es-ES"/>
        </w:rPr>
        <w:t xml:space="preserve"> y el </w:t>
      </w:r>
      <w:r w:rsidRPr="00F25637">
        <w:rPr>
          <w:rFonts w:eastAsia="MS Mincho" w:cstheme="minorHAnsi"/>
          <w:kern w:val="3"/>
          <w:lang w:val="es-ES" w:eastAsia="es-ES"/>
        </w:rPr>
        <w:t xml:space="preserve">50 por ciento en el monto a pagar por concepto de derechos sobre anuncios y publicidad, siempre y cuando cumplan con los requisitos establecidos en esta Ley, lo anterior de aprobarse por este Congreso </w:t>
      </w:r>
      <w:r w:rsidRPr="00F25637">
        <w:rPr>
          <w:rFonts w:eastAsia="MS Mincho" w:cstheme="minorHAnsi"/>
          <w:lang w:val="es-ES" w:eastAsia="es-ES"/>
        </w:rPr>
        <w:t xml:space="preserve">incentivará </w:t>
      </w:r>
      <w:r w:rsidR="004E1B1F" w:rsidRPr="00F25637">
        <w:rPr>
          <w:rFonts w:eastAsia="MS Mincho" w:cstheme="minorHAnsi"/>
          <w:lang w:val="es-ES" w:eastAsia="es-ES"/>
        </w:rPr>
        <w:t xml:space="preserve">la economía en el Estado y </w:t>
      </w:r>
      <w:r w:rsidR="00DA1203" w:rsidRPr="00F25637">
        <w:rPr>
          <w:rFonts w:eastAsia="MS Mincho" w:cstheme="minorHAnsi"/>
          <w:lang w:val="es-ES" w:eastAsia="es-ES"/>
        </w:rPr>
        <w:t xml:space="preserve">se </w:t>
      </w:r>
      <w:r w:rsidR="004E1B1F" w:rsidRPr="00F25637">
        <w:rPr>
          <w:rFonts w:eastAsia="MS Mincho" w:cstheme="minorHAnsi"/>
          <w:lang w:val="es-ES" w:eastAsia="es-ES"/>
        </w:rPr>
        <w:t>lograr</w:t>
      </w:r>
      <w:r w:rsidR="00DA1203" w:rsidRPr="00F25637">
        <w:rPr>
          <w:rFonts w:eastAsia="MS Mincho" w:cstheme="minorHAnsi"/>
          <w:lang w:val="es-ES" w:eastAsia="es-ES"/>
        </w:rPr>
        <w:t>á</w:t>
      </w:r>
      <w:r w:rsidR="004E1B1F" w:rsidRPr="00F25637">
        <w:rPr>
          <w:rFonts w:eastAsia="MS Mincho" w:cstheme="minorHAnsi"/>
          <w:lang w:val="es-ES" w:eastAsia="es-ES"/>
        </w:rPr>
        <w:t xml:space="preserve"> con ello más fuentes de trabajo para las familias Oaxaqueñas.</w:t>
      </w:r>
    </w:p>
    <w:p w:rsidR="004E1B1F" w:rsidRPr="00F25637" w:rsidRDefault="004E1B1F" w:rsidP="00506E59">
      <w:pPr>
        <w:spacing w:after="0" w:line="240" w:lineRule="auto"/>
        <w:jc w:val="both"/>
        <w:rPr>
          <w:rFonts w:eastAsia="MS Mincho" w:cstheme="minorHAnsi"/>
          <w:lang w:val="es-ES" w:eastAsia="es-ES"/>
        </w:rPr>
      </w:pPr>
    </w:p>
    <w:p w:rsidR="00A25BE2" w:rsidRPr="00F25637" w:rsidRDefault="00A25BE2" w:rsidP="00506E59">
      <w:pPr>
        <w:spacing w:after="0" w:line="240" w:lineRule="auto"/>
        <w:jc w:val="both"/>
        <w:rPr>
          <w:rFonts w:cstheme="minorHAnsi"/>
        </w:rPr>
      </w:pPr>
      <w:r w:rsidRPr="00F25637">
        <w:rPr>
          <w:rFonts w:cstheme="minorHAnsi"/>
        </w:rPr>
        <w:t xml:space="preserve">Por lo </w:t>
      </w:r>
      <w:r w:rsidR="0089115C">
        <w:rPr>
          <w:rFonts w:cstheme="minorHAnsi"/>
        </w:rPr>
        <w:t>antes</w:t>
      </w:r>
      <w:r w:rsidRPr="00F25637">
        <w:rPr>
          <w:rFonts w:cstheme="minorHAnsi"/>
        </w:rPr>
        <w:t xml:space="preserve"> expuesto, </w:t>
      </w:r>
      <w:r w:rsidR="00C6310A" w:rsidRPr="00F25637">
        <w:rPr>
          <w:rFonts w:cstheme="minorHAnsi"/>
        </w:rPr>
        <w:t>me permito someter</w:t>
      </w:r>
      <w:r w:rsidRPr="00F25637">
        <w:rPr>
          <w:rFonts w:cstheme="minorHAnsi"/>
        </w:rPr>
        <w:t xml:space="preserve"> a consideración de</w:t>
      </w:r>
      <w:r w:rsidR="00C6310A" w:rsidRPr="00F25637">
        <w:rPr>
          <w:rFonts w:cstheme="minorHAnsi"/>
        </w:rPr>
        <w:t xml:space="preserve"> ese </w:t>
      </w:r>
      <w:r w:rsidRPr="00F25637">
        <w:rPr>
          <w:rFonts w:cstheme="minorHAnsi"/>
        </w:rPr>
        <w:t xml:space="preserve">Honorable </w:t>
      </w:r>
      <w:r w:rsidR="00C6310A" w:rsidRPr="00F25637">
        <w:rPr>
          <w:rFonts w:cstheme="minorHAnsi"/>
        </w:rPr>
        <w:t>Congreso del Estado</w:t>
      </w:r>
      <w:r w:rsidR="0087385D" w:rsidRPr="00F25637">
        <w:rPr>
          <w:rFonts w:cstheme="minorHAnsi"/>
        </w:rPr>
        <w:t>, la presente Iniciativa de</w:t>
      </w:r>
    </w:p>
    <w:p w:rsidR="00A25BE2" w:rsidRPr="00F25637" w:rsidRDefault="00A25BE2" w:rsidP="00506E59">
      <w:pPr>
        <w:spacing w:after="0" w:line="240" w:lineRule="auto"/>
        <w:jc w:val="both"/>
        <w:rPr>
          <w:rFonts w:cstheme="minorHAnsi"/>
        </w:rPr>
      </w:pPr>
    </w:p>
    <w:p w:rsidR="00506E59" w:rsidRPr="00F25637" w:rsidRDefault="0089115C" w:rsidP="00506E59">
      <w:pPr>
        <w:spacing w:after="0" w:line="240" w:lineRule="auto"/>
        <w:jc w:val="center"/>
        <w:rPr>
          <w:rFonts w:eastAsia="Calibri" w:cstheme="minorHAnsi"/>
          <w:b/>
        </w:rPr>
      </w:pPr>
      <w:r>
        <w:rPr>
          <w:rFonts w:eastAsia="Calibri" w:cstheme="minorHAnsi"/>
          <w:b/>
        </w:rPr>
        <w:t xml:space="preserve">Decreto por el que se expide la </w:t>
      </w:r>
      <w:r w:rsidR="00506E59" w:rsidRPr="00F25637">
        <w:rPr>
          <w:rFonts w:eastAsia="Calibri" w:cstheme="minorHAnsi"/>
          <w:b/>
        </w:rPr>
        <w:t>Ley General de Ingresos Municipales del Estado de Oaxaca para el Ejercicio Fiscal 2019.</w:t>
      </w:r>
    </w:p>
    <w:p w:rsidR="00506E59" w:rsidRPr="00F25637" w:rsidRDefault="00506E59" w:rsidP="00506E59">
      <w:pPr>
        <w:spacing w:after="0" w:line="240" w:lineRule="auto"/>
        <w:jc w:val="center"/>
        <w:rPr>
          <w:rFonts w:eastAsia="Calibri" w:cstheme="minorHAnsi"/>
          <w:b/>
        </w:rPr>
      </w:pPr>
    </w:p>
    <w:p w:rsidR="00506E59" w:rsidRPr="00F25637" w:rsidRDefault="00506E59" w:rsidP="00506E59">
      <w:pPr>
        <w:autoSpaceDE w:val="0"/>
        <w:autoSpaceDN w:val="0"/>
        <w:adjustRightInd w:val="0"/>
        <w:spacing w:after="0" w:line="240" w:lineRule="auto"/>
        <w:jc w:val="both"/>
        <w:rPr>
          <w:rFonts w:cstheme="minorHAnsi"/>
          <w:color w:val="000000"/>
        </w:rPr>
      </w:pPr>
      <w:r w:rsidRPr="00F25637">
        <w:rPr>
          <w:rFonts w:cstheme="minorHAnsi"/>
          <w:b/>
          <w:bCs/>
          <w:color w:val="000000"/>
        </w:rPr>
        <w:t xml:space="preserve">ARTÍCULO ÚNICO: </w:t>
      </w:r>
      <w:r w:rsidRPr="00F25637">
        <w:rPr>
          <w:rFonts w:cstheme="minorHAnsi"/>
          <w:color w:val="000000"/>
        </w:rPr>
        <w:t xml:space="preserve">Se expide la Ley General de Ingresos Municipales del Estado de Oaxaca para el Ejercicio Fiscal 2019, para quedar como sigue: </w:t>
      </w:r>
    </w:p>
    <w:p w:rsidR="00506E59" w:rsidRPr="00F25637" w:rsidRDefault="00506E59" w:rsidP="00506E59">
      <w:pPr>
        <w:spacing w:after="0" w:line="240" w:lineRule="auto"/>
        <w:jc w:val="both"/>
        <w:rPr>
          <w:rFonts w:cstheme="minorHAnsi"/>
          <w:b/>
          <w:bCs/>
          <w:color w:val="000000"/>
        </w:rPr>
      </w:pPr>
    </w:p>
    <w:p w:rsidR="00506E59" w:rsidRPr="00F25637" w:rsidRDefault="00506E59" w:rsidP="00506E59">
      <w:pPr>
        <w:spacing w:after="0" w:line="240" w:lineRule="auto"/>
        <w:jc w:val="center"/>
        <w:rPr>
          <w:rFonts w:cstheme="minorHAnsi"/>
          <w:b/>
          <w:bCs/>
        </w:rPr>
      </w:pPr>
      <w:r w:rsidRPr="00F25637">
        <w:rPr>
          <w:rFonts w:cstheme="minorHAnsi"/>
          <w:b/>
          <w:bCs/>
          <w:color w:val="000000"/>
        </w:rPr>
        <w:t>Ley General de Ingresos Municipales del Estado de Oaxaca para el Ejercicio Fiscal 2019</w:t>
      </w:r>
    </w:p>
    <w:p w:rsidR="00506E59" w:rsidRPr="00F25637" w:rsidRDefault="00506E59" w:rsidP="00506E59">
      <w:pPr>
        <w:spacing w:after="0" w:line="240" w:lineRule="auto"/>
        <w:jc w:val="both"/>
        <w:rPr>
          <w:rFonts w:eastAsia="Calibri" w:cstheme="minorHAnsi"/>
          <w:b/>
          <w:lang w:eastAsia="es-ES"/>
        </w:rPr>
      </w:pPr>
    </w:p>
    <w:p w:rsidR="00506E59" w:rsidRPr="00F25637" w:rsidRDefault="00506E59" w:rsidP="00506E59">
      <w:pPr>
        <w:pStyle w:val="Standard"/>
        <w:tabs>
          <w:tab w:val="left" w:pos="709"/>
        </w:tabs>
        <w:spacing w:after="0" w:line="240" w:lineRule="auto"/>
        <w:jc w:val="center"/>
        <w:rPr>
          <w:rFonts w:asciiTheme="minorHAnsi" w:hAnsiTheme="minorHAnsi" w:cstheme="minorHAnsi"/>
          <w:b/>
        </w:rPr>
      </w:pPr>
      <w:r w:rsidRPr="00F25637">
        <w:rPr>
          <w:rFonts w:asciiTheme="minorHAnsi" w:hAnsiTheme="minorHAnsi" w:cstheme="minorHAnsi"/>
          <w:b/>
        </w:rPr>
        <w:t xml:space="preserve">Capítulo I </w:t>
      </w:r>
    </w:p>
    <w:p w:rsidR="00506E59" w:rsidRPr="00F25637" w:rsidRDefault="00506E59" w:rsidP="00506E59">
      <w:pPr>
        <w:pStyle w:val="Standard"/>
        <w:tabs>
          <w:tab w:val="left" w:pos="709"/>
        </w:tabs>
        <w:spacing w:after="0" w:line="240" w:lineRule="auto"/>
        <w:jc w:val="center"/>
        <w:rPr>
          <w:rFonts w:asciiTheme="minorHAnsi" w:hAnsiTheme="minorHAnsi" w:cstheme="minorHAnsi"/>
          <w:b/>
        </w:rPr>
      </w:pPr>
      <w:r w:rsidRPr="00F25637">
        <w:rPr>
          <w:rFonts w:asciiTheme="minorHAnsi" w:hAnsiTheme="minorHAnsi" w:cstheme="minorHAnsi"/>
          <w:b/>
        </w:rPr>
        <w:t>Disposiciones Generales</w:t>
      </w:r>
    </w:p>
    <w:p w:rsidR="00506E59" w:rsidRPr="00F25637" w:rsidRDefault="00506E59" w:rsidP="00506E59">
      <w:pPr>
        <w:pStyle w:val="Standard"/>
        <w:tabs>
          <w:tab w:val="left" w:pos="709"/>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tabs>
          <w:tab w:val="left" w:pos="709"/>
        </w:tabs>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1.</w:t>
      </w:r>
      <w:r w:rsidRPr="00F25637">
        <w:rPr>
          <w:rFonts w:asciiTheme="minorHAnsi" w:eastAsia="MS Mincho" w:hAnsiTheme="minorHAnsi" w:cstheme="minorHAnsi"/>
          <w:lang w:val="es-ES" w:eastAsia="es-ES"/>
        </w:rPr>
        <w:t xml:space="preserve"> Para efectos de la presente Ley, se entenderá por:</w:t>
      </w:r>
    </w:p>
    <w:p w:rsidR="00506E59" w:rsidRPr="00F25637" w:rsidRDefault="00506E59" w:rsidP="00506E59">
      <w:pPr>
        <w:pStyle w:val="Standard"/>
        <w:tabs>
          <w:tab w:val="left" w:pos="709"/>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Ayuntamiento: Órgano Colegiado del gobierno municipal;</w:t>
      </w:r>
    </w:p>
    <w:p w:rsidR="00506E59" w:rsidRPr="00F25637" w:rsidRDefault="00506E59" w:rsidP="00506E59">
      <w:pPr>
        <w:pStyle w:val="Standard"/>
        <w:tabs>
          <w:tab w:val="left" w:pos="567"/>
        </w:tabs>
        <w:spacing w:after="0" w:line="240" w:lineRule="auto"/>
        <w:ind w:left="567"/>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 xml:space="preserve">Código: Código Fiscal Municipal </w:t>
      </w:r>
      <w:r w:rsidR="0087385D" w:rsidRPr="00F25637">
        <w:rPr>
          <w:rFonts w:asciiTheme="minorHAnsi" w:eastAsia="MS Mincho" w:hAnsiTheme="minorHAnsi" w:cstheme="minorHAnsi"/>
          <w:lang w:val="es-ES" w:eastAsia="es-ES"/>
        </w:rPr>
        <w:t>del</w:t>
      </w:r>
      <w:r w:rsidRPr="00F25637">
        <w:rPr>
          <w:rFonts w:asciiTheme="minorHAnsi" w:eastAsia="MS Mincho" w:hAnsiTheme="minorHAnsi" w:cstheme="minorHAnsi"/>
          <w:lang w:val="es-ES" w:eastAsia="es-ES"/>
        </w:rPr>
        <w:t xml:space="preserve">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Congreso: Congreso del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Ley de Coordinación: Ley de Coordinación Fiscal para el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8" w:hanging="284"/>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Ley de Disciplina Financiera: Ley de Disciplina Financiera de las Entidades Federativas y los Municipios;</w:t>
      </w:r>
    </w:p>
    <w:p w:rsidR="00E648F4" w:rsidRPr="00F25637" w:rsidRDefault="00E648F4" w:rsidP="00E648F4">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Ley de Fiscalización: Ley de Fiscalización Superior y Rendición de Cuentas para el Estado de Oaxaca;</w:t>
      </w:r>
    </w:p>
    <w:p w:rsidR="00506E59" w:rsidRPr="00F25637" w:rsidRDefault="00506E59" w:rsidP="00506E59">
      <w:pPr>
        <w:pStyle w:val="Standard"/>
        <w:tabs>
          <w:tab w:val="left" w:pos="567"/>
        </w:tabs>
        <w:spacing w:after="0" w:line="240" w:lineRule="auto"/>
        <w:ind w:left="567"/>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lastRenderedPageBreak/>
        <w:t>Municipios: 570 municipios que integran el territorio del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Órgano de Fiscalización: Órgano Superior de Fiscalización del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Recaudar: Cobrar las contribuciones a que se refiere la Ley de Hacienda Municipal del Estado de Oaxaca;</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Secretaría: Secretaría de Finanzas del Poder Ejecutivo del Estado, y</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0"/>
          <w:numId w:val="11"/>
        </w:numPr>
        <w:tabs>
          <w:tab w:val="left" w:pos="567"/>
        </w:tabs>
        <w:spacing w:after="0" w:line="240" w:lineRule="auto"/>
        <w:ind w:left="567" w:hanging="283"/>
        <w:jc w:val="both"/>
        <w:rPr>
          <w:rFonts w:asciiTheme="minorHAnsi" w:eastAsia="Calibri" w:hAnsiTheme="minorHAnsi" w:cstheme="minorHAnsi"/>
          <w:b/>
          <w:lang w:eastAsia="es-ES"/>
        </w:rPr>
      </w:pPr>
      <w:r w:rsidRPr="00F25637">
        <w:rPr>
          <w:rFonts w:asciiTheme="minorHAnsi" w:eastAsia="MS Mincho" w:hAnsiTheme="minorHAnsi" w:cstheme="minorHAnsi"/>
          <w:lang w:val="es-ES" w:eastAsia="es-ES"/>
        </w:rPr>
        <w:t>Tesorería: Tesorería Municipal o su equivalente de conformidad con el Bando de Policía y Gobierno que organicen la administración pública municipal.</w:t>
      </w:r>
    </w:p>
    <w:p w:rsidR="00506E59" w:rsidRPr="00F25637" w:rsidRDefault="00506E59" w:rsidP="00506E59">
      <w:pPr>
        <w:pStyle w:val="Standard"/>
        <w:tabs>
          <w:tab w:val="left" w:pos="567"/>
        </w:tabs>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2.</w:t>
      </w:r>
      <w:r w:rsidRPr="00F25637">
        <w:rPr>
          <w:rFonts w:asciiTheme="minorHAnsi" w:eastAsia="MS Mincho" w:hAnsiTheme="minorHAnsi" w:cstheme="minorHAnsi"/>
          <w:lang w:val="es-ES" w:eastAsia="es-ES"/>
        </w:rPr>
        <w:t xml:space="preserve"> Es competencia de la Tesorería la recaudación de los impuestos, derechos, contribuciones de mejoras, productos y aprovechamientos.</w:t>
      </w: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La Tesorería podrá ser auxiliada por los organismos paramunicipales o comités municipales, agentes municipales o de policía para la recaudación de las contribuciones señaladas en el párrafo anterior, quienes deberán informar y entregar los montos recaudados en un plazo de 10 días naturales siguientes al cierre del mes, para efectos de su registro en la contabilidad municipal.</w:t>
      </w:r>
    </w:p>
    <w:p w:rsidR="00506E59" w:rsidRPr="00F25637" w:rsidRDefault="00506E59" w:rsidP="00506E59">
      <w:pPr>
        <w:pStyle w:val="Standard"/>
        <w:tabs>
          <w:tab w:val="left" w:pos="567"/>
        </w:tabs>
        <w:spacing w:after="0" w:line="240" w:lineRule="auto"/>
        <w:jc w:val="both"/>
        <w:rPr>
          <w:rFonts w:asciiTheme="minorHAnsi" w:eastAsia="Calibri" w:hAnsiTheme="minorHAnsi" w:cstheme="minorHAnsi"/>
          <w:b/>
          <w:lang w:val="es-ES" w:eastAsia="es-ES"/>
        </w:rPr>
      </w:pPr>
    </w:p>
    <w:p w:rsidR="00506E59" w:rsidRPr="00F25637" w:rsidRDefault="00506E59" w:rsidP="00506E59">
      <w:pPr>
        <w:pStyle w:val="Standard"/>
        <w:spacing w:after="0" w:line="240" w:lineRule="auto"/>
        <w:jc w:val="both"/>
        <w:rPr>
          <w:rFonts w:asciiTheme="minorHAnsi" w:hAnsiTheme="minorHAnsi" w:cstheme="minorHAnsi"/>
        </w:rPr>
      </w:pPr>
      <w:r w:rsidRPr="00F25637">
        <w:rPr>
          <w:rFonts w:asciiTheme="minorHAnsi" w:eastAsia="MS Mincho" w:hAnsiTheme="minorHAnsi" w:cstheme="minorHAnsi"/>
          <w:lang w:val="es-ES" w:eastAsia="es-ES"/>
        </w:rPr>
        <w:t xml:space="preserve">La Tesorería deberá identificar cada uno de los ingresos </w:t>
      </w:r>
      <w:r w:rsidRPr="00F25637">
        <w:rPr>
          <w:rFonts w:asciiTheme="minorHAnsi" w:eastAsia="MS Mincho" w:hAnsiTheme="minorHAnsi" w:cstheme="minorHAnsi"/>
          <w:shd w:val="clear" w:color="auto" w:fill="FFFFFF"/>
          <w:lang w:val="es-ES" w:eastAsia="es-ES"/>
        </w:rPr>
        <w:t>en cuentas bancarias productivas específicas,</w:t>
      </w:r>
      <w:r w:rsidRPr="00F25637">
        <w:rPr>
          <w:rFonts w:asciiTheme="minorHAnsi" w:eastAsia="MS Mincho" w:hAnsiTheme="minorHAnsi" w:cstheme="minorHAnsi"/>
          <w:lang w:val="es-ES" w:eastAsia="es-ES"/>
        </w:rPr>
        <w:t xml:space="preserve"> en las cuales se depositarán los recursos recaudados, así como los Fondos de Participaciones, Aportaciones, Transferencias, Convenios y Subsidios que reciban de la Federación o </w:t>
      </w:r>
      <w:r w:rsidR="0087385D" w:rsidRPr="00F25637">
        <w:rPr>
          <w:rFonts w:asciiTheme="minorHAnsi" w:eastAsia="MS Mincho" w:hAnsiTheme="minorHAnsi" w:cstheme="minorHAnsi"/>
          <w:lang w:val="es-ES" w:eastAsia="es-ES"/>
        </w:rPr>
        <w:t xml:space="preserve">del </w:t>
      </w:r>
      <w:r w:rsidRPr="00F25637">
        <w:rPr>
          <w:rFonts w:asciiTheme="minorHAnsi" w:eastAsia="MS Mincho" w:hAnsiTheme="minorHAnsi" w:cstheme="minorHAnsi"/>
          <w:lang w:val="es-ES" w:eastAsia="es-ES"/>
        </w:rPr>
        <w:t>Estado durante el ejercicio fiscal 201</w:t>
      </w:r>
      <w:r w:rsidRPr="00F25637">
        <w:rPr>
          <w:rFonts w:asciiTheme="minorHAnsi" w:eastAsia="MS Mincho" w:hAnsiTheme="minorHAnsi" w:cstheme="minorHAnsi"/>
          <w:bCs/>
          <w:lang w:val="es-ES" w:eastAsia="es-ES"/>
        </w:rPr>
        <w:t>9</w:t>
      </w:r>
      <w:r w:rsidRPr="00F25637">
        <w:rPr>
          <w:rFonts w:asciiTheme="minorHAnsi" w:eastAsia="MS Mincho" w:hAnsiTheme="minorHAnsi" w:cstheme="minorHAnsi"/>
          <w:b/>
          <w:lang w:val="es-ES" w:eastAsia="es-ES"/>
        </w:rPr>
        <w:t>.</w:t>
      </w:r>
    </w:p>
    <w:p w:rsidR="00506E59" w:rsidRPr="00F25637" w:rsidRDefault="00506E59" w:rsidP="00506E59">
      <w:pPr>
        <w:pStyle w:val="Standard"/>
        <w:tabs>
          <w:tab w:val="left" w:pos="567"/>
        </w:tabs>
        <w:spacing w:after="0" w:line="240" w:lineRule="auto"/>
        <w:jc w:val="both"/>
        <w:rPr>
          <w:rFonts w:asciiTheme="minorHAnsi" w:eastAsia="Calibri" w:hAnsiTheme="minorHAnsi" w:cstheme="minorHAnsi"/>
          <w:b/>
          <w:lang w:eastAsia="es-ES"/>
        </w:rPr>
      </w:pPr>
    </w:p>
    <w:p w:rsidR="00506E59" w:rsidRPr="00F25637" w:rsidRDefault="00506E59" w:rsidP="00506E59">
      <w:pPr>
        <w:tabs>
          <w:tab w:val="left" w:pos="426"/>
        </w:tabs>
        <w:spacing w:after="0" w:line="240" w:lineRule="auto"/>
        <w:jc w:val="both"/>
        <w:outlineLvl w:val="0"/>
        <w:rPr>
          <w:rFonts w:eastAsia="MS Mincho" w:cstheme="minorHAnsi"/>
          <w:lang w:val="es-ES" w:eastAsia="es-ES"/>
        </w:rPr>
      </w:pPr>
      <w:r w:rsidRPr="00F25637">
        <w:rPr>
          <w:rFonts w:eastAsia="MS Mincho" w:cstheme="minorHAnsi"/>
          <w:lang w:val="es-ES" w:eastAsia="es-ES"/>
        </w:rPr>
        <w:t>Las cuotas y tarifas aplicables para el cobro de los derechos y aprovechamientos serán propuestas por los Ayuntamientos, en las Leyes de Ingresos que apruebe el Congreso.</w:t>
      </w:r>
    </w:p>
    <w:p w:rsidR="00506E59" w:rsidRPr="00F25637" w:rsidRDefault="00506E59" w:rsidP="00506E59">
      <w:pPr>
        <w:tabs>
          <w:tab w:val="left" w:pos="426"/>
        </w:tabs>
        <w:spacing w:after="0" w:line="240" w:lineRule="auto"/>
        <w:outlineLvl w:val="0"/>
        <w:rPr>
          <w:rFonts w:eastAsia="MS Mincho" w:cstheme="minorHAnsi"/>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spacing w:val="-1"/>
          <w:lang w:val="es-ES" w:eastAsia="es-ES"/>
        </w:rPr>
      </w:pPr>
      <w:r w:rsidRPr="00F25637">
        <w:rPr>
          <w:rFonts w:asciiTheme="minorHAnsi" w:eastAsia="MS Mincho" w:hAnsiTheme="minorHAnsi" w:cstheme="minorHAnsi"/>
          <w:b/>
          <w:spacing w:val="-1"/>
          <w:lang w:val="es-ES" w:eastAsia="es-ES"/>
        </w:rPr>
        <w:t>Artículo 3.</w:t>
      </w:r>
      <w:r w:rsidRPr="00F25637">
        <w:rPr>
          <w:rFonts w:asciiTheme="minorHAnsi" w:eastAsia="MS Mincho" w:hAnsiTheme="minorHAnsi" w:cstheme="minorHAnsi"/>
          <w:spacing w:val="-1"/>
          <w:lang w:val="es-ES" w:eastAsia="es-ES"/>
        </w:rPr>
        <w:t xml:space="preserve"> Se concentrarán en la Tesorería en el plazo señalado en el artículo anterior, los derechos por el uso, goce o aprovechamiento de bienes de dominio público y los derivados de la prestación de servicios públicos a cargo de los órganos paramunicipales y comités; así como</w:t>
      </w:r>
      <w:r w:rsidR="00E648F4" w:rsidRPr="00F25637">
        <w:rPr>
          <w:rFonts w:asciiTheme="minorHAnsi" w:eastAsia="MS Mincho" w:hAnsiTheme="minorHAnsi" w:cstheme="minorHAnsi"/>
          <w:spacing w:val="-1"/>
          <w:lang w:val="es-ES" w:eastAsia="es-ES"/>
        </w:rPr>
        <w:t>,</w:t>
      </w:r>
      <w:r w:rsidRPr="00F25637">
        <w:rPr>
          <w:rFonts w:asciiTheme="minorHAnsi" w:eastAsia="MS Mincho" w:hAnsiTheme="minorHAnsi" w:cstheme="minorHAnsi"/>
          <w:spacing w:val="-1"/>
          <w:lang w:val="es-ES" w:eastAsia="es-ES"/>
        </w:rPr>
        <w:t xml:space="preserve"> los ingresos que se obtengan por la suscripción de convenios, donativos y cualquier otro bien financiero o material que reciban por cualquier otro título no considerado en los anteriores. Para ello, informarán a quienes deban efectuar pago, transferencias o ministración que éstas deberán realizarse ante la Tesorería.</w:t>
      </w:r>
    </w:p>
    <w:p w:rsidR="00E648F4" w:rsidRPr="00F25637" w:rsidRDefault="00E648F4" w:rsidP="00E8756E">
      <w:pPr>
        <w:spacing w:after="0" w:line="240" w:lineRule="auto"/>
        <w:ind w:right="39"/>
        <w:jc w:val="both"/>
        <w:rPr>
          <w:rFonts w:cstheme="minorHAnsi"/>
          <w:b/>
        </w:rPr>
      </w:pPr>
    </w:p>
    <w:p w:rsidR="00E648F4" w:rsidRPr="00F25637" w:rsidRDefault="00871B56" w:rsidP="00E8756E">
      <w:pPr>
        <w:spacing w:after="0" w:line="240" w:lineRule="auto"/>
        <w:ind w:left="-5" w:right="39"/>
        <w:jc w:val="both"/>
        <w:rPr>
          <w:rFonts w:cstheme="minorHAnsi"/>
        </w:rPr>
      </w:pPr>
      <w:r w:rsidRPr="00F25637">
        <w:rPr>
          <w:rFonts w:cstheme="minorHAnsi"/>
          <w:b/>
        </w:rPr>
        <w:t>Artículo 4</w:t>
      </w:r>
      <w:r w:rsidR="00E648F4" w:rsidRPr="00F25637">
        <w:rPr>
          <w:rFonts w:cstheme="minorHAnsi"/>
          <w:b/>
        </w:rPr>
        <w:t>.-</w:t>
      </w:r>
      <w:r w:rsidR="00E648F4" w:rsidRPr="00F25637">
        <w:rPr>
          <w:rFonts w:cstheme="minorHAnsi"/>
        </w:rPr>
        <w:t xml:space="preserve"> </w:t>
      </w:r>
      <w:r w:rsidR="006B3965" w:rsidRPr="00F25637">
        <w:rPr>
          <w:rFonts w:cstheme="minorHAnsi"/>
        </w:rPr>
        <w:t>La</w:t>
      </w:r>
      <w:r w:rsidR="002155D1" w:rsidRPr="00F25637">
        <w:rPr>
          <w:rFonts w:cstheme="minorHAnsi"/>
        </w:rPr>
        <w:t xml:space="preserve"> Contraloría Municipal o </w:t>
      </w:r>
      <w:r w:rsidR="00E648F4" w:rsidRPr="00F25637">
        <w:rPr>
          <w:rFonts w:cstheme="minorHAnsi"/>
        </w:rPr>
        <w:t>el Órgano</w:t>
      </w:r>
      <w:r w:rsidR="00E8756E" w:rsidRPr="00F25637">
        <w:rPr>
          <w:rFonts w:cstheme="minorHAnsi"/>
        </w:rPr>
        <w:t xml:space="preserve"> de Fiscalización</w:t>
      </w:r>
      <w:r w:rsidR="006B3965" w:rsidRPr="00F25637">
        <w:rPr>
          <w:rFonts w:cstheme="minorHAnsi"/>
        </w:rPr>
        <w:t xml:space="preserve"> o cualquier órgano público municipal que realice funciones análogas</w:t>
      </w:r>
      <w:r w:rsidR="00E8756E" w:rsidRPr="00F25637">
        <w:rPr>
          <w:rFonts w:cstheme="minorHAnsi"/>
        </w:rPr>
        <w:t xml:space="preserve"> </w:t>
      </w:r>
      <w:r w:rsidR="00E648F4" w:rsidRPr="00F25637">
        <w:rPr>
          <w:rFonts w:cstheme="minorHAnsi"/>
        </w:rPr>
        <w:t>vigilará</w:t>
      </w:r>
      <w:r w:rsidR="002155D1" w:rsidRPr="00F25637">
        <w:rPr>
          <w:rFonts w:cstheme="minorHAnsi"/>
        </w:rPr>
        <w:t>n</w:t>
      </w:r>
      <w:r w:rsidR="00E648F4" w:rsidRPr="00F25637">
        <w:rPr>
          <w:rFonts w:cstheme="minorHAnsi"/>
        </w:rPr>
        <w:t xml:space="preserve"> permanentemente el cumplimiento de lo dispuesto en la presente Ley por parte de los servidores públicos de</w:t>
      </w:r>
      <w:r w:rsidR="00E8756E" w:rsidRPr="00F25637">
        <w:rPr>
          <w:rFonts w:cstheme="minorHAnsi"/>
        </w:rPr>
        <w:t xml:space="preserve"> </w:t>
      </w:r>
      <w:r w:rsidR="00E648F4" w:rsidRPr="00F25637">
        <w:rPr>
          <w:rFonts w:cstheme="minorHAnsi"/>
        </w:rPr>
        <w:t>l</w:t>
      </w:r>
      <w:r w:rsidR="00E8756E" w:rsidRPr="00F25637">
        <w:rPr>
          <w:rFonts w:cstheme="minorHAnsi"/>
        </w:rPr>
        <w:t xml:space="preserve">os Municipios </w:t>
      </w:r>
      <w:r w:rsidR="00E648F4" w:rsidRPr="00F25637">
        <w:rPr>
          <w:rFonts w:cstheme="minorHAnsi"/>
        </w:rPr>
        <w:t xml:space="preserve">y para el caso de que determine el incumplimiento de la misma, procederá en los términos de la ley en materia de responsabilidades administrativas aplicable.  </w:t>
      </w:r>
    </w:p>
    <w:p w:rsidR="00871B56" w:rsidRPr="00F25637" w:rsidRDefault="00871B56" w:rsidP="00506E59">
      <w:pPr>
        <w:tabs>
          <w:tab w:val="left" w:pos="426"/>
        </w:tabs>
        <w:spacing w:after="0" w:line="240" w:lineRule="auto"/>
        <w:outlineLvl w:val="0"/>
        <w:rPr>
          <w:rFonts w:cstheme="minorHAnsi"/>
          <w:color w:val="000000"/>
          <w:lang w:val="es-ES" w:eastAsia="es-ES"/>
        </w:rPr>
      </w:pPr>
    </w:p>
    <w:p w:rsidR="00506E59" w:rsidRPr="00F25637" w:rsidRDefault="00506E59" w:rsidP="00506E59">
      <w:pPr>
        <w:pStyle w:val="Standard"/>
        <w:spacing w:after="0" w:line="240" w:lineRule="auto"/>
        <w:jc w:val="center"/>
        <w:rPr>
          <w:rFonts w:asciiTheme="minorHAnsi" w:eastAsia="MS Mincho" w:hAnsiTheme="minorHAnsi" w:cstheme="minorHAnsi"/>
          <w:b/>
          <w:lang w:val="es-ES" w:eastAsia="es-ES"/>
        </w:rPr>
      </w:pPr>
      <w:r w:rsidRPr="00F25637">
        <w:rPr>
          <w:rFonts w:asciiTheme="minorHAnsi" w:eastAsia="MS Mincho" w:hAnsiTheme="minorHAnsi" w:cstheme="minorHAnsi"/>
          <w:b/>
          <w:lang w:val="es-ES" w:eastAsia="es-ES"/>
        </w:rPr>
        <w:lastRenderedPageBreak/>
        <w:t xml:space="preserve">Capítulo II </w:t>
      </w:r>
    </w:p>
    <w:p w:rsidR="00506E59" w:rsidRPr="00F25637" w:rsidRDefault="00506E59" w:rsidP="00506E59">
      <w:pPr>
        <w:pStyle w:val="Standard"/>
        <w:spacing w:after="0" w:line="240" w:lineRule="auto"/>
        <w:jc w:val="center"/>
        <w:rPr>
          <w:rFonts w:asciiTheme="minorHAnsi" w:eastAsia="MS Mincho" w:hAnsiTheme="minorHAnsi" w:cstheme="minorHAnsi"/>
          <w:b/>
          <w:lang w:val="es-ES" w:eastAsia="es-ES"/>
        </w:rPr>
      </w:pPr>
      <w:r w:rsidRPr="00F25637">
        <w:rPr>
          <w:rFonts w:asciiTheme="minorHAnsi" w:eastAsia="MS Mincho" w:hAnsiTheme="minorHAnsi" w:cstheme="minorHAnsi"/>
          <w:b/>
          <w:lang w:val="es-ES" w:eastAsia="es-ES"/>
        </w:rPr>
        <w:t>De las Facilidades Administrativas y Estímulos Fiscales</w:t>
      </w: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p>
    <w:p w:rsidR="00506E59" w:rsidRPr="00F25637" w:rsidRDefault="00D233B2"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5</w:t>
      </w:r>
      <w:r w:rsidR="00506E59" w:rsidRPr="00F25637">
        <w:rPr>
          <w:rFonts w:asciiTheme="minorHAnsi" w:eastAsia="MS Mincho" w:hAnsiTheme="minorHAnsi" w:cstheme="minorHAnsi"/>
          <w:b/>
          <w:lang w:val="es-ES" w:eastAsia="es-ES"/>
        </w:rPr>
        <w:t>.</w:t>
      </w:r>
      <w:r w:rsidR="00506E59" w:rsidRPr="00F25637">
        <w:rPr>
          <w:rFonts w:asciiTheme="minorHAnsi" w:eastAsia="MS Mincho" w:hAnsiTheme="minorHAnsi" w:cstheme="minorHAnsi"/>
          <w:lang w:val="es-ES" w:eastAsia="es-ES"/>
        </w:rPr>
        <w:t xml:space="preserve"> </w:t>
      </w:r>
      <w:r w:rsidR="00C57225" w:rsidRPr="00F25637">
        <w:rPr>
          <w:rFonts w:asciiTheme="minorHAnsi" w:hAnsiTheme="minorHAnsi" w:cstheme="minorHAnsi"/>
        </w:rPr>
        <w:t>El pago extemporáneo de contribuciones dará lugar al cobro de recargos conforme a lo siguiente</w:t>
      </w:r>
      <w:r w:rsidR="00506E59" w:rsidRPr="00F25637">
        <w:rPr>
          <w:rFonts w:asciiTheme="minorHAnsi" w:eastAsia="MS Mincho" w:hAnsiTheme="minorHAnsi" w:cstheme="minorHAnsi"/>
          <w:lang w:val="es-ES" w:eastAsia="es-ES"/>
        </w:rPr>
        <w:t>:</w:t>
      </w: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p>
    <w:p w:rsidR="00506E59" w:rsidRPr="00F25637" w:rsidRDefault="00506E59" w:rsidP="009041D1">
      <w:pPr>
        <w:pStyle w:val="Standard"/>
        <w:numPr>
          <w:ilvl w:val="0"/>
          <w:numId w:val="12"/>
        </w:numPr>
        <w:spacing w:after="0" w:line="240" w:lineRule="auto"/>
        <w:ind w:left="426" w:hanging="284"/>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Al 0.98 por ciento men</w:t>
      </w:r>
      <w:r w:rsidR="00E8756E" w:rsidRPr="00F25637">
        <w:rPr>
          <w:rFonts w:asciiTheme="minorHAnsi" w:eastAsia="MS Mincho" w:hAnsiTheme="minorHAnsi" w:cstheme="minorHAnsi"/>
          <w:lang w:val="es-ES" w:eastAsia="es-ES"/>
        </w:rPr>
        <w:t>sual sobre los saldos insolutos.</w:t>
      </w:r>
    </w:p>
    <w:p w:rsidR="00E8756E" w:rsidRPr="00F25637" w:rsidRDefault="00E8756E" w:rsidP="00E8756E">
      <w:pPr>
        <w:pStyle w:val="Standard"/>
        <w:spacing w:after="0" w:line="240" w:lineRule="auto"/>
        <w:ind w:left="720"/>
        <w:jc w:val="both"/>
        <w:rPr>
          <w:rFonts w:asciiTheme="minorHAnsi" w:eastAsia="MS Mincho" w:hAnsiTheme="minorHAnsi" w:cstheme="minorHAnsi"/>
          <w:lang w:val="es-ES" w:eastAsia="es-ES"/>
        </w:rPr>
      </w:pPr>
    </w:p>
    <w:p w:rsidR="00E8756E" w:rsidRPr="00F25637" w:rsidRDefault="00506E59" w:rsidP="009041D1">
      <w:pPr>
        <w:pStyle w:val="Standard"/>
        <w:numPr>
          <w:ilvl w:val="0"/>
          <w:numId w:val="12"/>
        </w:numPr>
        <w:spacing w:after="0" w:line="240" w:lineRule="auto"/>
        <w:ind w:left="426" w:hanging="284"/>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Cuando de conformidad con el Código, se autorice el pago a plazos, se aplicará la tasa de recargos que a continuación se establece, sobre los saldos y durante el periodo de que se trate:</w:t>
      </w:r>
    </w:p>
    <w:p w:rsidR="00E8756E" w:rsidRPr="00F25637" w:rsidRDefault="00E8756E" w:rsidP="00E8756E">
      <w:pPr>
        <w:pStyle w:val="Standard"/>
        <w:spacing w:after="0" w:line="240" w:lineRule="auto"/>
        <w:ind w:left="720"/>
        <w:jc w:val="both"/>
        <w:rPr>
          <w:rFonts w:asciiTheme="minorHAnsi" w:eastAsia="MS Mincho" w:hAnsiTheme="minorHAnsi" w:cstheme="minorHAnsi"/>
          <w:lang w:val="es-ES" w:eastAsia="es-ES"/>
        </w:rPr>
      </w:pPr>
    </w:p>
    <w:p w:rsidR="00506E59" w:rsidRPr="00F25637" w:rsidRDefault="00506E59" w:rsidP="00506E59">
      <w:pPr>
        <w:pStyle w:val="Standard"/>
        <w:numPr>
          <w:ilvl w:val="1"/>
          <w:numId w:val="13"/>
        </w:numPr>
        <w:spacing w:after="0" w:line="240" w:lineRule="auto"/>
        <w:ind w:left="709"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Tratándose de pagos a plazos en parcialidades de hasta 12 meses, la tasa de recargos será del 1.26 por ciento mensual.</w:t>
      </w:r>
    </w:p>
    <w:p w:rsidR="00E8756E" w:rsidRPr="00F25637" w:rsidRDefault="00E8756E" w:rsidP="00E8756E">
      <w:pPr>
        <w:pStyle w:val="Standard"/>
        <w:spacing w:after="0" w:line="240" w:lineRule="auto"/>
        <w:ind w:left="709"/>
        <w:jc w:val="both"/>
        <w:rPr>
          <w:rFonts w:asciiTheme="minorHAnsi" w:eastAsia="MS Mincho" w:hAnsiTheme="minorHAnsi" w:cstheme="minorHAnsi"/>
          <w:lang w:val="es-ES" w:eastAsia="es-ES"/>
        </w:rPr>
      </w:pPr>
    </w:p>
    <w:p w:rsidR="00506E59" w:rsidRPr="00F25637" w:rsidRDefault="00506E59" w:rsidP="00506E59">
      <w:pPr>
        <w:pStyle w:val="Standard"/>
        <w:numPr>
          <w:ilvl w:val="1"/>
          <w:numId w:val="13"/>
        </w:numPr>
        <w:spacing w:after="0" w:line="240" w:lineRule="auto"/>
        <w:ind w:left="709"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Tratándose de pagos a plazos en parcialidades de más de 12 meses y hasta de 24 meses, la tasa de recargos será de 1.53 por ciento mensual.</w:t>
      </w:r>
    </w:p>
    <w:p w:rsidR="00871B56" w:rsidRPr="00F25637" w:rsidRDefault="00871B56" w:rsidP="00871B56">
      <w:pPr>
        <w:pStyle w:val="Standard"/>
        <w:spacing w:after="0" w:line="240" w:lineRule="auto"/>
        <w:jc w:val="both"/>
        <w:rPr>
          <w:rFonts w:asciiTheme="minorHAnsi" w:eastAsia="MS Mincho" w:hAnsiTheme="minorHAnsi" w:cstheme="minorHAnsi"/>
          <w:lang w:val="es-ES" w:eastAsia="es-ES"/>
        </w:rPr>
      </w:pPr>
    </w:p>
    <w:p w:rsidR="00506E59" w:rsidRPr="00F25637" w:rsidRDefault="00506E59" w:rsidP="00506E59">
      <w:pPr>
        <w:pStyle w:val="Standard"/>
        <w:numPr>
          <w:ilvl w:val="1"/>
          <w:numId w:val="13"/>
        </w:numPr>
        <w:spacing w:after="0" w:line="240" w:lineRule="auto"/>
        <w:ind w:left="709" w:hanging="283"/>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Tratándose de pagos a plazos en parcialidades superiores a 24 meses, así como tratándose de pagos a plazo diferido, la tasa de recargos será de 1.82 por ciento mensual.</w:t>
      </w:r>
    </w:p>
    <w:p w:rsidR="00E8756E" w:rsidRPr="00F25637" w:rsidRDefault="00E8756E" w:rsidP="00506E59">
      <w:pPr>
        <w:pStyle w:val="Standard"/>
        <w:spacing w:after="0" w:line="240" w:lineRule="auto"/>
        <w:jc w:val="both"/>
        <w:rPr>
          <w:rFonts w:asciiTheme="minorHAnsi" w:eastAsia="MS Mincho" w:hAnsiTheme="minorHAnsi" w:cstheme="minorHAnsi"/>
          <w:b/>
          <w:bCs/>
          <w:color w:val="000000"/>
          <w:shd w:val="clear" w:color="auto" w:fill="FFFF00"/>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Las tasas de recargos establecidas en la fracción II de este artículo incluyen la actualización realizada conforme a lo establecido por el Código.</w:t>
      </w:r>
    </w:p>
    <w:p w:rsidR="00506E59" w:rsidRPr="00F25637" w:rsidRDefault="00506E59" w:rsidP="00506E59">
      <w:pPr>
        <w:pStyle w:val="Standard"/>
        <w:spacing w:after="0" w:line="240" w:lineRule="auto"/>
        <w:ind w:left="720"/>
        <w:jc w:val="both"/>
        <w:rPr>
          <w:rFonts w:asciiTheme="minorHAnsi" w:eastAsia="MS Mincho" w:hAnsiTheme="minorHAnsi" w:cstheme="minorHAnsi"/>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Los recargos anteriores serán aplicables, siempre y c</w:t>
      </w:r>
      <w:r w:rsidR="00871B56" w:rsidRPr="00F25637">
        <w:rPr>
          <w:rFonts w:asciiTheme="minorHAnsi" w:eastAsia="MS Mincho" w:hAnsiTheme="minorHAnsi" w:cstheme="minorHAnsi"/>
          <w:lang w:val="es-ES" w:eastAsia="es-ES"/>
        </w:rPr>
        <w:t>uando, no se contemplen en las L</w:t>
      </w:r>
      <w:r w:rsidRPr="00F25637">
        <w:rPr>
          <w:rFonts w:asciiTheme="minorHAnsi" w:eastAsia="MS Mincho" w:hAnsiTheme="minorHAnsi" w:cstheme="minorHAnsi"/>
          <w:lang w:val="es-ES" w:eastAsia="es-ES"/>
        </w:rPr>
        <w:t>eyes de Ingresos que hayan sido aprobadas por el Congreso.</w:t>
      </w:r>
    </w:p>
    <w:p w:rsidR="00506E59" w:rsidRPr="00F25637" w:rsidRDefault="00506E59" w:rsidP="00506E59">
      <w:pPr>
        <w:pStyle w:val="Standard"/>
        <w:spacing w:after="0" w:line="240" w:lineRule="auto"/>
        <w:ind w:left="720"/>
        <w:jc w:val="both"/>
        <w:rPr>
          <w:rFonts w:asciiTheme="minorHAnsi" w:eastAsia="MS Mincho" w:hAnsiTheme="minorHAnsi" w:cstheme="minorHAnsi"/>
          <w:lang w:val="es-ES" w:eastAsia="es-ES"/>
        </w:rPr>
      </w:pPr>
    </w:p>
    <w:p w:rsidR="00506E59" w:rsidRPr="00F25637" w:rsidRDefault="00D233B2"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6</w:t>
      </w:r>
      <w:r w:rsidR="00506E59" w:rsidRPr="00F25637">
        <w:rPr>
          <w:rFonts w:asciiTheme="minorHAnsi" w:eastAsia="MS Mincho" w:hAnsiTheme="minorHAnsi" w:cstheme="minorHAnsi"/>
          <w:b/>
          <w:lang w:val="es-ES" w:eastAsia="es-ES"/>
        </w:rPr>
        <w:t>.</w:t>
      </w:r>
      <w:r w:rsidR="00506E59" w:rsidRPr="00F25637">
        <w:rPr>
          <w:rFonts w:asciiTheme="minorHAnsi" w:eastAsia="MS Mincho" w:hAnsiTheme="minorHAnsi" w:cstheme="minorHAnsi"/>
          <w:lang w:val="es-ES" w:eastAsia="es-ES"/>
        </w:rPr>
        <w:t xml:space="preserve"> A las micro, pequeñas y medianas empresas de nueva creación, que inicien operaciones en los Municipios del Estado de Oaxaca, se les otorgará como mínimo un estímulo fiscal de</w:t>
      </w:r>
      <w:r w:rsidR="00C8606D" w:rsidRPr="00F25637">
        <w:rPr>
          <w:rFonts w:asciiTheme="minorHAnsi" w:eastAsia="MS Mincho" w:hAnsiTheme="minorHAnsi" w:cstheme="minorHAnsi"/>
          <w:lang w:val="es-ES" w:eastAsia="es-ES"/>
        </w:rPr>
        <w:t>l</w:t>
      </w:r>
      <w:r w:rsidR="00506E59" w:rsidRPr="00F25637">
        <w:rPr>
          <w:rFonts w:asciiTheme="minorHAnsi" w:eastAsia="MS Mincho" w:hAnsiTheme="minorHAnsi" w:cstheme="minorHAnsi"/>
          <w:lang w:val="es-ES" w:eastAsia="es-ES"/>
        </w:rPr>
        <w:t xml:space="preserve"> 50 por ciento en los derechos por la integración y actualización al Padrón Fiscal Municipal de giros blancos y por la expedición de cédula de registro y autorización o su equivalente en las Leyes de Ingresos Municipales para el Ejercicio Fiscal 2019.</w:t>
      </w:r>
    </w:p>
    <w:p w:rsidR="00506E59" w:rsidRPr="00F25637" w:rsidRDefault="00506E59" w:rsidP="00506E59">
      <w:pPr>
        <w:pStyle w:val="Standard"/>
        <w:spacing w:after="0" w:line="240" w:lineRule="auto"/>
        <w:jc w:val="both"/>
        <w:rPr>
          <w:rFonts w:asciiTheme="minorHAnsi" w:eastAsia="MS Mincho" w:hAnsiTheme="minorHAnsi" w:cstheme="minorHAnsi"/>
          <w:shd w:val="clear" w:color="auto" w:fill="FFFF00"/>
          <w:lang w:val="es-ES" w:eastAsia="es-ES"/>
        </w:rPr>
      </w:pPr>
    </w:p>
    <w:p w:rsidR="00506E59" w:rsidRPr="00F25637" w:rsidRDefault="00506E59"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Para ser beneficiario del estímulo deberán:</w:t>
      </w:r>
    </w:p>
    <w:p w:rsidR="00506E59" w:rsidRPr="00F25637" w:rsidRDefault="00506E59" w:rsidP="00506E59">
      <w:pPr>
        <w:pStyle w:val="Standard"/>
        <w:spacing w:after="0" w:line="240" w:lineRule="auto"/>
        <w:jc w:val="both"/>
        <w:rPr>
          <w:rFonts w:asciiTheme="minorHAnsi" w:hAnsiTheme="minorHAnsi" w:cstheme="minorHAnsi"/>
        </w:rPr>
      </w:pPr>
    </w:p>
    <w:p w:rsidR="00506E59" w:rsidRPr="00F25637" w:rsidRDefault="00506E59" w:rsidP="009041D1">
      <w:pPr>
        <w:pStyle w:val="Standard"/>
        <w:numPr>
          <w:ilvl w:val="0"/>
          <w:numId w:val="14"/>
        </w:numPr>
        <w:spacing w:after="0" w:line="240" w:lineRule="auto"/>
        <w:ind w:left="426" w:hanging="426"/>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Acudir a la Tesorería Municipal o Dirección de Ingresos, según sea el caso, y</w:t>
      </w:r>
    </w:p>
    <w:p w:rsidR="00E8756E" w:rsidRPr="00F25637" w:rsidRDefault="00E8756E" w:rsidP="00E8756E">
      <w:pPr>
        <w:pStyle w:val="Standard"/>
        <w:spacing w:after="0" w:line="240" w:lineRule="auto"/>
        <w:ind w:left="720"/>
        <w:jc w:val="both"/>
        <w:rPr>
          <w:rFonts w:asciiTheme="minorHAnsi" w:eastAsia="MS Mincho" w:hAnsiTheme="minorHAnsi" w:cstheme="minorHAnsi"/>
          <w:lang w:val="es-ES" w:eastAsia="es-ES"/>
        </w:rPr>
      </w:pPr>
    </w:p>
    <w:p w:rsidR="00506E59" w:rsidRPr="00F25637" w:rsidRDefault="00506E59" w:rsidP="009041D1">
      <w:pPr>
        <w:pStyle w:val="Standard"/>
        <w:numPr>
          <w:ilvl w:val="0"/>
          <w:numId w:val="14"/>
        </w:numPr>
        <w:spacing w:after="0" w:line="240" w:lineRule="auto"/>
        <w:ind w:left="426" w:hanging="426"/>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Realizar el trámite dentro de los treinta días siguientes al inicio de operaciones.</w:t>
      </w:r>
    </w:p>
    <w:p w:rsidR="00506E59" w:rsidRPr="00F25637" w:rsidRDefault="00506E59" w:rsidP="00506E59">
      <w:pPr>
        <w:pStyle w:val="Standard"/>
        <w:spacing w:after="0" w:line="240" w:lineRule="auto"/>
        <w:jc w:val="both"/>
        <w:rPr>
          <w:rFonts w:asciiTheme="minorHAnsi" w:eastAsia="Arial" w:hAnsiTheme="minorHAnsi" w:cstheme="minorHAnsi"/>
          <w:color w:val="000000"/>
          <w:shd w:val="clear" w:color="auto" w:fill="FFFF00"/>
          <w:lang w:val="es-ES" w:eastAsia="es-ES"/>
        </w:rPr>
      </w:pPr>
    </w:p>
    <w:p w:rsidR="00506E59" w:rsidRPr="00F25637" w:rsidRDefault="00D233B2" w:rsidP="00506E59">
      <w:pPr>
        <w:pStyle w:val="Standard"/>
        <w:spacing w:after="0" w:line="240" w:lineRule="auto"/>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7</w:t>
      </w:r>
      <w:r w:rsidR="00506E59" w:rsidRPr="00F25637">
        <w:rPr>
          <w:rFonts w:asciiTheme="minorHAnsi" w:eastAsia="MS Mincho" w:hAnsiTheme="minorHAnsi" w:cstheme="minorHAnsi"/>
          <w:b/>
          <w:lang w:val="es-ES" w:eastAsia="es-ES"/>
        </w:rPr>
        <w:t xml:space="preserve">. </w:t>
      </w:r>
      <w:r w:rsidR="00506E59" w:rsidRPr="00F25637">
        <w:rPr>
          <w:rFonts w:asciiTheme="minorHAnsi" w:eastAsia="MS Mincho" w:hAnsiTheme="minorHAnsi" w:cstheme="minorHAnsi"/>
          <w:lang w:val="es-ES" w:eastAsia="es-ES"/>
        </w:rPr>
        <w:t>Las micro, pequeñas y medianas empresas de nueva creación, que soliciten dictamen de uso de suelo se les otorgará un estímulo fiscal del 50 por ciento en el monto a pagar por giro blanco o su equivalente en las Leyes de Ingresos Municipales para el Ejercicio Fiscal 2019.</w:t>
      </w:r>
    </w:p>
    <w:p w:rsidR="00506E59" w:rsidRPr="00F25637" w:rsidRDefault="00506E59" w:rsidP="00506E59">
      <w:pPr>
        <w:tabs>
          <w:tab w:val="left" w:pos="426"/>
        </w:tabs>
        <w:spacing w:after="0" w:line="240" w:lineRule="auto"/>
        <w:outlineLvl w:val="0"/>
        <w:rPr>
          <w:rFonts w:eastAsia="Calibri" w:cstheme="minorHAnsi"/>
          <w:b/>
          <w:lang w:eastAsia="es-ES"/>
        </w:rPr>
      </w:pPr>
    </w:p>
    <w:p w:rsidR="00506E59" w:rsidRPr="00F25637" w:rsidRDefault="00D233B2" w:rsidP="00506E59">
      <w:pPr>
        <w:tabs>
          <w:tab w:val="left" w:pos="426"/>
        </w:tabs>
        <w:spacing w:after="0" w:line="240" w:lineRule="auto"/>
        <w:jc w:val="both"/>
        <w:outlineLvl w:val="0"/>
        <w:rPr>
          <w:rFonts w:eastAsia="MS Mincho" w:cstheme="minorHAnsi"/>
          <w:kern w:val="3"/>
          <w:lang w:val="es-ES" w:eastAsia="es-ES"/>
        </w:rPr>
      </w:pPr>
      <w:r w:rsidRPr="00F25637">
        <w:rPr>
          <w:rFonts w:eastAsia="MS Mincho" w:cstheme="minorHAnsi"/>
          <w:b/>
          <w:kern w:val="3"/>
          <w:lang w:val="es-ES" w:eastAsia="es-ES"/>
        </w:rPr>
        <w:t>Artículo 8</w:t>
      </w:r>
      <w:r w:rsidR="00506E59" w:rsidRPr="00F25637">
        <w:rPr>
          <w:rFonts w:eastAsia="MS Mincho" w:cstheme="minorHAnsi"/>
          <w:b/>
          <w:kern w:val="3"/>
          <w:lang w:val="es-ES" w:eastAsia="es-ES"/>
        </w:rPr>
        <w:t>.</w:t>
      </w:r>
      <w:r w:rsidR="00506E59" w:rsidRPr="00F25637">
        <w:rPr>
          <w:rFonts w:eastAsia="MS Mincho" w:cstheme="minorHAnsi"/>
          <w:kern w:val="3"/>
          <w:lang w:val="es-ES" w:eastAsia="es-ES"/>
        </w:rPr>
        <w:t xml:space="preserve"> Serán beneficiarias de un estímulo fiscal del 50 por ciento en el monto a pagar por concepto de derechos sobre anuncios y publicidad móvil y fija o su equivalente en las Leyes d</w:t>
      </w:r>
      <w:r w:rsidR="00871B56" w:rsidRPr="00F25637">
        <w:rPr>
          <w:rFonts w:eastAsia="MS Mincho" w:cstheme="minorHAnsi"/>
          <w:kern w:val="3"/>
          <w:lang w:val="es-ES" w:eastAsia="es-ES"/>
        </w:rPr>
        <w:t>e Ingresos Municipales para el Ejercicio F</w:t>
      </w:r>
      <w:r w:rsidR="00506E59" w:rsidRPr="00F25637">
        <w:rPr>
          <w:rFonts w:eastAsia="MS Mincho" w:cstheme="minorHAnsi"/>
          <w:kern w:val="3"/>
          <w:lang w:val="es-ES" w:eastAsia="es-ES"/>
        </w:rPr>
        <w:t>iscal 2019, las micro, medianas y medianas empresas de nueva creación, que inicien operaciones en los Municipios del Estado de Oaxaca.</w:t>
      </w:r>
    </w:p>
    <w:p w:rsidR="00506E59" w:rsidRPr="00F25637" w:rsidRDefault="00506E59" w:rsidP="00506E59">
      <w:pPr>
        <w:tabs>
          <w:tab w:val="left" w:pos="426"/>
        </w:tabs>
        <w:spacing w:after="0" w:line="240" w:lineRule="auto"/>
        <w:jc w:val="both"/>
        <w:outlineLvl w:val="0"/>
        <w:rPr>
          <w:rFonts w:eastAsia="MS Mincho" w:cstheme="minorHAnsi"/>
          <w:kern w:val="3"/>
          <w:lang w:val="es-ES" w:eastAsia="es-ES"/>
        </w:rPr>
      </w:pPr>
    </w:p>
    <w:p w:rsidR="00506E59" w:rsidRPr="00F25637" w:rsidRDefault="00506E59" w:rsidP="00506E59">
      <w:pPr>
        <w:tabs>
          <w:tab w:val="left" w:pos="426"/>
        </w:tabs>
        <w:spacing w:after="0" w:line="240" w:lineRule="auto"/>
        <w:jc w:val="both"/>
        <w:outlineLvl w:val="0"/>
        <w:rPr>
          <w:rFonts w:eastAsia="MS Mincho" w:cstheme="minorHAnsi"/>
          <w:kern w:val="3"/>
          <w:lang w:val="es-ES" w:eastAsia="es-ES"/>
        </w:rPr>
      </w:pPr>
      <w:r w:rsidRPr="00F25637">
        <w:rPr>
          <w:rFonts w:eastAsia="MS Mincho" w:cstheme="minorHAnsi"/>
          <w:b/>
          <w:kern w:val="3"/>
          <w:lang w:val="es-ES" w:eastAsia="es-ES"/>
        </w:rPr>
        <w:t xml:space="preserve">Artículo </w:t>
      </w:r>
      <w:r w:rsidR="00D233B2" w:rsidRPr="00F25637">
        <w:rPr>
          <w:rFonts w:eastAsia="MS Mincho" w:cstheme="minorHAnsi"/>
          <w:b/>
          <w:kern w:val="3"/>
          <w:lang w:val="es-ES" w:eastAsia="es-ES"/>
        </w:rPr>
        <w:t>9</w:t>
      </w:r>
      <w:r w:rsidRPr="00F25637">
        <w:rPr>
          <w:rFonts w:eastAsia="MS Mincho" w:cstheme="minorHAnsi"/>
          <w:b/>
          <w:kern w:val="3"/>
          <w:lang w:val="es-ES" w:eastAsia="es-ES"/>
        </w:rPr>
        <w:t>.</w:t>
      </w:r>
      <w:r w:rsidRPr="00F25637">
        <w:rPr>
          <w:rFonts w:eastAsia="MS Mincho" w:cstheme="minorHAnsi"/>
          <w:kern w:val="3"/>
          <w:lang w:val="es-ES" w:eastAsia="es-ES"/>
        </w:rPr>
        <w:t xml:space="preserve"> Los Ayuntamientos podrán, sin contravenir las demás disposiciones establecidas en la presente Ley, establecer estímulos fiscales en la Ley de Ingresos respectiva.</w:t>
      </w:r>
    </w:p>
    <w:p w:rsidR="00506E59" w:rsidRPr="00F25637" w:rsidRDefault="00506E59" w:rsidP="00506E59">
      <w:pPr>
        <w:tabs>
          <w:tab w:val="left" w:pos="426"/>
        </w:tabs>
        <w:spacing w:after="0" w:line="240" w:lineRule="auto"/>
        <w:jc w:val="both"/>
        <w:outlineLvl w:val="0"/>
        <w:rPr>
          <w:rFonts w:eastAsia="MS Mincho" w:cstheme="minorHAnsi"/>
          <w:shd w:val="clear" w:color="auto" w:fill="FFFF00"/>
          <w:lang w:val="es-ES" w:eastAsia="es-ES"/>
        </w:rPr>
      </w:pPr>
    </w:p>
    <w:p w:rsidR="00506E59" w:rsidRPr="00F25637" w:rsidRDefault="00506E59" w:rsidP="00506E59">
      <w:pPr>
        <w:pStyle w:val="Standard"/>
        <w:widowControl w:val="0"/>
        <w:spacing w:after="0" w:line="240" w:lineRule="auto"/>
        <w:ind w:right="49"/>
        <w:jc w:val="center"/>
        <w:rPr>
          <w:rFonts w:asciiTheme="minorHAnsi" w:hAnsiTheme="minorHAnsi" w:cstheme="minorHAnsi"/>
          <w:b/>
        </w:rPr>
      </w:pPr>
      <w:r w:rsidRPr="00F25637">
        <w:rPr>
          <w:rFonts w:asciiTheme="minorHAnsi" w:hAnsiTheme="minorHAnsi" w:cstheme="minorHAnsi"/>
          <w:b/>
        </w:rPr>
        <w:t xml:space="preserve">Capítulo III </w:t>
      </w:r>
    </w:p>
    <w:p w:rsidR="00506E59" w:rsidRPr="00F25637" w:rsidRDefault="00506E59" w:rsidP="00506E59">
      <w:pPr>
        <w:pStyle w:val="Standard"/>
        <w:widowControl w:val="0"/>
        <w:spacing w:after="0" w:line="240" w:lineRule="auto"/>
        <w:ind w:right="49"/>
        <w:jc w:val="center"/>
        <w:rPr>
          <w:rFonts w:asciiTheme="minorHAnsi" w:hAnsiTheme="minorHAnsi" w:cstheme="minorHAnsi"/>
          <w:b/>
        </w:rPr>
      </w:pPr>
      <w:r w:rsidRPr="00F25637">
        <w:rPr>
          <w:rFonts w:asciiTheme="minorHAnsi" w:hAnsiTheme="minorHAnsi" w:cstheme="minorHAnsi"/>
          <w:b/>
        </w:rPr>
        <w:t>De los Ingresos</w:t>
      </w:r>
    </w:p>
    <w:p w:rsidR="006B3965" w:rsidRPr="00F25637" w:rsidRDefault="006B3965" w:rsidP="00506E59">
      <w:pPr>
        <w:pStyle w:val="Standard"/>
        <w:widowControl w:val="0"/>
        <w:spacing w:after="0" w:line="240" w:lineRule="auto"/>
        <w:ind w:right="49"/>
        <w:jc w:val="center"/>
        <w:rPr>
          <w:rFonts w:asciiTheme="minorHAnsi" w:hAnsiTheme="minorHAnsi" w:cstheme="minorHAnsi"/>
          <w:b/>
        </w:rPr>
      </w:pPr>
    </w:p>
    <w:p w:rsidR="006B3965" w:rsidRPr="00F25637" w:rsidRDefault="001D0620" w:rsidP="001D0620">
      <w:pPr>
        <w:pStyle w:val="Standard"/>
        <w:widowControl w:val="0"/>
        <w:spacing w:after="0" w:line="240" w:lineRule="auto"/>
        <w:ind w:right="49"/>
        <w:jc w:val="both"/>
        <w:rPr>
          <w:rFonts w:asciiTheme="minorHAnsi" w:hAnsiTheme="minorHAnsi" w:cstheme="minorHAnsi"/>
        </w:rPr>
      </w:pPr>
      <w:r w:rsidRPr="00F25637">
        <w:rPr>
          <w:rFonts w:asciiTheme="minorHAnsi" w:hAnsiTheme="minorHAnsi" w:cstheme="minorHAnsi"/>
          <w:b/>
        </w:rPr>
        <w:t>Artículo 10.</w:t>
      </w:r>
      <w:r w:rsidR="0038182D">
        <w:rPr>
          <w:rFonts w:asciiTheme="minorHAnsi" w:hAnsiTheme="minorHAnsi" w:cstheme="minorHAnsi"/>
        </w:rPr>
        <w:t xml:space="preserve"> En el Ejercicio Fiscal 2019</w:t>
      </w:r>
      <w:r w:rsidRPr="00F25637">
        <w:rPr>
          <w:rFonts w:asciiTheme="minorHAnsi" w:hAnsiTheme="minorHAnsi" w:cstheme="minorHAnsi"/>
        </w:rPr>
        <w:t>, los Municipios percibirán los ingresos provenientes de los conceptos que a continuación se enlistan</w:t>
      </w:r>
      <w:r w:rsidR="00EA3AB6" w:rsidRPr="00F25637">
        <w:rPr>
          <w:rFonts w:asciiTheme="minorHAnsi" w:hAnsiTheme="minorHAnsi" w:cstheme="minorHAnsi"/>
        </w:rPr>
        <w:t>:</w:t>
      </w:r>
    </w:p>
    <w:p w:rsidR="00EA3AB6" w:rsidRPr="00F25637" w:rsidRDefault="00EA3AB6" w:rsidP="001D0620">
      <w:pPr>
        <w:pStyle w:val="Standard"/>
        <w:widowControl w:val="0"/>
        <w:spacing w:after="0" w:line="240" w:lineRule="auto"/>
        <w:ind w:right="49"/>
        <w:jc w:val="both"/>
        <w:rPr>
          <w:rFonts w:asciiTheme="minorHAnsi" w:hAnsiTheme="minorHAnsi" w:cstheme="minorHAnsi"/>
          <w:b/>
        </w:rPr>
      </w:pPr>
    </w:p>
    <w:p w:rsidR="006B3965" w:rsidRPr="00F25637" w:rsidRDefault="006B3965" w:rsidP="001D0620">
      <w:pPr>
        <w:pStyle w:val="Standard"/>
        <w:widowControl w:val="0"/>
        <w:spacing w:after="0" w:line="240" w:lineRule="auto"/>
        <w:ind w:right="49"/>
        <w:jc w:val="both"/>
        <w:rPr>
          <w:rFonts w:asciiTheme="minorHAnsi" w:hAnsiTheme="minorHAnsi" w:cstheme="minorHAnsi"/>
          <w:b/>
        </w:rPr>
      </w:pPr>
    </w:p>
    <w:tbl>
      <w:tblPr>
        <w:tblW w:w="7904" w:type="dxa"/>
        <w:jc w:val="center"/>
        <w:tblLayout w:type="fixed"/>
        <w:tblCellMar>
          <w:left w:w="10" w:type="dxa"/>
          <w:right w:w="10" w:type="dxa"/>
        </w:tblCellMar>
        <w:tblLook w:val="0000" w:firstRow="0" w:lastRow="0" w:firstColumn="0" w:lastColumn="0" w:noHBand="0" w:noVBand="0"/>
      </w:tblPr>
      <w:tblGrid>
        <w:gridCol w:w="40"/>
        <w:gridCol w:w="7824"/>
        <w:gridCol w:w="40"/>
      </w:tblGrid>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6B3965">
            <w:pPr>
              <w:ind w:left="-2055" w:firstLine="2055"/>
              <w:jc w:val="both"/>
              <w:rPr>
                <w:rFonts w:cstheme="minorHAnsi"/>
                <w:b/>
                <w:bCs/>
                <w:color w:val="000000"/>
                <w:lang w:eastAsia="es-MX"/>
              </w:rPr>
            </w:pPr>
            <w:r w:rsidRPr="00F25637">
              <w:rPr>
                <w:rFonts w:cstheme="minorHAnsi"/>
                <w:b/>
                <w:bCs/>
                <w:color w:val="000000"/>
                <w:lang w:eastAsia="es-MX"/>
              </w:rPr>
              <w:t>IMPUESTOS</w:t>
            </w:r>
          </w:p>
        </w:tc>
      </w:tr>
      <w:tr w:rsidR="00913A2B"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13A2B" w:rsidRPr="00F25637" w:rsidRDefault="00913A2B" w:rsidP="006B3965">
            <w:pPr>
              <w:ind w:left="-2055" w:firstLine="2055"/>
              <w:jc w:val="both"/>
              <w:rPr>
                <w:rFonts w:cstheme="minorHAnsi"/>
                <w:b/>
                <w:bCs/>
                <w:color w:val="000000"/>
                <w:lang w:eastAsia="es-MX"/>
              </w:rPr>
            </w:pPr>
            <w:r w:rsidRPr="00F25637">
              <w:rPr>
                <w:rFonts w:cstheme="minorHAnsi"/>
                <w:b/>
                <w:bCs/>
                <w:color w:val="000000"/>
                <w:lang w:eastAsia="es-MX"/>
              </w:rPr>
              <w:t>Impuesto sobre los Ingresos</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920B7B" w:rsidP="006B3965">
            <w:pPr>
              <w:ind w:left="-2055" w:firstLine="2055"/>
              <w:jc w:val="both"/>
              <w:rPr>
                <w:rFonts w:cstheme="minorHAnsi"/>
              </w:rPr>
            </w:pPr>
            <w:r w:rsidRPr="00F25637">
              <w:rPr>
                <w:rFonts w:cstheme="minorHAnsi"/>
                <w:color w:val="000000"/>
                <w:lang w:eastAsia="es-MX"/>
              </w:rPr>
              <w:t>Sobre Rifas, S</w:t>
            </w:r>
            <w:r w:rsidR="006B3965" w:rsidRPr="00F25637">
              <w:rPr>
                <w:rFonts w:cstheme="minorHAnsi"/>
                <w:color w:val="000000"/>
                <w:lang w:eastAsia="es-MX"/>
              </w:rPr>
              <w:t xml:space="preserve">orteos, </w:t>
            </w:r>
            <w:r w:rsidRPr="00F25637">
              <w:rPr>
                <w:rFonts w:cstheme="minorHAnsi"/>
                <w:color w:val="000000"/>
                <w:lang w:eastAsia="es-MX"/>
              </w:rPr>
              <w:t>Loterías y C</w:t>
            </w:r>
            <w:r w:rsidR="006B3965" w:rsidRPr="00F25637">
              <w:rPr>
                <w:rFonts w:cstheme="minorHAnsi"/>
                <w:color w:val="000000"/>
                <w:lang w:eastAsia="es-MX"/>
              </w:rPr>
              <w:t>oncursos.</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920B7B" w:rsidP="006B3965">
            <w:pPr>
              <w:ind w:left="-2055" w:firstLine="2055"/>
              <w:jc w:val="both"/>
              <w:rPr>
                <w:rFonts w:cstheme="minorHAnsi"/>
              </w:rPr>
            </w:pPr>
            <w:r w:rsidRPr="00F25637">
              <w:rPr>
                <w:rFonts w:cstheme="minorHAnsi"/>
                <w:color w:val="000000"/>
                <w:lang w:eastAsia="es-MX"/>
              </w:rPr>
              <w:t>Sobre Diversiones y E</w:t>
            </w:r>
            <w:r w:rsidR="006B3965" w:rsidRPr="00F25637">
              <w:rPr>
                <w:rFonts w:cstheme="minorHAnsi"/>
                <w:color w:val="000000"/>
                <w:lang w:eastAsia="es-MX"/>
              </w:rPr>
              <w:t>spectáculos</w:t>
            </w:r>
            <w:r w:rsidRPr="00F25637">
              <w:rPr>
                <w:rFonts w:cstheme="minorHAnsi"/>
                <w:color w:val="000000"/>
                <w:lang w:eastAsia="es-MX"/>
              </w:rPr>
              <w:t xml:space="preserve"> P</w:t>
            </w:r>
            <w:r w:rsidR="006B3965" w:rsidRPr="00F25637">
              <w:rPr>
                <w:rFonts w:cstheme="minorHAnsi"/>
                <w:color w:val="000000"/>
                <w:lang w:eastAsia="es-MX"/>
              </w:rPr>
              <w:t>úblicos.</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6B3965">
            <w:pPr>
              <w:ind w:left="-2055" w:firstLine="2055"/>
              <w:jc w:val="both"/>
              <w:rPr>
                <w:rFonts w:cstheme="minorHAnsi"/>
              </w:rPr>
            </w:pPr>
            <w:r w:rsidRPr="00F25637">
              <w:rPr>
                <w:rFonts w:cstheme="minorHAnsi"/>
                <w:b/>
                <w:bCs/>
                <w:color w:val="000000"/>
                <w:lang w:eastAsia="es-MX"/>
              </w:rPr>
              <w:t>Impuestos sobre el Patrimonio</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6B3965">
            <w:pPr>
              <w:ind w:left="-2055" w:firstLine="2055"/>
              <w:jc w:val="both"/>
              <w:rPr>
                <w:rFonts w:cstheme="minorHAnsi"/>
                <w:color w:val="000000"/>
                <w:lang w:eastAsia="es-MX"/>
              </w:rPr>
            </w:pPr>
            <w:r w:rsidRPr="00F25637">
              <w:rPr>
                <w:rFonts w:cstheme="minorHAnsi"/>
                <w:color w:val="000000"/>
                <w:lang w:eastAsia="es-MX"/>
              </w:rPr>
              <w:t>Predial.</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920B7B" w:rsidP="006B3965">
            <w:pPr>
              <w:ind w:left="-2055" w:firstLine="2055"/>
              <w:jc w:val="both"/>
              <w:rPr>
                <w:rFonts w:cstheme="minorHAnsi"/>
                <w:color w:val="000000"/>
                <w:lang w:eastAsia="es-MX"/>
              </w:rPr>
            </w:pPr>
            <w:r w:rsidRPr="00F25637">
              <w:rPr>
                <w:rFonts w:cstheme="minorHAnsi"/>
                <w:color w:val="000000"/>
                <w:lang w:eastAsia="es-MX"/>
              </w:rPr>
              <w:t>Sobre Traslación de D</w:t>
            </w:r>
            <w:r w:rsidR="006B3965" w:rsidRPr="00F25637">
              <w:rPr>
                <w:rFonts w:cstheme="minorHAnsi"/>
                <w:color w:val="000000"/>
                <w:lang w:eastAsia="es-MX"/>
              </w:rPr>
              <w:t>ominio.</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920B7B" w:rsidP="00920B7B">
            <w:pPr>
              <w:ind w:left="-2055" w:firstLine="2055"/>
              <w:jc w:val="both"/>
              <w:rPr>
                <w:rFonts w:cstheme="minorHAnsi"/>
                <w:color w:val="000000"/>
                <w:lang w:eastAsia="es-MX"/>
              </w:rPr>
            </w:pPr>
            <w:r w:rsidRPr="00F25637">
              <w:rPr>
                <w:rFonts w:cstheme="minorHAnsi"/>
                <w:color w:val="000000"/>
                <w:lang w:eastAsia="es-MX"/>
              </w:rPr>
              <w:t>Sobre Fraccionamientos y Fusión de Bienes Inmuebles.</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6B3965">
            <w:pPr>
              <w:ind w:left="-2055" w:firstLine="2055"/>
              <w:jc w:val="both"/>
              <w:rPr>
                <w:rFonts w:cstheme="minorHAnsi"/>
                <w:color w:val="000000"/>
                <w:lang w:eastAsia="es-MX"/>
              </w:rPr>
            </w:pPr>
            <w:r w:rsidRPr="00F25637">
              <w:rPr>
                <w:rFonts w:cstheme="minorHAnsi"/>
                <w:color w:val="000000"/>
                <w:lang w:eastAsia="es-MX"/>
              </w:rPr>
              <w:t>Accesorios.</w:t>
            </w:r>
          </w:p>
        </w:tc>
      </w:tr>
      <w:tr w:rsidR="006B3965" w:rsidRPr="00F25637" w:rsidTr="00174E52">
        <w:trPr>
          <w:gridAfter w:val="1"/>
          <w:wAfter w:w="40" w:type="dxa"/>
          <w:trHeight w:val="315"/>
          <w:jc w:val="center"/>
        </w:trPr>
        <w:tc>
          <w:tcPr>
            <w:tcW w:w="78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6B3965">
            <w:pPr>
              <w:ind w:left="-2055" w:firstLine="2055"/>
              <w:jc w:val="both"/>
              <w:rPr>
                <w:rFonts w:cstheme="minorHAnsi"/>
              </w:rPr>
            </w:pPr>
            <w:r w:rsidRPr="00F25637">
              <w:rPr>
                <w:rFonts w:cstheme="minorHAnsi"/>
                <w:b/>
                <w:bCs/>
                <w:color w:val="000000"/>
                <w:lang w:eastAsia="es-MX"/>
              </w:rPr>
              <w:t>Cuotas y  Aportaciones de Seguridad Social</w:t>
            </w: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ind w:left="-134" w:firstLine="134"/>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ind w:left="-134" w:firstLine="134"/>
              <w:jc w:val="both"/>
              <w:rPr>
                <w:rFonts w:cstheme="minorHAnsi"/>
                <w:color w:val="000000"/>
                <w:lang w:eastAsia="es-MX"/>
              </w:rPr>
            </w:pPr>
            <w:r w:rsidRPr="00F25637">
              <w:rPr>
                <w:rFonts w:cstheme="minorHAnsi"/>
                <w:color w:val="000000"/>
                <w:lang w:eastAsia="es-MX"/>
              </w:rPr>
              <w:t>Cuotas y Aportaciones de Seguridad Social.</w:t>
            </w:r>
          </w:p>
        </w:tc>
        <w:tc>
          <w:tcPr>
            <w:tcW w:w="40" w:type="dxa"/>
            <w:shd w:val="clear" w:color="auto" w:fill="auto"/>
            <w:tcMar>
              <w:top w:w="0" w:type="dxa"/>
              <w:left w:w="10" w:type="dxa"/>
              <w:bottom w:w="0" w:type="dxa"/>
              <w:right w:w="10" w:type="dxa"/>
            </w:tcMar>
          </w:tcPr>
          <w:p w:rsidR="006B3965" w:rsidRPr="00F25637" w:rsidRDefault="006B3965" w:rsidP="00BC492E">
            <w:pPr>
              <w:ind w:left="-134" w:firstLine="134"/>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b/>
                <w:bCs/>
                <w:color w:val="000000"/>
                <w:lang w:eastAsia="es-MX"/>
              </w:rPr>
              <w:t>CONTRIBUCIONES DE MEJORAS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920B7B" w:rsidP="00BC492E">
            <w:pPr>
              <w:rPr>
                <w:rFonts w:cstheme="minorHAnsi"/>
                <w:color w:val="000000"/>
                <w:lang w:eastAsia="es-MX"/>
              </w:rPr>
            </w:pPr>
            <w:r w:rsidRPr="00F25637">
              <w:rPr>
                <w:rFonts w:cstheme="minorHAnsi"/>
                <w:color w:val="000000"/>
                <w:lang w:eastAsia="es-MX"/>
              </w:rPr>
              <w:t>Contribuciones de M</w:t>
            </w:r>
            <w:r w:rsidR="006B3965" w:rsidRPr="00F25637">
              <w:rPr>
                <w:rFonts w:cstheme="minorHAnsi"/>
                <w:color w:val="000000"/>
                <w:lang w:eastAsia="es-MX"/>
              </w:rPr>
              <w:t>ejoras por obras públicas.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b/>
                <w:bCs/>
                <w:color w:val="000000"/>
                <w:lang w:eastAsia="es-MX"/>
              </w:rPr>
            </w:pPr>
            <w:r w:rsidRPr="00F25637">
              <w:rPr>
                <w:rFonts w:cstheme="minorHAnsi"/>
                <w:b/>
                <w:bCs/>
                <w:color w:val="000000"/>
                <w:lang w:eastAsia="es-MX"/>
              </w:rPr>
              <w:t>DERECHOS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b/>
                <w:bCs/>
                <w:color w:val="000000"/>
                <w:lang w:eastAsia="es-MX"/>
              </w:rPr>
            </w:pPr>
            <w:r w:rsidRPr="00F25637">
              <w:rPr>
                <w:rFonts w:cstheme="minorHAnsi"/>
                <w:b/>
                <w:bCs/>
                <w:color w:val="000000"/>
                <w:lang w:eastAsia="es-MX"/>
              </w:rPr>
              <w:t>Derechos por el uso, goce, aprovechamiento o explotación de bienes de dominio público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Mercados.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Panteones.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Rastro.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b/>
                <w:bCs/>
                <w:color w:val="000000"/>
                <w:lang w:eastAsia="es-MX"/>
              </w:rPr>
            </w:pPr>
            <w:r w:rsidRPr="00F25637">
              <w:rPr>
                <w:rFonts w:cstheme="minorHAnsi"/>
                <w:b/>
                <w:bCs/>
                <w:color w:val="000000"/>
                <w:lang w:eastAsia="es-MX"/>
              </w:rPr>
              <w:t xml:space="preserve">Derechos por </w:t>
            </w:r>
            <w:r w:rsidR="00920B7B" w:rsidRPr="00F25637">
              <w:rPr>
                <w:rFonts w:cstheme="minorHAnsi"/>
                <w:b/>
                <w:bCs/>
                <w:color w:val="000000"/>
                <w:lang w:eastAsia="es-MX"/>
              </w:rPr>
              <w:t xml:space="preserve">la </w:t>
            </w:r>
            <w:r w:rsidRPr="00F25637">
              <w:rPr>
                <w:rFonts w:cstheme="minorHAnsi"/>
                <w:b/>
                <w:bCs/>
                <w:color w:val="000000"/>
                <w:lang w:eastAsia="es-MX"/>
              </w:rPr>
              <w:t>Prestación de Servicios Públicos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Alumbrado público.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Aseo público.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Por servicio de calles.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Por servicios de parques y jardines.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Por certificaciones, constancias y legalizaciones.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Por licencias y permisos.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Por expedición de licencias, permisos o autorizaciones para enajenación de bebidas alcohólicas.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Agua potable, drenaje y alcantarillado.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Inscripción al padrón municipal y refrendo para el funcionamiento comercial, industrial y de servicios.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B3965" w:rsidRPr="00F25637" w:rsidRDefault="006B3965" w:rsidP="00BC492E">
            <w:pPr>
              <w:rPr>
                <w:rFonts w:cstheme="minorHAnsi"/>
                <w:color w:val="000000"/>
                <w:lang w:eastAsia="es-MX"/>
              </w:rPr>
            </w:pPr>
            <w:r w:rsidRPr="00F25637">
              <w:rPr>
                <w:rFonts w:cstheme="minorHAnsi"/>
                <w:color w:val="000000"/>
                <w:lang w:eastAsia="es-MX"/>
              </w:rPr>
              <w:t>Inspección y Vigilancia.</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Supervisión de Obra Pública.</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Accesorios.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b/>
                <w:bCs/>
                <w:color w:val="000000"/>
                <w:lang w:eastAsia="es-MX"/>
              </w:rPr>
              <w:t>PRODUCTOS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b/>
                <w:bCs/>
                <w:color w:val="000000"/>
                <w:lang w:eastAsia="es-MX"/>
              </w:rPr>
              <w:t>Productos de Tipo Corriente</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Productos derivados de uso y aprovechamiento de bienes no sujetos a régimen de dominio público.</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b/>
                <w:bCs/>
                <w:color w:val="000000"/>
                <w:lang w:eastAsia="es-MX"/>
              </w:rPr>
              <w:t>Productos de Capital</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Enajenación de bienes muebles e inmuebles.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Enajenación de bienes muebles no sujetos a ser inventariados.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color w:val="000000"/>
                <w:lang w:eastAsia="es-MX"/>
              </w:rPr>
            </w:pPr>
            <w:r w:rsidRPr="00F25637">
              <w:rPr>
                <w:rFonts w:cstheme="minorHAnsi"/>
                <w:color w:val="000000"/>
                <w:lang w:eastAsia="es-MX"/>
              </w:rPr>
              <w:t>Otros productos que generen ingreso corriente.</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APROVECHAMIENTOS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Aprovechamiento de tipo corriente</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Derivados del sistema sancionatorio municipal.</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Derivados de recursos transferidos al municipio.</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Indemnizaciones.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Reintegros.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Incentivo derivado del Impuesto Sobre la Renta.</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Aprovechamientos provenientes de obras públicas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Garantías de cumplimiento, anticipo y vicios ocultos</w:t>
            </w:r>
            <w:r w:rsidR="00640CBD">
              <w:rPr>
                <w:rFonts w:cstheme="minorHAnsi"/>
                <w:color w:val="000000"/>
                <w:lang w:eastAsia="es-MX"/>
              </w:rPr>
              <w:t>.</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Ingresos por Venta de Bienes y Servicios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Ingresos por venta de bienes y servicios de entidades paramunicipales.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4D10A4">
            <w:pPr>
              <w:jc w:val="both"/>
              <w:rPr>
                <w:rFonts w:cstheme="minorHAnsi"/>
              </w:rPr>
            </w:pPr>
            <w:r w:rsidRPr="00F25637">
              <w:rPr>
                <w:rFonts w:cstheme="minorHAnsi"/>
                <w:color w:val="000000"/>
                <w:lang w:eastAsia="es-MX"/>
              </w:rPr>
              <w:t>Ingresos por venta de bienes y servicios producidos en establecimientos del Gobierno Municipal.</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PARTICIPACIONES Y APORTACIONES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b/>
                <w:bCs/>
                <w:color w:val="000000"/>
                <w:lang w:eastAsia="es-MX"/>
              </w:rPr>
            </w:pPr>
            <w:r w:rsidRPr="00F25637">
              <w:rPr>
                <w:rFonts w:cstheme="minorHAnsi"/>
                <w:b/>
                <w:bCs/>
                <w:color w:val="000000"/>
                <w:lang w:eastAsia="es-MX"/>
              </w:rPr>
              <w:t>Participaciones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Fondo Municipal de Participaciones.</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Fondo de Fomento Municipal.</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rPr>
                <w:rFonts w:cstheme="minorHAnsi"/>
              </w:rPr>
            </w:pPr>
            <w:r w:rsidRPr="00F25637">
              <w:rPr>
                <w:rFonts w:cstheme="minorHAnsi"/>
                <w:color w:val="000000"/>
                <w:lang w:eastAsia="es-MX"/>
              </w:rPr>
              <w:t>Fondo de Compensación.</w:t>
            </w:r>
          </w:p>
        </w:tc>
        <w:tc>
          <w:tcPr>
            <w:tcW w:w="40" w:type="dxa"/>
            <w:shd w:val="clear" w:color="auto" w:fill="auto"/>
            <w:tcMar>
              <w:top w:w="0" w:type="dxa"/>
              <w:left w:w="10" w:type="dxa"/>
              <w:bottom w:w="0" w:type="dxa"/>
              <w:right w:w="10" w:type="dxa"/>
            </w:tcMar>
          </w:tcPr>
          <w:p w:rsidR="006B3965" w:rsidRPr="00F25637" w:rsidRDefault="006B3965" w:rsidP="00BC492E">
            <w:pPr>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Fondo por venta final de diésel y gasolina.</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b/>
                <w:bCs/>
                <w:color w:val="000000"/>
                <w:lang w:eastAsia="es-MX"/>
              </w:rPr>
            </w:pPr>
            <w:r w:rsidRPr="00F25637">
              <w:rPr>
                <w:rFonts w:cstheme="minorHAnsi"/>
                <w:b/>
                <w:bCs/>
                <w:color w:val="000000"/>
                <w:lang w:eastAsia="es-MX"/>
              </w:rPr>
              <w:t>Aportaciones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b/>
                <w:bCs/>
                <w:color w:val="000000"/>
                <w:lang w:eastAsia="es-MX"/>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Fondo de Aportaciones para la Infraestructura Social Municipal.</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6B3965" w:rsidRPr="00F25637" w:rsidTr="00174E52">
        <w:trPr>
          <w:trHeight w:val="315"/>
          <w:jc w:val="center"/>
        </w:trPr>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B3965" w:rsidRPr="00F25637" w:rsidRDefault="006B3965" w:rsidP="00BC492E">
            <w:pPr>
              <w:jc w:val="both"/>
              <w:rPr>
                <w:rFonts w:cstheme="minorHAnsi"/>
              </w:rPr>
            </w:pPr>
            <w:r w:rsidRPr="00F25637">
              <w:rPr>
                <w:rFonts w:cstheme="minorHAnsi"/>
                <w:color w:val="000000"/>
                <w:lang w:eastAsia="es-MX"/>
              </w:rPr>
              <w:t>Fondo de Aportaciones para el Fortalecimiento de los Municipios.</w:t>
            </w:r>
          </w:p>
        </w:tc>
        <w:tc>
          <w:tcPr>
            <w:tcW w:w="40" w:type="dxa"/>
            <w:shd w:val="clear" w:color="auto" w:fill="auto"/>
            <w:tcMar>
              <w:top w:w="0" w:type="dxa"/>
              <w:left w:w="10" w:type="dxa"/>
              <w:bottom w:w="0" w:type="dxa"/>
              <w:right w:w="10" w:type="dxa"/>
            </w:tcMar>
          </w:tcPr>
          <w:p w:rsidR="006B3965" w:rsidRPr="00F25637" w:rsidRDefault="006B3965"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b/>
                <w:bCs/>
                <w:color w:val="000000"/>
                <w:lang w:eastAsia="es-MX"/>
              </w:rPr>
            </w:pPr>
            <w:r w:rsidRPr="00F25637">
              <w:rPr>
                <w:rFonts w:cstheme="minorHAnsi"/>
                <w:b/>
                <w:bCs/>
                <w:color w:val="000000"/>
                <w:lang w:eastAsia="es-MX"/>
              </w:rPr>
              <w:t>CONVENIOS</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Convenios.</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b/>
                <w:bCs/>
                <w:color w:val="000000"/>
                <w:lang w:eastAsia="es-MX"/>
              </w:rPr>
            </w:pPr>
            <w:r w:rsidRPr="00F25637">
              <w:rPr>
                <w:rFonts w:cstheme="minorHAnsi"/>
                <w:b/>
                <w:bCs/>
                <w:color w:val="000000"/>
                <w:lang w:eastAsia="es-MX"/>
              </w:rPr>
              <w:t>TRANSFERENCIAS, ASIGNACIONES, SUBSIDIOS Y OTRAS AYUDAS</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Provenientes de la Federación.</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Provenientes del Estado.</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Subsidios.</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Ayudas Sociales.</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b/>
                <w:bCs/>
                <w:color w:val="000000"/>
                <w:lang w:eastAsia="es-MX"/>
              </w:rPr>
            </w:pPr>
            <w:r w:rsidRPr="00F25637">
              <w:rPr>
                <w:rFonts w:cstheme="minorHAnsi"/>
                <w:b/>
                <w:bCs/>
                <w:color w:val="000000"/>
                <w:lang w:eastAsia="es-MX"/>
              </w:rPr>
              <w:t xml:space="preserve">INGRESOS DERIVADOS DE FINANCIAMIENTO </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r w:rsidR="00174E52" w:rsidRPr="00F25637" w:rsidTr="00174E52">
        <w:trPr>
          <w:trHeight w:val="315"/>
          <w:jc w:val="center"/>
        </w:trPr>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c>
          <w:tcPr>
            <w:tcW w:w="78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74E52" w:rsidRPr="00F25637" w:rsidRDefault="00174E52" w:rsidP="00BB404F">
            <w:pPr>
              <w:jc w:val="both"/>
              <w:rPr>
                <w:rFonts w:cstheme="minorHAnsi"/>
              </w:rPr>
            </w:pPr>
            <w:r w:rsidRPr="00F25637">
              <w:rPr>
                <w:rFonts w:cstheme="minorHAnsi"/>
                <w:color w:val="000000"/>
                <w:lang w:eastAsia="es-MX"/>
              </w:rPr>
              <w:t>Ingresos derivados de financiamiento</w:t>
            </w:r>
          </w:p>
        </w:tc>
        <w:tc>
          <w:tcPr>
            <w:tcW w:w="40" w:type="dxa"/>
            <w:shd w:val="clear" w:color="auto" w:fill="auto"/>
            <w:tcMar>
              <w:top w:w="0" w:type="dxa"/>
              <w:left w:w="10" w:type="dxa"/>
              <w:bottom w:w="0" w:type="dxa"/>
              <w:right w:w="10" w:type="dxa"/>
            </w:tcMar>
          </w:tcPr>
          <w:p w:rsidR="00174E52" w:rsidRPr="00F25637" w:rsidRDefault="00174E52" w:rsidP="00BC492E">
            <w:pPr>
              <w:jc w:val="both"/>
              <w:rPr>
                <w:rFonts w:cstheme="minorHAnsi"/>
              </w:rPr>
            </w:pPr>
          </w:p>
        </w:tc>
      </w:tr>
    </w:tbl>
    <w:p w:rsidR="00FB5A75" w:rsidRPr="00F25637" w:rsidRDefault="00FB5A75" w:rsidP="00506E59">
      <w:pPr>
        <w:pStyle w:val="Standard"/>
        <w:widowControl w:val="0"/>
        <w:spacing w:after="0" w:line="240" w:lineRule="auto"/>
        <w:ind w:right="49"/>
        <w:jc w:val="center"/>
        <w:rPr>
          <w:rFonts w:asciiTheme="minorHAnsi" w:hAnsiTheme="minorHAnsi" w:cstheme="minorHAnsi"/>
          <w:b/>
        </w:rPr>
      </w:pPr>
    </w:p>
    <w:p w:rsidR="003311EB" w:rsidRPr="00F25637" w:rsidRDefault="003311EB" w:rsidP="00506E59">
      <w:pPr>
        <w:pStyle w:val="Standard"/>
        <w:widowControl w:val="0"/>
        <w:spacing w:after="0" w:line="240" w:lineRule="auto"/>
        <w:ind w:right="49"/>
        <w:jc w:val="center"/>
        <w:rPr>
          <w:rFonts w:asciiTheme="minorHAnsi" w:hAnsiTheme="minorHAnsi" w:cstheme="minorHAnsi"/>
          <w:b/>
        </w:rPr>
      </w:pPr>
    </w:p>
    <w:p w:rsidR="00FB5A75" w:rsidRPr="00F25637" w:rsidRDefault="001D0620" w:rsidP="00FB5A75">
      <w:pPr>
        <w:tabs>
          <w:tab w:val="left" w:pos="426"/>
        </w:tabs>
        <w:spacing w:after="0" w:line="240" w:lineRule="auto"/>
        <w:jc w:val="both"/>
        <w:outlineLvl w:val="0"/>
        <w:rPr>
          <w:rFonts w:eastAsia="MS Mincho" w:cstheme="minorHAnsi"/>
          <w:lang w:val="es-ES" w:eastAsia="es-ES"/>
        </w:rPr>
      </w:pPr>
      <w:r w:rsidRPr="00F25637">
        <w:rPr>
          <w:rFonts w:eastAsia="MS Mincho" w:cstheme="minorHAnsi"/>
          <w:b/>
          <w:lang w:val="es-ES" w:eastAsia="es-ES"/>
        </w:rPr>
        <w:t>Artículo 11</w:t>
      </w:r>
      <w:r w:rsidR="00FB5A75" w:rsidRPr="00F25637">
        <w:rPr>
          <w:rFonts w:eastAsia="MS Mincho" w:cstheme="minorHAnsi"/>
          <w:b/>
          <w:lang w:val="es-ES" w:eastAsia="es-ES"/>
        </w:rPr>
        <w:t>.</w:t>
      </w:r>
      <w:r w:rsidR="00FB5A75" w:rsidRPr="00F25637">
        <w:rPr>
          <w:rFonts w:eastAsia="MS Mincho" w:cstheme="minorHAnsi"/>
          <w:lang w:val="es-ES" w:eastAsia="es-ES"/>
        </w:rPr>
        <w:t xml:space="preserve"> Los Ayuntamientos, a través de sus Tesorerías, deberán registrar en la contabilidad los ingresos que por disposición legal les corresponda y emitir el comprobante fiscal digital correspondiente en un plazo máximo de cinco días contados a partir de su recepción a favor del Gobierno del Estado de Oaxaca.</w:t>
      </w:r>
    </w:p>
    <w:p w:rsidR="00FB5A75" w:rsidRPr="00F25637" w:rsidRDefault="00FB5A75" w:rsidP="00FB5A75">
      <w:pPr>
        <w:tabs>
          <w:tab w:val="left" w:pos="426"/>
        </w:tabs>
        <w:spacing w:after="0" w:line="240" w:lineRule="auto"/>
        <w:outlineLvl w:val="0"/>
        <w:rPr>
          <w:rFonts w:eastAsia="MS Mincho" w:cstheme="minorHAnsi"/>
          <w:lang w:val="es-ES" w:eastAsia="es-ES"/>
        </w:rPr>
      </w:pPr>
    </w:p>
    <w:p w:rsidR="00CE68DC" w:rsidRPr="00F25637" w:rsidRDefault="00CE68DC" w:rsidP="00FB5A75">
      <w:pPr>
        <w:pStyle w:val="Standard"/>
        <w:widowControl w:val="0"/>
        <w:spacing w:after="0" w:line="240" w:lineRule="auto"/>
        <w:ind w:right="49"/>
        <w:jc w:val="center"/>
        <w:rPr>
          <w:rFonts w:asciiTheme="minorHAnsi" w:hAnsiTheme="minorHAnsi" w:cstheme="minorHAnsi"/>
          <w:b/>
        </w:rPr>
      </w:pPr>
    </w:p>
    <w:p w:rsidR="00FB5A75" w:rsidRPr="00F25637" w:rsidRDefault="00FB5A75" w:rsidP="00FB5A75">
      <w:pPr>
        <w:pStyle w:val="Standard"/>
        <w:widowControl w:val="0"/>
        <w:spacing w:after="0" w:line="240" w:lineRule="auto"/>
        <w:ind w:right="49"/>
        <w:jc w:val="center"/>
        <w:rPr>
          <w:rFonts w:asciiTheme="minorHAnsi" w:hAnsiTheme="minorHAnsi" w:cstheme="minorHAnsi"/>
          <w:b/>
        </w:rPr>
      </w:pPr>
      <w:r w:rsidRPr="00F25637">
        <w:rPr>
          <w:rFonts w:asciiTheme="minorHAnsi" w:hAnsiTheme="minorHAnsi" w:cstheme="minorHAnsi"/>
          <w:b/>
        </w:rPr>
        <w:lastRenderedPageBreak/>
        <w:t xml:space="preserve">Capítulo IV </w:t>
      </w:r>
    </w:p>
    <w:p w:rsidR="00FB5A75" w:rsidRPr="00F25637" w:rsidRDefault="00FB5A75" w:rsidP="00FB5A75">
      <w:pPr>
        <w:pStyle w:val="Standard"/>
        <w:widowControl w:val="0"/>
        <w:spacing w:after="0" w:line="240" w:lineRule="auto"/>
        <w:ind w:right="49"/>
        <w:jc w:val="center"/>
        <w:rPr>
          <w:rFonts w:asciiTheme="minorHAnsi" w:hAnsiTheme="minorHAnsi" w:cstheme="minorHAnsi"/>
          <w:b/>
        </w:rPr>
      </w:pPr>
      <w:r w:rsidRPr="00F25637">
        <w:rPr>
          <w:rFonts w:asciiTheme="minorHAnsi" w:hAnsiTheme="minorHAnsi" w:cstheme="minorHAnsi"/>
          <w:b/>
        </w:rPr>
        <w:t>De la Información y Transparencia</w:t>
      </w: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eastAsia="es-ES"/>
        </w:rPr>
      </w:pPr>
    </w:p>
    <w:p w:rsidR="00FB5A75" w:rsidRPr="00F25637" w:rsidRDefault="001D0620" w:rsidP="00FB5A75">
      <w:pPr>
        <w:pStyle w:val="Standard"/>
        <w:widowControl w:val="0"/>
        <w:spacing w:after="0" w:line="240" w:lineRule="auto"/>
        <w:ind w:right="49"/>
        <w:jc w:val="both"/>
        <w:rPr>
          <w:rFonts w:asciiTheme="minorHAnsi" w:eastAsia="MS Mincho" w:hAnsiTheme="minorHAnsi" w:cstheme="minorHAnsi"/>
          <w:lang w:val="es-ES" w:eastAsia="es-ES"/>
        </w:rPr>
      </w:pPr>
      <w:r w:rsidRPr="00F25637">
        <w:rPr>
          <w:rFonts w:asciiTheme="minorHAnsi" w:eastAsia="MS Mincho" w:hAnsiTheme="minorHAnsi" w:cstheme="minorHAnsi"/>
          <w:b/>
          <w:lang w:val="es-ES" w:eastAsia="es-ES"/>
        </w:rPr>
        <w:t>Artículo 12</w:t>
      </w:r>
      <w:r w:rsidR="00FB5A75" w:rsidRPr="00F25637">
        <w:rPr>
          <w:rFonts w:asciiTheme="minorHAnsi" w:eastAsia="MS Mincho" w:hAnsiTheme="minorHAnsi" w:cstheme="minorHAnsi"/>
          <w:b/>
          <w:lang w:val="es-ES" w:eastAsia="es-ES"/>
        </w:rPr>
        <w:t>.</w:t>
      </w:r>
      <w:r w:rsidR="00FB5A75" w:rsidRPr="00F25637">
        <w:rPr>
          <w:rFonts w:asciiTheme="minorHAnsi" w:eastAsia="MS Mincho" w:hAnsiTheme="minorHAnsi" w:cstheme="minorHAnsi"/>
          <w:lang w:val="es-ES" w:eastAsia="es-ES"/>
        </w:rPr>
        <w:t xml:space="preserve"> Los Ayuntamientos, por conducto de sus Tesorerías, entregarán al Órgano de Fiscalización informes trimestrales sobre los ingresos recaudados incluso las contribuciones pagadas en especie o en servicios, asignaciones y transferencias contempladas en la Ley de Ingresos y Decreto de </w:t>
      </w:r>
      <w:r w:rsidR="00871B56" w:rsidRPr="00F25637">
        <w:rPr>
          <w:rFonts w:asciiTheme="minorHAnsi" w:eastAsia="MS Mincho" w:hAnsiTheme="minorHAnsi" w:cstheme="minorHAnsi"/>
          <w:lang w:val="es-ES" w:eastAsia="es-ES"/>
        </w:rPr>
        <w:t xml:space="preserve">Presupuesto de </w:t>
      </w:r>
      <w:r w:rsidR="00FB5A75" w:rsidRPr="00F25637">
        <w:rPr>
          <w:rFonts w:asciiTheme="minorHAnsi" w:eastAsia="MS Mincho" w:hAnsiTheme="minorHAnsi" w:cstheme="minorHAnsi"/>
          <w:lang w:val="es-ES" w:eastAsia="es-ES"/>
        </w:rPr>
        <w:t>Egresos de la Federación y/o del Estado del Ejercicio Fiscal 201</w:t>
      </w:r>
      <w:r w:rsidR="00FB5A75" w:rsidRPr="00F25637">
        <w:rPr>
          <w:rFonts w:asciiTheme="minorHAnsi" w:eastAsia="MS Mincho" w:hAnsiTheme="minorHAnsi" w:cstheme="minorHAnsi"/>
          <w:bCs/>
          <w:lang w:val="es-ES" w:eastAsia="es-ES"/>
        </w:rPr>
        <w:t>9</w:t>
      </w:r>
      <w:r w:rsidR="00FB5A75" w:rsidRPr="00F25637">
        <w:rPr>
          <w:rFonts w:asciiTheme="minorHAnsi" w:eastAsia="MS Mincho" w:hAnsiTheme="minorHAnsi" w:cstheme="minorHAnsi"/>
          <w:lang w:val="es-ES" w:eastAsia="es-ES"/>
        </w:rPr>
        <w:t>, financiamientos contratados u obligaciones de pago, en los términos previstos en las Leyes de Disciplina Financiera, de Fiscalización y de Coordinación, y de los montos otorgados en programas de estímulos fiscales, subsidios y condonaciones.</w:t>
      </w: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val="es-ES" w:eastAsia="es-ES"/>
        </w:rPr>
      </w:pP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Para efectos del párrafo anterior, las autoridades de las agencias municipales y de policía, comités municipales, con independencia de la denominación que reciban, que estén encargadas de la administración y suministro de agua, estarán obligados a informar a la Tesorería de los montos cobrados a los usuarios del servicio en los primeros diez días de cada mes, para que este realice el registro contable del ingreso.</w:t>
      </w: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val="es-ES" w:eastAsia="es-ES"/>
        </w:rPr>
      </w:pP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val="es-ES" w:eastAsia="es-ES"/>
        </w:rPr>
      </w:pPr>
      <w:r w:rsidRPr="00F25637">
        <w:rPr>
          <w:rFonts w:asciiTheme="minorHAnsi" w:eastAsia="MS Mincho" w:hAnsiTheme="minorHAnsi" w:cstheme="minorHAnsi"/>
          <w:lang w:val="es-ES" w:eastAsia="es-ES"/>
        </w:rPr>
        <w:t>Asimismo, deberán difundir los informes trimestrales a que alude el párrafo anterior en las páginas de internet respectivas.</w:t>
      </w:r>
    </w:p>
    <w:p w:rsidR="00FB5A75" w:rsidRPr="00F25637" w:rsidRDefault="00FB5A75" w:rsidP="00FB5A75">
      <w:pPr>
        <w:pStyle w:val="Standard"/>
        <w:widowControl w:val="0"/>
        <w:spacing w:after="0" w:line="240" w:lineRule="auto"/>
        <w:ind w:right="49"/>
        <w:jc w:val="both"/>
        <w:rPr>
          <w:rFonts w:asciiTheme="minorHAnsi" w:eastAsia="MS Mincho" w:hAnsiTheme="minorHAnsi" w:cstheme="minorHAnsi"/>
          <w:lang w:val="es-ES" w:eastAsia="es-ES"/>
        </w:rPr>
      </w:pPr>
    </w:p>
    <w:p w:rsidR="00FB5A75" w:rsidRPr="00F25637" w:rsidRDefault="001D0620" w:rsidP="00FB5A75">
      <w:pPr>
        <w:pStyle w:val="Standard"/>
        <w:widowControl w:val="0"/>
        <w:spacing w:after="0" w:line="240" w:lineRule="auto"/>
        <w:ind w:right="49"/>
        <w:jc w:val="both"/>
        <w:rPr>
          <w:rFonts w:asciiTheme="minorHAnsi" w:hAnsiTheme="minorHAnsi" w:cstheme="minorHAnsi"/>
        </w:rPr>
      </w:pPr>
      <w:r w:rsidRPr="00F25637">
        <w:rPr>
          <w:rFonts w:asciiTheme="minorHAnsi" w:eastAsia="MS Mincho" w:hAnsiTheme="minorHAnsi" w:cstheme="minorHAnsi"/>
          <w:b/>
          <w:lang w:val="es-ES" w:eastAsia="es-ES"/>
        </w:rPr>
        <w:t>Artículo 13</w:t>
      </w:r>
      <w:r w:rsidR="00FB5A75" w:rsidRPr="00F25637">
        <w:rPr>
          <w:rFonts w:asciiTheme="minorHAnsi" w:eastAsia="MS Mincho" w:hAnsiTheme="minorHAnsi" w:cstheme="minorHAnsi"/>
          <w:b/>
          <w:lang w:val="es-ES" w:eastAsia="es-ES"/>
        </w:rPr>
        <w:t>.</w:t>
      </w:r>
      <w:r w:rsidR="00FB5A75" w:rsidRPr="00F25637">
        <w:rPr>
          <w:rFonts w:asciiTheme="minorHAnsi" w:eastAsia="MS Mincho" w:hAnsiTheme="minorHAnsi" w:cstheme="minorHAnsi"/>
          <w:lang w:val="es-ES" w:eastAsia="es-ES"/>
        </w:rPr>
        <w:t xml:space="preserve"> Para efectos de cumplir con lo previsto en el artículo 7C de la Ley de Coordinación, los Ayuntamientos a través de sus Tesorerías, deberán informar a la Secretaría sobre el monto enterado al Servicio de Administ</w:t>
      </w:r>
      <w:r w:rsidR="00871B56" w:rsidRPr="00F25637">
        <w:rPr>
          <w:rFonts w:asciiTheme="minorHAnsi" w:eastAsia="MS Mincho" w:hAnsiTheme="minorHAnsi" w:cstheme="minorHAnsi"/>
          <w:lang w:val="es-ES" w:eastAsia="es-ES"/>
        </w:rPr>
        <w:t>ración Tributaria del Impuesto S</w:t>
      </w:r>
      <w:r w:rsidR="00FB5A75" w:rsidRPr="00F25637">
        <w:rPr>
          <w:rFonts w:asciiTheme="minorHAnsi" w:eastAsia="MS Mincho" w:hAnsiTheme="minorHAnsi" w:cstheme="minorHAnsi"/>
          <w:lang w:val="es-ES" w:eastAsia="es-ES"/>
        </w:rPr>
        <w:t>obre la Renta correspondiente al salario del personal que preste o desempeñe un servi</w:t>
      </w:r>
      <w:r w:rsidR="00871B56" w:rsidRPr="00F25637">
        <w:rPr>
          <w:rFonts w:asciiTheme="minorHAnsi" w:eastAsia="MS Mincho" w:hAnsiTheme="minorHAnsi" w:cstheme="minorHAnsi"/>
          <w:lang w:val="es-ES" w:eastAsia="es-ES"/>
        </w:rPr>
        <w:t>cio personal subordinado en la Administración Pública Municipal y sus Entidades P</w:t>
      </w:r>
      <w:r w:rsidR="00FB5A75" w:rsidRPr="00F25637">
        <w:rPr>
          <w:rFonts w:asciiTheme="minorHAnsi" w:eastAsia="MS Mincho" w:hAnsiTheme="minorHAnsi" w:cstheme="minorHAnsi"/>
          <w:lang w:val="es-ES" w:eastAsia="es-ES"/>
        </w:rPr>
        <w:t>aramunicipales, siempre que dicho salario sea efectivamente pagado por los Municipios con recursos de las participaciones federales u otros ingresos municipales.</w:t>
      </w:r>
    </w:p>
    <w:p w:rsidR="00FB5A75" w:rsidRPr="00F25637" w:rsidRDefault="00FB5A75" w:rsidP="00FB5A75">
      <w:pPr>
        <w:tabs>
          <w:tab w:val="left" w:pos="426"/>
        </w:tabs>
        <w:spacing w:after="0" w:line="240" w:lineRule="auto"/>
        <w:outlineLvl w:val="0"/>
        <w:rPr>
          <w:rFonts w:eastAsia="Calibri" w:cstheme="minorHAnsi"/>
          <w:b/>
          <w:lang w:eastAsia="es-ES"/>
        </w:rPr>
      </w:pPr>
    </w:p>
    <w:p w:rsidR="00FB5A75" w:rsidRPr="00F25637" w:rsidRDefault="00FB5A75" w:rsidP="00871B56">
      <w:pPr>
        <w:tabs>
          <w:tab w:val="left" w:pos="426"/>
        </w:tabs>
        <w:spacing w:after="0" w:line="240" w:lineRule="auto"/>
        <w:outlineLvl w:val="0"/>
        <w:rPr>
          <w:rFonts w:eastAsia="Calibri" w:cstheme="minorHAnsi"/>
          <w:b/>
          <w:lang w:eastAsia="es-ES"/>
        </w:rPr>
      </w:pPr>
    </w:p>
    <w:p w:rsidR="00FB5A75" w:rsidRPr="00F25637" w:rsidRDefault="00933007" w:rsidP="00FB5A75">
      <w:pPr>
        <w:tabs>
          <w:tab w:val="left" w:pos="426"/>
        </w:tabs>
        <w:spacing w:after="0" w:line="240" w:lineRule="auto"/>
        <w:ind w:left="720"/>
        <w:jc w:val="center"/>
        <w:outlineLvl w:val="0"/>
        <w:rPr>
          <w:rFonts w:eastAsia="Calibri" w:cstheme="minorHAnsi"/>
          <w:b/>
          <w:lang w:val="es-ES" w:eastAsia="es-ES"/>
        </w:rPr>
      </w:pPr>
      <w:r w:rsidRPr="00F25637">
        <w:rPr>
          <w:rFonts w:eastAsia="Calibri" w:cstheme="minorHAnsi"/>
          <w:b/>
          <w:lang w:val="es-ES" w:eastAsia="es-ES"/>
        </w:rPr>
        <w:t>TRANSITORI</w:t>
      </w:r>
      <w:r w:rsidR="00FB5A75" w:rsidRPr="00F25637">
        <w:rPr>
          <w:rFonts w:eastAsia="Calibri" w:cstheme="minorHAnsi"/>
          <w:b/>
          <w:lang w:val="es-ES" w:eastAsia="es-ES"/>
        </w:rPr>
        <w:t>O</w:t>
      </w:r>
      <w:r w:rsidR="00084087">
        <w:rPr>
          <w:rFonts w:eastAsia="Calibri" w:cstheme="minorHAnsi"/>
          <w:b/>
          <w:lang w:val="es-ES" w:eastAsia="es-ES"/>
        </w:rPr>
        <w:t>S</w:t>
      </w:r>
    </w:p>
    <w:p w:rsidR="00FB5A75" w:rsidRPr="00F25637" w:rsidRDefault="00FB5A75" w:rsidP="00FB5A75">
      <w:pPr>
        <w:tabs>
          <w:tab w:val="left" w:pos="426"/>
        </w:tabs>
        <w:spacing w:after="0" w:line="240" w:lineRule="auto"/>
        <w:ind w:left="720"/>
        <w:jc w:val="center"/>
        <w:rPr>
          <w:rFonts w:eastAsia="Calibri" w:cstheme="minorHAnsi"/>
          <w:b/>
          <w:lang w:val="es-ES" w:eastAsia="es-ES"/>
        </w:rPr>
      </w:pPr>
    </w:p>
    <w:p w:rsidR="002B699A" w:rsidRDefault="002B699A" w:rsidP="002B699A">
      <w:pPr>
        <w:tabs>
          <w:tab w:val="left" w:pos="0"/>
        </w:tabs>
        <w:spacing w:after="0" w:line="240" w:lineRule="auto"/>
        <w:jc w:val="both"/>
        <w:rPr>
          <w:rFonts w:eastAsia="Calibri" w:cstheme="minorHAnsi"/>
          <w:b/>
        </w:rPr>
      </w:pPr>
      <w:r w:rsidRPr="003E2E3D">
        <w:rPr>
          <w:rFonts w:eastAsia="Calibri" w:cstheme="minorHAnsi"/>
          <w:b/>
        </w:rPr>
        <w:t>PRIMERO</w:t>
      </w:r>
      <w:r w:rsidRPr="00222FA0">
        <w:rPr>
          <w:rFonts w:eastAsia="Calibri" w:cstheme="minorHAnsi"/>
        </w:rPr>
        <w:t>. Publíquese</w:t>
      </w:r>
      <w:r>
        <w:rPr>
          <w:rFonts w:eastAsia="Calibri" w:cstheme="minorHAnsi"/>
          <w:b/>
        </w:rPr>
        <w:t xml:space="preserve"> </w:t>
      </w:r>
      <w:r w:rsidRPr="00222FA0">
        <w:rPr>
          <w:rFonts w:eastAsia="Calibri" w:cstheme="minorHAnsi"/>
        </w:rPr>
        <w:t>el presente Decreto en el Periódico Oficial del Gobierno de</w:t>
      </w:r>
      <w:r>
        <w:rPr>
          <w:rFonts w:eastAsia="Calibri" w:cstheme="minorHAnsi"/>
        </w:rPr>
        <w:t>l</w:t>
      </w:r>
      <w:r w:rsidRPr="00222FA0">
        <w:rPr>
          <w:rFonts w:eastAsia="Calibri" w:cstheme="minorHAnsi"/>
        </w:rPr>
        <w:t xml:space="preserve"> Estado.</w:t>
      </w:r>
    </w:p>
    <w:p w:rsidR="002B699A" w:rsidRDefault="002B699A" w:rsidP="002B699A">
      <w:pPr>
        <w:tabs>
          <w:tab w:val="left" w:pos="0"/>
        </w:tabs>
        <w:spacing w:after="0" w:line="240" w:lineRule="auto"/>
        <w:jc w:val="both"/>
        <w:rPr>
          <w:rFonts w:eastAsia="Calibri" w:cstheme="minorHAnsi"/>
          <w:b/>
        </w:rPr>
      </w:pPr>
    </w:p>
    <w:p w:rsidR="002B699A" w:rsidRPr="00222FA0" w:rsidRDefault="002B699A" w:rsidP="002B699A">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Pr="003E2E3D">
        <w:rPr>
          <w:rFonts w:eastAsia="Calibri" w:cstheme="minorHAnsi"/>
        </w:rPr>
        <w:t>El presente Decreto entrará en vigor el uno de enero de dos mil diecinueve, previa publicación en el Periódico Oficial del Gobierno del Estado.</w:t>
      </w:r>
    </w:p>
    <w:p w:rsidR="002B699A" w:rsidRPr="003E2E3D" w:rsidRDefault="002B699A" w:rsidP="002B699A">
      <w:pPr>
        <w:tabs>
          <w:tab w:val="left" w:pos="0"/>
        </w:tabs>
        <w:spacing w:after="0" w:line="240" w:lineRule="auto"/>
        <w:jc w:val="both"/>
        <w:rPr>
          <w:rFonts w:eastAsia="Calibri" w:cstheme="minorHAnsi"/>
        </w:rPr>
      </w:pPr>
    </w:p>
    <w:p w:rsidR="002B699A" w:rsidRPr="00222FA0" w:rsidRDefault="002B699A" w:rsidP="002B699A">
      <w:pPr>
        <w:tabs>
          <w:tab w:val="left" w:pos="0"/>
        </w:tabs>
        <w:spacing w:after="0" w:line="240" w:lineRule="auto"/>
        <w:jc w:val="both"/>
        <w:rPr>
          <w:rFonts w:eastAsia="Calibri" w:cstheme="minorHAnsi"/>
          <w:b/>
          <w:lang w:eastAsia="ar-SA"/>
        </w:rPr>
      </w:pPr>
      <w:r>
        <w:rPr>
          <w:rFonts w:eastAsia="Calibri" w:cstheme="minorHAnsi"/>
          <w:b/>
          <w:spacing w:val="1"/>
        </w:rPr>
        <w:t>TERCERO</w:t>
      </w:r>
      <w:r w:rsidRPr="003E2E3D">
        <w:rPr>
          <w:rFonts w:eastAsia="Calibri" w:cstheme="minorHAnsi"/>
          <w:b/>
          <w:spacing w:val="1"/>
        </w:rPr>
        <w:t>.</w:t>
      </w:r>
      <w:r w:rsidRPr="003E2E3D">
        <w:rPr>
          <w:rFonts w:eastAsia="Calibri" w:cstheme="minorHAnsi"/>
          <w:b/>
          <w:lang w:eastAsia="ar-SA"/>
        </w:rPr>
        <w:t xml:space="preserve"> </w:t>
      </w:r>
      <w:r w:rsidRPr="00222FA0">
        <w:rPr>
          <w:rFonts w:eastAsia="Calibri" w:cstheme="minorHAnsi"/>
          <w:lang w:eastAsia="ar-SA"/>
        </w:rPr>
        <w:t>Se derogan todas aquellas disposiciones, de igual o menor jerarquía, que se oponga al presente De</w:t>
      </w:r>
      <w:r>
        <w:rPr>
          <w:rFonts w:eastAsia="Calibri" w:cstheme="minorHAnsi"/>
          <w:lang w:eastAsia="ar-SA"/>
        </w:rPr>
        <w:t>c</w:t>
      </w:r>
      <w:r w:rsidRPr="00222FA0">
        <w:rPr>
          <w:rFonts w:eastAsia="Calibri" w:cstheme="minorHAnsi"/>
          <w:lang w:eastAsia="ar-SA"/>
        </w:rPr>
        <w:t>reto</w:t>
      </w:r>
      <w:r w:rsidRPr="003E2E3D">
        <w:rPr>
          <w:rFonts w:eastAsia="Calibri" w:cstheme="minorHAnsi"/>
          <w:spacing w:val="1"/>
        </w:rPr>
        <w:t>, aun cuando no estén expresamente derogadas.</w:t>
      </w:r>
    </w:p>
    <w:p w:rsidR="002B699A" w:rsidRDefault="002B699A" w:rsidP="002B699A">
      <w:pPr>
        <w:tabs>
          <w:tab w:val="left" w:pos="0"/>
        </w:tabs>
        <w:spacing w:after="0" w:line="240" w:lineRule="auto"/>
        <w:jc w:val="both"/>
        <w:rPr>
          <w:rFonts w:cstheme="minorHAnsi"/>
          <w:sz w:val="24"/>
          <w:szCs w:val="24"/>
        </w:rPr>
      </w:pPr>
    </w:p>
    <w:p w:rsidR="00506E59" w:rsidRPr="00F25637" w:rsidRDefault="00506E59" w:rsidP="00E63525">
      <w:pPr>
        <w:spacing w:after="0" w:line="240" w:lineRule="auto"/>
        <w:ind w:right="-1"/>
        <w:jc w:val="both"/>
        <w:rPr>
          <w:rFonts w:eastAsia="Calibri" w:cstheme="minorHAnsi"/>
          <w:spacing w:val="1"/>
        </w:rPr>
      </w:pPr>
      <w:bookmarkStart w:id="0" w:name="_GoBack"/>
      <w:bookmarkEnd w:id="0"/>
    </w:p>
    <w:sectPr w:rsidR="00506E59" w:rsidRPr="00F25637" w:rsidSect="004136EA">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85" w:rsidRDefault="00DB6A85">
      <w:pPr>
        <w:spacing w:after="0" w:line="240" w:lineRule="auto"/>
      </w:pPr>
      <w:r>
        <w:separator/>
      </w:r>
    </w:p>
  </w:endnote>
  <w:endnote w:type="continuationSeparator" w:id="0">
    <w:p w:rsidR="00DB6A85" w:rsidRDefault="00DB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Arial" w:hAnsi="Arial" w:cs="Arial"/>
        <w:sz w:val="20"/>
        <w:szCs w:val="20"/>
      </w:rPr>
    </w:sdtEndPr>
    <w:sdtContent>
      <w:p w:rsidR="00FB5A75" w:rsidRPr="000C46AE" w:rsidRDefault="00FB5A75" w:rsidP="004136EA">
        <w:pPr>
          <w:pStyle w:val="Piedepgina"/>
          <w:jc w:val="center"/>
          <w:rPr>
            <w:rFonts w:ascii="Arial" w:hAnsi="Arial" w:cs="Arial"/>
            <w:sz w:val="20"/>
            <w:szCs w:val="20"/>
          </w:rPr>
        </w:pPr>
        <w:r w:rsidRPr="000C46AE">
          <w:rPr>
            <w:rFonts w:ascii="Arial" w:hAnsi="Arial" w:cs="Arial"/>
            <w:sz w:val="20"/>
            <w:szCs w:val="20"/>
          </w:rPr>
          <w:fldChar w:fldCharType="begin"/>
        </w:r>
        <w:r w:rsidRPr="000C46AE">
          <w:rPr>
            <w:rFonts w:ascii="Arial" w:hAnsi="Arial" w:cs="Arial"/>
            <w:sz w:val="20"/>
            <w:szCs w:val="20"/>
          </w:rPr>
          <w:instrText>PAGE   \* MERGEFORMAT</w:instrText>
        </w:r>
        <w:r w:rsidRPr="000C46AE">
          <w:rPr>
            <w:rFonts w:ascii="Arial" w:hAnsi="Arial" w:cs="Arial"/>
            <w:sz w:val="20"/>
            <w:szCs w:val="20"/>
          </w:rPr>
          <w:fldChar w:fldCharType="separate"/>
        </w:r>
        <w:r w:rsidR="00F947A4" w:rsidRPr="00F947A4">
          <w:rPr>
            <w:rFonts w:ascii="Arial" w:hAnsi="Arial" w:cs="Arial"/>
            <w:noProof/>
            <w:sz w:val="20"/>
            <w:szCs w:val="20"/>
            <w:lang w:val="es-ES"/>
          </w:rPr>
          <w:t>9</w:t>
        </w:r>
        <w:r w:rsidRPr="000C46AE">
          <w:rPr>
            <w:rFonts w:ascii="Arial" w:hAnsi="Arial" w:cs="Arial"/>
            <w:sz w:val="20"/>
            <w:szCs w:val="20"/>
          </w:rPr>
          <w:fldChar w:fldCharType="end"/>
        </w:r>
      </w:p>
    </w:sdtContent>
  </w:sdt>
  <w:p w:rsidR="00FB5A75" w:rsidRDefault="00FB5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85" w:rsidRDefault="00DB6A85">
      <w:pPr>
        <w:spacing w:after="0" w:line="240" w:lineRule="auto"/>
      </w:pPr>
      <w:r>
        <w:separator/>
      </w:r>
    </w:p>
  </w:footnote>
  <w:footnote w:type="continuationSeparator" w:id="0">
    <w:p w:rsidR="00DB6A85" w:rsidRDefault="00DB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75" w:rsidRDefault="00FB5A75">
    <w:pPr>
      <w:pStyle w:val="Encabezado"/>
    </w:pPr>
    <w:r>
      <w:rPr>
        <w:noProof/>
        <w:lang w:eastAsia="es-MX"/>
      </w:rPr>
      <w:drawing>
        <wp:anchor distT="0" distB="0" distL="114300" distR="114300" simplePos="0" relativeHeight="251659264" behindDoc="1" locked="0" layoutInCell="1" allowOverlap="1" wp14:anchorId="593377FC" wp14:editId="268EF742">
          <wp:simplePos x="0" y="0"/>
          <wp:positionH relativeFrom="column">
            <wp:posOffset>-18375</wp:posOffset>
          </wp:positionH>
          <wp:positionV relativeFrom="paragraph">
            <wp:posOffset>-66458</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A75" w:rsidRDefault="00FB5A75">
    <w:pPr>
      <w:pStyle w:val="Encabezado"/>
    </w:pPr>
  </w:p>
  <w:p w:rsidR="00FB5A75" w:rsidRDefault="00FB5A75">
    <w:pPr>
      <w:pStyle w:val="Encabezado"/>
    </w:pPr>
  </w:p>
  <w:p w:rsidR="00FB5A75" w:rsidRDefault="00FB5A75">
    <w:pPr>
      <w:pStyle w:val="Encabezado"/>
    </w:pPr>
  </w:p>
  <w:p w:rsidR="00FB5A75" w:rsidRDefault="00FB5A75">
    <w:pPr>
      <w:pStyle w:val="Encabezado"/>
    </w:pPr>
  </w:p>
  <w:p w:rsidR="00FB5A75" w:rsidRDefault="00FB5A75">
    <w:pPr>
      <w:pStyle w:val="Encabezado"/>
    </w:pPr>
  </w:p>
  <w:p w:rsidR="00FB5A75" w:rsidRDefault="00FB5A75">
    <w:pPr>
      <w:pStyle w:val="Encabezado"/>
    </w:pPr>
  </w:p>
  <w:p w:rsidR="00FB5A75" w:rsidRDefault="00FB5A75">
    <w:pPr>
      <w:pStyle w:val="Encabezado"/>
    </w:pPr>
  </w:p>
  <w:p w:rsidR="00FB5A75" w:rsidRDefault="00FB5A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E6D"/>
    <w:multiLevelType w:val="hybridMultilevel"/>
    <w:tmpl w:val="FF36404E"/>
    <w:lvl w:ilvl="0" w:tplc="080A0013">
      <w:start w:val="1"/>
      <w:numFmt w:val="upperRoman"/>
      <w:lvlText w:val="%1."/>
      <w:lvlJc w:val="right"/>
      <w:pPr>
        <w:ind w:left="360" w:hanging="360"/>
      </w:pPr>
    </w:lvl>
    <w:lvl w:ilvl="1" w:tplc="7AB02B6A">
      <w:start w:val="1"/>
      <w:numFmt w:val="lowerLetter"/>
      <w:lvlText w:val="%2)"/>
      <w:lvlJc w:val="left"/>
      <w:pPr>
        <w:ind w:left="1080" w:hanging="360"/>
      </w:pPr>
      <w:rPr>
        <w:rFonts w:eastAsia="MS Mincho" w:cs="Calibri" w:hint="default"/>
        <w:color w:val="00000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923BAB"/>
    <w:multiLevelType w:val="hybridMultilevel"/>
    <w:tmpl w:val="1974E560"/>
    <w:lvl w:ilvl="0" w:tplc="2C063F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7C67D2"/>
    <w:multiLevelType w:val="hybridMultilevel"/>
    <w:tmpl w:val="7EC60A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D5762B"/>
    <w:multiLevelType w:val="hybridMultilevel"/>
    <w:tmpl w:val="75746648"/>
    <w:lvl w:ilvl="0" w:tplc="080A0017">
      <w:start w:val="1"/>
      <w:numFmt w:val="lowerLetter"/>
      <w:lvlText w:val="%1)"/>
      <w:lvlJc w:val="left"/>
      <w:pPr>
        <w:ind w:left="1080" w:hanging="360"/>
      </w:pPr>
    </w:lvl>
    <w:lvl w:ilvl="1" w:tplc="080A0017">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2"/>
  </w:num>
  <w:num w:numId="5">
    <w:abstractNumId w:val="6"/>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7"/>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90"/>
    <w:rsid w:val="00000BCA"/>
    <w:rsid w:val="00003482"/>
    <w:rsid w:val="000105F5"/>
    <w:rsid w:val="000112D1"/>
    <w:rsid w:val="0001626A"/>
    <w:rsid w:val="00020951"/>
    <w:rsid w:val="00022D45"/>
    <w:rsid w:val="00023C28"/>
    <w:rsid w:val="00026E73"/>
    <w:rsid w:val="00034C8B"/>
    <w:rsid w:val="000442E5"/>
    <w:rsid w:val="0004611E"/>
    <w:rsid w:val="000464B4"/>
    <w:rsid w:val="00046C8A"/>
    <w:rsid w:val="00054336"/>
    <w:rsid w:val="0005786F"/>
    <w:rsid w:val="000609A9"/>
    <w:rsid w:val="00063181"/>
    <w:rsid w:val="0006743D"/>
    <w:rsid w:val="0008395C"/>
    <w:rsid w:val="00084087"/>
    <w:rsid w:val="00085FA3"/>
    <w:rsid w:val="00093283"/>
    <w:rsid w:val="000938E5"/>
    <w:rsid w:val="00093DD3"/>
    <w:rsid w:val="000A4106"/>
    <w:rsid w:val="000B5670"/>
    <w:rsid w:val="000B75D0"/>
    <w:rsid w:val="000C7163"/>
    <w:rsid w:val="000D3B81"/>
    <w:rsid w:val="000D57E3"/>
    <w:rsid w:val="000D7171"/>
    <w:rsid w:val="000E1A73"/>
    <w:rsid w:val="000E224B"/>
    <w:rsid w:val="000E566D"/>
    <w:rsid w:val="000F0912"/>
    <w:rsid w:val="000F54E5"/>
    <w:rsid w:val="000F6B42"/>
    <w:rsid w:val="00113301"/>
    <w:rsid w:val="001134FB"/>
    <w:rsid w:val="001169F4"/>
    <w:rsid w:val="00120B29"/>
    <w:rsid w:val="00125856"/>
    <w:rsid w:val="001321ED"/>
    <w:rsid w:val="00134227"/>
    <w:rsid w:val="00135207"/>
    <w:rsid w:val="00144D02"/>
    <w:rsid w:val="00162B90"/>
    <w:rsid w:val="00163B74"/>
    <w:rsid w:val="0017202A"/>
    <w:rsid w:val="00174E52"/>
    <w:rsid w:val="00181F34"/>
    <w:rsid w:val="00187E6E"/>
    <w:rsid w:val="0019490D"/>
    <w:rsid w:val="001A43A0"/>
    <w:rsid w:val="001A48A4"/>
    <w:rsid w:val="001A5553"/>
    <w:rsid w:val="001A564F"/>
    <w:rsid w:val="001A5926"/>
    <w:rsid w:val="001A7D57"/>
    <w:rsid w:val="001C478A"/>
    <w:rsid w:val="001C55A0"/>
    <w:rsid w:val="001C7122"/>
    <w:rsid w:val="001D0620"/>
    <w:rsid w:val="001D58A7"/>
    <w:rsid w:val="001D7A49"/>
    <w:rsid w:val="001E0833"/>
    <w:rsid w:val="001E0A90"/>
    <w:rsid w:val="001E5EE2"/>
    <w:rsid w:val="001F2B6E"/>
    <w:rsid w:val="00206F11"/>
    <w:rsid w:val="00207196"/>
    <w:rsid w:val="0021069C"/>
    <w:rsid w:val="00212319"/>
    <w:rsid w:val="00214B0F"/>
    <w:rsid w:val="00214BA3"/>
    <w:rsid w:val="002155D1"/>
    <w:rsid w:val="00223C7F"/>
    <w:rsid w:val="002366E9"/>
    <w:rsid w:val="002372A1"/>
    <w:rsid w:val="002374D3"/>
    <w:rsid w:val="00244F9C"/>
    <w:rsid w:val="00251F48"/>
    <w:rsid w:val="002602E6"/>
    <w:rsid w:val="0026397F"/>
    <w:rsid w:val="00264DAC"/>
    <w:rsid w:val="00266374"/>
    <w:rsid w:val="00270F3E"/>
    <w:rsid w:val="00272964"/>
    <w:rsid w:val="00283D76"/>
    <w:rsid w:val="00284684"/>
    <w:rsid w:val="00296161"/>
    <w:rsid w:val="00296703"/>
    <w:rsid w:val="00296F64"/>
    <w:rsid w:val="002A213C"/>
    <w:rsid w:val="002A527A"/>
    <w:rsid w:val="002A665C"/>
    <w:rsid w:val="002B1159"/>
    <w:rsid w:val="002B2F7D"/>
    <w:rsid w:val="002B699A"/>
    <w:rsid w:val="002B71A7"/>
    <w:rsid w:val="002C17A5"/>
    <w:rsid w:val="002D1267"/>
    <w:rsid w:val="002D22AB"/>
    <w:rsid w:val="002D3213"/>
    <w:rsid w:val="002D4D77"/>
    <w:rsid w:val="002D549B"/>
    <w:rsid w:val="002D7735"/>
    <w:rsid w:val="002D7825"/>
    <w:rsid w:val="002E4A23"/>
    <w:rsid w:val="002E5FFC"/>
    <w:rsid w:val="002F210E"/>
    <w:rsid w:val="002F2C1D"/>
    <w:rsid w:val="00307DFB"/>
    <w:rsid w:val="0031613B"/>
    <w:rsid w:val="0032166C"/>
    <w:rsid w:val="00325441"/>
    <w:rsid w:val="00327062"/>
    <w:rsid w:val="003311EB"/>
    <w:rsid w:val="0033513F"/>
    <w:rsid w:val="00352250"/>
    <w:rsid w:val="003666F5"/>
    <w:rsid w:val="00371ED5"/>
    <w:rsid w:val="00374BBF"/>
    <w:rsid w:val="00375D96"/>
    <w:rsid w:val="0038182D"/>
    <w:rsid w:val="00382412"/>
    <w:rsid w:val="00386079"/>
    <w:rsid w:val="00390FB1"/>
    <w:rsid w:val="003A0E8B"/>
    <w:rsid w:val="003A2EC6"/>
    <w:rsid w:val="003B1EE6"/>
    <w:rsid w:val="003B5EFB"/>
    <w:rsid w:val="003D0304"/>
    <w:rsid w:val="003E0EE1"/>
    <w:rsid w:val="003F2943"/>
    <w:rsid w:val="003F59EA"/>
    <w:rsid w:val="00401499"/>
    <w:rsid w:val="00411F8E"/>
    <w:rsid w:val="004130F9"/>
    <w:rsid w:val="004136EA"/>
    <w:rsid w:val="00415366"/>
    <w:rsid w:val="00415A5D"/>
    <w:rsid w:val="0042217B"/>
    <w:rsid w:val="00422D5E"/>
    <w:rsid w:val="004238D7"/>
    <w:rsid w:val="00425377"/>
    <w:rsid w:val="00425FD5"/>
    <w:rsid w:val="00427840"/>
    <w:rsid w:val="00434341"/>
    <w:rsid w:val="00436420"/>
    <w:rsid w:val="00436F1D"/>
    <w:rsid w:val="00445978"/>
    <w:rsid w:val="004515B6"/>
    <w:rsid w:val="00451C9C"/>
    <w:rsid w:val="004646AE"/>
    <w:rsid w:val="00470221"/>
    <w:rsid w:val="0047332C"/>
    <w:rsid w:val="00475156"/>
    <w:rsid w:val="00486CC1"/>
    <w:rsid w:val="00490C7E"/>
    <w:rsid w:val="0049339A"/>
    <w:rsid w:val="00497483"/>
    <w:rsid w:val="004B1FC1"/>
    <w:rsid w:val="004B2982"/>
    <w:rsid w:val="004B7B8F"/>
    <w:rsid w:val="004D10A4"/>
    <w:rsid w:val="004D4AC4"/>
    <w:rsid w:val="004D56D3"/>
    <w:rsid w:val="004D5AE9"/>
    <w:rsid w:val="004E1B1F"/>
    <w:rsid w:val="004F1D46"/>
    <w:rsid w:val="004F4B37"/>
    <w:rsid w:val="004F74E5"/>
    <w:rsid w:val="00501666"/>
    <w:rsid w:val="00505DBF"/>
    <w:rsid w:val="00506E59"/>
    <w:rsid w:val="005133BB"/>
    <w:rsid w:val="00520F12"/>
    <w:rsid w:val="0052112A"/>
    <w:rsid w:val="00531B69"/>
    <w:rsid w:val="00533D2C"/>
    <w:rsid w:val="00533DE6"/>
    <w:rsid w:val="0054030A"/>
    <w:rsid w:val="00545BB4"/>
    <w:rsid w:val="00546F11"/>
    <w:rsid w:val="00551306"/>
    <w:rsid w:val="0055425E"/>
    <w:rsid w:val="005554B7"/>
    <w:rsid w:val="00557079"/>
    <w:rsid w:val="005729B8"/>
    <w:rsid w:val="00581CAE"/>
    <w:rsid w:val="00586A6D"/>
    <w:rsid w:val="005964D7"/>
    <w:rsid w:val="005A251A"/>
    <w:rsid w:val="005A358C"/>
    <w:rsid w:val="005A420B"/>
    <w:rsid w:val="005B213A"/>
    <w:rsid w:val="005B2D2C"/>
    <w:rsid w:val="005B3117"/>
    <w:rsid w:val="005B4AB1"/>
    <w:rsid w:val="005B7843"/>
    <w:rsid w:val="005C3DD1"/>
    <w:rsid w:val="005C5603"/>
    <w:rsid w:val="005C6FFD"/>
    <w:rsid w:val="005D0FBF"/>
    <w:rsid w:val="005D298B"/>
    <w:rsid w:val="005E000E"/>
    <w:rsid w:val="005E0134"/>
    <w:rsid w:val="005E03FB"/>
    <w:rsid w:val="005E1B92"/>
    <w:rsid w:val="005E42A1"/>
    <w:rsid w:val="005E49D6"/>
    <w:rsid w:val="005E4D12"/>
    <w:rsid w:val="005F2514"/>
    <w:rsid w:val="005F39EC"/>
    <w:rsid w:val="005F7BE3"/>
    <w:rsid w:val="00600683"/>
    <w:rsid w:val="006020BC"/>
    <w:rsid w:val="0060286E"/>
    <w:rsid w:val="00605D3F"/>
    <w:rsid w:val="006169B2"/>
    <w:rsid w:val="00620442"/>
    <w:rsid w:val="006271B8"/>
    <w:rsid w:val="00634C55"/>
    <w:rsid w:val="00635178"/>
    <w:rsid w:val="00635654"/>
    <w:rsid w:val="0063656F"/>
    <w:rsid w:val="00640102"/>
    <w:rsid w:val="00640CBD"/>
    <w:rsid w:val="00646786"/>
    <w:rsid w:val="00650642"/>
    <w:rsid w:val="00651D17"/>
    <w:rsid w:val="00663F07"/>
    <w:rsid w:val="00664D63"/>
    <w:rsid w:val="00666F51"/>
    <w:rsid w:val="0067488E"/>
    <w:rsid w:val="00677D8A"/>
    <w:rsid w:val="00690199"/>
    <w:rsid w:val="006A0517"/>
    <w:rsid w:val="006B3965"/>
    <w:rsid w:val="006B407A"/>
    <w:rsid w:val="006B7103"/>
    <w:rsid w:val="006C568B"/>
    <w:rsid w:val="006C5FF1"/>
    <w:rsid w:val="006C6634"/>
    <w:rsid w:val="006D1459"/>
    <w:rsid w:val="006D40EF"/>
    <w:rsid w:val="006D4E4A"/>
    <w:rsid w:val="006D521A"/>
    <w:rsid w:val="006E2756"/>
    <w:rsid w:val="006E5BF4"/>
    <w:rsid w:val="006F086B"/>
    <w:rsid w:val="006F3EB7"/>
    <w:rsid w:val="006F7187"/>
    <w:rsid w:val="00706DDF"/>
    <w:rsid w:val="00714EF9"/>
    <w:rsid w:val="00716B5A"/>
    <w:rsid w:val="007179CD"/>
    <w:rsid w:val="00720E68"/>
    <w:rsid w:val="007260F7"/>
    <w:rsid w:val="00731F11"/>
    <w:rsid w:val="007331B1"/>
    <w:rsid w:val="00736D4D"/>
    <w:rsid w:val="00741E1C"/>
    <w:rsid w:val="0074678F"/>
    <w:rsid w:val="00746CAA"/>
    <w:rsid w:val="007548A3"/>
    <w:rsid w:val="00754958"/>
    <w:rsid w:val="00755F9C"/>
    <w:rsid w:val="007571B5"/>
    <w:rsid w:val="00762010"/>
    <w:rsid w:val="007623C2"/>
    <w:rsid w:val="007813F3"/>
    <w:rsid w:val="00781CDF"/>
    <w:rsid w:val="00785410"/>
    <w:rsid w:val="00785D93"/>
    <w:rsid w:val="00785FE3"/>
    <w:rsid w:val="007864C8"/>
    <w:rsid w:val="007906E9"/>
    <w:rsid w:val="007A20DC"/>
    <w:rsid w:val="007A56E7"/>
    <w:rsid w:val="007A683C"/>
    <w:rsid w:val="007C092E"/>
    <w:rsid w:val="007C43B9"/>
    <w:rsid w:val="007D474B"/>
    <w:rsid w:val="007D65E6"/>
    <w:rsid w:val="007E6903"/>
    <w:rsid w:val="007F09D7"/>
    <w:rsid w:val="007F31AA"/>
    <w:rsid w:val="00810C91"/>
    <w:rsid w:val="008112AA"/>
    <w:rsid w:val="00820B4F"/>
    <w:rsid w:val="00821D8F"/>
    <w:rsid w:val="00822754"/>
    <w:rsid w:val="00825113"/>
    <w:rsid w:val="00825176"/>
    <w:rsid w:val="00825670"/>
    <w:rsid w:val="00831F0D"/>
    <w:rsid w:val="008367E6"/>
    <w:rsid w:val="00837BEE"/>
    <w:rsid w:val="008447B8"/>
    <w:rsid w:val="0084713E"/>
    <w:rsid w:val="00851E2E"/>
    <w:rsid w:val="00852F19"/>
    <w:rsid w:val="00860207"/>
    <w:rsid w:val="008672DA"/>
    <w:rsid w:val="00871B56"/>
    <w:rsid w:val="0087385D"/>
    <w:rsid w:val="0087682B"/>
    <w:rsid w:val="00882DC7"/>
    <w:rsid w:val="00884310"/>
    <w:rsid w:val="0088491D"/>
    <w:rsid w:val="00884DD4"/>
    <w:rsid w:val="0089115C"/>
    <w:rsid w:val="008921ED"/>
    <w:rsid w:val="00893DBD"/>
    <w:rsid w:val="008A0FCC"/>
    <w:rsid w:val="008A3318"/>
    <w:rsid w:val="008A7DD8"/>
    <w:rsid w:val="008B2E7B"/>
    <w:rsid w:val="008B44BE"/>
    <w:rsid w:val="008C0516"/>
    <w:rsid w:val="008C2F09"/>
    <w:rsid w:val="008C724B"/>
    <w:rsid w:val="008F0FEA"/>
    <w:rsid w:val="008F5AE9"/>
    <w:rsid w:val="009041D1"/>
    <w:rsid w:val="00905910"/>
    <w:rsid w:val="00911B1F"/>
    <w:rsid w:val="00913A2B"/>
    <w:rsid w:val="00920B7B"/>
    <w:rsid w:val="00922339"/>
    <w:rsid w:val="00933007"/>
    <w:rsid w:val="0093655F"/>
    <w:rsid w:val="00942F58"/>
    <w:rsid w:val="009510E1"/>
    <w:rsid w:val="009519F1"/>
    <w:rsid w:val="009678C7"/>
    <w:rsid w:val="009719A9"/>
    <w:rsid w:val="00973173"/>
    <w:rsid w:val="00975486"/>
    <w:rsid w:val="009809BA"/>
    <w:rsid w:val="009908F0"/>
    <w:rsid w:val="00994A14"/>
    <w:rsid w:val="009A0FDC"/>
    <w:rsid w:val="009A1FAA"/>
    <w:rsid w:val="009A3D14"/>
    <w:rsid w:val="009A5ACB"/>
    <w:rsid w:val="009A7AC9"/>
    <w:rsid w:val="009B2DDB"/>
    <w:rsid w:val="009C34DB"/>
    <w:rsid w:val="009C753E"/>
    <w:rsid w:val="009D528E"/>
    <w:rsid w:val="009E7C56"/>
    <w:rsid w:val="009F29F1"/>
    <w:rsid w:val="00A10D96"/>
    <w:rsid w:val="00A114C4"/>
    <w:rsid w:val="00A11584"/>
    <w:rsid w:val="00A12143"/>
    <w:rsid w:val="00A1314D"/>
    <w:rsid w:val="00A2214C"/>
    <w:rsid w:val="00A23F49"/>
    <w:rsid w:val="00A24897"/>
    <w:rsid w:val="00A25BE2"/>
    <w:rsid w:val="00A26A2A"/>
    <w:rsid w:val="00A27D43"/>
    <w:rsid w:val="00A32D81"/>
    <w:rsid w:val="00A33F18"/>
    <w:rsid w:val="00A4049B"/>
    <w:rsid w:val="00A441DA"/>
    <w:rsid w:val="00A51577"/>
    <w:rsid w:val="00A61D9E"/>
    <w:rsid w:val="00A66B3D"/>
    <w:rsid w:val="00A70095"/>
    <w:rsid w:val="00A91B44"/>
    <w:rsid w:val="00AA08BC"/>
    <w:rsid w:val="00AA3510"/>
    <w:rsid w:val="00AA63D4"/>
    <w:rsid w:val="00AA7841"/>
    <w:rsid w:val="00AA7CE7"/>
    <w:rsid w:val="00AB31A0"/>
    <w:rsid w:val="00AC1221"/>
    <w:rsid w:val="00AC2EBB"/>
    <w:rsid w:val="00AC334F"/>
    <w:rsid w:val="00AC640B"/>
    <w:rsid w:val="00AC6B51"/>
    <w:rsid w:val="00AD3561"/>
    <w:rsid w:val="00AD7D22"/>
    <w:rsid w:val="00AE19A1"/>
    <w:rsid w:val="00AF56FA"/>
    <w:rsid w:val="00B00B7B"/>
    <w:rsid w:val="00B06157"/>
    <w:rsid w:val="00B072ED"/>
    <w:rsid w:val="00B11838"/>
    <w:rsid w:val="00B14364"/>
    <w:rsid w:val="00B1649F"/>
    <w:rsid w:val="00B171B7"/>
    <w:rsid w:val="00B20991"/>
    <w:rsid w:val="00B21B43"/>
    <w:rsid w:val="00B23784"/>
    <w:rsid w:val="00B23FD2"/>
    <w:rsid w:val="00B25130"/>
    <w:rsid w:val="00B26D81"/>
    <w:rsid w:val="00B30205"/>
    <w:rsid w:val="00B36365"/>
    <w:rsid w:val="00B363DE"/>
    <w:rsid w:val="00B40060"/>
    <w:rsid w:val="00B4223E"/>
    <w:rsid w:val="00B425C5"/>
    <w:rsid w:val="00B43A03"/>
    <w:rsid w:val="00B456FF"/>
    <w:rsid w:val="00B4692C"/>
    <w:rsid w:val="00B46FE4"/>
    <w:rsid w:val="00B500B2"/>
    <w:rsid w:val="00B50F5A"/>
    <w:rsid w:val="00B56AB5"/>
    <w:rsid w:val="00B647AE"/>
    <w:rsid w:val="00B66BFB"/>
    <w:rsid w:val="00B71FE9"/>
    <w:rsid w:val="00B73F48"/>
    <w:rsid w:val="00B77E96"/>
    <w:rsid w:val="00B8301D"/>
    <w:rsid w:val="00B8521E"/>
    <w:rsid w:val="00B91FAA"/>
    <w:rsid w:val="00B92F9F"/>
    <w:rsid w:val="00B96D90"/>
    <w:rsid w:val="00BA0BF9"/>
    <w:rsid w:val="00BA1EB4"/>
    <w:rsid w:val="00BA51B2"/>
    <w:rsid w:val="00BA52B7"/>
    <w:rsid w:val="00BB62F3"/>
    <w:rsid w:val="00BB6F10"/>
    <w:rsid w:val="00BC30DC"/>
    <w:rsid w:val="00BC58D9"/>
    <w:rsid w:val="00BD333A"/>
    <w:rsid w:val="00BD42E4"/>
    <w:rsid w:val="00BD5BCE"/>
    <w:rsid w:val="00BE4190"/>
    <w:rsid w:val="00BE5CA8"/>
    <w:rsid w:val="00BF095C"/>
    <w:rsid w:val="00BF41DE"/>
    <w:rsid w:val="00BF7DD8"/>
    <w:rsid w:val="00C01CA6"/>
    <w:rsid w:val="00C03E0A"/>
    <w:rsid w:val="00C2069A"/>
    <w:rsid w:val="00C21AB1"/>
    <w:rsid w:val="00C31E7D"/>
    <w:rsid w:val="00C33834"/>
    <w:rsid w:val="00C34E2A"/>
    <w:rsid w:val="00C36C39"/>
    <w:rsid w:val="00C40C86"/>
    <w:rsid w:val="00C470B7"/>
    <w:rsid w:val="00C511D1"/>
    <w:rsid w:val="00C516C2"/>
    <w:rsid w:val="00C566B8"/>
    <w:rsid w:val="00C57225"/>
    <w:rsid w:val="00C61C69"/>
    <w:rsid w:val="00C6310A"/>
    <w:rsid w:val="00C67DDC"/>
    <w:rsid w:val="00C70769"/>
    <w:rsid w:val="00C711C9"/>
    <w:rsid w:val="00C73C06"/>
    <w:rsid w:val="00C8606D"/>
    <w:rsid w:val="00C87ABD"/>
    <w:rsid w:val="00C87BD2"/>
    <w:rsid w:val="00C91F40"/>
    <w:rsid w:val="00CA009E"/>
    <w:rsid w:val="00CA2B6F"/>
    <w:rsid w:val="00CA55FF"/>
    <w:rsid w:val="00CA5E6B"/>
    <w:rsid w:val="00CB37F3"/>
    <w:rsid w:val="00CB562D"/>
    <w:rsid w:val="00CC1E03"/>
    <w:rsid w:val="00CC1F81"/>
    <w:rsid w:val="00CC413D"/>
    <w:rsid w:val="00CD0BD2"/>
    <w:rsid w:val="00CD4C53"/>
    <w:rsid w:val="00CD578B"/>
    <w:rsid w:val="00CE1D66"/>
    <w:rsid w:val="00CE58E4"/>
    <w:rsid w:val="00CE68DC"/>
    <w:rsid w:val="00D233B2"/>
    <w:rsid w:val="00D2743E"/>
    <w:rsid w:val="00D2779F"/>
    <w:rsid w:val="00D32E16"/>
    <w:rsid w:val="00D34B4D"/>
    <w:rsid w:val="00D355B1"/>
    <w:rsid w:val="00D35C31"/>
    <w:rsid w:val="00D35C92"/>
    <w:rsid w:val="00D36721"/>
    <w:rsid w:val="00D4449A"/>
    <w:rsid w:val="00D506A3"/>
    <w:rsid w:val="00D5612C"/>
    <w:rsid w:val="00D70603"/>
    <w:rsid w:val="00D73D6D"/>
    <w:rsid w:val="00D75AD4"/>
    <w:rsid w:val="00D80633"/>
    <w:rsid w:val="00D808D5"/>
    <w:rsid w:val="00D873BE"/>
    <w:rsid w:val="00D913C4"/>
    <w:rsid w:val="00D9224F"/>
    <w:rsid w:val="00DA1203"/>
    <w:rsid w:val="00DB20E9"/>
    <w:rsid w:val="00DB293B"/>
    <w:rsid w:val="00DB43E9"/>
    <w:rsid w:val="00DB6A85"/>
    <w:rsid w:val="00DC0ADC"/>
    <w:rsid w:val="00DC6BAD"/>
    <w:rsid w:val="00DD2BF0"/>
    <w:rsid w:val="00DD4CCC"/>
    <w:rsid w:val="00DD4F71"/>
    <w:rsid w:val="00DF2EA8"/>
    <w:rsid w:val="00DF35CE"/>
    <w:rsid w:val="00DF482B"/>
    <w:rsid w:val="00DF6DF6"/>
    <w:rsid w:val="00E02BAD"/>
    <w:rsid w:val="00E10DE8"/>
    <w:rsid w:val="00E11B44"/>
    <w:rsid w:val="00E1339A"/>
    <w:rsid w:val="00E13F46"/>
    <w:rsid w:val="00E17756"/>
    <w:rsid w:val="00E20710"/>
    <w:rsid w:val="00E209BB"/>
    <w:rsid w:val="00E2362A"/>
    <w:rsid w:val="00E34BEC"/>
    <w:rsid w:val="00E56865"/>
    <w:rsid w:val="00E63525"/>
    <w:rsid w:val="00E648F4"/>
    <w:rsid w:val="00E65EE3"/>
    <w:rsid w:val="00E67D6D"/>
    <w:rsid w:val="00E712A4"/>
    <w:rsid w:val="00E81421"/>
    <w:rsid w:val="00E81752"/>
    <w:rsid w:val="00E84435"/>
    <w:rsid w:val="00E85609"/>
    <w:rsid w:val="00E8756E"/>
    <w:rsid w:val="00E9210A"/>
    <w:rsid w:val="00EA3AB6"/>
    <w:rsid w:val="00EA3F6F"/>
    <w:rsid w:val="00EA5F76"/>
    <w:rsid w:val="00EB2A74"/>
    <w:rsid w:val="00EB676D"/>
    <w:rsid w:val="00EB744A"/>
    <w:rsid w:val="00EB753A"/>
    <w:rsid w:val="00EB7B6C"/>
    <w:rsid w:val="00EC31BE"/>
    <w:rsid w:val="00ED0B07"/>
    <w:rsid w:val="00ED4195"/>
    <w:rsid w:val="00ED4901"/>
    <w:rsid w:val="00EE30A2"/>
    <w:rsid w:val="00EF3E84"/>
    <w:rsid w:val="00EF4E0E"/>
    <w:rsid w:val="00F01055"/>
    <w:rsid w:val="00F039BB"/>
    <w:rsid w:val="00F044C9"/>
    <w:rsid w:val="00F1282E"/>
    <w:rsid w:val="00F21FCF"/>
    <w:rsid w:val="00F22644"/>
    <w:rsid w:val="00F25637"/>
    <w:rsid w:val="00F314EE"/>
    <w:rsid w:val="00F332F1"/>
    <w:rsid w:val="00F34DA1"/>
    <w:rsid w:val="00F435DD"/>
    <w:rsid w:val="00F46DC8"/>
    <w:rsid w:val="00F53A34"/>
    <w:rsid w:val="00F571EE"/>
    <w:rsid w:val="00F633F1"/>
    <w:rsid w:val="00F6407B"/>
    <w:rsid w:val="00F65E75"/>
    <w:rsid w:val="00F67FA2"/>
    <w:rsid w:val="00F72BCF"/>
    <w:rsid w:val="00F8048D"/>
    <w:rsid w:val="00F8111C"/>
    <w:rsid w:val="00F947A4"/>
    <w:rsid w:val="00F96929"/>
    <w:rsid w:val="00FA12EE"/>
    <w:rsid w:val="00FA1815"/>
    <w:rsid w:val="00FA2682"/>
    <w:rsid w:val="00FB5A75"/>
    <w:rsid w:val="00FC34AA"/>
    <w:rsid w:val="00FC4692"/>
    <w:rsid w:val="00FD7DD7"/>
    <w:rsid w:val="00FE5A61"/>
    <w:rsid w:val="00FE7302"/>
    <w:rsid w:val="00FE78EE"/>
    <w:rsid w:val="00FF2356"/>
    <w:rsid w:val="00FF25C3"/>
    <w:rsid w:val="00FF3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C79262-0D67-44A8-A291-080391A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96D90"/>
    <w:rPr>
      <w:rFonts w:ascii="Calibri" w:eastAsia="Calibri" w:hAnsi="Calibri" w:cs="Times New Roman"/>
    </w:rPr>
  </w:style>
  <w:style w:type="paragraph" w:styleId="Piedepgina">
    <w:name w:val="footer"/>
    <w:basedOn w:val="Normal"/>
    <w:link w:val="Piedepgina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96D90"/>
    <w:rPr>
      <w:rFonts w:ascii="Calibri" w:eastAsia="Calibri" w:hAnsi="Calibri" w:cs="Times New Roman"/>
    </w:rPr>
  </w:style>
  <w:style w:type="paragraph" w:styleId="Prrafodelista">
    <w:name w:val="List Paragraph"/>
    <w:basedOn w:val="Normal"/>
    <w:uiPriority w:val="34"/>
    <w:qFormat/>
    <w:rsid w:val="00A33F18"/>
    <w:pPr>
      <w:ind w:left="720"/>
      <w:contextualSpacing/>
    </w:pPr>
  </w:style>
  <w:style w:type="paragraph" w:styleId="Textodeglobo">
    <w:name w:val="Balloon Text"/>
    <w:basedOn w:val="Normal"/>
    <w:link w:val="TextodegloboCar"/>
    <w:uiPriority w:val="99"/>
    <w:semiHidden/>
    <w:unhideWhenUsed/>
    <w:rsid w:val="00423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D7"/>
    <w:rPr>
      <w:rFonts w:ascii="Tahoma" w:hAnsi="Tahoma" w:cs="Tahoma"/>
      <w:sz w:val="16"/>
      <w:szCs w:val="16"/>
    </w:rPr>
  </w:style>
  <w:style w:type="paragraph" w:customStyle="1" w:styleId="Standard">
    <w:name w:val="Standard"/>
    <w:rsid w:val="00506E59"/>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4DC5-5649-41AC-B400-20E9EEA3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2346</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WENDY M. ESCAMILLA HERNANDEZ</cp:lastModifiedBy>
  <cp:revision>3</cp:revision>
  <cp:lastPrinted>2018-10-17T20:07:00Z</cp:lastPrinted>
  <dcterms:created xsi:type="dcterms:W3CDTF">2018-11-17T02:49:00Z</dcterms:created>
  <dcterms:modified xsi:type="dcterms:W3CDTF">2018-11-17T03:05:00Z</dcterms:modified>
</cp:coreProperties>
</file>